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24, 2025</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380" w:type="dxa"/>
        <w:tblCellMar>
          <w:top w:w="0" w:type="dxa"/>
          <w:left w:w="0" w:type="dxa"/>
          <w:bottom w:w="0" w:type="dxa"/>
          <w:right w:w="0" w:type="dxa"/>
        </w:tblCellMar>
      </w:tblPr>
      <w:tr>
        <w:trPr>
          <w:trHeight w:val="214"/>
        </w:trPr>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47-4903308</w:t>
            </w:r>
          </w:p>
        </w:tc>
      </w:tr>
      <w:tr>
        <w:trPr>
          <w:trHeight w:val="148"/>
        </w:trPr>
        <w:tc>
          <w:tcPr>
            <w:tcW w:w="6180" w:type="dxa"/>
            <w:vAlign w:val="bottom"/>
            <w:gridSpan w:val="3"/>
          </w:tcPr>
          <w:p>
            <w:pPr>
              <w:jc w:val="center"/>
              <w:ind w:right="338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40" w:type="dxa"/>
            <w:vAlign w:val="bottom"/>
          </w:tcPr>
          <w:p>
            <w:pPr>
              <w:jc w:val="center"/>
              <w:ind w:left="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180" w:type="dxa"/>
            <w:vAlign w:val="bottom"/>
            <w:gridSpan w:val="3"/>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1340" w:type="dxa"/>
            <w:vAlign w:val="bottom"/>
          </w:tcPr>
          <w:p>
            <w:pPr>
              <w:spacing w:after="0"/>
              <w:rPr>
                <w:sz w:val="24"/>
                <w:szCs w:val="24"/>
                <w:color w:val="auto"/>
              </w:rPr>
            </w:pPr>
          </w:p>
        </w:tc>
      </w:tr>
      <w:tr>
        <w:trPr>
          <w:trHeight w:val="227"/>
        </w:trPr>
        <w:tc>
          <w:tcPr>
            <w:tcW w:w="6180" w:type="dxa"/>
            <w:vAlign w:val="bottom"/>
            <w:gridSpan w:val="3"/>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6180" w:type="dxa"/>
            <w:vAlign w:val="bottom"/>
            <w:gridSpan w:val="3"/>
          </w:tcPr>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40" w:type="dxa"/>
            <w:vAlign w:val="bottom"/>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7"/>
        </w:trPr>
        <w:tc>
          <w:tcPr>
            <w:tcW w:w="296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1"/>
        </w:trPr>
        <w:tc>
          <w:tcPr>
            <w:tcW w:w="6180" w:type="dxa"/>
            <w:vAlign w:val="bottom"/>
            <w:gridSpan w:val="3"/>
          </w:tcPr>
          <w:p>
            <w:pPr>
              <w:jc w:val="center"/>
              <w:ind w:left="1976"/>
              <w:spacing w:after="0"/>
              <w:rPr>
                <w:sz w:val="20"/>
                <w:szCs w:val="20"/>
                <w:color w:val="auto"/>
              </w:rPr>
            </w:pPr>
            <w:r>
              <w:rPr>
                <w:rFonts w:ascii="Times New Roman" w:cs="Times New Roman" w:eastAsia="Times New Roman" w:hAnsi="Times New Roman"/>
                <w:sz w:val="18"/>
                <w:szCs w:val="18"/>
                <w:b w:val="1"/>
                <w:bCs w:val="1"/>
                <w:color w:val="auto"/>
                <w:w w:val="99"/>
              </w:rPr>
              <w:t>Tempus AI, Inc. 2024 Equity Incentive Plan</w:t>
            </w:r>
          </w:p>
        </w:tc>
        <w:tc>
          <w:tcPr>
            <w:tcW w:w="1340" w:type="dxa"/>
            <w:vAlign w:val="bottom"/>
          </w:tcPr>
          <w:p>
            <w:pPr>
              <w:spacing w:after="0"/>
              <w:rPr>
                <w:sz w:val="24"/>
                <w:szCs w:val="24"/>
                <w:color w:val="auto"/>
              </w:rPr>
            </w:pPr>
          </w:p>
        </w:tc>
      </w:tr>
      <w:tr>
        <w:trPr>
          <w:trHeight w:val="190"/>
        </w:trPr>
        <w:tc>
          <w:tcPr>
            <w:tcW w:w="2960" w:type="dxa"/>
            <w:vAlign w:val="bottom"/>
          </w:tcPr>
          <w:p>
            <w:pPr>
              <w:spacing w:after="0"/>
              <w:rPr>
                <w:sz w:val="16"/>
                <w:szCs w:val="16"/>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340" w:type="dxa"/>
            <w:vAlign w:val="bottom"/>
          </w:tcPr>
          <w:p>
            <w:pPr>
              <w:spacing w:after="0"/>
              <w:rPr>
                <w:sz w:val="16"/>
                <w:szCs w:val="16"/>
                <w:color w:val="auto"/>
              </w:rPr>
            </w:pPr>
          </w:p>
        </w:tc>
      </w:tr>
      <w:tr>
        <w:trPr>
          <w:trHeight w:val="393"/>
        </w:trPr>
        <w:tc>
          <w:tcPr>
            <w:tcW w:w="2960" w:type="dxa"/>
            <w:vAlign w:val="bottom"/>
          </w:tcPr>
          <w:p>
            <w:pPr>
              <w:spacing w:after="0"/>
              <w:rPr>
                <w:sz w:val="24"/>
                <w:szCs w:val="24"/>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Eric Lefkofsky</w:t>
            </w:r>
          </w:p>
        </w:tc>
        <w:tc>
          <w:tcPr>
            <w:tcW w:w="1340" w:type="dxa"/>
            <w:vAlign w:val="bottom"/>
          </w:tcPr>
          <w:p>
            <w:pPr>
              <w:spacing w:after="0"/>
              <w:rPr>
                <w:sz w:val="24"/>
                <w:szCs w:val="24"/>
                <w:color w:val="auto"/>
              </w:rPr>
            </w:pPr>
          </w:p>
        </w:tc>
      </w:tr>
      <w:tr>
        <w:trPr>
          <w:trHeight w:val="216"/>
        </w:trPr>
        <w:tc>
          <w:tcPr>
            <w:tcW w:w="6180" w:type="dxa"/>
            <w:vAlign w:val="bottom"/>
            <w:gridSpan w:val="3"/>
          </w:tcPr>
          <w:p>
            <w:pPr>
              <w:jc w:val="center"/>
              <w:ind w:left="1976"/>
              <w:spacing w:after="0"/>
              <w:rPr>
                <w:sz w:val="20"/>
                <w:szCs w:val="20"/>
                <w:color w:val="auto"/>
              </w:rPr>
            </w:pPr>
            <w:r>
              <w:rPr>
                <w:rFonts w:ascii="Times New Roman" w:cs="Times New Roman" w:eastAsia="Times New Roman" w:hAnsi="Times New Roman"/>
                <w:sz w:val="18"/>
                <w:szCs w:val="18"/>
                <w:b w:val="1"/>
                <w:bCs w:val="1"/>
                <w:color w:val="auto"/>
                <w:w w:val="99"/>
              </w:rPr>
              <w:t>Chief Executive Officer, Founder and Chairman</w:t>
            </w:r>
          </w:p>
        </w:tc>
        <w:tc>
          <w:tcPr>
            <w:tcW w:w="1340" w:type="dxa"/>
            <w:vAlign w:val="bottom"/>
          </w:tcPr>
          <w:p>
            <w:pPr>
              <w:spacing w:after="0"/>
              <w:rPr>
                <w:sz w:val="18"/>
                <w:szCs w:val="18"/>
                <w:color w:val="auto"/>
              </w:rPr>
            </w:pPr>
          </w:p>
        </w:tc>
      </w:tr>
      <w:tr>
        <w:trPr>
          <w:trHeight w:val="216"/>
        </w:trPr>
        <w:tc>
          <w:tcPr>
            <w:tcW w:w="2960" w:type="dxa"/>
            <w:vAlign w:val="bottom"/>
          </w:tcPr>
          <w:p>
            <w:pPr>
              <w:spacing w:after="0"/>
              <w:rPr>
                <w:sz w:val="18"/>
                <w:szCs w:val="18"/>
                <w:color w:val="auto"/>
              </w:rPr>
            </w:pPr>
          </w:p>
        </w:tc>
        <w:tc>
          <w:tcPr>
            <w:tcW w:w="322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Tempus AI, Inc.</w:t>
            </w:r>
          </w:p>
        </w:tc>
        <w:tc>
          <w:tcPr>
            <w:tcW w:w="1340" w:type="dxa"/>
            <w:vAlign w:val="bottom"/>
          </w:tcPr>
          <w:p>
            <w:pPr>
              <w:spacing w:after="0"/>
              <w:rPr>
                <w:sz w:val="18"/>
                <w:szCs w:val="18"/>
                <w:color w:val="auto"/>
              </w:rPr>
            </w:pPr>
          </w:p>
        </w:tc>
      </w:tr>
      <w:tr>
        <w:trPr>
          <w:trHeight w:val="216"/>
        </w:trPr>
        <w:tc>
          <w:tcPr>
            <w:tcW w:w="6180" w:type="dxa"/>
            <w:vAlign w:val="bottom"/>
            <w:gridSpan w:val="3"/>
          </w:tcPr>
          <w:p>
            <w:pPr>
              <w:jc w:val="center"/>
              <w:ind w:left="1996"/>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1340" w:type="dxa"/>
            <w:vAlign w:val="bottom"/>
          </w:tcPr>
          <w:p>
            <w:pPr>
              <w:spacing w:after="0"/>
              <w:rPr>
                <w:sz w:val="18"/>
                <w:szCs w:val="18"/>
                <w:color w:val="auto"/>
              </w:rPr>
            </w:pPr>
          </w:p>
        </w:tc>
      </w:tr>
      <w:tr>
        <w:trPr>
          <w:trHeight w:val="232"/>
        </w:trPr>
        <w:tc>
          <w:tcPr>
            <w:tcW w:w="2960" w:type="dxa"/>
            <w:vAlign w:val="bottom"/>
          </w:tcPr>
          <w:p>
            <w:pPr>
              <w:spacing w:after="0"/>
              <w:rPr>
                <w:sz w:val="20"/>
                <w:szCs w:val="20"/>
                <w:color w:val="auto"/>
              </w:rPr>
            </w:pPr>
          </w:p>
        </w:tc>
        <w:tc>
          <w:tcPr>
            <w:tcW w:w="32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Chicago, Illinois 60654</w:t>
            </w:r>
          </w:p>
        </w:tc>
        <w:tc>
          <w:tcPr>
            <w:tcW w:w="1340" w:type="dxa"/>
            <w:vAlign w:val="bottom"/>
          </w:tcPr>
          <w:p>
            <w:pPr>
              <w:spacing w:after="0"/>
              <w:rPr>
                <w:sz w:val="20"/>
                <w:szCs w:val="20"/>
                <w:color w:val="auto"/>
              </w:rPr>
            </w:pPr>
          </w:p>
        </w:tc>
      </w:tr>
    </w:tbl>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(800) 976-5448 (Name, address, including zip code, and telephone number, including area code, of agent for service)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Christina T. Roupas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Courtney M.W. Tygesson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North Wacker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(312) 881-6500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80"/>
          </w:cols>
          <w:pgMar w:left="440" w:top="225" w:right="4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OF ADDITIONAL SHARES PURSUANT TO GENERAL INSTRUCTION E</w:t>
      </w:r>
    </w:p>
    <w:p>
      <w:pPr>
        <w:spacing w:after="0" w:line="22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Pursuant to General Instruction E of Form S-8, Tempus AI, Inc. (the “Registrant”) is filing this Registration Statement with the Securities and Exchange Commission (the “Commission”) to register 2,871,134 additional shares of its Class A common stock, $0.0001 par value per share (“Class A Common Stock”), under the Registrant’s 2024 Equity Incentive Plan (the “2024 Plan”), pursuant to the provisions of the 2024 Plan providing for an automatic increase in the number of shares of Class A Common Stock reserved and available for issuance under the 2024 Plan on January 1, 2025. In accordance with the instructional note to Part I of Form S-8 as promulgated by the Commission, the information specified by Part I of the Form S-8 has been omitted from this Registration Statement.</w:t>
      </w:r>
    </w:p>
    <w:p>
      <w:pPr>
        <w:spacing w:after="0" w:line="187" w:lineRule="exact"/>
        <w:rPr>
          <w:sz w:val="20"/>
          <w:szCs w:val="20"/>
          <w:color w:val="auto"/>
        </w:rPr>
      </w:pPr>
    </w:p>
    <w:p>
      <w:pPr>
        <w:ind w:right="60"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previously registered shares of its Class A Common Stock for issuance under the 2024 Plan on a Registration Statement on Form S-8 filed with the Commission on June 17, 2024 (</w:t>
      </w:r>
      <w:hyperlink r:id="rId17">
        <w:r>
          <w:rPr>
            <w:rFonts w:ascii="Times New Roman" w:cs="Times New Roman" w:eastAsia="Times New Roman" w:hAnsi="Times New Roman"/>
            <w:sz w:val="18"/>
            <w:szCs w:val="18"/>
            <w:u w:val="single" w:color="auto"/>
            <w:color w:val="0000EE"/>
          </w:rPr>
          <w:t>File No. 333-280270</w:t>
        </w:r>
      </w:hyperlink>
      <w:r>
        <w:rPr>
          <w:rFonts w:ascii="Times New Roman" w:cs="Times New Roman" w:eastAsia="Times New Roman" w:hAnsi="Times New Roman"/>
          <w:sz w:val="18"/>
          <w:szCs w:val="18"/>
          <w:color w:val="auto"/>
        </w:rPr>
        <w:t>) (the “Prior Registration Statement”). Pursuant to General Instruction E to Form S-8, this Registration Statement hereby incorporates by reference the contents of the Prior Registration Statement except as set forth below.</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by the Registrant with the Commission:</w:t>
      </w:r>
    </w:p>
    <w:p>
      <w:pPr>
        <w:spacing w:after="0" w:line="54" w:lineRule="exact"/>
        <w:rPr>
          <w:sz w:val="20"/>
          <w:szCs w:val="20"/>
          <w:color w:val="auto"/>
        </w:rPr>
      </w:pPr>
    </w:p>
    <w:p>
      <w:pPr>
        <w:ind w:right="120" w:firstLine="436"/>
        <w:spacing w:after="0" w:line="282" w:lineRule="auto"/>
        <w:tabs>
          <w:tab w:leader="none" w:pos="6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“2024 10-K”) for the fiscal year ended December 31, 2024, filed with the Commission on February 24, 2025;</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 on </w:t>
      </w:r>
      <w:hyperlink r:id="rId19">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February 3, 2025 (File No. 001-42130); and</w:t>
      </w:r>
    </w:p>
    <w:p>
      <w:pPr>
        <w:spacing w:after="0" w:line="225" w:lineRule="exact"/>
        <w:rPr>
          <w:rFonts w:ascii="Times New Roman" w:cs="Times New Roman" w:eastAsia="Times New Roman" w:hAnsi="Times New Roman"/>
          <w:sz w:val="18"/>
          <w:szCs w:val="18"/>
          <w:color w:val="auto"/>
        </w:rPr>
      </w:pPr>
    </w:p>
    <w:p>
      <w:pPr>
        <w:jc w:val="both"/>
        <w:ind w:firstLine="436"/>
        <w:spacing w:after="0" w:line="266" w:lineRule="auto"/>
        <w:tabs>
          <w:tab w:leader="none" w:pos="6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Common Stock contained in the Registrant’s Registration Statement on </w:t>
      </w:r>
      <w:hyperlink r:id="rId2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June 11, 2024 (File No. 001-42130) under Section 12(b) of the Securities Exchange Act of 1934, as amended (the “Exchange Act”), including any amendment or report filed for the purpose of updating such description, including </w:t>
      </w:r>
      <w:hyperlink r:id="rId21">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2024 10-K.</w:t>
      </w:r>
    </w:p>
    <w:p>
      <w:pPr>
        <w:spacing w:after="0" w:line="176" w:lineRule="exact"/>
        <w:rPr>
          <w:rFonts w:ascii="Times New Roman" w:cs="Times New Roman" w:eastAsia="Times New Roman" w:hAnsi="Times New Roman"/>
          <w:sz w:val="18"/>
          <w:szCs w:val="18"/>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12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00"/>
          </w:cols>
          <w:pgMar w:left="440" w:top="266"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60" w:type="dxa"/>
            <w:vAlign w:val="bottom"/>
            <w:gridSpan w:val="19"/>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020" w:type="dxa"/>
            <w:vAlign w:val="bottom"/>
            <w:gridSpan w:val="21"/>
          </w:tcPr>
          <w:p>
            <w:pPr>
              <w:ind w:left="440"/>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tc>
        <w:tc>
          <w:tcPr>
            <w:tcW w:w="0" w:type="dxa"/>
            <w:vAlign w:val="bottom"/>
          </w:tcPr>
          <w:p>
            <w:pPr>
              <w:spacing w:after="0"/>
              <w:rPr>
                <w:sz w:val="1"/>
                <w:szCs w:val="1"/>
                <w:color w:val="auto"/>
              </w:rPr>
            </w:pPr>
          </w:p>
        </w:tc>
      </w:tr>
      <w:tr>
        <w:trPr>
          <w:trHeight w:val="367"/>
        </w:trPr>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20" w:type="dxa"/>
            <w:vAlign w:val="bottom"/>
            <w:gridSpan w:val="1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2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4.1</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980" w:type="dxa"/>
            <w:vAlign w:val="bottom"/>
            <w:tcBorders>
              <w:top w:val="single" w:sz="8" w:color="auto"/>
            </w:tcBorders>
            <w:gridSpan w:val="18"/>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Certificate of Incorporation of the Registrant, as currently in effect (incorporated herein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Registrant’s Current Report on Form 8-K (File No. 001-42130), filed with the Commission on June 17, 2024).</w:t>
              </w:r>
            </w:hyperlink>
          </w:p>
        </w:tc>
        <w:tc>
          <w:tcPr>
            <w:tcW w:w="1040" w:type="dxa"/>
            <w:vAlign w:val="bottom"/>
            <w:tcBorders>
              <w:top w:val="single" w:sz="8" w:color="0000EE"/>
            </w:tcBorders>
            <w:gridSpan w:val="3"/>
          </w:tcPr>
          <w:p>
            <w:pPr>
              <w:spacing w:after="0"/>
              <w:rPr>
                <w:sz w:val="17"/>
                <w:szCs w:val="17"/>
                <w:color w:val="auto"/>
              </w:rPr>
            </w:pPr>
          </w:p>
        </w:tc>
        <w:tc>
          <w:tcPr>
            <w:tcW w:w="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28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Amended and Restated Bylaws of the Registrant, as currently in effect (incorporated herein by reference to Exhibit 3.2 to the Registrant’s</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Current Report on Form 8-K (File No. 001-42130), filed with the Commission on June 17, 2024).</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280" w:type="dxa"/>
            <w:vAlign w:val="bottom"/>
          </w:tcPr>
          <w:p>
            <w:pPr>
              <w:spacing w:after="0"/>
              <w:rPr>
                <w:sz w:val="24"/>
                <w:szCs w:val="24"/>
                <w:color w:val="auto"/>
              </w:rPr>
            </w:pPr>
          </w:p>
        </w:tc>
        <w:tc>
          <w:tcPr>
            <w:tcW w:w="9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of Class A Common Stock Certificate of the Registrant (incorporated herein by reference to Exhibit 4.1 to the Registrant’s</w:t>
              </w:r>
            </w:hyperlink>
          </w:p>
        </w:tc>
        <w:tc>
          <w:tcPr>
            <w:tcW w:w="7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Registration Statement on Form S-1/A (File No. 333-279558), filed with the Commission on June 5, 2024).</w:t>
              </w:r>
            </w:hyperlink>
          </w:p>
        </w:tc>
        <w:tc>
          <w:tcPr>
            <w:tcW w:w="2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28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Opinion of Cooley LLP.</w:t>
            </w:r>
          </w:p>
        </w:tc>
        <w:tc>
          <w:tcPr>
            <w:tcW w:w="82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8"/>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The Registrant’s 2024 Equity Incentive Plan (incorporated by reference to Exhibit 10.4 to the Registrant’s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S-1/A (File No. 333-279558), filed with the Commission on June 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8"/>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Forms of Restricted Stock Unit Grant Notice and Award Agreement under the Registrant’s 2024 Equity Incentive Plan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reference to Exhibit 10.6 to the Registrant’s Registration Statement on Form S-1 (File No. 333-279558), filed with the Commission on</w:t>
              </w:r>
            </w:hyperlink>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May 20,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4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Forms of Grant Notice, Stock Option Agreement and Notice of Exercise under the Registrant’s 2024 Equity Incentive Plan (incorporated</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80" w:type="dxa"/>
            <w:vAlign w:val="bottom"/>
            <w:gridSpan w:val="18"/>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by reference to Exhibit 10.5 to the Registrant’s Registration Statement on Form S-1 (File No. 333-279558), filed with the Commission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May 20, 2024).</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7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7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20"/>
          </w:cols>
          <w:pgMar w:left="440" w:top="266"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February 24,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Eric Lefkofsky</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20" w:firstLine="440"/>
        <w:spacing w:after="0" w:line="273" w:lineRule="auto"/>
        <w:rPr>
          <w:sz w:val="20"/>
          <w:szCs w:val="20"/>
          <w:color w:val="auto"/>
        </w:rPr>
      </w:pPr>
      <w:r>
        <w:rPr>
          <w:rFonts w:ascii="Times New Roman" w:cs="Times New Roman" w:eastAsia="Times New Roman" w:hAnsi="Times New Roman"/>
          <w:sz w:val="17"/>
          <w:szCs w:val="17"/>
          <w:color w:val="auto"/>
        </w:rPr>
        <w:t>KNOW ALL BY THESE PRESENTS, that each person whose signature appears below constitutes and appoints Eric Lefkofsky, James Rogers and Andrew Polovin, and each of them, as his or her true and lawful attorney-in-fact and agents, each with the full power of substitution, for him or her and in his or her name, place or stead, in any and all capacities, to sign any and all amendments to this registration statement (including post-effective amendments), and to file the same, with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their or his substitute or substitutes, may lawfully do or cause to be done by virtue hereof.</w:t>
      </w:r>
    </w:p>
    <w:p>
      <w:pPr>
        <w:spacing w:after="0" w:line="17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Lefkofsky</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Executive Officer, Founder and Chairman</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Lefkofsky</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Rogers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Rogers</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Bartolucci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Ryan Bartolucci</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J. Barris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Peter J. Barris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D. Belcher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Eric D. Belcher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Jennifer A. Doudna, Ph.D.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Jennifer A. Doudna,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R. Epstein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R. Epstein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Wayne A.I. Frederick,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Wayne A.I. Frederick,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Gottlieb, M.D.</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Gottlieb,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II-1</w:t>
            </w: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Theodore J. Leonsis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Theodore J. Leonsis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Nadja West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Nadja West,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0"/>
        </w:trPr>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II-2</w:t>
            </w:r>
          </w:p>
        </w:tc>
        <w:tc>
          <w:tcPr>
            <w:tcW w:w="1760" w:type="dxa"/>
            <w:vAlign w:val="bottom"/>
          </w:tcPr>
          <w:p>
            <w:pPr>
              <w:spacing w:after="0"/>
              <w:rPr>
                <w:sz w:val="24"/>
                <w:szCs w:val="24"/>
                <w:color w:val="auto"/>
              </w:rPr>
            </w:pPr>
          </w:p>
        </w:tc>
      </w:tr>
    </w:tbl>
    <w:p>
      <w:pPr>
        <w:sectPr>
          <w:pgSz w:w="11900" w:h="16838" w:orient="portrait"/>
          <w:cols w:equalWidth="0" w:num="1">
            <w:col w:w="11020"/>
          </w:cols>
          <w:pgMar w:left="440" w:top="26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croupas@cooley.com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3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AI, Inc. –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We have acted as counsel to Tempus AI,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by the Company of a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 to 2,871,134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issuable pursuant to the Company’s 2024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related prospectus, (b) the Company’s certificate of incorporation and bylaws, each as currently in effect, (c) the Plan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opinion herein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Cooley LLP   110 N. Wacker Drive, Suite 4200   Chicago, IL   60606</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165860" cy="377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OOLEY</w:t>
      </w:r>
      <w:r>
        <w:rPr>
          <w:rFonts w:ascii="Times New Roman" w:cs="Times New Roman" w:eastAsia="Times New Roman" w:hAnsi="Times New Roman"/>
          <w:sz w:val="18"/>
          <w:szCs w:val="18"/>
          <w:color w:val="auto"/>
        </w:rPr>
        <w:t xml:space="preserv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2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3"/>
          <w:szCs w:val="13"/>
          <w:color w:val="auto"/>
        </w:rPr>
        <w:t>Cooley LLP   110 N. Wacker Drive, Suite 4200   Chicago, IL   60606</w:t>
      </w:r>
    </w:p>
    <w:p>
      <w:pPr>
        <w:spacing w:after="0" w:line="15"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4"/>
          <w:szCs w:val="14"/>
          <w:color w:val="auto"/>
        </w:rPr>
        <w:t>t: (312) 881-6500 f: (312) 881-6598 cooley.com</w:t>
      </w:r>
    </w:p>
    <w:p>
      <w:pPr>
        <w:sectPr>
          <w:pgSz w:w="11900" w:h="16838" w:orient="portrait"/>
          <w:cols w:equalWidth="0" w:num="1">
            <w:col w:w="10019"/>
          </w:cols>
          <w:pgMar w:left="440" w:top="1215"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Registration Statement on Form S-8 of Tempus AI, Inc. of our report dated February 24, 2025 relating to the financial statements which appears in Tempus AI, Inc.’s Annual Report on Form 10-K for the 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TEMPUS AI,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334" w:type="dxa"/>
        <w:tblCellMar>
          <w:top w:w="0" w:type="dxa"/>
          <w:left w:w="0" w:type="dxa"/>
          <w:bottom w:w="0" w:type="dxa"/>
          <w:right w:w="0" w:type="dxa"/>
        </w:tblCellMar>
      </w:tblPr>
      <w:tr>
        <w:trPr>
          <w:trHeight w:val="144"/>
        </w:trPr>
        <w:tc>
          <w:tcPr>
            <w:tcW w:w="700" w:type="dxa"/>
            <w:vAlign w:val="bottom"/>
            <w:tcBorders>
              <w:top w:val="single" w:sz="8" w:color="auto"/>
              <w:left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Maximum</w:t>
            </w:r>
          </w:p>
        </w:tc>
        <w:tc>
          <w:tcPr>
            <w:tcW w:w="10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Borders>
              <w:left w:val="single" w:sz="8" w:color="auto"/>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9"/>
              </w:rPr>
              <w:t>Maximum</w:t>
            </w:r>
          </w:p>
        </w:tc>
        <w:tc>
          <w:tcPr>
            <w:tcW w:w="124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6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0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jc w:val="center"/>
              <w:ind w:left="88"/>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60" w:type="dxa"/>
            <w:vAlign w:val="bottom"/>
          </w:tcPr>
          <w:p>
            <w:pPr>
              <w:spacing w:after="0"/>
              <w:rPr>
                <w:sz w:val="11"/>
                <w:szCs w:val="11"/>
                <w:color w:val="auto"/>
              </w:rPr>
            </w:pPr>
          </w:p>
        </w:tc>
        <w:tc>
          <w:tcPr>
            <w:tcW w:w="1000" w:type="dxa"/>
            <w:vAlign w:val="bottom"/>
            <w:tcBorders>
              <w:right w:val="single" w:sz="8" w:color="auto"/>
            </w:tcBorders>
          </w:tcPr>
          <w:p>
            <w:pPr>
              <w:jc w:val="center"/>
              <w:ind w:right="37"/>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9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2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0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5"/>
        </w:trPr>
        <w:tc>
          <w:tcPr>
            <w:tcW w:w="700" w:type="dxa"/>
            <w:vAlign w:val="bottom"/>
            <w:tcBorders>
              <w:left w:val="single" w:sz="8" w:color="auto"/>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3"/>
                <w:szCs w:val="13"/>
                <w:color w:val="auto"/>
                <w:w w:val="89"/>
              </w:rPr>
              <w:t>Type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center"/>
              <w:ind w:right="37"/>
              <w:spacing w:after="0" w:line="176" w:lineRule="exact"/>
              <w:rPr>
                <w:sz w:val="20"/>
                <w:szCs w:val="20"/>
                <w:color w:val="auto"/>
              </w:rPr>
            </w:pPr>
            <w:r>
              <w:rPr>
                <w:rFonts w:ascii="Times New Roman" w:cs="Times New Roman" w:eastAsia="Times New Roman" w:hAnsi="Times New Roman"/>
                <w:sz w:val="13"/>
                <w:szCs w:val="13"/>
                <w:color w:val="auto"/>
                <w:w w:val="94"/>
              </w:rPr>
              <w:t>Registered</w:t>
            </w:r>
            <w:r>
              <w:rPr>
                <w:rFonts w:ascii="Times New Roman" w:cs="Times New Roman" w:eastAsia="Times New Roman" w:hAnsi="Times New Roman"/>
                <w:sz w:val="18"/>
                <w:szCs w:val="18"/>
                <w:color w:val="auto"/>
                <w:w w:val="94"/>
                <w:vertAlign w:val="superscript"/>
              </w:rPr>
              <w:t>(1)</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Share</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5"/>
        </w:trPr>
        <w:tc>
          <w:tcPr>
            <w:tcW w:w="700" w:type="dxa"/>
            <w:vAlign w:val="bottom"/>
            <w:tcBorders>
              <w:left w:val="single" w:sz="8" w:color="auto"/>
              <w:right w:val="single" w:sz="8" w:color="auto"/>
            </w:tcBorders>
          </w:tcPr>
          <w:p>
            <w:pPr>
              <w:jc w:val="center"/>
              <w:ind w:left="28"/>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15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Class A Common</w:t>
            </w:r>
          </w:p>
        </w:tc>
        <w:tc>
          <w:tcPr>
            <w:tcW w:w="7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$0.0001 par</w:t>
            </w:r>
          </w:p>
        </w:tc>
        <w:tc>
          <w:tcPr>
            <w:tcW w:w="7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value per share,</w:t>
            </w:r>
          </w:p>
        </w:tc>
        <w:tc>
          <w:tcPr>
            <w:tcW w:w="7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 Equity</w:t>
            </w:r>
          </w:p>
        </w:tc>
        <w:tc>
          <w:tcPr>
            <w:tcW w:w="7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00" w:type="dxa"/>
            <w:vAlign w:val="bottom"/>
            <w:tcBorders>
              <w:left w:val="single" w:sz="8" w:color="auto"/>
              <w:bottom w:val="single" w:sz="8" w:color="auto"/>
              <w:right w:val="single" w:sz="8" w:color="auto"/>
            </w:tcBorders>
          </w:tcPr>
          <w:p>
            <w:pPr>
              <w:spacing w:after="0"/>
              <w:rPr>
                <w:sz w:val="21"/>
                <w:szCs w:val="21"/>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Incentive Plan</w:t>
            </w:r>
          </w:p>
        </w:tc>
        <w:tc>
          <w:tcPr>
            <w:tcW w:w="74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8"/>
              </w:rPr>
              <w:t> Other</w:t>
            </w:r>
            <w:r>
              <w:rPr>
                <w:rFonts w:ascii="Times New Roman" w:cs="Times New Roman" w:eastAsia="Times New Roman" w:hAnsi="Times New Roman"/>
                <w:sz w:val="26"/>
                <w:szCs w:val="26"/>
                <w:color w:val="auto"/>
                <w:w w:val="98"/>
                <w:vertAlign w:val="superscript"/>
              </w:rPr>
              <w:t>(2)</w:t>
            </w:r>
            <w:r>
              <w:rPr>
                <w:rFonts w:ascii="Times New Roman" w:cs="Times New Roman" w:eastAsia="Times New Roman" w:hAnsi="Times New Roman"/>
                <w:sz w:val="18"/>
                <w:szCs w:val="18"/>
                <w:color w:val="auto"/>
                <w:w w:val="98"/>
              </w:rPr>
              <w:t xml:space="preserve"> </w:t>
            </w:r>
          </w:p>
        </w:tc>
        <w:tc>
          <w:tcPr>
            <w:tcW w:w="1160" w:type="dxa"/>
            <w:vAlign w:val="bottom"/>
            <w:tcBorders>
              <w:bottom w:val="single" w:sz="8" w:color="auto"/>
              <w:right w:val="single" w:sz="8" w:color="auto"/>
            </w:tcBorders>
            <w:gridSpan w:val="2"/>
          </w:tcPr>
          <w:p>
            <w:pPr>
              <w:jc w:val="center"/>
              <w:spacing w:after="0" w:line="247" w:lineRule="exact"/>
              <w:rPr>
                <w:sz w:val="20"/>
                <w:szCs w:val="20"/>
                <w:color w:val="auto"/>
              </w:rPr>
            </w:pPr>
            <w:r>
              <w:rPr>
                <w:rFonts w:ascii="Times New Roman" w:cs="Times New Roman" w:eastAsia="Times New Roman" w:hAnsi="Times New Roman"/>
                <w:sz w:val="18"/>
                <w:szCs w:val="18"/>
                <w:color w:val="auto"/>
              </w:rPr>
              <w:t> 2,871,134</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t>
            </w:r>
          </w:p>
        </w:tc>
        <w:tc>
          <w:tcPr>
            <w:tcW w:w="92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rPr>
              <w:t> $82.95</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$238,160.565 </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0.00015310 </w:t>
            </w:r>
          </w:p>
        </w:tc>
        <w:tc>
          <w:tcPr>
            <w:tcW w:w="100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 $36,462.39</w:t>
            </w:r>
          </w:p>
        </w:tc>
        <w:tc>
          <w:tcPr>
            <w:tcW w:w="0" w:type="dxa"/>
            <w:vAlign w:val="bottom"/>
          </w:tcPr>
          <w:p>
            <w:pPr>
              <w:spacing w:after="0"/>
              <w:rPr>
                <w:sz w:val="1"/>
                <w:szCs w:val="1"/>
                <w:color w:val="auto"/>
              </w:rPr>
            </w:pPr>
          </w:p>
        </w:tc>
      </w:tr>
      <w:tr>
        <w:trPr>
          <w:trHeight w:val="232"/>
        </w:trPr>
        <w:tc>
          <w:tcPr>
            <w:tcW w:w="700" w:type="dxa"/>
            <w:vAlign w:val="bottom"/>
            <w:tcBorders>
              <w:left w:val="single" w:sz="8" w:color="auto"/>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left="357"/>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$238,160.565</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$36,462.39</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left="35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center"/>
              <w:ind w:left="357"/>
              <w:spacing w:after="0"/>
              <w:rPr>
                <w:sz w:val="20"/>
                <w:szCs w:val="20"/>
                <w:color w:val="auto"/>
              </w:rPr>
            </w:pPr>
            <w:r>
              <w:rPr>
                <w:rFonts w:ascii="Times New Roman" w:cs="Times New Roman" w:eastAsia="Times New Roman" w:hAnsi="Times New Roman"/>
                <w:sz w:val="18"/>
                <w:szCs w:val="18"/>
                <w:color w:val="auto"/>
              </w:rPr>
              <w:t>Net Fee Due</w:t>
            </w:r>
          </w:p>
        </w:tc>
        <w:tc>
          <w:tcPr>
            <w:tcW w:w="100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$36,462.39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jc w:val="both"/>
        <w:ind w:left="424" w:hanging="424"/>
        <w:spacing w:after="0" w:line="261"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Class A common stock, $0.0001 par value per share (“Class A Common Stock”), of Tempus AI, Inc. (the “Registrant”) that become issuable under the Registrant’s 2024 Equity Incentive Plan (the “2024 Plan”) by reason of any stock dividend, stock split, recapitalization or other similar transaction.</w:t>
      </w:r>
    </w:p>
    <w:p>
      <w:pPr>
        <w:spacing w:after="0" w:line="206" w:lineRule="exact"/>
        <w:rPr>
          <w:rFonts w:ascii="Times New Roman" w:cs="Times New Roman" w:eastAsia="Times New Roman" w:hAnsi="Times New Roman"/>
          <w:sz w:val="18"/>
          <w:szCs w:val="18"/>
          <w:color w:val="auto"/>
        </w:rPr>
      </w:pPr>
    </w:p>
    <w:p>
      <w:pPr>
        <w:jc w:val="both"/>
        <w:ind w:left="424"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and (h) of the Securities Act solely for the purpose of calculating the registration fee on the basis of the average of the high and low prices of the Registrant’s Class A Common Stock as reported on the Nasdaq Global Select Market on February 19, 2025.</w:t>
      </w:r>
    </w:p>
    <w:p>
      <w:pPr>
        <w:spacing w:after="0" w:line="202" w:lineRule="exact"/>
        <w:rPr>
          <w:rFonts w:ascii="Times New Roman" w:cs="Times New Roman" w:eastAsia="Times New Roman" w:hAnsi="Times New Roman"/>
          <w:sz w:val="18"/>
          <w:szCs w:val="18"/>
          <w:color w:val="auto"/>
        </w:rPr>
      </w:pPr>
    </w:p>
    <w:p>
      <w:pPr>
        <w:jc w:val="both"/>
        <w:ind w:left="424"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automatic increase to the number of shares of the Registrant’s Class A Common Stock available for issuance under the 2024 Plan effective January 1, 2025, as provided for under the 2024 Plan. The 2024 Plan provides that an additional number of shares will automatically be added annually to the shares authorized for issuance under the 2024 Plan on January 1st of each year, commencing on January 1, 2025 and ending on (and including) January 1, 2034, in an amount equal to a number of shares of Class A Common Stock (the “Evergreen Increase”) such that the sum of (x) the remaining number of shares available under the 2024 Plan and (y) the Evergreen Increase is equal to 5% of the total number of shares of Class A Common Stock and Class B Common Stock outstanding on December 31 of the preceding year; provided, however, that the Registrant’s board of directors may act prior to January 1st of a given year to provide that the Evergreen Increase for such year will be a lesser number of shares of Class A Common Stock.</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jpeg"/><Relationship Id="rId34" Type="http://schemas.openxmlformats.org/officeDocument/2006/relationships/image" Target="media/image16.png"/><Relationship Id="rId35" Type="http://schemas.openxmlformats.org/officeDocument/2006/relationships/image" Target="media/image17.jpeg"/><Relationship Id="rId36" Type="http://schemas.openxmlformats.org/officeDocument/2006/relationships/image" Target="media/image18.png"/><Relationship Id="rId37" Type="http://schemas.openxmlformats.org/officeDocument/2006/relationships/image" Target="media/image19.png"/><Relationship Id="rId17" Type="http://schemas.openxmlformats.org/officeDocument/2006/relationships/hyperlink" Target="http://www.sec.gov/Archives/edgar/data/1717115/000119312524162651/d689266ds8.htm" TargetMode="External"/><Relationship Id="rId18" Type="http://schemas.openxmlformats.org/officeDocument/2006/relationships/hyperlink" Target="http://www.sec.gov/ix?doc=/Archives/edgar/data/1717115/000095017025025603/tem-20241231.htm" TargetMode="External"/><Relationship Id="rId19" Type="http://schemas.openxmlformats.org/officeDocument/2006/relationships/hyperlink" Target="http://www.sec.gov/ix?doc=/Archives/edgar/data/0001717115/000119312525019313/d843563d8k.htm" TargetMode="External"/><Relationship Id="rId20" Type="http://schemas.openxmlformats.org/officeDocument/2006/relationships/hyperlink" Target="http://www.sec.gov/Archives/edgar/data/1717115/000119312524159105/d806693d8a12b.htm" TargetMode="External"/><Relationship Id="rId21" Type="http://schemas.openxmlformats.org/officeDocument/2006/relationships/hyperlink" Target="http://www.sec.gov/Archives/edgar/data/1717115/000095017025025603/tem-ex4_2.htm" TargetMode="External"/><Relationship Id="rId22" Type="http://schemas.openxmlformats.org/officeDocument/2006/relationships/hyperlink" Target="http://www.sec.gov/Archives/edgar/data/1717115/000119312524162594/d665789dex31.htm" TargetMode="External"/><Relationship Id="rId23" Type="http://schemas.openxmlformats.org/officeDocument/2006/relationships/hyperlink" Target="http://www.sec.gov/Archives/edgar/data/1717115/000119312524162594/d665789dex32.htm" TargetMode="External"/><Relationship Id="rId24" Type="http://schemas.openxmlformats.org/officeDocument/2006/relationships/hyperlink" Target="http://www.sec.gov/Archives/edgar/data/1717115/000119312524154635/d221145dex41.htm" TargetMode="External"/><Relationship Id="rId25" Type="http://schemas.openxmlformats.org/officeDocument/2006/relationships/hyperlink" Target="http://www.sec.gov/Archives/edgar/data/1717115/000119312524154635/d221145dex104.htm" TargetMode="External"/><Relationship Id="rId26" Type="http://schemas.openxmlformats.org/officeDocument/2006/relationships/hyperlink" Target="http://www.sec.gov/Archives/edgar/data/1717115/000119312524142956/d221145dex106.htm" TargetMode="External"/><Relationship Id="rId27" Type="http://schemas.openxmlformats.org/officeDocument/2006/relationships/hyperlink" Target="http://www.sec.gov/Archives/edgar/data/1717115/000119312524142956/d221145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2025-02-24T16:34:10Z</dcterms:created>
  <dcterms:modified xsi:type="dcterms:W3CDTF">2025-02-24T16:34:10Z</dcterms:modified>
</cp:coreProperties>
</file>