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confidentially submitted to the Securities and Exchange Commission on September 1, 2021. </w:t>
      </w:r>
    </w:p>
    <w:p>
      <w:pPr>
        <w:pStyle w:val="TextBody"/>
        <w:bidi w:val="0"/>
        <w:spacing w:before="80" w:after="0"/>
        <w:jc w:val="center"/>
        <w:rPr>
          <w:rFonts w:ascii="Times New Roman" w:hAnsi="Times New Roman"/>
          <w:b/>
          <w:sz w:val="16"/>
        </w:rPr>
      </w:pPr>
      <w:r>
        <w:rPr>
          <w:rFonts w:ascii="Times New Roman" w:hAnsi="Times New Roman"/>
          <w:b/>
          <w:sz w:val="16"/>
        </w:rPr>
        <w:t xml:space="preserve">This draft registration statement has not been publicly filed with the </w:t>
      </w:r>
    </w:p>
    <w:p>
      <w:pPr>
        <w:pStyle w:val="TextBody"/>
        <w:bidi w:val="0"/>
        <w:spacing w:before="0" w:after="0"/>
        <w:jc w:val="center"/>
        <w:rPr>
          <w:rFonts w:ascii="Times New Roman" w:hAnsi="Times New Roman"/>
          <w:b/>
          <w:sz w:val="16"/>
        </w:rPr>
      </w:pPr>
      <w:r>
        <w:rPr>
          <w:rFonts w:ascii="Times New Roman" w:hAnsi="Times New Roman"/>
          <w:b/>
          <w:sz w:val="16"/>
        </w:rPr>
        <w:t xml:space="preserve">Securities and Exchange Commission and all information herein remains strictly confidential.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26"/>
        </w:rPr>
      </w:pPr>
      <w:r>
        <w:rPr>
          <w:rFonts w:ascii="Times New Roman" w:hAnsi="Times New Roman"/>
          <w:b/>
          <w:sz w:val="26"/>
        </w:rPr>
        <w:t xml:space="preserve">UNITED STATES </w:t>
      </w:r>
    </w:p>
    <w:p>
      <w:pPr>
        <w:pStyle w:val="TextBody"/>
        <w:bidi w:val="0"/>
        <w:spacing w:before="0" w:after="0"/>
        <w:jc w:val="center"/>
        <w:rPr>
          <w:rFonts w:ascii="Times New Roman" w:hAnsi="Times New Roman"/>
          <w:b/>
          <w:sz w:val="26"/>
        </w:rPr>
      </w:pPr>
      <w:r>
        <w:rPr>
          <w:rFonts w:ascii="Times New Roman" w:hAnsi="Times New Roman"/>
          <w:b/>
          <w:sz w:val="26"/>
        </w:rPr>
        <w:t xml:space="preserve">SECURITIES AND EXCHANGE COMMISSION </w:t>
      </w:r>
    </w:p>
    <w:p>
      <w:pPr>
        <w:pStyle w:val="TextBody"/>
        <w:bidi w:val="0"/>
        <w:spacing w:before="0" w:after="0"/>
        <w:jc w:val="center"/>
        <w:rPr>
          <w:rFonts w:ascii="Times New Roman" w:hAnsi="Times New Roman"/>
          <w:b/>
          <w:sz w:val="19"/>
        </w:rPr>
      </w:pPr>
      <w:r>
        <w:rPr>
          <w:rFonts w:ascii="Times New Roman" w:hAnsi="Times New Roman"/>
          <w:b/>
          <w:sz w:val="19"/>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26"/>
        </w:rPr>
      </w:pPr>
      <w:r>
        <w:rPr>
          <w:rFonts w:ascii="Times New Roman" w:hAnsi="Times New Roman"/>
          <w:b/>
          <w:sz w:val="26"/>
        </w:rPr>
        <w:t xml:space="preserve">FORM S-1 </w:t>
      </w:r>
    </w:p>
    <w:p>
      <w:pPr>
        <w:pStyle w:val="TextBody"/>
        <w:bidi w:val="0"/>
        <w:spacing w:before="0" w:after="0"/>
        <w:jc w:val="center"/>
        <w:rPr>
          <w:rFonts w:ascii="Times New Roman" w:hAnsi="Times New Roman"/>
          <w:b/>
          <w:sz w:val="26"/>
        </w:rPr>
      </w:pPr>
      <w:r>
        <w:rPr>
          <w:rFonts w:ascii="Times New Roman" w:hAnsi="Times New Roman"/>
          <w:b/>
          <w:sz w:val="26"/>
        </w:rPr>
        <w:t xml:space="preserve">REGISTRATION STATEMENT </w:t>
      </w:r>
    </w:p>
    <w:p>
      <w:pPr>
        <w:pStyle w:val="TextBody"/>
        <w:bidi w:val="0"/>
        <w:spacing w:before="0" w:after="0"/>
        <w:jc w:val="center"/>
        <w:rPr>
          <w:rFonts w:ascii="Times New Roman" w:hAnsi="Times New Roman"/>
          <w:b/>
          <w:i/>
          <w:sz w:val="19"/>
        </w:rPr>
      </w:pPr>
      <w:r>
        <w:rPr>
          <w:rFonts w:ascii="Times New Roman" w:hAnsi="Times New Roman"/>
          <w:b/>
          <w:i/>
          <w:sz w:val="19"/>
        </w:rPr>
        <w:t xml:space="preserve">UNDER </w:t>
      </w:r>
    </w:p>
    <w:p>
      <w:pPr>
        <w:pStyle w:val="TextBody"/>
        <w:bidi w:val="0"/>
        <w:spacing w:before="0" w:after="0"/>
        <w:jc w:val="center"/>
        <w:rPr>
          <w:rFonts w:ascii="Times New Roman" w:hAnsi="Times New Roman"/>
          <w:b/>
          <w:i/>
          <w:sz w:val="19"/>
        </w:rPr>
      </w:pPr>
      <w:r>
        <w:rPr>
          <w:rFonts w:ascii="Times New Roman" w:hAnsi="Times New Roman"/>
          <w:b/>
          <w:i/>
          <w:sz w:val="19"/>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38"/>
        </w:rPr>
      </w:pPr>
      <w:r>
        <w:rPr>
          <w:rFonts w:ascii="Times New Roman" w:hAnsi="Times New Roman"/>
          <w:b/>
          <w:sz w:val="38"/>
        </w:rPr>
        <w:t xml:space="preserve">Tempus Labs,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7370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47-4903308</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600 West Chicago Avenue, Suite 510 </w:t>
      </w:r>
    </w:p>
    <w:p>
      <w:pPr>
        <w:pStyle w:val="TextBody"/>
        <w:bidi w:val="0"/>
        <w:spacing w:before="0" w:after="0"/>
        <w:jc w:val="center"/>
        <w:rPr>
          <w:rFonts w:ascii="Times New Roman" w:hAnsi="Times New Roman"/>
          <w:b/>
          <w:sz w:val="16"/>
        </w:rPr>
      </w:pPr>
      <w:r>
        <w:rPr>
          <w:rFonts w:ascii="Times New Roman" w:hAnsi="Times New Roman"/>
          <w:b/>
          <w:sz w:val="16"/>
        </w:rPr>
        <w:t xml:space="preserve">Chicago, Illinois 60654 </w:t>
      </w:r>
    </w:p>
    <w:p>
      <w:pPr>
        <w:pStyle w:val="TextBody"/>
        <w:bidi w:val="0"/>
        <w:spacing w:before="0" w:after="0"/>
        <w:jc w:val="center"/>
        <w:rPr>
          <w:rFonts w:ascii="Times New Roman" w:hAnsi="Times New Roman"/>
          <w:b/>
          <w:sz w:val="16"/>
        </w:rPr>
      </w:pPr>
      <w:r>
        <w:rPr>
          <w:rFonts w:ascii="Times New Roman" w:hAnsi="Times New Roman"/>
          <w:b/>
          <w:sz w:val="16"/>
        </w:rPr>
        <w:t xml:space="preserve">(800) 976-5448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w:t>
      </w:r>
    </w:p>
    <w:p>
      <w:pPr>
        <w:pStyle w:val="TextBody"/>
        <w:bidi w:val="0"/>
        <w:spacing w:before="0" w:after="0"/>
        <w:jc w:val="center"/>
        <w:rPr>
          <w:rFonts w:ascii="Times New Roman" w:hAnsi="Times New Roman"/>
          <w:b/>
          <w:sz w:val="14"/>
        </w:rPr>
      </w:pPr>
      <w:r>
        <w:rPr>
          <w:rFonts w:ascii="Times New Roman" w:hAnsi="Times New Roman"/>
          <w:b/>
          <w:sz w:val="14"/>
        </w:rPr>
        <w:t xml:space="preserve">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Eric Lefkofsky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Founder and Chairman </w:t>
      </w:r>
    </w:p>
    <w:p>
      <w:pPr>
        <w:pStyle w:val="TextBody"/>
        <w:bidi w:val="0"/>
        <w:spacing w:before="0" w:after="0"/>
        <w:jc w:val="center"/>
        <w:rPr>
          <w:rFonts w:ascii="Times New Roman" w:hAnsi="Times New Roman"/>
          <w:b/>
          <w:sz w:val="16"/>
        </w:rPr>
      </w:pPr>
      <w:r>
        <w:rPr>
          <w:rFonts w:ascii="Times New Roman" w:hAnsi="Times New Roman"/>
          <w:b/>
          <w:sz w:val="16"/>
        </w:rPr>
        <w:t xml:space="preserve">Tempus Labs, Inc. </w:t>
      </w:r>
    </w:p>
    <w:p>
      <w:pPr>
        <w:pStyle w:val="TextBody"/>
        <w:bidi w:val="0"/>
        <w:spacing w:before="0" w:after="0"/>
        <w:jc w:val="center"/>
        <w:rPr>
          <w:rFonts w:ascii="Times New Roman" w:hAnsi="Times New Roman"/>
          <w:b/>
          <w:sz w:val="16"/>
        </w:rPr>
      </w:pPr>
      <w:r>
        <w:rPr>
          <w:rFonts w:ascii="Times New Roman" w:hAnsi="Times New Roman"/>
          <w:b/>
          <w:sz w:val="16"/>
        </w:rPr>
        <w:t xml:space="preserve">600 West Chicago Avenue, Suite 510 </w:t>
      </w:r>
    </w:p>
    <w:p>
      <w:pPr>
        <w:pStyle w:val="TextBody"/>
        <w:bidi w:val="0"/>
        <w:spacing w:before="0" w:after="0"/>
        <w:jc w:val="center"/>
        <w:rPr>
          <w:rFonts w:ascii="Times New Roman" w:hAnsi="Times New Roman"/>
          <w:b/>
          <w:sz w:val="16"/>
        </w:rPr>
      </w:pPr>
      <w:r>
        <w:rPr>
          <w:rFonts w:ascii="Times New Roman" w:hAnsi="Times New Roman"/>
          <w:b/>
          <w:sz w:val="16"/>
        </w:rPr>
        <w:t xml:space="preserve">Chicago, Illinois 60654 </w:t>
      </w:r>
    </w:p>
    <w:p>
      <w:pPr>
        <w:pStyle w:val="TextBody"/>
        <w:bidi w:val="0"/>
        <w:spacing w:before="0" w:after="0"/>
        <w:jc w:val="center"/>
        <w:rPr>
          <w:rFonts w:ascii="Times New Roman" w:hAnsi="Times New Roman"/>
          <w:b/>
          <w:sz w:val="16"/>
        </w:rPr>
      </w:pPr>
      <w:r>
        <w:rPr>
          <w:rFonts w:ascii="Times New Roman" w:hAnsi="Times New Roman"/>
          <w:b/>
          <w:sz w:val="16"/>
        </w:rPr>
        <w:t xml:space="preserve">(800) 976-5448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w:t>
      </w:r>
    </w:p>
    <w:p>
      <w:pPr>
        <w:pStyle w:val="TextBody"/>
        <w:bidi w:val="0"/>
        <w:spacing w:before="0" w:after="0"/>
        <w:jc w:val="center"/>
        <w:rPr>
          <w:rFonts w:ascii="Times New Roman" w:hAnsi="Times New Roman"/>
          <w:b/>
          <w:sz w:val="14"/>
        </w:rPr>
      </w:pPr>
      <w:r>
        <w:rPr>
          <w:rFonts w:ascii="Times New Roman" w:hAnsi="Times New Roman"/>
          <w:b/>
          <w:sz w:val="14"/>
        </w:rPr>
        <w:t xml:space="preserve">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5"/>
        <w:gridCol w:w="102"/>
        <w:gridCol w:w="3470"/>
        <w:gridCol w:w="102"/>
        <w:gridCol w:w="3266"/>
      </w:tblGrid>
      <w:tr>
        <w:trPr/>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265" w:type="dxa"/>
            <w:tcBorders/>
          </w:tcPr>
          <w:p>
            <w:pPr>
              <w:pStyle w:val="TableContents"/>
              <w:bidi w:val="0"/>
              <w:spacing w:before="0" w:after="0"/>
              <w:jc w:val="center"/>
              <w:rPr>
                <w:rFonts w:ascii="Times New Roman" w:hAnsi="Times New Roman"/>
                <w:b/>
                <w:sz w:val="16"/>
              </w:rPr>
            </w:pPr>
            <w:r>
              <w:rPr>
                <w:rFonts w:ascii="Times New Roman" w:hAnsi="Times New Roman"/>
                <w:b/>
                <w:sz w:val="16"/>
              </w:rPr>
              <w:t>Nicole Brookshire</w:t>
            </w:r>
          </w:p>
          <w:p>
            <w:pPr>
              <w:pStyle w:val="TableContents"/>
              <w:bidi w:val="0"/>
              <w:spacing w:before="0" w:after="0"/>
              <w:jc w:val="center"/>
              <w:rPr>
                <w:rFonts w:ascii="Times New Roman" w:hAnsi="Times New Roman"/>
                <w:b/>
                <w:sz w:val="16"/>
              </w:rPr>
            </w:pPr>
            <w:r>
              <w:rPr>
                <w:rFonts w:ascii="Times New Roman" w:hAnsi="Times New Roman"/>
                <w:b/>
                <w:sz w:val="16"/>
              </w:rPr>
              <w:t>Christina T. Roupas</w:t>
            </w:r>
          </w:p>
          <w:p>
            <w:pPr>
              <w:pStyle w:val="TableContents"/>
              <w:bidi w:val="0"/>
              <w:spacing w:before="0" w:after="0"/>
              <w:jc w:val="center"/>
              <w:rPr>
                <w:rFonts w:ascii="Times New Roman" w:hAnsi="Times New Roman"/>
                <w:b/>
                <w:sz w:val="16"/>
              </w:rPr>
            </w:pPr>
            <w:r>
              <w:rPr>
                <w:rFonts w:ascii="Times New Roman" w:hAnsi="Times New Roman"/>
                <w:b/>
                <w:sz w:val="16"/>
              </w:rPr>
              <w:t>Richard Segal</w:t>
            </w:r>
          </w:p>
          <w:p>
            <w:pPr>
              <w:pStyle w:val="TableContents"/>
              <w:bidi w:val="0"/>
              <w:spacing w:before="0" w:after="0"/>
              <w:jc w:val="center"/>
              <w:rPr>
                <w:rFonts w:ascii="Times New Roman" w:hAnsi="Times New Roman"/>
                <w:b/>
                <w:sz w:val="16"/>
              </w:rPr>
            </w:pPr>
            <w:r>
              <w:rPr>
                <w:rFonts w:ascii="Times New Roman" w:hAnsi="Times New Roman"/>
                <w:b/>
                <w:sz w:val="16"/>
              </w:rPr>
              <w:t>Courtney M.W. Tygesson</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444 West Lake Street, Suite 1700</w:t>
            </w:r>
          </w:p>
          <w:p>
            <w:pPr>
              <w:pStyle w:val="TableContents"/>
              <w:bidi w:val="0"/>
              <w:spacing w:before="0" w:after="20"/>
              <w:jc w:val="center"/>
              <w:rPr>
                <w:rFonts w:ascii="Times New Roman" w:hAnsi="Times New Roman"/>
                <w:b/>
                <w:sz w:val="16"/>
              </w:rPr>
            </w:pPr>
            <w:r>
              <w:rPr>
                <w:rFonts w:ascii="Times New Roman" w:hAnsi="Times New Roman"/>
                <w:b/>
                <w:sz w:val="16"/>
              </w:rPr>
              <w:t>Chicago, Illinois 60606</w:t>
            </w:r>
          </w:p>
        </w:tc>
        <w:tc>
          <w:tcPr>
            <w:tcW w:w="102"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0"/>
              <w:jc w:val="center"/>
              <w:rPr>
                <w:rFonts w:ascii="Times New Roman" w:hAnsi="Times New Roman"/>
                <w:b/>
                <w:sz w:val="16"/>
              </w:rPr>
            </w:pPr>
            <w:r>
              <w:rPr>
                <w:rFonts w:ascii="Times New Roman" w:hAnsi="Times New Roman"/>
                <w:b/>
                <w:sz w:val="16"/>
              </w:rPr>
              <w:t>Erik Phelps</w:t>
            </w:r>
          </w:p>
          <w:p>
            <w:pPr>
              <w:pStyle w:val="TableContents"/>
              <w:bidi w:val="0"/>
              <w:spacing w:before="0" w:after="0"/>
              <w:jc w:val="center"/>
              <w:rPr>
                <w:rFonts w:ascii="Times New Roman" w:hAnsi="Times New Roman"/>
                <w:b/>
                <w:sz w:val="16"/>
              </w:rPr>
            </w:pPr>
            <w:r>
              <w:rPr>
                <w:rFonts w:ascii="Times New Roman" w:hAnsi="Times New Roman"/>
                <w:b/>
                <w:sz w:val="16"/>
              </w:rPr>
              <w:t>Executive Vice President and</w:t>
            </w:r>
          </w:p>
          <w:p>
            <w:pPr>
              <w:pStyle w:val="TableContents"/>
              <w:bidi w:val="0"/>
              <w:spacing w:before="0" w:after="0"/>
              <w:jc w:val="center"/>
              <w:rPr>
                <w:rFonts w:ascii="Times New Roman" w:hAnsi="Times New Roman"/>
                <w:b/>
                <w:sz w:val="16"/>
              </w:rPr>
            </w:pPr>
            <w:r>
              <w:rPr>
                <w:rFonts w:ascii="Times New Roman" w:hAnsi="Times New Roman"/>
                <w:b/>
                <w:sz w:val="16"/>
              </w:rPr>
              <w:t>Chief Administrative and Legal Officer</w:t>
            </w:r>
          </w:p>
          <w:p>
            <w:pPr>
              <w:pStyle w:val="TableContents"/>
              <w:bidi w:val="0"/>
              <w:spacing w:before="0" w:after="0"/>
              <w:jc w:val="center"/>
              <w:rPr>
                <w:rFonts w:ascii="Times New Roman" w:hAnsi="Times New Roman"/>
                <w:b/>
                <w:sz w:val="16"/>
              </w:rPr>
            </w:pPr>
            <w:r>
              <w:rPr>
                <w:rFonts w:ascii="Times New Roman" w:hAnsi="Times New Roman"/>
                <w:b/>
                <w:sz w:val="16"/>
              </w:rPr>
              <w:t>Tempus Labs, Inc.</w:t>
            </w:r>
          </w:p>
          <w:p>
            <w:pPr>
              <w:pStyle w:val="TableContents"/>
              <w:bidi w:val="0"/>
              <w:spacing w:before="0" w:after="0"/>
              <w:jc w:val="center"/>
              <w:rPr>
                <w:rFonts w:ascii="Times New Roman" w:hAnsi="Times New Roman"/>
                <w:b/>
                <w:sz w:val="16"/>
              </w:rPr>
            </w:pPr>
            <w:r>
              <w:rPr>
                <w:rFonts w:ascii="Times New Roman" w:hAnsi="Times New Roman"/>
                <w:b/>
                <w:sz w:val="16"/>
              </w:rPr>
              <w:t>600 West Chicago Avenue, Suite 510</w:t>
            </w:r>
          </w:p>
          <w:p>
            <w:pPr>
              <w:pStyle w:val="TableContents"/>
              <w:bidi w:val="0"/>
              <w:spacing w:before="0" w:after="0"/>
              <w:jc w:val="center"/>
              <w:rPr>
                <w:rFonts w:ascii="Times New Roman" w:hAnsi="Times New Roman"/>
                <w:b/>
                <w:sz w:val="16"/>
              </w:rPr>
            </w:pPr>
            <w:r>
              <w:rPr>
                <w:rFonts w:ascii="Times New Roman" w:hAnsi="Times New Roman"/>
                <w:b/>
                <w:sz w:val="16"/>
              </w:rPr>
              <w:t>Chicago, Illinois 60654</w:t>
            </w:r>
          </w:p>
          <w:p>
            <w:pPr>
              <w:pStyle w:val="TableContents"/>
              <w:bidi w:val="0"/>
              <w:spacing w:before="0" w:after="20"/>
              <w:jc w:val="center"/>
              <w:rPr>
                <w:rFonts w:ascii="Times New Roman" w:hAnsi="Times New Roman"/>
                <w:b/>
                <w:sz w:val="16"/>
              </w:rPr>
            </w:pPr>
            <w:r>
              <w:rPr>
                <w:rFonts w:ascii="Times New Roman" w:hAnsi="Times New Roman"/>
                <w:b/>
                <w:sz w:val="16"/>
              </w:rPr>
              <w:t>(800) 976-5448</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Alan F. Denenberg</w:t>
            </w:r>
          </w:p>
          <w:p>
            <w:pPr>
              <w:pStyle w:val="TableContents"/>
              <w:bidi w:val="0"/>
              <w:spacing w:before="0" w:after="0"/>
              <w:jc w:val="center"/>
              <w:rPr>
                <w:rFonts w:ascii="Times New Roman" w:hAnsi="Times New Roman"/>
                <w:b/>
                <w:sz w:val="16"/>
              </w:rPr>
            </w:pPr>
            <w:r>
              <w:rPr>
                <w:rFonts w:ascii="Times New Roman" w:hAnsi="Times New Roman"/>
                <w:b/>
                <w:sz w:val="16"/>
              </w:rPr>
              <w:t>Yasin Keshvargar</w:t>
            </w:r>
          </w:p>
          <w:p>
            <w:pPr>
              <w:pStyle w:val="TableContents"/>
              <w:bidi w:val="0"/>
              <w:spacing w:before="0" w:after="0"/>
              <w:jc w:val="center"/>
              <w:rPr>
                <w:rFonts w:ascii="Times New Roman" w:hAnsi="Times New Roman"/>
                <w:b/>
                <w:sz w:val="16"/>
              </w:rPr>
            </w:pPr>
            <w:r>
              <w:rPr>
                <w:rFonts w:ascii="Times New Roman" w:hAnsi="Times New Roman"/>
                <w:b/>
                <w:sz w:val="16"/>
              </w:rPr>
              <w:t>Davis Polk &amp; Wardwell LLP</w:t>
            </w:r>
          </w:p>
          <w:p>
            <w:pPr>
              <w:pStyle w:val="TableContents"/>
              <w:bidi w:val="0"/>
              <w:spacing w:before="0" w:after="0"/>
              <w:jc w:val="center"/>
              <w:rPr>
                <w:rFonts w:ascii="Times New Roman" w:hAnsi="Times New Roman"/>
                <w:b/>
                <w:sz w:val="16"/>
              </w:rPr>
            </w:pPr>
            <w:r>
              <w:rPr>
                <w:rFonts w:ascii="Times New Roman" w:hAnsi="Times New Roman"/>
                <w:b/>
                <w:sz w:val="16"/>
              </w:rPr>
              <w:t>1600 El Camino Real</w:t>
            </w:r>
          </w:p>
          <w:p>
            <w:pPr>
              <w:pStyle w:val="TableContents"/>
              <w:bidi w:val="0"/>
              <w:spacing w:before="0" w:after="0"/>
              <w:jc w:val="center"/>
              <w:rPr>
                <w:rFonts w:ascii="Times New Roman" w:hAnsi="Times New Roman"/>
                <w:b/>
                <w:sz w:val="16"/>
              </w:rPr>
            </w:pPr>
            <w:r>
              <w:rPr>
                <w:rFonts w:ascii="Times New Roman" w:hAnsi="Times New Roman"/>
                <w:b/>
                <w:sz w:val="16"/>
              </w:rPr>
              <w:t>Menlo Park, California 94025</w:t>
            </w:r>
          </w:p>
          <w:p>
            <w:pPr>
              <w:pStyle w:val="TableContents"/>
              <w:bidi w:val="0"/>
              <w:spacing w:before="0" w:after="20"/>
              <w:jc w:val="center"/>
              <w:rPr>
                <w:rFonts w:ascii="Times New Roman" w:hAnsi="Times New Roman"/>
                <w:b/>
                <w:sz w:val="16"/>
              </w:rPr>
            </w:pPr>
            <w:r>
              <w:rPr>
                <w:rFonts w:ascii="Times New Roman" w:hAnsi="Times New Roman"/>
                <w:b/>
                <w:sz w:val="16"/>
              </w:rPr>
              <w:t>(650) 752-2000</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Approximate date of commencement of proposed sale to the public: As soon as practicable after this registration statement is declared effective. </w:t>
      </w:r>
    </w:p>
    <w:p>
      <w:pPr>
        <w:pStyle w:val="TextBody"/>
        <w:bidi w:val="0"/>
        <w:spacing w:before="80" w:after="0"/>
        <w:jc w:val="both"/>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80" w:after="0"/>
        <w:jc w:val="both"/>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0"/>
        <w:jc w:val="both"/>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both"/>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both"/>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46"/>
        <w:gridCol w:w="106"/>
        <w:gridCol w:w="5777"/>
        <w:gridCol w:w="120"/>
        <w:gridCol w:w="2110"/>
        <w:gridCol w:w="106"/>
        <w:gridCol w:w="240"/>
      </w:tblGrid>
      <w:tr>
        <w:trPr/>
        <w:tc>
          <w:tcPr>
            <w:tcW w:w="174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7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746"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Large accelerated filer</w:t>
            </w:r>
          </w:p>
        </w:tc>
        <w:tc>
          <w:tcPr>
            <w:tcW w:w="106" w:type="dxa"/>
            <w:tcBorders/>
            <w:vAlign w:val="bottom"/>
          </w:tcPr>
          <w:p>
            <w:pPr>
              <w:pStyle w:val="TableContents"/>
              <w:bidi w:val="0"/>
              <w:spacing w:before="0" w:after="283"/>
              <w:jc w:val="left"/>
              <w:rPr/>
            </w:pPr>
            <w:r>
              <w:rPr/>
              <w:t> </w:t>
            </w:r>
          </w:p>
        </w:tc>
        <w:tc>
          <w:tcPr>
            <w:tcW w:w="5777" w:type="dxa"/>
            <w:tcBorders/>
            <w:vAlign w:val="bottom"/>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Accelerated filer</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pPr>
            <w:r>
              <w:rPr/>
              <w:t>☐</w:t>
            </w:r>
          </w:p>
        </w:tc>
      </w:tr>
      <w:tr>
        <w:trPr/>
        <w:tc>
          <w:tcPr>
            <w:tcW w:w="1746"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Non-accelerated filer</w:t>
            </w:r>
          </w:p>
        </w:tc>
        <w:tc>
          <w:tcPr>
            <w:tcW w:w="106" w:type="dxa"/>
            <w:tcBorders/>
            <w:vAlign w:val="bottom"/>
          </w:tcPr>
          <w:p>
            <w:pPr>
              <w:pStyle w:val="TableContents"/>
              <w:bidi w:val="0"/>
              <w:spacing w:before="0" w:after="283"/>
              <w:jc w:val="left"/>
              <w:rPr/>
            </w:pPr>
            <w:r>
              <w:rPr/>
              <w:t> </w:t>
            </w:r>
          </w:p>
        </w:tc>
        <w:tc>
          <w:tcPr>
            <w:tcW w:w="5777" w:type="dxa"/>
            <w:tcBorders/>
            <w:vAlign w:val="bottom"/>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Smaller reporting company</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pPr>
            <w:r>
              <w:rPr/>
              <w:t>☐</w:t>
            </w:r>
          </w:p>
        </w:tc>
      </w:tr>
      <w:tr>
        <w:trPr/>
        <w:tc>
          <w:tcPr>
            <w:tcW w:w="1746"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777"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Emerging growth company</w:t>
            </w:r>
          </w:p>
        </w:tc>
        <w:tc>
          <w:tcPr>
            <w:tcW w:w="1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pPr>
            <w:r>
              <w:rPr/>
              <w:t>☒</w:t>
            </w:r>
          </w:p>
        </w:tc>
      </w:tr>
    </w:tbl>
    <w:p>
      <w:pPr>
        <w:pStyle w:val="TextBody"/>
        <w:bidi w:val="0"/>
        <w:spacing w:before="0" w:after="0"/>
        <w:jc w:val="both"/>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center"/>
        <w:rPr>
          <w:rFonts w:ascii="Times New Roman" w:hAnsi="Times New Roman"/>
          <w:b/>
          <w:sz w:val="18"/>
        </w:rPr>
      </w:pPr>
      <w:r>
        <w:rPr>
          <w:rFonts w:ascii="Times New Roman" w:hAnsi="Times New Roman"/>
          <w:b/>
          <w:sz w:val="18"/>
        </w:rPr>
        <w:t xml:space="preserve">CALCULATION OF REGISTRATION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0"/>
        <w:gridCol w:w="101"/>
        <w:gridCol w:w="1531"/>
        <w:gridCol w:w="102"/>
        <w:gridCol w:w="1531"/>
      </w:tblGrid>
      <w:tr>
        <w:trPr/>
        <w:tc>
          <w:tcPr>
            <w:tcW w:w="6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bottom"/>
          </w:tcPr>
          <w:p>
            <w:pPr>
              <w:pStyle w:val="TableContents"/>
              <w:pBdr>
                <w:top w:val="single" w:sz="2" w:space="1" w:color="000000"/>
              </w:pBdr>
              <w:bidi w:val="0"/>
              <w:spacing w:before="0" w:after="0"/>
              <w:jc w:val="left"/>
              <w:rPr/>
            </w:pPr>
            <w:r>
              <w:rPr/>
              <w:t> </w:t>
            </w:r>
          </w:p>
        </w:tc>
      </w:tr>
      <w:tr>
        <w:trPr/>
        <w:tc>
          <w:tcPr>
            <w:tcW w:w="6940" w:type="dxa"/>
            <w:tcBorders>
              <w:top w:val="single" w:sz="2" w:space="0" w:color="000000"/>
            </w:tcBorders>
            <w:tcMar>
              <w:top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 of</w:t>
            </w:r>
          </w:p>
          <w:p>
            <w:pPr>
              <w:pStyle w:val="TableContents"/>
              <w:bidi w:val="0"/>
              <w:spacing w:before="0" w:after="20"/>
              <w:jc w:val="center"/>
              <w:rPr>
                <w:rFonts w:ascii="Times New Roman" w:hAnsi="Times New Roman"/>
                <w:b/>
                <w:sz w:val="16"/>
              </w:rPr>
            </w:pPr>
            <w:r>
              <w:rPr>
                <w:rFonts w:ascii="Times New Roman" w:hAnsi="Times New Roman"/>
                <w:b/>
                <w:sz w:val="16"/>
              </w:rPr>
              <w:t>Securities to be Registered</w:t>
            </w:r>
          </w:p>
        </w:tc>
        <w:tc>
          <w:tcPr>
            <w:tcW w:w="101"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531" w:type="dxa"/>
            <w:tcBorders>
              <w:top w:val="single" w:sz="2" w:space="0" w:color="000000"/>
            </w:tcBorders>
            <w:tcMar>
              <w:top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Proposed Maximum</w:t>
              <w:br/>
              <w:t>Aggregate Offering</w:t>
            </w:r>
          </w:p>
          <w:p>
            <w:pPr>
              <w:pStyle w:val="TableContents"/>
              <w:bidi w:val="0"/>
              <w:spacing w:before="0" w:after="20"/>
              <w:jc w:val="center"/>
              <w:rPr>
                <w:rFonts w:ascii="Times New Roman" w:hAnsi="Times New Roman"/>
                <w:b/>
                <w:sz w:val="16"/>
              </w:rPr>
            </w:pPr>
            <w:r>
              <w:rPr>
                <w:rFonts w:ascii="Times New Roman" w:hAnsi="Times New Roman"/>
                <w:b/>
                <w:sz w:val="16"/>
              </w:rPr>
              <w:t>Price(1)(2)</w:t>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531" w:type="dxa"/>
            <w:tcBorders>
              <w:top w:val="single" w:sz="2" w:space="0" w:color="000000"/>
            </w:tcBorders>
            <w:tcMar>
              <w:top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20"/>
              <w:jc w:val="center"/>
              <w:rPr>
                <w:rFonts w:ascii="Times New Roman" w:hAnsi="Times New Roman"/>
                <w:b/>
                <w:sz w:val="16"/>
              </w:rPr>
            </w:pPr>
            <w:r>
              <w:rPr>
                <w:rFonts w:ascii="Times New Roman" w:hAnsi="Times New Roman"/>
                <w:b/>
                <w:sz w:val="16"/>
              </w:rPr>
              <w:t>Registration Fee</w:t>
            </w:r>
          </w:p>
        </w:tc>
      </w:tr>
      <w:tr>
        <w:trPr/>
        <w:tc>
          <w:tcPr>
            <w:tcW w:w="6940" w:type="dxa"/>
            <w:tcBorders>
              <w:top w:val="single" w:sz="2" w:space="0" w:color="000000"/>
            </w:tcBorders>
            <w:tcMar>
              <w:top w:w="28" w:type="dxa"/>
            </w:tcMar>
          </w:tcPr>
          <w:p>
            <w:pPr>
              <w:pStyle w:val="TableContents"/>
              <w:bidi w:val="0"/>
              <w:spacing w:before="0" w:after="0"/>
              <w:jc w:val="left"/>
              <w:rPr>
                <w:rFonts w:ascii="Times New Roman" w:hAnsi="Times New Roman"/>
                <w:sz w:val="16"/>
              </w:rPr>
            </w:pPr>
            <w:r>
              <w:rPr>
                <w:rFonts w:ascii="Times New Roman" w:hAnsi="Times New Roman"/>
                <w:sz w:val="16"/>
              </w:rPr>
              <w:t>Class A common stock, par value $0.0001 per share</w:t>
            </w:r>
          </w:p>
        </w:tc>
        <w:tc>
          <w:tcPr>
            <w:tcW w:w="101"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531" w:type="dxa"/>
            <w:tcBorders>
              <w:top w:val="single" w:sz="2" w:space="0" w:color="000000"/>
            </w:tcBorders>
            <w:tcMar>
              <w:top w:w="28" w:type="dxa"/>
            </w:tcMar>
            <w:vAlign w:val="bottom"/>
          </w:tcPr>
          <w:p>
            <w:pPr>
              <w:pStyle w:val="TableContents"/>
              <w:bidi w:val="0"/>
              <w:spacing w:before="0" w:after="283"/>
              <w:jc w:val="center"/>
              <w:rPr/>
            </w:pPr>
            <w:r>
              <w:rPr/>
              <w:t>$                    </w:t>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1531" w:type="dxa"/>
            <w:tcBorders>
              <w:top w:val="single" w:sz="2" w:space="0" w:color="000000"/>
            </w:tcBorders>
            <w:tcMar>
              <w:top w:w="28" w:type="dxa"/>
            </w:tcMar>
            <w:vAlign w:val="bottom"/>
          </w:tcPr>
          <w:p>
            <w:pPr>
              <w:pStyle w:val="TableContents"/>
              <w:bidi w:val="0"/>
              <w:spacing w:before="0" w:after="283"/>
              <w:jc w:val="center"/>
              <w:rPr/>
            </w:pPr>
            <w:r>
              <w:rPr/>
              <w:t>$                    </w:t>
            </w:r>
          </w:p>
        </w:tc>
      </w:tr>
      <w:tr>
        <w:trPr/>
        <w:tc>
          <w:tcPr>
            <w:tcW w:w="10205" w:type="dxa"/>
            <w:gridSpan w:val="5"/>
            <w:tcBorders/>
            <w:vAlign w:val="bottom"/>
          </w:tcPr>
          <w:p>
            <w:pPr>
              <w:pStyle w:val="TableContents"/>
              <w:pBdr>
                <w:top w:val="single" w:sz="2" w:space="1" w:color="000000"/>
              </w:pBdr>
              <w:bidi w:val="0"/>
              <w:spacing w:before="0" w:after="0"/>
              <w:jc w:val="left"/>
              <w:rPr/>
            </w:pPr>
            <w:r>
              <w:rPr/>
              <w:t> </w:t>
            </w:r>
          </w:p>
        </w:tc>
      </w:tr>
      <w:tr>
        <w:trPr/>
        <w:tc>
          <w:tcPr>
            <w:tcW w:w="10205" w:type="dxa"/>
            <w:gridSpan w:val="5"/>
            <w:tcBorders/>
            <w:vAlign w:val="bottom"/>
          </w:tcPr>
          <w:p>
            <w:pPr>
              <w:pStyle w:val="TableContents"/>
              <w:pBdr>
                <w:top w:val="single" w:sz="2" w:space="1" w:color="000000"/>
              </w:pBdr>
              <w:bidi w:val="0"/>
              <w:spacing w:before="0" w:after="0"/>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Estimated solely for the purpose of calculating the registration fee in accordance with Rule 457(o) of the Securities Act of 1933, as amended.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Includes the aggregate offering price of additional shares that the underwriters have the option to purchase to cover over-allotments, if any.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80" w:after="0"/>
        <w:jc w:val="both"/>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Arial Narrow" w:hAnsi="Arial Narrow"/>
          <w:b/>
          <w:color w:val="DE1A1E"/>
          <w:sz w:val="17"/>
        </w:rPr>
      </w:pPr>
      <w:r>
        <w:rPr>
          <w:rFonts w:ascii="Arial Narrow" w:hAnsi="Arial Narrow"/>
          <w:b/>
          <w:color w:val="DE1A1E"/>
          <w:sz w:val="17"/>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left"/>
        <w:rPr>
          <w:rFonts w:ascii="Times New Roman" w:hAnsi="Times New Roman"/>
          <w:i/>
          <w:color w:val="DE1A1E"/>
          <w:sz w:val="20"/>
        </w:rPr>
      </w:pPr>
      <w:r>
        <w:rPr>
          <w:rFonts w:ascii="Times New Roman" w:hAnsi="Times New Roman"/>
          <w:i/>
          <w:color w:val="DE1A1E"/>
          <w:sz w:val="20"/>
        </w:rPr>
        <w:t xml:space="preserve">PRELIMINARY PROSPECTUS (Subject to Completion) </w:t>
      </w:r>
    </w:p>
    <w:p>
      <w:pPr>
        <w:pStyle w:val="TextBody"/>
        <w:bidi w:val="0"/>
        <w:spacing w:before="0" w:after="0"/>
        <w:jc w:val="left"/>
        <w:rPr>
          <w:rFonts w:ascii="Times New Roman" w:hAnsi="Times New Roman"/>
          <w:i/>
          <w:color w:val="DE1A1E"/>
          <w:sz w:val="20"/>
        </w:rPr>
      </w:pPr>
      <w:r>
        <w:rPr>
          <w:rFonts w:ascii="Times New Roman" w:hAnsi="Times New Roman"/>
          <w:i/>
          <w:color w:val="DE1A1E"/>
          <w:sz w:val="20"/>
        </w:rPr>
        <w:t xml:space="preserve">Issued                 , 2021 </w:t>
      </w:r>
    </w:p>
    <w:p>
      <w:pPr>
        <w:pStyle w:val="TextBody"/>
        <w:bidi w:val="0"/>
        <w:spacing w:before="120" w:after="0"/>
        <w:jc w:val="center"/>
        <w:rPr/>
      </w:pPr>
      <w:r>
        <w:rPr/>
        <w:t xml:space="preserve">                              </w:t>
      </w:r>
      <w:r>
        <w:rPr>
          <w:rFonts w:ascii="Times New Roman" w:hAnsi="Times New Roman"/>
          <w:i/>
          <w:sz w:val="28"/>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720" cy="45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9720" cy="457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85725" cy="869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 cy="869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8"/>
        </w:rPr>
      </w:pPr>
      <w:r>
        <w:rPr>
          <w:rFonts w:ascii="Times New Roman" w:hAnsi="Times New Roman"/>
          <w:i/>
          <w:sz w:val="28"/>
        </w:rPr>
        <w:t xml:space="preserve">CLASS A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Bodoni MT" w:hAnsi="Bodoni MT"/>
          <w:b/>
          <w:i/>
          <w:sz w:val="18"/>
        </w:rPr>
      </w:pPr>
      <w:r>
        <w:rPr>
          <w:rFonts w:ascii="Bodoni MT" w:hAnsi="Bodoni MT"/>
          <w:b/>
          <w:i/>
          <w:sz w:val="18"/>
        </w:rPr>
        <w:t xml:space="preserve">This is an initial public offering of shares of Class A common stock of Tempus Labs, Inc. We are offering                shares of our Class A common stock. </w:t>
      </w:r>
    </w:p>
    <w:p>
      <w:pPr>
        <w:pStyle w:val="TextBody"/>
        <w:bidi w:val="0"/>
        <w:spacing w:before="120" w:after="0"/>
        <w:jc w:val="both"/>
        <w:rPr>
          <w:rFonts w:ascii="Bodoni MT" w:hAnsi="Bodoni MT"/>
          <w:b/>
          <w:i/>
          <w:sz w:val="18"/>
        </w:rPr>
      </w:pPr>
      <w:r>
        <w:rPr>
          <w:rFonts w:ascii="Bodoni MT" w:hAnsi="Bodoni MT"/>
          <w:b/>
          <w:i/>
          <w:sz w:val="18"/>
        </w:rPr>
        <w:t xml:space="preserve">Prior to this offering, there has been no public market for our Class A common stock. It is currently estimated that the initial public offering price will be between $                 and $                 per share. </w:t>
      </w:r>
    </w:p>
    <w:p>
      <w:pPr>
        <w:pStyle w:val="TextBody"/>
        <w:bidi w:val="0"/>
        <w:spacing w:before="120" w:after="0"/>
        <w:jc w:val="both"/>
        <w:rPr>
          <w:rFonts w:ascii="Bodoni MT" w:hAnsi="Bodoni MT"/>
          <w:b/>
          <w:i/>
          <w:sz w:val="18"/>
        </w:rPr>
      </w:pPr>
      <w:r>
        <w:rPr>
          <w:rFonts w:ascii="Bodoni MT" w:hAnsi="Bodoni MT"/>
          <w:b/>
          <w:i/>
          <w:sz w:val="18"/>
        </w:rPr>
        <w:t xml:space="preserve">The selling stockholders identified in this prospectus have granted the underwriters the option to purchase up to an additional                 shares of Class A common stock on the same terms as set forth above within 30 days from the date of this prospectus to cover over-allotments, if any. We will not receive any proceeds from any sale of shares by the selling stockholders.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Bodoni MT" w:hAnsi="Bodoni MT"/>
          <w:b/>
          <w:i/>
          <w:sz w:val="18"/>
        </w:rPr>
      </w:pPr>
      <w:r>
        <w:rPr>
          <w:rFonts w:ascii="Bodoni MT" w:hAnsi="Bodoni MT"/>
          <w:b/>
          <w:i/>
          <w:sz w:val="18"/>
        </w:rPr>
        <w:t xml:space="preserve">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shares of our Class B common stock.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Bodoni MT" w:hAnsi="Bodoni MT"/>
          <w:b/>
          <w:i/>
          <w:sz w:val="18"/>
        </w:rPr>
      </w:pPr>
      <w:r>
        <w:rPr>
          <w:rFonts w:ascii="Bodoni MT" w:hAnsi="Bodoni MT"/>
          <w:b/>
          <w:i/>
          <w:sz w:val="18"/>
        </w:rPr>
        <w:t xml:space="preserve">We intend to apply to list our Class A common stock on the                  under the symbol TIME.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both"/>
        <w:rPr>
          <w:rFonts w:ascii="Bodoni MT" w:hAnsi="Bodoni MT"/>
          <w:b/>
          <w:i/>
          <w:sz w:val="18"/>
        </w:rPr>
      </w:pPr>
      <w:r>
        <w:rPr>
          <w:rFonts w:ascii="Bodoni MT" w:hAnsi="Bodoni MT"/>
          <w:b/>
          <w:i/>
          <w:sz w:val="18"/>
        </w:rPr>
        <w:t xml:space="preserve">We are an emerging growth company as defined under the federal securities laws and, as such, we have elected to comply with certain reduced reporting requirements for this prospectus and may elect to do so in future filings. </w:t>
      </w:r>
    </w:p>
    <w:p>
      <w:pPr>
        <w:pStyle w:val="TextBody"/>
        <w:bidi w:val="0"/>
        <w:spacing w:before="120" w:after="0"/>
        <w:jc w:val="both"/>
        <w:rPr>
          <w:rFonts w:ascii="Times New Roman" w:hAnsi="Times New Roman"/>
          <w:b/>
          <w:i/>
          <w:sz w:val="20"/>
        </w:rPr>
      </w:pPr>
      <w:r>
        <w:rPr>
          <w:rFonts w:ascii="Times New Roman" w:hAnsi="Times New Roman"/>
          <w:b/>
          <w:i/>
          <w:sz w:val="20"/>
        </w:rPr>
        <w:t xml:space="preserve">Investing in our Class A common stock involves risks. See Risk Factors beginning on page 22.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18"/>
        <w:gridCol w:w="692"/>
        <w:gridCol w:w="60"/>
        <w:gridCol w:w="1482"/>
        <w:gridCol w:w="60"/>
        <w:gridCol w:w="692"/>
        <w:gridCol w:w="60"/>
        <w:gridCol w:w="478"/>
        <w:gridCol w:w="63"/>
      </w:tblGrid>
      <w:tr>
        <w:trPr/>
        <w:tc>
          <w:tcPr>
            <w:tcW w:w="6618"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61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1542"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Per Share</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538" w:type="dxa"/>
            <w:gridSpan w:val="2"/>
            <w:tcBorders/>
            <w:vAlign w:val="bottom"/>
          </w:tcPr>
          <w:p>
            <w:pPr>
              <w:pStyle w:val="TableContents"/>
              <w:pBdr>
                <w:bottom w:val="single" w:sz="2" w:space="1" w:color="000000"/>
              </w:pBdr>
              <w:bidi w:val="0"/>
              <w:spacing w:before="0" w:after="0"/>
              <w:jc w:val="center"/>
              <w:rPr>
                <w:rFonts w:ascii="Bodoni MT" w:hAnsi="Bodoni MT"/>
                <w:b/>
                <w:i/>
                <w:sz w:val="16"/>
              </w:rPr>
            </w:pPr>
            <w:r>
              <w:rPr>
                <w:rFonts w:ascii="Bodoni MT" w:hAnsi="Bodoni MT"/>
                <w:b/>
                <w:i/>
                <w:sz w:val="16"/>
              </w:rPr>
              <w:t>Total</w:t>
            </w:r>
          </w:p>
        </w:tc>
        <w:tc>
          <w:tcPr>
            <w:tcW w:w="63" w:type="dxa"/>
            <w:tcBorders/>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Bodoni MT" w:hAnsi="Bodoni MT"/>
                <w:i/>
                <w:sz w:val="18"/>
              </w:rPr>
            </w:pPr>
            <w:r>
              <w:rPr>
                <w:rFonts w:ascii="Bodoni MT" w:hAnsi="Bodoni MT"/>
                <w:i/>
                <w:sz w:val="18"/>
              </w:rPr>
              <w:t>Initial public offering price</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3" w:type="dxa"/>
            <w:tcBorders/>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Bodoni MT" w:hAnsi="Bodoni MT"/>
                <w:i/>
                <w:sz w:val="18"/>
              </w:rPr>
            </w:pPr>
            <w:r>
              <w:rPr>
                <w:rFonts w:ascii="Bodoni MT" w:hAnsi="Bodoni MT"/>
                <w:i/>
                <w:sz w:val="18"/>
              </w:rPr>
              <w:t>Underwriting discounts and commissions (1)</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3" w:type="dxa"/>
            <w:tcBorders/>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Bodoni MT" w:hAnsi="Bodoni MT"/>
                <w:i/>
                <w:sz w:val="18"/>
              </w:rPr>
            </w:pPr>
            <w:r>
              <w:rPr>
                <w:rFonts w:ascii="Bodoni MT" w:hAnsi="Bodoni MT"/>
                <w:i/>
                <w:sz w:val="18"/>
              </w:rPr>
              <w:t>Proceeds, before expenses, to Tempus Labs, Inc.</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3" w:type="dxa"/>
            <w:tcBorders/>
            <w:vAlign w:val="bottom"/>
          </w:tcPr>
          <w:p>
            <w:pPr>
              <w:pStyle w:val="TableContents"/>
              <w:bidi w:val="0"/>
              <w:spacing w:before="0" w:after="283"/>
              <w:jc w:val="left"/>
              <w:rPr/>
            </w:pPr>
            <w:r>
              <w:rPr/>
              <w:t> </w:t>
            </w:r>
          </w:p>
        </w:tc>
      </w:tr>
      <w:tr>
        <w:trPr/>
        <w:tc>
          <w:tcPr>
            <w:tcW w:w="6618" w:type="dxa"/>
            <w:tcBorders/>
          </w:tcPr>
          <w:p>
            <w:pPr>
              <w:pStyle w:val="TableContents"/>
              <w:bidi w:val="0"/>
              <w:spacing w:before="0" w:after="0"/>
              <w:jc w:val="left"/>
              <w:rPr>
                <w:rFonts w:ascii="Bodoni MT" w:hAnsi="Bodoni MT"/>
                <w:i/>
                <w:sz w:val="18"/>
              </w:rPr>
            </w:pPr>
            <w:r>
              <w:rPr>
                <w:rFonts w:ascii="Bodoni MT" w:hAnsi="Bodoni MT"/>
                <w:i/>
                <w:sz w:val="18"/>
              </w:rPr>
              <w:t>Proceeds, before expenses, to the selling stockholders</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0"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rFonts w:ascii="Bodoni MT" w:hAnsi="Bodoni MT"/>
                <w:i/>
              </w:rPr>
            </w:pPr>
            <w:r>
              <w:rPr>
                <w:rFonts w:ascii="Bodoni MT" w:hAnsi="Bodoni MT"/>
                <w:i/>
              </w:rPr>
              <w:t>$    </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both"/>
        <w:rPr>
          <w:rFonts w:ascii="Bodoni MT" w:hAnsi="Bodoni MT"/>
          <w:i/>
          <w:sz w:val="16"/>
        </w:rPr>
      </w:pPr>
      <w:r>
        <w:rPr>
          <w:rFonts w:ascii="Bodoni MT" w:hAnsi="Bodoni MT"/>
          <w:i/>
          <w:sz w:val="16"/>
        </w:rPr>
        <w:t xml:space="preserve">(1)    See Underwriting for additional information regarding compensation payable to the underwriters. </w:t>
      </w:r>
    </w:p>
    <w:p>
      <w:pPr>
        <w:pStyle w:val="TextBody"/>
        <w:bidi w:val="0"/>
        <w:spacing w:before="120" w:after="0"/>
        <w:jc w:val="both"/>
        <w:rPr>
          <w:rFonts w:ascii="Bodoni MT" w:hAnsi="Bodoni MT"/>
          <w:i/>
          <w:sz w:val="18"/>
        </w:rPr>
      </w:pPr>
      <w:r>
        <w:rPr>
          <w:rFonts w:ascii="Bodoni MT" w:hAnsi="Bodoni MT"/>
          <w:i/>
          <w:sz w:val="18"/>
        </w:rPr>
        <w:t xml:space="preserve">Neither the Securities and Exchange Commission nor any other regulatory body has approved or disapproved these securities or determined if this prospectus is truthful or complete. Any representation to the contrary is a criminal offense. </w:t>
      </w:r>
    </w:p>
    <w:p>
      <w:pPr>
        <w:pStyle w:val="TextBody"/>
        <w:bidi w:val="0"/>
        <w:spacing w:before="120" w:after="0"/>
        <w:jc w:val="both"/>
        <w:rPr>
          <w:rFonts w:ascii="Bodoni MT" w:hAnsi="Bodoni MT"/>
          <w:i/>
          <w:sz w:val="18"/>
        </w:rPr>
      </w:pPr>
      <w:r>
        <w:rPr>
          <w:rFonts w:ascii="Bodoni MT" w:hAnsi="Bodoni MT"/>
          <w:i/>
          <w:sz w:val="18"/>
        </w:rPr>
        <w:t xml:space="preserve">The underwriters expect to deliver the shares of Class A common stock to purchasers on             , 2021.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47"/>
        <w:gridCol w:w="94"/>
        <w:gridCol w:w="2957"/>
        <w:gridCol w:w="94"/>
        <w:gridCol w:w="3813"/>
      </w:tblGrid>
      <w:tr>
        <w:trPr/>
        <w:tc>
          <w:tcPr>
            <w:tcW w:w="3247"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3247" w:type="dxa"/>
            <w:tcBorders/>
            <w:vAlign w:val="bottom"/>
          </w:tcPr>
          <w:p>
            <w:pPr>
              <w:pStyle w:val="TableContents"/>
              <w:bidi w:val="0"/>
              <w:spacing w:before="0" w:after="283"/>
              <w:jc w:val="left"/>
              <w:rPr>
                <w:rFonts w:ascii="Bodoni MT" w:hAnsi="Bodoni MT"/>
                <w:i/>
              </w:rPr>
            </w:pPr>
            <w:r>
              <w:rPr>
                <w:rFonts w:ascii="Bodoni MT" w:hAnsi="Bodoni MT"/>
                <w:i/>
              </w:rPr>
              <w:t>MORGAN STANLEY</w:t>
            </w:r>
          </w:p>
        </w:tc>
        <w:tc>
          <w:tcPr>
            <w:tcW w:w="94"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283"/>
              <w:jc w:val="center"/>
              <w:rPr>
                <w:rFonts w:ascii="Bodoni MT" w:hAnsi="Bodoni MT"/>
                <w:i/>
              </w:rPr>
            </w:pPr>
            <w:r>
              <w:rPr>
                <w:rFonts w:ascii="Bodoni MT" w:hAnsi="Bodoni MT"/>
                <w:i/>
              </w:rPr>
              <w:t>J.P. MORGAN</w:t>
            </w:r>
          </w:p>
        </w:tc>
        <w:tc>
          <w:tcPr>
            <w:tcW w:w="94" w:type="dxa"/>
            <w:tcBorders/>
            <w:vAlign w:val="bottom"/>
          </w:tcPr>
          <w:p>
            <w:pPr>
              <w:pStyle w:val="TableContents"/>
              <w:bidi w:val="0"/>
              <w:spacing w:before="0" w:after="283"/>
              <w:jc w:val="left"/>
              <w:rPr/>
            </w:pPr>
            <w:r>
              <w:rPr/>
              <w:t> </w:t>
            </w:r>
          </w:p>
        </w:tc>
        <w:tc>
          <w:tcPr>
            <w:tcW w:w="3813" w:type="dxa"/>
            <w:tcBorders/>
            <w:vAlign w:val="bottom"/>
          </w:tcPr>
          <w:p>
            <w:pPr>
              <w:pStyle w:val="TableContents"/>
              <w:bidi w:val="0"/>
              <w:spacing w:before="0" w:after="283"/>
              <w:jc w:val="left"/>
              <w:rPr/>
            </w:pPr>
            <w:r>
              <w:rPr/>
              <w:t>                </w:t>
            </w:r>
            <w:r>
              <w:rPr>
                <w:rFonts w:ascii="Bodoni MT" w:hAnsi="Bodoni MT"/>
                <w:i/>
              </w:rPr>
              <w:t>ALLEN &amp; COMPANY LLC</w:t>
            </w:r>
          </w:p>
        </w:tc>
      </w:tr>
      <w:tr>
        <w:trPr/>
        <w:tc>
          <w:tcPr>
            <w:tcW w:w="3247" w:type="dxa"/>
            <w:tcBorders/>
            <w:vAlign w:val="bottom"/>
          </w:tcPr>
          <w:p>
            <w:pPr>
              <w:pStyle w:val="TableContents"/>
              <w:bidi w:val="0"/>
              <w:spacing w:before="0" w:after="283"/>
              <w:jc w:val="left"/>
              <w:rPr>
                <w:rFonts w:ascii="Bodoni MT" w:hAnsi="Bodoni MT"/>
                <w:i/>
              </w:rPr>
            </w:pPr>
            <w:r>
              <w:rPr>
                <w:rFonts w:ascii="Bodoni MT" w:hAnsi="Bodoni MT"/>
                <w:i/>
              </w:rPr>
              <w:t>BofA SECURITIES</w:t>
            </w:r>
          </w:p>
        </w:tc>
        <w:tc>
          <w:tcPr>
            <w:tcW w:w="94" w:type="dxa"/>
            <w:tcBorders/>
            <w:vAlign w:val="bottom"/>
          </w:tcPr>
          <w:p>
            <w:pPr>
              <w:pStyle w:val="TableContents"/>
              <w:bidi w:val="0"/>
              <w:spacing w:before="0" w:after="283"/>
              <w:jc w:val="left"/>
              <w:rPr/>
            </w:pPr>
            <w:r>
              <w:rPr/>
              <w:t> </w:t>
            </w:r>
          </w:p>
        </w:tc>
        <w:tc>
          <w:tcPr>
            <w:tcW w:w="295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3813" w:type="dxa"/>
            <w:tcBorders/>
            <w:vAlign w:val="bottom"/>
          </w:tcPr>
          <w:p>
            <w:pPr>
              <w:pStyle w:val="TableContents"/>
              <w:bidi w:val="0"/>
              <w:spacing w:before="0" w:after="283"/>
              <w:jc w:val="left"/>
              <w:rPr/>
            </w:pPr>
            <w:r>
              <w:rPr/>
              <w:t>                </w:t>
            </w:r>
            <w:r>
              <w:rPr>
                <w:rFonts w:ascii="Bodoni MT" w:hAnsi="Bodoni MT"/>
                <w:i/>
              </w:rPr>
              <w:t>COWEN</w:t>
            </w:r>
          </w:p>
        </w:tc>
      </w:tr>
    </w:tbl>
    <w:p>
      <w:pPr>
        <w:pStyle w:val="TextBody"/>
        <w:bidi w:val="0"/>
        <w:spacing w:before="160" w:after="0"/>
        <w:jc w:val="center"/>
        <w:rPr>
          <w:rFonts w:ascii="Bodoni MT" w:hAnsi="Bodoni MT"/>
          <w:i/>
          <w:sz w:val="18"/>
        </w:rPr>
      </w:pPr>
      <w:r>
        <w:rPr>
          <w:rFonts w:ascii="Bodoni MT" w:hAnsi="Bodoni MT"/>
          <w:i/>
          <w:sz w:val="18"/>
        </w:rPr>
        <w:t xml:space="preserve">Prospectus dated                , 2021.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3110230" cy="5905500"/>
                <wp:effectExtent l="0" t="0" r="0" b="0"/>
                <wp:wrapSquare wrapText="right"/>
                <wp:docPr id="3" name="Frame1"/>
                <a:graphic xmlns:a="http://schemas.openxmlformats.org/drawingml/2006/main">
                  <a:graphicData uri="http://schemas.microsoft.com/office/word/2010/wordprocessingShape">
                    <wps:wsp>
                      <wps:cNvSpPr txBox="1"/>
                      <wps:spPr>
                        <a:xfrm>
                          <a:off x="0" y="0"/>
                          <a:ext cx="3110230" cy="5905500"/>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
                                    <w:r>
                                      <w:rPr>
                                        <w:rStyle w:val="InternetLink"/>
                                        <w:rFonts w:ascii="Times New Roman" w:hAnsi="Times New Roman"/>
                                        <w:sz w:val="20"/>
                                      </w:rPr>
                                      <w:t xml:space="preserve">Letter From Our Founder </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ii</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2">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3">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22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4">
                                    <w:r>
                                      <w:rPr>
                                        <w:rStyle w:val="InternetLink"/>
                                        <w:rFonts w:ascii="Times New Roman" w:hAnsi="Times New Roman"/>
                                        <w:sz w:val="20"/>
                                      </w:rPr>
                                      <w:t>Special Note Regarding Forward-Looking Statements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5">
                                    <w:r>
                                      <w:rPr>
                                        <w:rStyle w:val="InternetLink"/>
                                        <w:rFonts w:ascii="Times New Roman" w:hAnsi="Times New Roman"/>
                                        <w:sz w:val="20"/>
                                      </w:rPr>
                                      <w:t>Market, Industry and Other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6">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7">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97</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8">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98</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9">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0">
                                    <w:r>
                                      <w:rPr>
                                        <w:rStyle w:val="InternetLink"/>
                                        <w:rFonts w:ascii="Times New Roman" w:hAnsi="Times New Roman"/>
                                        <w:sz w:val="20"/>
                                      </w:rPr>
                                      <w:t>Managements Discussion and Analysis of 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1">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122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2">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183</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392"/>
                        <w:gridCol w:w="197"/>
                        <w:gridCol w:w="33"/>
                        <w:gridCol w:w="247"/>
                        <w:gridCol w:w="29"/>
                      </w:tblGrid>
                      <w:tr>
                        <w:trPr/>
                        <w:tc>
                          <w:tcPr>
                            <w:tcW w:w="439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r>
                      <w:tr>
                        <w:trPr/>
                        <w:tc>
                          <w:tcPr>
                            <w:tcW w:w="439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
                              <w:r>
                                <w:rPr>
                                  <w:rStyle w:val="InternetLink"/>
                                  <w:rFonts w:ascii="Times New Roman" w:hAnsi="Times New Roman"/>
                                  <w:sz w:val="20"/>
                                </w:rPr>
                                <w:t xml:space="preserve">Letter From Our Founder </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ii</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2">
                              <w:r>
                                <w:rPr>
                                  <w:rStyle w:val="InternetLink"/>
                                  <w:rFonts w:ascii="Times New Roman" w:hAnsi="Times New Roman"/>
                                  <w:sz w:val="20"/>
                                </w:rPr>
                                <w:t>Prospectus Summary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3">
                              <w:r>
                                <w:rPr>
                                  <w:rStyle w:val="InternetLink"/>
                                  <w:rFonts w:ascii="Times New Roman" w:hAnsi="Times New Roman"/>
                                  <w:sz w:val="20"/>
                                </w:rPr>
                                <w:t>Risk Factors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22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4">
                              <w:r>
                                <w:rPr>
                                  <w:rStyle w:val="InternetLink"/>
                                  <w:rFonts w:ascii="Times New Roman" w:hAnsi="Times New Roman"/>
                                  <w:sz w:val="20"/>
                                </w:rPr>
                                <w:t>Special Note Regarding Forward-Looking Statements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5">
                              <w:r>
                                <w:rPr>
                                  <w:rStyle w:val="InternetLink"/>
                                  <w:rFonts w:ascii="Times New Roman" w:hAnsi="Times New Roman"/>
                                  <w:sz w:val="20"/>
                                </w:rPr>
                                <w:t>Market, Industry and Other Data</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6">
                              <w:r>
                                <w:rPr>
                                  <w:rStyle w:val="InternetLink"/>
                                  <w:rFonts w:ascii="Times New Roman" w:hAnsi="Times New Roman"/>
                                  <w:sz w:val="20"/>
                                </w:rPr>
                                <w:t>Use of Proceeds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96</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7">
                              <w:r>
                                <w:rPr>
                                  <w:rStyle w:val="InternetLink"/>
                                  <w:rFonts w:ascii="Times New Roman" w:hAnsi="Times New Roman"/>
                                  <w:sz w:val="20"/>
                                </w:rPr>
                                <w:t>Dividend Policy</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97</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8">
                              <w:r>
                                <w:rPr>
                                  <w:rStyle w:val="InternetLink"/>
                                  <w:rFonts w:ascii="Times New Roman" w:hAnsi="Times New Roman"/>
                                  <w:sz w:val="20"/>
                                </w:rPr>
                                <w:t>Capitalization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98</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9">
                              <w:r>
                                <w:rPr>
                                  <w:rStyle w:val="InternetLink"/>
                                  <w:rFonts w:ascii="Times New Roman" w:hAnsi="Times New Roman"/>
                                  <w:sz w:val="20"/>
                                </w:rPr>
                                <w:t>Dilution</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101</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0">
                              <w:r>
                                <w:rPr>
                                  <w:rStyle w:val="InternetLink"/>
                                  <w:rFonts w:ascii="Times New Roman" w:hAnsi="Times New Roman"/>
                                  <w:sz w:val="20"/>
                                </w:rPr>
                                <w:t>Managements Discussion and Analysis of Financial Condition and Results of Operations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104</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1">
                              <w:r>
                                <w:rPr>
                                  <w:rStyle w:val="InternetLink"/>
                                  <w:rFonts w:ascii="Times New Roman" w:hAnsi="Times New Roman"/>
                                  <w:sz w:val="20"/>
                                </w:rPr>
                                <w:t>Business</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122</w:t>
                            </w:r>
                          </w:p>
                        </w:tc>
                        <w:tc>
                          <w:tcPr>
                            <w:tcW w:w="29" w:type="dxa"/>
                            <w:tcBorders/>
                            <w:vAlign w:val="bottom"/>
                          </w:tcPr>
                          <w:p>
                            <w:pPr>
                              <w:pStyle w:val="TableContents"/>
                              <w:bidi w:val="0"/>
                              <w:spacing w:before="0" w:after="283"/>
                              <w:jc w:val="left"/>
                              <w:rPr/>
                            </w:pPr>
                            <w:r>
                              <w:rPr/>
                              <w:t> </w:t>
                            </w:r>
                          </w:p>
                        </w:tc>
                      </w:tr>
                      <w:tr>
                        <w:trPr/>
                        <w:tc>
                          <w:tcPr>
                            <w:tcW w:w="4392" w:type="dxa"/>
                            <w:tcBorders/>
                            <w:vAlign w:val="bottom"/>
                          </w:tcPr>
                          <w:p>
                            <w:pPr>
                              <w:pStyle w:val="TableContents"/>
                              <w:bidi w:val="0"/>
                              <w:spacing w:before="0" w:after="0"/>
                              <w:jc w:val="left"/>
                              <w:rPr/>
                            </w:pPr>
                            <w:hyperlink w:anchor="rom221145_12">
                              <w:r>
                                <w:rPr>
                                  <w:rStyle w:val="InternetLink"/>
                                  <w:rFonts w:ascii="Times New Roman" w:hAnsi="Times New Roman"/>
                                  <w:sz w:val="20"/>
                                </w:rPr>
                                <w:t>Management</w:t>
                              </w:r>
                            </w:hyperlink>
                          </w:p>
                        </w:tc>
                        <w:tc>
                          <w:tcPr>
                            <w:tcW w:w="197" w:type="dxa"/>
                            <w:tcBorders/>
                            <w:vAlign w:val="bottom"/>
                          </w:tcPr>
                          <w:p>
                            <w:pPr>
                              <w:pStyle w:val="TableContents"/>
                              <w:bidi w:val="0"/>
                              <w:spacing w:before="0" w:after="283"/>
                              <w:jc w:val="left"/>
                              <w:rPr/>
                            </w:pPr>
                            <w:r>
                              <w:rPr/>
                              <w:t>  </w:t>
                            </w:r>
                          </w:p>
                        </w:tc>
                        <w:tc>
                          <w:tcPr>
                            <w:tcW w:w="3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right"/>
                              <w:rPr/>
                            </w:pPr>
                            <w:r>
                              <w:rPr/>
                              <w:t>183</w:t>
                            </w:r>
                          </w:p>
                        </w:tc>
                        <w:tc>
                          <w:tcPr>
                            <w:tcW w:w="29"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3175000" cy="6777355"/>
                <wp:effectExtent l="0" t="0" r="0" b="0"/>
                <wp:wrapSquare wrapText="right"/>
                <wp:docPr id="4" name="Frame2"/>
                <a:graphic xmlns:a="http://schemas.openxmlformats.org/drawingml/2006/main">
                  <a:graphicData uri="http://schemas.microsoft.com/office/word/2010/wordprocessingShape">
                    <wps:wsp>
                      <wps:cNvSpPr txBox="1"/>
                      <wps:spPr>
                        <a:xfrm>
                          <a:off x="0" y="0"/>
                          <a:ext cx="3175000" cy="6777355"/>
                        </a:xfrm>
                        <a:prstGeom prst="rect"/>
                        <a:solidFill>
                          <a:srgbClr val="FFFFFF"/>
                        </a:solidFill>
                      </wps:spPr>
                      <wps:txbx>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3">
                                    <w:r>
                                      <w:rPr>
                                        <w:rStyle w:val="InternetLink"/>
                                        <w:rFonts w:ascii="Times New Roman" w:hAnsi="Times New Roman"/>
                                        <w:sz w:val="20"/>
                                      </w:rPr>
                                      <w:t>Executive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4">
                                    <w:r>
                                      <w:rPr>
                                        <w:rStyle w:val="InternetLink"/>
                                        <w:rFonts w:ascii="Times New Roman" w:hAnsi="Times New Roman"/>
                                        <w:sz w:val="20"/>
                                      </w:rPr>
                                      <w:t>Certain Relationships and Related 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5">
                                    <w:r>
                                      <w:rPr>
                                        <w:rStyle w:val="InternetLink"/>
                                        <w:rFonts w:ascii="Times New Roman" w:hAnsi="Times New Roman"/>
                                        <w:sz w:val="20"/>
                                      </w:rPr>
                                      <w:t>Principal and Selling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6">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7">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8">
                                    <w:r>
                                      <w:rPr>
                                        <w:rStyle w:val="InternetLink"/>
                                        <w:rFonts w:ascii="Times New Roman" w:hAnsi="Times New Roman"/>
                                        <w:sz w:val="20"/>
                                      </w:rPr>
                                      <w:t>Material U.S. Federal Income Tax Consequences of Non-U.S. Holders of Our Class A Common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9">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223</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0">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230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1">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230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2">
                                    <w:r>
                                      <w:rPr>
                                        <w:rStyle w:val="InternetLink"/>
                                        <w:rFonts w:ascii="Times New Roman" w:hAnsi="Times New Roman"/>
                                        <w:sz w:val="20"/>
                                      </w:rPr>
                                      <w:t>Where You Can Find Additional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231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3">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3.6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Layout w:type="fixed"/>
                        <w:tblCellMar>
                          <w:top w:w="0" w:type="dxa"/>
                          <w:left w:w="0" w:type="dxa"/>
                          <w:bottom w:w="0" w:type="dxa"/>
                          <w:right w:w="0" w:type="dxa"/>
                        </w:tblCellMar>
                      </w:tblPr>
                      <w:tblGrid>
                        <w:gridCol w:w="4483"/>
                        <w:gridCol w:w="201"/>
                        <w:gridCol w:w="34"/>
                        <w:gridCol w:w="252"/>
                        <w:gridCol w:w="30"/>
                      </w:tblGrid>
                      <w:tr>
                        <w:trPr/>
                        <w:tc>
                          <w:tcPr>
                            <w:tcW w:w="4483"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r>
                      <w:tr>
                        <w:trPr/>
                        <w:tc>
                          <w:tcPr>
                            <w:tcW w:w="448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3">
                              <w:r>
                                <w:rPr>
                                  <w:rStyle w:val="InternetLink"/>
                                  <w:rFonts w:ascii="Times New Roman" w:hAnsi="Times New Roman"/>
                                  <w:sz w:val="20"/>
                                </w:rPr>
                                <w:t>Executive Compensation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190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4">
                              <w:r>
                                <w:rPr>
                                  <w:rStyle w:val="InternetLink"/>
                                  <w:rFonts w:ascii="Times New Roman" w:hAnsi="Times New Roman"/>
                                  <w:sz w:val="20"/>
                                </w:rPr>
                                <w:t>Certain Relationships and Related Party Transactions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5">
                              <w:r>
                                <w:rPr>
                                  <w:rStyle w:val="InternetLink"/>
                                  <w:rFonts w:ascii="Times New Roman" w:hAnsi="Times New Roman"/>
                                  <w:sz w:val="20"/>
                                </w:rPr>
                                <w:t>Principal and Selling Stockholders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207</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6">
                              <w:r>
                                <w:rPr>
                                  <w:rStyle w:val="InternetLink"/>
                                  <w:rFonts w:ascii="Times New Roman" w:hAnsi="Times New Roman"/>
                                  <w:sz w:val="20"/>
                                </w:rPr>
                                <w:t>Description of Capital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209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7">
                              <w:r>
                                <w:rPr>
                                  <w:rStyle w:val="InternetLink"/>
                                  <w:rFonts w:ascii="Times New Roman" w:hAnsi="Times New Roman"/>
                                  <w:sz w:val="20"/>
                                </w:rPr>
                                <w:t>Shares Eligible for Future Sale</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216</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8">
                              <w:r>
                                <w:rPr>
                                  <w:rStyle w:val="InternetLink"/>
                                  <w:rFonts w:ascii="Times New Roman" w:hAnsi="Times New Roman"/>
                                  <w:sz w:val="20"/>
                                </w:rPr>
                                <w:t>Material U.S. Federal Income Tax Consequences of Non-U.S. Holders of Our Class A Common Stock</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219</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19">
                              <w:r>
                                <w:rPr>
                                  <w:rStyle w:val="InternetLink"/>
                                  <w:rFonts w:ascii="Times New Roman" w:hAnsi="Times New Roman"/>
                                  <w:sz w:val="20"/>
                                </w:rPr>
                                <w:t>Underwriting</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223</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0">
                              <w:r>
                                <w:rPr>
                                  <w:rStyle w:val="InternetLink"/>
                                  <w:rFonts w:ascii="Times New Roman" w:hAnsi="Times New Roman"/>
                                  <w:sz w:val="20"/>
                                </w:rPr>
                                <w:t>Legal Matters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230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1">
                              <w:r>
                                <w:rPr>
                                  <w:rStyle w:val="InternetLink"/>
                                  <w:rFonts w:ascii="Times New Roman" w:hAnsi="Times New Roman"/>
                                  <w:sz w:val="20"/>
                                </w:rPr>
                                <w:t>Experts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230</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2">
                              <w:r>
                                <w:rPr>
                                  <w:rStyle w:val="InternetLink"/>
                                  <w:rFonts w:ascii="Times New Roman" w:hAnsi="Times New Roman"/>
                                  <w:sz w:val="20"/>
                                </w:rPr>
                                <w:t>Where You Can Find Additional Information</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231</w:t>
                            </w:r>
                          </w:p>
                        </w:tc>
                        <w:tc>
                          <w:tcPr>
                            <w:tcW w:w="30" w:type="dxa"/>
                            <w:tcBorders/>
                            <w:vAlign w:val="bottom"/>
                          </w:tcPr>
                          <w:p>
                            <w:pPr>
                              <w:pStyle w:val="TableContents"/>
                              <w:bidi w:val="0"/>
                              <w:spacing w:before="0" w:after="283"/>
                              <w:jc w:val="left"/>
                              <w:rPr/>
                            </w:pPr>
                            <w:r>
                              <w:rPr/>
                              <w:t> </w:t>
                            </w:r>
                          </w:p>
                        </w:tc>
                      </w:tr>
                      <w:tr>
                        <w:trPr/>
                        <w:tc>
                          <w:tcPr>
                            <w:tcW w:w="4483" w:type="dxa"/>
                            <w:tcBorders/>
                            <w:vAlign w:val="bottom"/>
                          </w:tcPr>
                          <w:p>
                            <w:pPr>
                              <w:pStyle w:val="TableContents"/>
                              <w:bidi w:val="0"/>
                              <w:spacing w:before="0" w:after="0"/>
                              <w:jc w:val="left"/>
                              <w:rPr/>
                            </w:pPr>
                            <w:hyperlink w:anchor="rom221145_23">
                              <w:r>
                                <w:rPr>
                                  <w:rStyle w:val="InternetLink"/>
                                  <w:rFonts w:ascii="Times New Roman" w:hAnsi="Times New Roman"/>
                                  <w:sz w:val="20"/>
                                </w:rPr>
                                <w:t>Index to Consolidated Financial Statements</w:t>
                              </w:r>
                            </w:hyperlink>
                          </w:p>
                        </w:tc>
                        <w:tc>
                          <w:tcPr>
                            <w:tcW w:w="201" w:type="dxa"/>
                            <w:tcBorders/>
                            <w:vAlign w:val="bottom"/>
                          </w:tcPr>
                          <w:p>
                            <w:pPr>
                              <w:pStyle w:val="TableContents"/>
                              <w:bidi w:val="0"/>
                              <w:spacing w:before="0" w:after="283"/>
                              <w:jc w:val="left"/>
                              <w:rPr/>
                            </w:pPr>
                            <w:r>
                              <w:rPr/>
                              <w:t>  </w:t>
                            </w:r>
                          </w:p>
                        </w:tc>
                        <w:tc>
                          <w:tcPr>
                            <w:tcW w:w="3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right"/>
                              <w:rPr/>
                            </w:pPr>
                            <w:r>
                              <w:rPr/>
                              <w:t>F-1</w:t>
                            </w:r>
                          </w:p>
                        </w:tc>
                        <w:tc>
                          <w:tcPr>
                            <w:tcW w:w="30" w:type="dxa"/>
                            <w:tcBorders/>
                            <w:vAlign w:val="bottom"/>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both"/>
        <w:rPr>
          <w:rFonts w:ascii="Times New Roman" w:hAnsi="Times New Roman"/>
          <w:sz w:val="20"/>
        </w:rPr>
      </w:pPr>
      <w:r>
        <w:rPr>
          <w:rFonts w:ascii="Times New Roman" w:hAnsi="Times New Roman"/>
          <w:sz w:val="20"/>
        </w:rPr>
        <w:t xml:space="preserve">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rom221145_1"/>
      <w:bookmarkEnd w:id="3"/>
      <w:r>
        <w:rPr>
          <w:rFonts w:ascii="Times New Roman" w:hAnsi="Times New Roman"/>
          <w:b/>
          <w:sz w:val="20"/>
        </w:rPr>
        <w:t xml:space="preserve">LETTER FROM OUR FOUNDER </w:t>
      </w:r>
    </w:p>
    <w:p>
      <w:pPr>
        <w:pStyle w:val="TextBody"/>
        <w:bidi w:val="0"/>
        <w:spacing w:before="240" w:after="0"/>
        <w:jc w:val="both"/>
        <w:rPr>
          <w:rFonts w:ascii="Times New Roman" w:hAnsi="Times New Roman"/>
          <w:sz w:val="20"/>
        </w:rPr>
      </w:pPr>
      <w:r>
        <w:rPr>
          <w:rFonts w:ascii="Times New Roman" w:hAnsi="Times New Roman"/>
          <w:sz w:val="20"/>
        </w:rPr>
        <w:t xml:space="preserve">I started Tempus in September of 2015, about a year after my wife was diagnosed with breast cancer. I was frustrated with how small a role technology played in her care, and I became fixated on trying to rectify that. Next Generation Sequencing was a relatively new phenomenon at the time, and despite its power to illuminate our understanding of disease, it was hard to incorporate its findings without clinical context. </w:t>
      </w:r>
    </w:p>
    <w:p>
      <w:pPr>
        <w:pStyle w:val="TextBody"/>
        <w:bidi w:val="0"/>
        <w:spacing w:before="240" w:after="0"/>
        <w:jc w:val="both"/>
        <w:rPr>
          <w:rFonts w:ascii="Times New Roman" w:hAnsi="Times New Roman"/>
          <w:sz w:val="20"/>
        </w:rPr>
      </w:pPr>
      <w:r>
        <w:rPr>
          <w:rFonts w:ascii="Times New Roman" w:hAnsi="Times New Roman"/>
          <w:sz w:val="20"/>
        </w:rPr>
        <w:t xml:space="preserve">We initially set out to make genomic tests smarter by connecting them to a patients own clinical data, so physicians could more easily integrate the test results. Little did we know that we had stumbled into a model that brings the promise and power of artificial intelligence to healthcare, by building AI enabled or intelligent diagnostics. </w:t>
      </w:r>
    </w:p>
    <w:p>
      <w:pPr>
        <w:pStyle w:val="TextBody"/>
        <w:bidi w:val="0"/>
        <w:spacing w:before="240" w:after="0"/>
        <w:jc w:val="both"/>
        <w:rPr>
          <w:rFonts w:ascii="Times New Roman" w:hAnsi="Times New Roman"/>
          <w:sz w:val="20"/>
        </w:rPr>
      </w:pPr>
      <w:r>
        <w:rPr>
          <w:rFonts w:ascii="Times New Roman" w:hAnsi="Times New Roman"/>
          <w:sz w:val="20"/>
        </w:rPr>
        <w:t xml:space="preserve">Historically, there were really only two ways for doctors to interact with technologyembed technology into their workflow or ask them to leave their workflow and go somewhere else. Both have challenges, and as a result, healthcare has lagged other industries when it comes to the broad adoption of new technologies. Our aha! moment came when we realized that doctors routinely interact with laboratory tests, and if we could embed AI into the results themselves, we might be able to seamlessly infuse artificial intelligence into the healthcare system. </w:t>
      </w:r>
    </w:p>
    <w:p>
      <w:pPr>
        <w:pStyle w:val="TextBody"/>
        <w:bidi w:val="0"/>
        <w:spacing w:before="240" w:after="0"/>
        <w:jc w:val="both"/>
        <w:rPr>
          <w:rFonts w:ascii="Times New Roman" w:hAnsi="Times New Roman"/>
          <w:sz w:val="20"/>
        </w:rPr>
      </w:pPr>
      <w:r>
        <w:rPr>
          <w:rFonts w:ascii="Times New Roman" w:hAnsi="Times New Roman"/>
          <w:sz w:val="20"/>
        </w:rPr>
        <w:t xml:space="preserve">That insight first took hold in oncology, then in neuropsychology and infectious disease. As a result, we grew. From our first employee and the closest thing I have to a co-founder (Ryan Fukushima), to the roughly 1,500 incredibly talented people that make up our team today. Commensurate with our growth, we have become a trusted partner to thousands of physicians, assisting them in their efforts to help patients live longer and healthier lives. </w:t>
      </w:r>
    </w:p>
    <w:p>
      <w:pPr>
        <w:pStyle w:val="TextBody"/>
        <w:bidi w:val="0"/>
        <w:spacing w:before="240" w:after="0"/>
        <w:jc w:val="both"/>
        <w:rPr>
          <w:rFonts w:ascii="Times New Roman" w:hAnsi="Times New Roman"/>
          <w:sz w:val="20"/>
        </w:rPr>
      </w:pPr>
      <w:r>
        <w:rPr>
          <w:rFonts w:ascii="Times New Roman" w:hAnsi="Times New Roman"/>
          <w:sz w:val="20"/>
        </w:rPr>
        <w:t xml:space="preserve">Over the past several years, Ive become convinced we are at the beginning of one of the most fundamental value creation curves of our lifetime as technology permeates healthcare. At Tempus, our goal is to take advantage of that by revolutionizing diagnostics through artificial intelligence. As you can imagine, its going to take us a long time to fulfill our goal. </w:t>
      </w:r>
    </w:p>
    <w:p>
      <w:pPr>
        <w:pStyle w:val="TextBody"/>
        <w:bidi w:val="0"/>
        <w:spacing w:before="240" w:after="0"/>
        <w:jc w:val="both"/>
        <w:rPr>
          <w:rFonts w:ascii="Times New Roman" w:hAnsi="Times New Roman"/>
          <w:sz w:val="20"/>
        </w:rPr>
      </w:pPr>
      <w:r>
        <w:rPr>
          <w:rFonts w:ascii="Times New Roman" w:hAnsi="Times New Roman"/>
          <w:sz w:val="20"/>
        </w:rPr>
        <w:t xml:space="preserve">For the first time in history, the ingredients are in place to bring AI to healthcare: low-cost cloud computing, advancements in imaging technologies, and increasingly accessible molecular profiling. I believe we are at the precipice of a new era, where molecular insights will illuminate our understanding of disease and how to manage it, ushering in a future where people live longer and healthier lives; a future where words like cancer and diabetes feel like ancient Latin terms. This future is closer than most people realize, and we will do everything in our power to expedite its arrival. If we succeed, the physicians we enable, the companies we empower, the patients we serve, and the shareholders we represent, will all benefit.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pPr>
            <w:r>
              <w:rPr/>
              <w:drawing>
                <wp:inline distT="0" distB="0" distL="0" distR="0">
                  <wp:extent cx="108585" cy="4572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8585" cy="45720"/>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Eric Lefkofsky</w:t>
            </w:r>
          </w:p>
        </w:tc>
      </w:tr>
      <w:tr>
        <w:trPr/>
        <w:tc>
          <w:tcPr>
            <w:tcW w:w="4082"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Chief Executive Officer &amp; Founder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221145_2"/>
      <w:bookmarkEnd w:id="4"/>
      <w:r>
        <w:rPr>
          <w:rFonts w:ascii="Times New Roman" w:hAnsi="Times New Roman"/>
          <w:b/>
          <w:sz w:val="20"/>
          <w:bdr w:val="single" w:sz="8" w:space="1" w:color="000000"/>
        </w:rPr>
        <w:t xml:space="preserve">PROSPECTUS SUMMARY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laboratory tests, an Intelligent Diagnostic contextualizes the laboratory test result to a specific patient, by incorporating an individuals longitudinal clinical data into the result.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accomplish this, we built both a technology platform to free healthcare data from silos and an operating system to make this data useful. We refer to the combination of those as the Tempus Platform. Our proprietary technology has allowed us to amass what we consider to be one of the largest libraries of clinical and molecular oncology data in the world. Our goal is to embed AI throughout every aspect of diagnostic testing to enable physicians and researchers to make personalized, data-driven decisions that improve patient care. We started in oncology in 2016 and have expanded into neuropsychology, infectious diseases, and cardiology, with aspirations to eventually be in all major disease areas.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oncology, and other diseases, in the United States. Our Platform connects multiple stakeholders within the larger healthcare ecosystem, often in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near real time, to assemble and integrate the data we collect, thereby providing an opportunity for physicians to make data-driven decisions in the clinic and for researchers to discover and develop therapeutics. We aim to help doctors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Platform includes proprietary software and dedicated data pipelines that create a network of healthcare institutions through approximately 200 unique data connections, many of which supply us with complex multimodal data in near real time, across approximately 770 healthcare institutions that order our products and services. We integrate this data into a unified multimodal database through which we offer numerous analytical and decision support capabilities to our customers.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launched a suite of different products derived from our Platform, which have gained significant traction over the past five years. In 2020 alone, we performed more than one million diagnostic laboratory tests, and our clinical next generation sequencing, or NGS, volume in oncology rose from approximately 31,000 samples in 2018 to approximately 104,000 in 2020. In the two quarters ending June 30, 2021, we sequenced approximately 69,000 samples. Through June 30, 2021 our offerings have been used by more than 5,000 oncologists across hundreds of provider networks, including more than half of all academic medical centers in the United States. Our database has grown to be approximately fourteen times the size of The Cancer Genome Atlas, the largest public genomic dataset that we know of in oncology, as we now have approximately 38 petabytes of connected clinical and molecular data. Between our sequencing and data collection efforts, we are connected in some way to more than 40% of all oncologists practicing in the United States.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moved into infectious disease, which was largely prioritized due to the COVID-19 pandemic. With the decline of COVID-19 testing revenue, we intend to expand our infectious disease offering to cover broader viral testing. Our next category is in cardiology, through our collaboration with Geisinger. Each time we enter a new disease area we look to expand upon the model we deployed in oncology by developing Intelligent Diagnostics connected to clinical data, and by amassing large amounts of de-identified data to advance patient care and accelerate drug discovery and development. Once we obtain sufficient data, we also expect to deploy our AI and machine learning capabilities to build algorithmic diagnostics at scale across diseases.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manage our growth, we have assembled a world-class team of approximately 1,500 employees, including hundreds with diverse expertise across genetics, molecular and computational biology, bioinformatics, regulatory affairs, medical, product and engineering, and data science. Roughly one-third of our team is technical, with over 160 PhDs and MDs on staff.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7850" cy="36385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77850" cy="363855"/>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generated total revenue of $62.1 million and $188.0 million in the years ended December 31, 2019 and 2020, respectively, and $36.4 million and $132.1 million in the six months ended June 30, 2020 and 2021, respectively. We incurred net losses of $115.0 million and $209.9 million in the years ended December 31, 2019 and 2020, respectively, and of $98.2 million and $131.9 million in the six months ended June 30, 2020 and 2021, respectively.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Tempus Platform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7850" cy="36449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77850" cy="364490"/>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Data Ingestion and Acquisition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their data warehouse, or their third-party data provider to pull relevant structured and unstructured data that the provider has agreed to contribute to us,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We also ingest data via our two high-throughput diagnostic testing labs in Chicago and Atlanta, through which we offer a range of anatomical and molecular NGS tests. We intend to expand these capabilities with a new genomics lab in Raleigh, NC that we plan to operationalize towards the end of 2021.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Proprietary Data Processing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Once we ingest data, we deploy proprietary clinical data abstraction tools, including natural language processing, optical character recognition, and our abstraction software, to structure, harmonize, and de-identify the data we collect. We have developed various software tools to streamline and help secure this process. Once appropriately de-identified, we store the data in our multimodal database.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Our Proprietary Multimodal Database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most healthcare databases lack real-time functionality, depth among data types, and the scale of matched clinical and molecular records needed to meaningfully improve therapeutic research and development.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more than 300 million documents and more than 4.4 million patient records, including over 950,000 with imaging data, more than 400,000 with matched clinical records linked with genomic information, and approximately 80,000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also retain the rights to broadly commercialize the de-identified data we collect. As our database continues to grow from its current size of approximately 38 petabytes, we believe new AI applications and opportunities will emerge that are only possible with scale that will drive further innovations in patient treatment. The graph below shows our historical database growth and its composition: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850" cy="26733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77850" cy="26733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Proprietary Software Tools and Solutions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and other statistical learning techniques to generate patient-specific insights. Some of these AI models can be not only trained and validated for research use, but also developed into clinical-grade algorithmic tests, or Algos, and deployed clinically as part of routine care. As our data advantage and system architecture continue to improve, we believe our existing Intelligent Diagnostics will gain further adoption thereby accelerating our ability to deploy technologies, including Algos, in the clinical setting.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Three Product Lines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Our business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 We describe below our three product linesGenomics, Data, and Algos.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Genomics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w:t>
      </w:r>
      <w:r>
        <w:rPr>
          <w:rFonts w:ascii="Times New Roman" w:hAnsi="Times New Roman"/>
          <w:i/>
          <w:sz w:val="20"/>
          <w:bdr w:val="single" w:sz="8" w:space="1" w:color="000000"/>
        </w:rPr>
        <w:t>Genomics</w:t>
      </w:r>
      <w:r>
        <w:rPr>
          <w:rFonts w:ascii="Times New Roman" w:hAnsi="Times New Roman"/>
          <w:sz w:val="20"/>
          <w:bdr w:val="single" w:sz="8" w:space="1" w:color="000000"/>
        </w:rPr>
        <w:t xml:space="preserve"> product line leverages our laboratories to provide NGS diagnostics, polymerase chain reaction, or PCR, profiling, molecular genotyping, and other anatomic and molecular pathology testing to healthcare providers, life sciences companies, researchers, and other third parties. We operate robotic sequencing labs in Chicago and Atlanta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We also plan to open an additional sequencing lab in Raleigh by the end of 2021. However, unlike other laboratory diagnostic testing providers, many of our tests are connected to clinical data in some manner, which allows our suite of tests to be self-learning, becoming more accurate and precise with each new test that we run. Our current primary assays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xT  648 gene solid tumor cancer assay;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xE  whole exome cancer assay;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xF  105 gene liquid biopsy cancer assay (we are currently performing analytical validation on a larger approximately 520 gene version);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xG  52 gene inherited cancer risk germline assay;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nP  pharmacogenomics profiling in neuropsychology;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iC  PCR test for COVID-19;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  pan viral assay for infectious disease (including COVID-19, Influenza and RSV).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currently developing xM, a low pass whole genome + methylation assay for monitoring for cancer recurrence and minimal residual disease.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cancer tests have gained wide market adoption and allowed us to amass what we consider to be one of the largest clinical and molecular oncology datasets in the world, which we make available to physicians and life sciences companies. Because our Platform is designed to be extensible across disease areas, we hope, over time, to have similar success in neuropsychology, cardiology, infectious disease, and the other disease categories in which we choose to expand.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Data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w:t>
      </w:r>
      <w:r>
        <w:rPr>
          <w:rFonts w:ascii="Times New Roman" w:hAnsi="Times New Roman"/>
          <w:i/>
          <w:sz w:val="20"/>
          <w:bdr w:val="single" w:sz="8" w:space="1" w:color="000000"/>
        </w:rPr>
        <w:t>Data</w:t>
      </w:r>
      <w:r>
        <w:rPr>
          <w:rFonts w:ascii="Times New Roman" w:hAnsi="Times New Roman"/>
          <w:sz w:val="20"/>
          <w:bdr w:val="single" w:sz="8" w:space="1" w:color="000000"/>
        </w:rPr>
        <w:t xml:space="preserve"> product line facilitates drug discovery and development for life sciences companies through two primary products, </w:t>
      </w:r>
      <w:r>
        <w:rPr>
          <w:rFonts w:ascii="Times New Roman" w:hAnsi="Times New Roman"/>
          <w:i/>
          <w:sz w:val="20"/>
          <w:bdr w:val="single" w:sz="8" w:space="1" w:color="000000"/>
        </w:rPr>
        <w:t xml:space="preserve">Insights </w:t>
      </w:r>
      <w:r>
        <w:rPr>
          <w:rFonts w:ascii="Times New Roman" w:hAnsi="Times New Roman"/>
          <w:sz w:val="20"/>
          <w:bdr w:val="single" w:sz="8" w:space="1" w:color="000000"/>
        </w:rPr>
        <w:t xml:space="preserve">and </w:t>
      </w:r>
      <w:r>
        <w:rPr>
          <w:rFonts w:ascii="Times New Roman" w:hAnsi="Times New Roman"/>
          <w:i/>
          <w:sz w:val="20"/>
          <w:bdr w:val="single" w:sz="8" w:space="1" w:color="000000"/>
        </w:rPr>
        <w:t>Therapies</w:t>
      </w:r>
      <w:r>
        <w:rPr>
          <w:rFonts w:ascii="Times New Roman" w:hAnsi="Times New Roman"/>
          <w:sz w:val="20"/>
          <w:bdr w:val="single" w:sz="8" w:space="1" w:color="000000"/>
        </w:rPr>
        <w:t xml:space="preserve">. Through our </w:t>
      </w:r>
      <w:r>
        <w:rPr>
          <w:rFonts w:ascii="Times New Roman" w:hAnsi="Times New Roman"/>
          <w:i/>
          <w:sz w:val="20"/>
          <w:bdr w:val="single" w:sz="8" w:space="1" w:color="000000"/>
        </w:rPr>
        <w:t>Insights</w:t>
      </w:r>
      <w:r>
        <w:rPr>
          <w:rFonts w:ascii="Times New Roman" w:hAnsi="Times New Roman"/>
          <w:sz w:val="20"/>
          <w:bdr w:val="single" w:sz="8" w:space="1" w:color="000000"/>
        </w:rPr>
        <w:t xml:space="preserve">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 from discovery, research and development, to commercialization.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Customers either pay us on a per file basis or through multi-year subscription agreements to access our de-identified database of clinical records. At present, we work with more than half of the 20 largest public pharmaceutical companies based on 2020 revenue, and, as of June 30, 2021, we have signed contracts with a total remaining contract value of $172 million, a majority of which we expect to deliver over the next several years.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retain broad rights to commercialize most of the de-identified data we collect, and we are able to license the same de-identified records to multiple customers. Additionally, because many of our data profiles regularly update with clinical outcome and response data over time, the value of a single de-identified record can increase over time. For example, in 2018, the first full year that Tempus operated a laboratory, we sequenced samples from approximately 7,500 patients. From that 2018 cohort of sequenced patients, through December 31, 2020, we generated $42.3 million of combined revenue from sequencing, data licensing of de-identified data derived from those records, and clinical trials matching, which is approximately 4.7 times the revenue we received from sequencing at the onset. The total 2018 cohort sequencing costs were $17.4 million, of which $9.0 million was covered by reimbursement for the corresponding sequencing tests. We then generated $16.3 million of data revenue from that cohort in 2018, finishing the year with $7.9 million in gross profit from the 2018 cohort (as the incremental costs associated with generating such revenue were </w:t>
      </w:r>
      <w:r>
        <w:rPr>
          <w:rFonts w:ascii="Times New Roman" w:hAnsi="Times New Roman"/>
          <w:i/>
          <w:sz w:val="20"/>
          <w:bdr w:val="single" w:sz="8" w:space="1" w:color="000000"/>
        </w:rPr>
        <w:t>de minimis</w:t>
      </w:r>
      <w:r>
        <w:rPr>
          <w:rFonts w:ascii="Times New Roman" w:hAnsi="Times New Roman"/>
          <w:sz w:val="20"/>
          <w:bdr w:val="single" w:sz="8" w:space="1" w:color="000000"/>
        </w:rPr>
        <w:t xml:space="preserve">). As more customers licensed de-identified records from the 2018 cohort in subsequent years, we generated additional revenue in 2019 and 2020 from the 2018 cohort, and as of December 31, 2020 had $24.9 million in aggregate gross profit related to the 2018 cohort. We maintained a similar trend for the 2019 cohort through its first two years in existence. The total 2019 cohort sequencing costs were $39.1 million, of which $25.7 million was covered by the reimbursement for the corresponding sequencing tests. We then generated $23.3 million of data revenue from that cohort in 2019, finishing the year with $9.9 million in gross profit from the 2019 cohort. We generated additional data revenue in 2020 from the 2019 cohort, and as of December 31, 2020 had $23.1 million in aggregate gross profit related to the 2019 cohort.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compounding effect of our data products on our revenue and the growth of gross profit in the 2018-2020 cohorts is illustrated in the graphs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850" cy="28384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577850" cy="283845"/>
                    </a:xfrm>
                    <a:prstGeom prst="rect">
                      <a:avLst/>
                    </a:prstGeom>
                  </pic:spPr>
                </pic:pic>
              </a:graphicData>
            </a:graphic>
          </wp:inline>
        </w:drawing>
      </w:r>
      <w:r>
        <w:rPr>
          <w:bdr w:val="single" w:sz="8" w:space="1" w:color="000000"/>
        </w:rPr>
        <w:t xml:space="preserve">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7850" cy="21971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77850" cy="219710"/>
                    </a:xfrm>
                    <a:prstGeom prst="rect">
                      <a:avLst/>
                    </a:prstGeom>
                  </pic:spPr>
                </pic:pic>
              </a:graphicData>
            </a:graphic>
          </wp:inline>
        </w:drawing>
      </w:r>
      <w:r>
        <w:rPr>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850" cy="21780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77850" cy="217805"/>
                    </a:xfrm>
                    <a:prstGeom prst="rect">
                      <a:avLst/>
                    </a:prstGeom>
                  </pic:spPr>
                </pic:pic>
              </a:graphicData>
            </a:graphic>
          </wp:inline>
        </w:drawing>
      </w:r>
      <w:r>
        <w:rPr>
          <w:bdr w:val="single" w:sz="8" w:space="1" w:color="000000"/>
        </w:rPr>
        <w:t xml:space="preserve"> </w:t>
      </w:r>
    </w:p>
    <w:p>
      <w:pPr>
        <w:pStyle w:val="TextBody"/>
        <w:bidi w:val="0"/>
        <w:spacing w:before="36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*Cumulative gross profit in the above charts is calculated as cumulative revenue less initial sequencing costs. Cost of subsequent data revenue is minimal in nature and limited to the cloud costs associated with delivering a record.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second product within our Data product line, </w:t>
      </w:r>
      <w:r>
        <w:rPr>
          <w:rFonts w:ascii="Times New Roman" w:hAnsi="Times New Roman"/>
          <w:i/>
          <w:sz w:val="20"/>
          <w:bdr w:val="single" w:sz="8" w:space="1" w:color="000000"/>
        </w:rPr>
        <w:t>Therapies</w:t>
      </w:r>
      <w:r>
        <w:rPr>
          <w:rFonts w:ascii="Times New Roman" w:hAnsi="Times New Roman"/>
          <w:sz w:val="20"/>
          <w:bdr w:val="single" w:sz="8" w:space="1" w:color="000000"/>
        </w:rPr>
        <w:t xml:space="preserve">, is designed to leverage the broad network of physicians we work with in oncology to provide clinical trial matching services for pharmaceutical companies that are looking to reach hard-to-find and underserved patient populations. Our clinical trial matching product is built on top of our near real-time data feeds and harnesses AI to accelerate the connection between patients, clinical trial providers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1,500 oncologists fully enrolled, more than 50 clinical trials onboarded and active, and more than 5,000 patients were identified for potential enrollment into clinical trials in our network, as of June 30, 2021.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Algos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newest product line, </w:t>
      </w:r>
      <w:r>
        <w:rPr>
          <w:rFonts w:ascii="Times New Roman" w:hAnsi="Times New Roman"/>
          <w:i/>
          <w:sz w:val="20"/>
          <w:bdr w:val="single" w:sz="8" w:space="1" w:color="000000"/>
        </w:rPr>
        <w:t>Algos</w:t>
      </w:r>
      <w:r>
        <w:rPr>
          <w:rFonts w:ascii="Times New Roman" w:hAnsi="Times New Roman"/>
          <w:sz w:val="20"/>
          <w:bdr w:val="single" w:sz="8" w:space="1" w:color="000000"/>
        </w:rPr>
        <w:t xml:space="preserve">, focuses on developing and providing diagnostics that are algorithmic in nature. Algos are tests that can be run without additional chemistry or biology; they are simply 0s and 1s running on digitized data derived from a laboratory test. Algos leverage AI-driven insights to produce clinically validated and actionable information for physicians.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currently offer two algorithmic tests in oncology: our tumor origin test, or TO test, and our homologous recombination deficiency test, or HRD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developing Algos in other disease areas. In cardiology, for example, we entered into a collaboration with Geisinger to build algorithmic models that aid clinicians in identifying patients at increased risk of developing atrial fibrillation, or AFib, along with a variety of other cardiac conditions. These Algos were trained off Geisingers dataset of approximately 3.2 million electrocardiograms, or ECGs, across approximately 600,000 patients, with decades of longitudinal connected clinical data, including outcome and response data. As part of this initiative, the U.S. Food and Drug Administration, or FDA, recently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Algos product line represents an emerging category of diagnostics and has the potential to be highly disruptive across diagnostic tests in a broad set of disease areas.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could be a unique differentiator of our Platform. For Algos, we use data the same way legacy diagnostic companies use chemistry in the battle against disease, improving patient care by learning from the patients who have come before, and tailoring test results based on a patients unique profile. While we only have two Algos tests at present, we have a goal of launching at least 50 Algos by year end 2025. Some Algos will likely yield little to no reimbursement until their clinical utility is well established, and some may obtain reimbursement at prevailing rates for comparable tests. Through June 30, 2021 our Algos have been ordered approximately 6,000 times and have generated approximately $100/test on average. Eventually, we would like to launch hundreds, if not thousands, of Algos.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Market Opportunity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infectious diseases, in which there is over $4 trillion of economic burden according to publicly available sources.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third party research for real world evidence, as estimated according to Mordor Intelligence and our internal estimates. Over time, we believe that the potential market opportunity for our Algos product line could be substantially larger than our other product lines combined.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Long-Term Vision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product line is powered by dedicated, near real-time data pipelines that we believe are increasingly difficult to replicate; and our proprietary technology has allowed us to scale where others have been unable. As we are now connected to more than 40% of all oncologists practicing in the United States in some way, and a growing number of neuropsychiatric, infectious disease,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bdr w:val="single" w:sz="8" w:space="1" w:color="000000"/>
        </w:rPr>
      </w:pPr>
      <w:r>
        <w:rPr>
          <w:bdr w:val="single" w:sz="8" w:space="1" w:color="000000"/>
        </w:rPr>
        <w:drawing>
          <wp:inline distT="0" distB="0" distL="0" distR="0">
            <wp:extent cx="577850" cy="24638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577850" cy="246380"/>
                    </a:xfrm>
                    <a:prstGeom prst="rect">
                      <a:avLst/>
                    </a:prstGeom>
                  </pic:spPr>
                </pic:pic>
              </a:graphicData>
            </a:graphic>
          </wp:inline>
        </w:drawing>
      </w:r>
      <w:r>
        <w:rPr>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this singular pursuit we are indelibly focused.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For a glimpse into how these technologies might influence care over time: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Imagine the world as it exists today. A 44 year old female feels a lump in her left breast. She sees her gynecologist, who orders a biopsy. The patient is diagnosed with triple negative breast cancer, which has metastasized to her lung. The patient is prescribed chemotherapy (paclitaxel), but her tumors dont respond. Despite another course of chemotherapy (capecitabine), the patients survival rate is limited to approximately a year.</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Now imagine a future world, where artificial intelligence and technology combine at scale to revolutionize treatment options. Not only does the same 44 year old patient receive a biopsy and scans, but her physician has access to a wealth of clinically relevant information including her clinical history, pathology images, germline, and tumor molecular profile to better inform precision care:</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202"/>
        <w:gridCol w:w="9292"/>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i/>
              </w:rPr>
            </w:pPr>
            <w:r>
              <w:rPr>
                <w:i/>
              </w:rPr>
              <w:t></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i/>
                <w:sz w:val="20"/>
              </w:rPr>
            </w:pPr>
            <w:r>
              <w:rPr>
                <w:rFonts w:ascii="Times New Roman" w:hAnsi="Times New Roman"/>
                <w:i/>
                <w:sz w:val="20"/>
              </w:rPr>
              <w:t xml:space="preserve">Once the patient receives a biopsy, her diagnostic pathology slides are automatically connected to Tempus cloud platform. Within minutes, dozens of diagnostic algorithms run on her pathology images. Of note, the algorithm suggests the patient has HRD and an overexpression of c-Met protein.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3"/>
        <w:gridCol w:w="204"/>
        <w:gridCol w:w="9291"/>
      </w:tblGrid>
      <w:tr>
        <w:trPr/>
        <w:tc>
          <w:tcPr>
            <w:tcW w:w="40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right"/>
              <w:rPr>
                <w:i/>
              </w:rPr>
            </w:pPr>
            <w:r>
              <w:rPr>
                <w:i/>
              </w:rPr>
              <w:t></w:t>
            </w:r>
          </w:p>
        </w:tc>
        <w:tc>
          <w:tcPr>
            <w:tcW w:w="204"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i/>
                <w:sz w:val="20"/>
              </w:rPr>
            </w:pPr>
            <w:r>
              <w:rPr>
                <w:rFonts w:ascii="Times New Roman" w:hAnsi="Times New Roman"/>
                <w:i/>
                <w:sz w:val="20"/>
              </w:rPr>
              <w:t xml:space="preserve">The patients physician orders molecular profiling of her tumor using Tempus whole genome &amp; whole transcriptome assay. The results confirm the patient is HRD positive and c-Met amplified. Sequencing also reveals the patient has high expression levels of CD4O along with loss of heterozygosity for HLA A*01:01 in her tumor and is eligible for an immunotherapy trial targeting CD40. </w:t>
            </w:r>
          </w:p>
        </w:tc>
      </w:tr>
    </w:tbl>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304"/>
        <w:gridCol w:w="203"/>
        <w:gridCol w:w="9293"/>
      </w:tblGrid>
      <w:tr>
        <w:trPr/>
        <w:tc>
          <w:tcPr>
            <w:tcW w:w="40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i/>
              </w:rPr>
            </w:pPr>
            <w:r>
              <w:rPr>
                <w:i/>
              </w:rPr>
              <w:t></w:t>
            </w:r>
          </w:p>
        </w:tc>
        <w:tc>
          <w:tcPr>
            <w:tcW w:w="203" w:type="dxa"/>
            <w:tcBorders/>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i/>
                <w:sz w:val="20"/>
              </w:rPr>
            </w:pPr>
            <w:r>
              <w:rPr>
                <w:rFonts w:ascii="Times New Roman" w:hAnsi="Times New Roman"/>
                <w:i/>
                <w:sz w:val="20"/>
              </w:rPr>
              <w:t>Tempus automatically scans the patients clinical history, which reveals that the patient had an ECG at her last visit. Tempus runs a body of cardiology-focused algorithms against the ECG and detects a high probability of developing atrial fibrillation, a potentially serious condition the patient and physician were unaware of.</w:t>
            </w:r>
          </w:p>
        </w:tc>
      </w:tr>
    </w:tbl>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With access to both multimodal data and artificial intelligence, the physician prescribes a different course of treatment. Her oncologist starts with a PARP inhibitor to address her HRD status, and surgical ablation to address her atrial fibrillation. The patient also enrolls in an immunotherapy clinical trial, which begins after chemotherapy, with an immunotherapy drug targeting CD40. The patient responds well, having a complete radiologic response with no tumors in her breast or lung. Her physician orders quarterly minimal residual disease testing using Tempus cell free DNA assay, and the patient is routinely monitored on an annual basis thereafter.</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Competitive Advantages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2"/>
        <w:gridCol w:w="9291"/>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both a technology company and a healthcare company, allowing us to harness the advantages of both to advance precision medicine.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202"/>
        <w:gridCol w:w="92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built a Platform that is connected to hundreds of provider networks, allowing us to amass a large repository of multimodal data that we believe is essential for bringing AI to healthcare.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202"/>
        <w:gridCol w:w="92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Intelligent Diagnostics provide significant value to our customers, which has fostered broad adoption of many of our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1"/>
        <w:gridCol w:w="92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1"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business model has inherent network effects that help drive adoption and improve our data advantage with each new order placed.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202"/>
        <w:gridCol w:w="92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Platform was built to collect, structure, harmonize and analyze large amounts of multimodal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2"/>
        <w:gridCol w:w="9291"/>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Platform is disease agnostic and facilitates rapid expansion into different disease categories.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202"/>
        <w:gridCol w:w="92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size of our database and the breadth of our multimodal data capabilities position us well to be able to launch algorithmic diagnostics (Algos) at scale.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202"/>
        <w:gridCol w:w="92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Many of our products and services are already widely used throughout the healthcare ecosystem.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Growth Strategy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1"/>
        <w:gridCol w:w="92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1"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Grow our database and the number of providers connected to our Platform.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1"/>
        <w:gridCol w:w="92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1"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Drive increased adoption of our Genomics product across healthcare providers.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4"/>
        <w:gridCol w:w="203"/>
        <w:gridCol w:w="9292"/>
      </w:tblGrid>
      <w:tr>
        <w:trPr/>
        <w:tc>
          <w:tcPr>
            <w:tcW w:w="40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w:t>
            </w:r>
          </w:p>
        </w:tc>
        <w:tc>
          <w:tcPr>
            <w:tcW w:w="203"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Drive increased adoption of our data licensing and clinical trial matching products with pharmaceutical and biotechnology companies.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305"/>
        <w:gridCol w:w="201"/>
        <w:gridCol w:w="9294"/>
      </w:tblGrid>
      <w:tr>
        <w:trPr/>
        <w:tc>
          <w:tcPr>
            <w:tcW w:w="40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w:t>
            </w:r>
          </w:p>
        </w:tc>
        <w:tc>
          <w:tcPr>
            <w:tcW w:w="201" w:type="dxa"/>
            <w:tcBorders/>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Validate and deploy Algos at scale.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304"/>
        <w:gridCol w:w="202"/>
        <w:gridCol w:w="9294"/>
      </w:tblGrid>
      <w:tr>
        <w:trPr/>
        <w:tc>
          <w:tcPr>
            <w:tcW w:w="40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Expand our capabilities and commercial traction outside of oncology, including in neuropsychology, infectious disease, cardiology, and other disease categories.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202"/>
        <w:gridCol w:w="9292"/>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Expand internationally. </w:t>
            </w:r>
          </w:p>
        </w:tc>
      </w:tr>
    </w:tbl>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306"/>
        <w:gridCol w:w="202"/>
        <w:gridCol w:w="9292"/>
      </w:tblGrid>
      <w:tr>
        <w:trPr/>
        <w:tc>
          <w:tcPr>
            <w:tcW w:w="40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incurred significant losses since inception, we may continue to incur losses in the future, and we may not be able to generate sufficient revenue to achieve and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4"/>
        <w:gridCol w:w="203"/>
        <w:gridCol w:w="9292"/>
      </w:tblGrid>
      <w:tr>
        <w:trPr/>
        <w:tc>
          <w:tcPr>
            <w:tcW w:w="40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w:t>
            </w:r>
          </w:p>
        </w:tc>
        <w:tc>
          <w:tcPr>
            <w:tcW w:w="203"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202"/>
        <w:gridCol w:w="92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current or future products may not achieve or maintain sufficient commercial market acceptance.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3"/>
        <w:gridCol w:w="202"/>
        <w:gridCol w:w="9293"/>
      </w:tblGrid>
      <w:tr>
        <w:trPr/>
        <w:tc>
          <w:tcPr>
            <w:tcW w:w="40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operating results may fluctuate significantly, which makes our future operating results difficult to predict and could cause our operating results to fall below expectations or any guidance we may provide.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201"/>
        <w:gridCol w:w="9293"/>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w:t>
            </w:r>
          </w:p>
        </w:tc>
        <w:tc>
          <w:tcPr>
            <w:tcW w:w="201" w:type="dxa"/>
            <w:tcBorders/>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our business depends on our continued access to, and ability to monetize, de-identified patient data.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2"/>
        <w:gridCol w:w="9291"/>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limited operating history and rapid growth make it difficult to evaluate our future prospects and the risks and challenges we may encounter.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2"/>
        <w:gridCol w:w="9291"/>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will need to raise additional capital to fund our existing operations, develop our Platform, commercialize new products or expand our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202"/>
        <w:gridCol w:w="9292"/>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third-party payers, including commercial payers and government healthcare programs, do not provide coverage of, or adequate reimbursement for, our tests, our business, financial condition and results of operations will be negatively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of, or defects in, our Platforms artificial intelligence software, or increased regulation in this space, could impair our ability to process our data, develop products, or provide test results, and harm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306"/>
        <w:gridCol w:w="202"/>
        <w:gridCol w:w="9292"/>
      </w:tblGrid>
      <w:tr>
        <w:trPr/>
        <w:tc>
          <w:tcPr>
            <w:tcW w:w="40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cannot compete successfully with our competitors, we may be unable to increase or sustain our revenue or to achieve and then sustain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306"/>
        <w:gridCol w:w="203"/>
        <w:gridCol w:w="9291"/>
      </w:tblGrid>
      <w:tr>
        <w:trPr/>
        <w:tc>
          <w:tcPr>
            <w:tcW w:w="40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rely on a limited number of suppliers or, in some cases, sole suppliers, for some of our laboratory instruments and materials and may not be able to find replacements or promptly transition to alternative suppliers.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306"/>
        <w:gridCol w:w="203"/>
        <w:gridCol w:w="9291"/>
      </w:tblGrid>
      <w:tr>
        <w:trPr/>
        <w:tc>
          <w:tcPr>
            <w:tcW w:w="40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our existing laboratory and storage facilities become damaged or inoperable or we are required to vacate our existing facilities, our ability to perform our tests and pursue our research and development efforts may be jeopardized.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202"/>
        <w:gridCol w:w="92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conduct business in a heavily regulated industry, and changes in regulations or violations of regulations may, directly or indirectly, reduce our revenue,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3"/>
        <w:gridCol w:w="204"/>
        <w:gridCol w:w="9292"/>
      </w:tblGrid>
      <w:tr>
        <w:trPr/>
        <w:tc>
          <w:tcPr>
            <w:tcW w:w="406"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right"/>
              <w:rPr/>
            </w:pPr>
            <w:r>
              <w:rPr/>
              <w:t></w:t>
            </w:r>
          </w:p>
        </w:tc>
        <w:tc>
          <w:tcPr>
            <w:tcW w:w="204"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 </w:t>
            </w:r>
          </w:p>
        </w:tc>
      </w:tr>
    </w:tbl>
    <w:p>
      <w:pPr>
        <w:pStyle w:val="TextBody"/>
        <w:bidi w:val="0"/>
        <w:spacing w:before="0" w:after="0"/>
        <w:jc w:val="left"/>
        <w:rPr>
          <w:bdr w:val="single" w:sz="8" w:space="1" w:color="000000"/>
        </w:rPr>
      </w:pPr>
      <w:r>
        <w:rPr>
          <w:bdr w:val="single" w:sz="8" w:space="1" w:color="000000"/>
        </w:rPr>
        <w:t>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304"/>
        <w:gridCol w:w="203"/>
        <w:gridCol w:w="9292"/>
      </w:tblGrid>
      <w:tr>
        <w:trPr/>
        <w:tc>
          <w:tcPr>
            <w:tcW w:w="40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w:t>
            </w:r>
          </w:p>
        </w:tc>
        <w:tc>
          <w:tcPr>
            <w:tcW w:w="203" w:type="dxa"/>
            <w:tcBorders/>
          </w:tcPr>
          <w:p>
            <w:pPr>
              <w:pStyle w:val="TableContents"/>
              <w:bidi w:val="0"/>
              <w:spacing w:before="0" w:after="283"/>
              <w:jc w:val="left"/>
              <w:rPr/>
            </w:pPr>
            <w:r>
              <w:rPr/>
              <w:t> </w:t>
            </w:r>
          </w:p>
        </w:tc>
        <w:tc>
          <w:tcPr>
            <w:tcW w:w="92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4"/>
        <w:gridCol w:w="201"/>
        <w:gridCol w:w="9294"/>
      </w:tblGrid>
      <w:tr>
        <w:trPr/>
        <w:tc>
          <w:tcPr>
            <w:tcW w:w="40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w:t>
            </w:r>
          </w:p>
        </w:tc>
        <w:tc>
          <w:tcPr>
            <w:tcW w:w="201" w:type="dxa"/>
            <w:tcBorders/>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identified a material weakness in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3"/>
        <w:gridCol w:w="202"/>
        <w:gridCol w:w="9293"/>
      </w:tblGrid>
      <w:tr>
        <w:trPr/>
        <w:tc>
          <w:tcPr>
            <w:tcW w:w="407"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depend on information technology systems, including on premises, co-located and third-party data centers and platforms, and any interruptions of service or failures may impair and harm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203"/>
        <w:gridCol w:w="9290"/>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3"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dual class structure of our common stock will have the effect of concentrating voting control with our Chief Executive Officer, Founder and Chairman, which will limit your ability to influence the outcome of important decisions.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202"/>
        <w:gridCol w:w="92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w:t>
            </w:r>
          </w:p>
        </w:tc>
        <w:tc>
          <w:tcPr>
            <w:tcW w:w="2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not elected to take advantage of the controlled company exemption to the corporate governance rules for publicly listed companies but may do so in the future.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were originally formed under the name Bioin LLC in Delaware in August 2015 and we converted to a Delaware corporation in September 2015 under the name Bioin Inc. We changed our name to Tempus Health, Inc. later in 2015 and in 2016, we changed our name to Tempus Labs,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Tempus logo, Tempus and our other registered and common law trade names, trademarks and service marks are the property of Tempus Labs, Inc. or our subsidiaries. Other trade names, trademarks and service marks used in this prospectus are the property of their respective owners.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$1.07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183"/>
        <w:gridCol w:w="121"/>
        <w:gridCol w:w="4901"/>
      </w:tblGrid>
      <w:tr>
        <w:trPr/>
        <w:tc>
          <w:tcPr>
            <w:tcW w:w="518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01"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offered by us</w:t>
            </w:r>
          </w:p>
        </w:tc>
        <w:tc>
          <w:tcPr>
            <w:tcW w:w="12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pPr>
            <w:r>
              <w:rPr/>
              <w:t>            </w:t>
            </w:r>
            <w:r>
              <w:rPr>
                <w:rFonts w:ascii="Times New Roman" w:hAnsi="Times New Roman"/>
                <w:sz w:val="20"/>
              </w:rPr>
              <w:t>shares</w:t>
            </w:r>
          </w:p>
        </w:tc>
      </w:tr>
      <w:tr>
        <w:trPr>
          <w:trHeight w:val="75" w:hRule="atLeast"/>
        </w:trPr>
        <w:tc>
          <w:tcPr>
            <w:tcW w:w="5183" w:type="dxa"/>
            <w:tcBorders/>
            <w:vAlign w:val="center"/>
          </w:tcPr>
          <w:p>
            <w:pPr>
              <w:pStyle w:val="TableContents"/>
              <w:bidi w:val="0"/>
              <w:spacing w:before="0" w:after="283"/>
              <w:jc w:val="left"/>
              <w:rPr>
                <w:sz w:val="4"/>
                <w:szCs w:val="4"/>
              </w:rPr>
            </w:pPr>
            <w:r>
              <w:rPr>
                <w:sz w:val="4"/>
                <w:szCs w:val="4"/>
              </w:rPr>
            </w:r>
          </w:p>
        </w:tc>
        <w:tc>
          <w:tcPr>
            <w:tcW w:w="5022" w:type="dxa"/>
            <w:gridSpan w:val="2"/>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Option to purchase additional shares of Class A common stock offered by the selling stockholders to cover over-allotments, if any</w:t>
            </w:r>
          </w:p>
        </w:tc>
        <w:tc>
          <w:tcPr>
            <w:tcW w:w="12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t>            </w:t>
            </w:r>
            <w:r>
              <w:rPr>
                <w:rFonts w:ascii="Times New Roman" w:hAnsi="Times New Roman"/>
                <w:sz w:val="20"/>
              </w:rPr>
              <w:t>shares</w:t>
            </w:r>
          </w:p>
        </w:tc>
      </w:tr>
      <w:tr>
        <w:trPr>
          <w:trHeight w:val="75" w:hRule="atLeast"/>
        </w:trPr>
        <w:tc>
          <w:tcPr>
            <w:tcW w:w="5183" w:type="dxa"/>
            <w:tcBorders/>
            <w:vAlign w:val="center"/>
          </w:tcPr>
          <w:p>
            <w:pPr>
              <w:pStyle w:val="TableContents"/>
              <w:bidi w:val="0"/>
              <w:spacing w:before="0" w:after="283"/>
              <w:jc w:val="left"/>
              <w:rPr>
                <w:sz w:val="4"/>
                <w:szCs w:val="4"/>
              </w:rPr>
            </w:pPr>
            <w:r>
              <w:rPr>
                <w:sz w:val="4"/>
                <w:szCs w:val="4"/>
              </w:rPr>
            </w:r>
          </w:p>
        </w:tc>
        <w:tc>
          <w:tcPr>
            <w:tcW w:w="5022" w:type="dxa"/>
            <w:gridSpan w:val="2"/>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to be outstanding immediately after this offering</w:t>
            </w:r>
          </w:p>
        </w:tc>
        <w:tc>
          <w:tcPr>
            <w:tcW w:w="12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pPr>
            <w:r>
              <w:rPr/>
            </w:r>
          </w:p>
          <w:p>
            <w:pPr>
              <w:pStyle w:val="TableContents"/>
              <w:bidi w:val="0"/>
              <w:spacing w:before="0" w:after="0"/>
              <w:jc w:val="left"/>
              <w:rPr/>
            </w:pPr>
            <w:r>
              <w:rPr/>
              <w:t>            </w:t>
            </w:r>
            <w:r>
              <w:rPr>
                <w:rFonts w:ascii="Times New Roman" w:hAnsi="Times New Roman"/>
                <w:sz w:val="20"/>
              </w:rPr>
              <w:t>shares</w:t>
            </w:r>
          </w:p>
        </w:tc>
      </w:tr>
      <w:tr>
        <w:trPr>
          <w:trHeight w:val="75" w:hRule="atLeast"/>
        </w:trPr>
        <w:tc>
          <w:tcPr>
            <w:tcW w:w="5183" w:type="dxa"/>
            <w:tcBorders/>
            <w:vAlign w:val="center"/>
          </w:tcPr>
          <w:p>
            <w:pPr>
              <w:pStyle w:val="TableContents"/>
              <w:bidi w:val="0"/>
              <w:spacing w:before="0" w:after="283"/>
              <w:jc w:val="left"/>
              <w:rPr>
                <w:sz w:val="4"/>
                <w:szCs w:val="4"/>
              </w:rPr>
            </w:pPr>
            <w:r>
              <w:rPr>
                <w:sz w:val="4"/>
                <w:szCs w:val="4"/>
              </w:rPr>
            </w:r>
          </w:p>
        </w:tc>
        <w:tc>
          <w:tcPr>
            <w:tcW w:w="5022" w:type="dxa"/>
            <w:gridSpan w:val="2"/>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to be outstanding immediately after this offering</w:t>
            </w:r>
          </w:p>
        </w:tc>
        <w:tc>
          <w:tcPr>
            <w:tcW w:w="12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pPr>
            <w:r>
              <w:rPr/>
            </w:r>
          </w:p>
          <w:p>
            <w:pPr>
              <w:pStyle w:val="TableContents"/>
              <w:bidi w:val="0"/>
              <w:spacing w:before="0" w:after="0"/>
              <w:jc w:val="left"/>
              <w:rPr/>
            </w:pPr>
            <w:r>
              <w:rPr/>
              <w:t>            </w:t>
            </w:r>
            <w:r>
              <w:rPr>
                <w:rFonts w:ascii="Times New Roman" w:hAnsi="Times New Roman"/>
                <w:sz w:val="20"/>
              </w:rPr>
              <w:t>shares</w:t>
            </w:r>
          </w:p>
        </w:tc>
      </w:tr>
      <w:tr>
        <w:trPr>
          <w:trHeight w:val="75" w:hRule="atLeast"/>
        </w:trPr>
        <w:tc>
          <w:tcPr>
            <w:tcW w:w="5183" w:type="dxa"/>
            <w:tcBorders/>
            <w:vAlign w:val="center"/>
          </w:tcPr>
          <w:p>
            <w:pPr>
              <w:pStyle w:val="TableContents"/>
              <w:bidi w:val="0"/>
              <w:spacing w:before="0" w:after="283"/>
              <w:jc w:val="left"/>
              <w:rPr>
                <w:sz w:val="4"/>
                <w:szCs w:val="4"/>
              </w:rPr>
            </w:pPr>
            <w:r>
              <w:rPr>
                <w:sz w:val="4"/>
                <w:szCs w:val="4"/>
              </w:rPr>
            </w:r>
          </w:p>
        </w:tc>
        <w:tc>
          <w:tcPr>
            <w:tcW w:w="5022" w:type="dxa"/>
            <w:gridSpan w:val="2"/>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Total Class A common stock and Class B common stock to be outstanding immediately after this offering</w:t>
            </w:r>
          </w:p>
        </w:tc>
        <w:tc>
          <w:tcPr>
            <w:tcW w:w="12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left"/>
              <w:rPr/>
            </w:pPr>
            <w:r>
              <w:rPr/>
            </w:r>
          </w:p>
          <w:p>
            <w:pPr>
              <w:pStyle w:val="TableContents"/>
              <w:bidi w:val="0"/>
              <w:spacing w:before="0" w:after="0"/>
              <w:jc w:val="left"/>
              <w:rPr/>
            </w:pPr>
            <w:r>
              <w:rPr/>
              <w:t>            </w:t>
            </w:r>
            <w:r>
              <w:rPr>
                <w:rFonts w:ascii="Times New Roman" w:hAnsi="Times New Roman"/>
                <w:sz w:val="20"/>
              </w:rPr>
              <w:t>shares</w:t>
            </w:r>
          </w:p>
        </w:tc>
      </w:tr>
      <w:tr>
        <w:trPr>
          <w:trHeight w:val="75" w:hRule="atLeast"/>
        </w:trPr>
        <w:tc>
          <w:tcPr>
            <w:tcW w:w="5183" w:type="dxa"/>
            <w:tcBorders/>
            <w:vAlign w:val="center"/>
          </w:tcPr>
          <w:p>
            <w:pPr>
              <w:pStyle w:val="TableContents"/>
              <w:bidi w:val="0"/>
              <w:spacing w:before="0" w:after="283"/>
              <w:jc w:val="left"/>
              <w:rPr>
                <w:sz w:val="4"/>
                <w:szCs w:val="4"/>
              </w:rPr>
            </w:pPr>
            <w:r>
              <w:rPr>
                <w:sz w:val="4"/>
                <w:szCs w:val="4"/>
              </w:rPr>
            </w:r>
          </w:p>
        </w:tc>
        <w:tc>
          <w:tcPr>
            <w:tcW w:w="5022" w:type="dxa"/>
            <w:gridSpan w:val="2"/>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2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both"/>
              <w:rPr>
                <w:rFonts w:ascii="Times New Roman" w:hAnsi="Times New Roman"/>
                <w:sz w:val="20"/>
              </w:rPr>
            </w:pPr>
            <w:r>
              <w:rPr>
                <w:rFonts w:ascii="Times New Roman" w:hAnsi="Times New Roman"/>
                <w:sz w:val="20"/>
              </w:rPr>
              <w:t>We estimate that our net proceeds from the sale of our Class A common stock that we are offering will be approximately $             million, assuming an initial public offering price of $             per share, the 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The principal purposes of this offering are to increase our capitalization and financial flexibility, facilitate an orderly distribution of shares for the selling stockholders,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tc>
      </w:tr>
      <w:tr>
        <w:trPr>
          <w:trHeight w:val="75" w:hRule="atLeast"/>
        </w:trPr>
        <w:tc>
          <w:tcPr>
            <w:tcW w:w="5183" w:type="dxa"/>
            <w:tcBorders/>
            <w:vAlign w:val="center"/>
          </w:tcPr>
          <w:p>
            <w:pPr>
              <w:pStyle w:val="TableContents"/>
              <w:bidi w:val="0"/>
              <w:spacing w:before="0" w:after="283"/>
              <w:jc w:val="left"/>
              <w:rPr>
                <w:sz w:val="4"/>
                <w:szCs w:val="4"/>
              </w:rPr>
            </w:pPr>
            <w:r>
              <w:rPr>
                <w:sz w:val="4"/>
                <w:szCs w:val="4"/>
              </w:rPr>
            </w:r>
          </w:p>
        </w:tc>
        <w:tc>
          <w:tcPr>
            <w:tcW w:w="5022" w:type="dxa"/>
            <w:gridSpan w:val="2"/>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0"/>
              <w:jc w:val="left"/>
              <w:rPr>
                <w:rFonts w:ascii="Times New Roman" w:hAnsi="Times New Roman"/>
                <w:sz w:val="20"/>
              </w:rPr>
            </w:pPr>
            <w:r>
              <w:rPr>
                <w:rFonts w:ascii="Times New Roman" w:hAnsi="Times New Roman"/>
                <w:sz w:val="20"/>
              </w:rPr>
              <w:t>Voting rights</w:t>
            </w:r>
          </w:p>
        </w:tc>
        <w:tc>
          <w:tcPr>
            <w:tcW w:w="121" w:type="dxa"/>
            <w:tcBorders/>
            <w:vAlign w:val="bottom"/>
          </w:tcPr>
          <w:p>
            <w:pPr>
              <w:pStyle w:val="TableContents"/>
              <w:bidi w:val="0"/>
              <w:spacing w:before="0" w:after="283"/>
              <w:jc w:val="left"/>
              <w:rPr/>
            </w:pPr>
            <w:r>
              <w:rPr/>
              <w:t>  </w:t>
            </w:r>
          </w:p>
        </w:tc>
        <w:tc>
          <w:tcPr>
            <w:tcW w:w="4901" w:type="dxa"/>
            <w:tcBorders/>
          </w:tcPr>
          <w:p>
            <w:pPr>
              <w:pStyle w:val="TableContents"/>
              <w:bidi w:val="0"/>
              <w:spacing w:before="0" w:after="0"/>
              <w:jc w:val="both"/>
              <w:rPr>
                <w:rFonts w:ascii="Times New Roman" w:hAnsi="Times New Roman"/>
                <w:sz w:val="20"/>
              </w:rPr>
            </w:pPr>
            <w:r>
              <w:rPr>
                <w:rFonts w:ascii="Times New Roman" w:hAnsi="Times New Roman"/>
                <w:sz w:val="20"/>
              </w:rPr>
              <w:t>We will have two classes of common stock following this offering: Class A common stock and Class B common stock. Each share of Class A common stock is entitled to one vote and each share of Class B common stock is entitled to         votes and is convertible at any time into one share of Class A</w:t>
            </w:r>
          </w:p>
        </w:tc>
      </w:tr>
    </w:tbl>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141"/>
        <w:gridCol w:w="122"/>
        <w:gridCol w:w="4942"/>
      </w:tblGrid>
      <w:tr>
        <w:trPr/>
        <w:tc>
          <w:tcPr>
            <w:tcW w:w="514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42" w:type="dxa"/>
            <w:tcBorders/>
            <w:vAlign w:val="center"/>
          </w:tcPr>
          <w:p>
            <w:pPr>
              <w:pStyle w:val="TableContents"/>
              <w:bidi w:val="0"/>
              <w:spacing w:before="0" w:after="283"/>
              <w:jc w:val="left"/>
              <w:rPr>
                <w:sz w:val="4"/>
                <w:szCs w:val="4"/>
              </w:rPr>
            </w:pPr>
            <w:r>
              <w:rPr>
                <w:sz w:val="4"/>
                <w:szCs w:val="4"/>
              </w:rPr>
            </w:r>
          </w:p>
        </w:tc>
      </w:tr>
      <w:tr>
        <w:trPr/>
        <w:tc>
          <w:tcPr>
            <w:tcW w:w="514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942" w:type="dxa"/>
            <w:tcBorders/>
          </w:tcPr>
          <w:p>
            <w:pPr>
              <w:pStyle w:val="TableContents"/>
              <w:bidi w:val="0"/>
              <w:spacing w:before="0" w:after="0"/>
              <w:jc w:val="both"/>
              <w:rPr>
                <w:rFonts w:ascii="Times New Roman" w:hAnsi="Times New Roman"/>
                <w:sz w:val="20"/>
              </w:rPr>
            </w:pPr>
            <w:r>
              <w:rPr>
                <w:rFonts w:ascii="Times New Roman" w:hAnsi="Times New Roman"/>
                <w:sz w:val="20"/>
              </w:rPr>
              <w:t>common stock. In addition, all shares of Class B common stock will automatically convert into shares of Class A common stock in certain circumstances, including on the date that Eric Lefkofsky, our Chief Executive Officer, Founder and Chairman (1) ceases to serve as an executive officer or member of our Board of Directors or (2) ceases to own, together with his controlled entities, at least shares of Class B common stock. See the section titled Description of Capital StockClass A Common Stock and Class B Common Stock.</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Holders of Class A common stock and Class B common stock will generally vote together as a single class, unless otherwise required by law or our amended and restated certificate of incorporation that will be in effect on the closing of this offering. Our Chief Executive Officer, Founder and Chairman, Eric Lefkofsky, will beneficially own 100% of our outstanding Class B common stock and will hold approximately     % of the voting power of our outstanding shares immediately following this offering. As a result, Mr. Lefkofsky will have the ability to control the outcome of matters submitted to our stockholders for approval, including the election of our directors and the approval of any change in control transaction. See the sections titled Principal and Selling Stockholders and Description of Capital Stock for additional information.</w:t>
            </w:r>
          </w:p>
        </w:tc>
      </w:tr>
      <w:tr>
        <w:trPr>
          <w:trHeight w:val="75" w:hRule="atLeast"/>
        </w:trPr>
        <w:tc>
          <w:tcPr>
            <w:tcW w:w="5141" w:type="dxa"/>
            <w:tcBorders/>
            <w:vAlign w:val="center"/>
          </w:tcPr>
          <w:p>
            <w:pPr>
              <w:pStyle w:val="TableContents"/>
              <w:bidi w:val="0"/>
              <w:spacing w:before="0" w:after="283"/>
              <w:jc w:val="left"/>
              <w:rPr>
                <w:sz w:val="4"/>
                <w:szCs w:val="4"/>
              </w:rPr>
            </w:pPr>
            <w:r>
              <w:rPr>
                <w:sz w:val="4"/>
                <w:szCs w:val="4"/>
              </w:rPr>
            </w:r>
          </w:p>
        </w:tc>
        <w:tc>
          <w:tcPr>
            <w:tcW w:w="5064" w:type="dxa"/>
            <w:gridSpan w:val="2"/>
            <w:tcBorders/>
            <w:vAlign w:val="center"/>
          </w:tcPr>
          <w:p>
            <w:pPr>
              <w:pStyle w:val="TableContents"/>
              <w:bidi w:val="0"/>
              <w:spacing w:before="0" w:after="283"/>
              <w:jc w:val="left"/>
              <w:rPr>
                <w:sz w:val="4"/>
                <w:szCs w:val="4"/>
              </w:rPr>
            </w:pPr>
            <w:r>
              <w:rPr>
                <w:sz w:val="4"/>
                <w:szCs w:val="4"/>
              </w:rPr>
            </w:r>
          </w:p>
        </w:tc>
      </w:tr>
      <w:tr>
        <w:trPr/>
        <w:tc>
          <w:tcPr>
            <w:tcW w:w="5141" w:type="dxa"/>
            <w:tcBorders/>
          </w:tcPr>
          <w:p>
            <w:pPr>
              <w:pStyle w:val="TableContents"/>
              <w:bidi w:val="0"/>
              <w:spacing w:before="0" w:after="0"/>
              <w:jc w:val="left"/>
              <w:rPr>
                <w:rFonts w:ascii="Times New Roman" w:hAnsi="Times New Roman"/>
                <w:sz w:val="20"/>
              </w:rPr>
            </w:pPr>
            <w:r>
              <w:rPr>
                <w:rFonts w:ascii="Times New Roman" w:hAnsi="Times New Roman"/>
                <w:sz w:val="20"/>
              </w:rPr>
              <w:t>Risk factors</w:t>
            </w:r>
          </w:p>
        </w:tc>
        <w:tc>
          <w:tcPr>
            <w:tcW w:w="122" w:type="dxa"/>
            <w:tcBorders/>
            <w:vAlign w:val="bottom"/>
          </w:tcPr>
          <w:p>
            <w:pPr>
              <w:pStyle w:val="TableContents"/>
              <w:bidi w:val="0"/>
              <w:spacing w:before="0" w:after="283"/>
              <w:jc w:val="left"/>
              <w:rPr/>
            </w:pPr>
            <w:r>
              <w:rPr/>
              <w:t>  </w:t>
            </w:r>
          </w:p>
        </w:tc>
        <w:tc>
          <w:tcPr>
            <w:tcW w:w="4942" w:type="dxa"/>
            <w:tcBorders/>
          </w:tcPr>
          <w:p>
            <w:pPr>
              <w:pStyle w:val="TableContents"/>
              <w:bidi w:val="0"/>
              <w:spacing w:before="0" w:after="0"/>
              <w:jc w:val="both"/>
              <w:rPr>
                <w:rFonts w:ascii="Times New Roman" w:hAnsi="Times New Roman"/>
                <w:sz w:val="20"/>
              </w:rPr>
            </w:pPr>
            <w:r>
              <w:rPr>
                <w:rFonts w:ascii="Times New Roman" w:hAnsi="Times New Roman"/>
                <w:sz w:val="20"/>
              </w:rPr>
              <w:t>You should carefully read the section titled Risk Factors beginning on page 22 and the other information included in this prospectus for a discussion of facts that you should consider before deciding to invest in shares of our Class A common stock.</w:t>
            </w:r>
          </w:p>
        </w:tc>
      </w:tr>
      <w:tr>
        <w:trPr>
          <w:trHeight w:val="75" w:hRule="atLeast"/>
        </w:trPr>
        <w:tc>
          <w:tcPr>
            <w:tcW w:w="5141" w:type="dxa"/>
            <w:tcBorders/>
            <w:vAlign w:val="center"/>
          </w:tcPr>
          <w:p>
            <w:pPr>
              <w:pStyle w:val="TableContents"/>
              <w:bidi w:val="0"/>
              <w:spacing w:before="0" w:after="283"/>
              <w:jc w:val="left"/>
              <w:rPr>
                <w:sz w:val="4"/>
                <w:szCs w:val="4"/>
              </w:rPr>
            </w:pPr>
            <w:r>
              <w:rPr>
                <w:sz w:val="4"/>
                <w:szCs w:val="4"/>
              </w:rPr>
            </w:r>
          </w:p>
        </w:tc>
        <w:tc>
          <w:tcPr>
            <w:tcW w:w="5064" w:type="dxa"/>
            <w:gridSpan w:val="2"/>
            <w:tcBorders/>
            <w:vAlign w:val="center"/>
          </w:tcPr>
          <w:p>
            <w:pPr>
              <w:pStyle w:val="TableContents"/>
              <w:bidi w:val="0"/>
              <w:spacing w:before="0" w:after="283"/>
              <w:jc w:val="left"/>
              <w:rPr>
                <w:sz w:val="4"/>
                <w:szCs w:val="4"/>
              </w:rPr>
            </w:pPr>
            <w:r>
              <w:rPr>
                <w:sz w:val="4"/>
                <w:szCs w:val="4"/>
              </w:rPr>
            </w:r>
          </w:p>
        </w:tc>
      </w:tr>
      <w:tr>
        <w:trPr/>
        <w:tc>
          <w:tcPr>
            <w:tcW w:w="5141" w:type="dxa"/>
            <w:tcBorders/>
          </w:tcPr>
          <w:p>
            <w:pPr>
              <w:pStyle w:val="TableContents"/>
              <w:bidi w:val="0"/>
              <w:spacing w:before="0" w:after="0"/>
              <w:jc w:val="left"/>
              <w:rPr>
                <w:rFonts w:ascii="Times New Roman" w:hAnsi="Times New Roman"/>
                <w:sz w:val="20"/>
              </w:rPr>
            </w:pPr>
            <w:r>
              <w:rPr>
                <w:rFonts w:ascii="Times New Roman" w:hAnsi="Times New Roman"/>
                <w:sz w:val="20"/>
              </w:rPr>
              <w:t>Proposed trading symbol</w:t>
            </w:r>
          </w:p>
        </w:tc>
        <w:tc>
          <w:tcPr>
            <w:tcW w:w="122" w:type="dxa"/>
            <w:tcBorders/>
            <w:vAlign w:val="bottom"/>
          </w:tcPr>
          <w:p>
            <w:pPr>
              <w:pStyle w:val="TableContents"/>
              <w:bidi w:val="0"/>
              <w:spacing w:before="0" w:after="283"/>
              <w:jc w:val="left"/>
              <w:rPr/>
            </w:pPr>
            <w:r>
              <w:rPr/>
              <w:t>  </w:t>
            </w:r>
          </w:p>
        </w:tc>
        <w:tc>
          <w:tcPr>
            <w:tcW w:w="4942" w:type="dxa"/>
            <w:tcBorders/>
          </w:tcPr>
          <w:p>
            <w:pPr>
              <w:pStyle w:val="TableContents"/>
              <w:bidi w:val="0"/>
              <w:spacing w:before="0" w:after="0"/>
              <w:jc w:val="left"/>
              <w:rPr>
                <w:rFonts w:ascii="Times New Roman" w:hAnsi="Times New Roman"/>
                <w:sz w:val="20"/>
              </w:rPr>
            </w:pPr>
            <w:r>
              <w:rPr>
                <w:rFonts w:ascii="Times New Roman" w:hAnsi="Times New Roman"/>
                <w:sz w:val="20"/>
              </w:rPr>
              <w:t>TIME</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Class A common stock and Class B common stock that will be outstanding immediately after this offering as noted above is based on                shares of Class A common stock and no shares of Class B common stock outstanding as of                ,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vesting and settlement of restricted stock units, or RSUs, outstanding as of                 under our Third Amended and Restated 2015 Stock Plan, as amended, or 2015 Plan, for which the performance-based vesting condition will be satisfied in connection with this offering, but for which the service-based vesting condition will not be satisfied on or before the date of this offering; </w:t>
            </w:r>
          </w:p>
        </w:tc>
      </w:tr>
    </w:tbl>
    <w:p>
      <w:pPr>
        <w:pStyle w:val="TextBody"/>
        <w:bidi w:val="0"/>
        <w:spacing w:before="0" w:after="0"/>
        <w:jc w:val="left"/>
        <w:rPr>
          <w:bdr w:val="single" w:sz="8" w:space="1" w:color="000000"/>
        </w:rPr>
      </w:pPr>
      <w:r>
        <w:rPr>
          <w:bdr w:val="single" w:sz="8" w:space="1" w:color="000000"/>
        </w:rPr>
        <w:t>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vesting and settlement of RSUs granted after                 under the 2015 Plan for which the performance-based vesting condition will be satisfied in connection with this offering, but for which the service-based vesting condition will not be satisfied on or before the date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pPr>
            <w:r>
              <w:rPr/>
              <w:t>                </w:t>
            </w:r>
            <w:r>
              <w:rPr>
                <w:rFonts w:ascii="Times New Roman" w:hAnsi="Times New Roman"/>
                <w:sz w:val="20"/>
              </w:rPr>
              <w:t xml:space="preserve">shares of Class A common stock that may become issuable upon the vesting and settlement of Performance-Vesting Restricted Stock Units, or PSUs, outstanding as of                , 2021 under our 2015 Plan, for which the performance-based vesting condition may be satisfied in connection with this offering, but for which the service-based vesting condition will not be satisfied on or before the date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reserved for future issuance under our 2021 Equity Incentive Plan, or 2021 Plan, plus a number of shares of Class A common stock not to exceed                  (consisting of the number of shares that remain available under the 2015 Plan as of immediately prior to the effective date of the 2021 Plan, and any shares underlying RSUs outstanding under the 2015 Plan that expire or otherwise terminate prior to settlement after the effective date of the 2021 Plan), as well as any future increases, including annual automatic evergreen increases, in the number of shares of Class A common stock reserved for issuance under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exercise of a stock option outstanding as of                under the 2015 Plan, with an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 to                shares of Class A common stock issuable upon conversion of an outstanding convertible promissory note, which is convertible beginning in March 2026, as more fully described in the section of this prospectus titled Description of Capital StockConvertible Promissory Note;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expected issuance on or around December 9, 2022 of 145,466 shares of Class A common stock to former stockholders of AKESOgen, Inc. in connection with our purchase of all of the outstanding shares of AKESOgen, Inc. See Note 3 to our consolidated financial statements included elsewhere in this prospectus.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In addition, unless we specifically state otherwise, the information in this prospectus (except for the historical financial statements and the related discussion of such financial information)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-for-one forward stock split of our Class A common stock to be effected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filing of our amended and restated certificate of incorporation and the effectiveness of our amended and restated bylaws, each of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conversion on a one-for one basis of all outstanding shares of our Series B redeemable convertible preferred stock into an aggregate of                shares of Class B common stock,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conversion on a one-for-one basis of all outstanding shares of redeemable convertible preferred stock, other than our Series B redeemable convertible preferred stock, into an aggregate of                shares of Class A common stock,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additional shares of Class A common stock, which we refer to as the Additional Class A Conversion Shares, upon the conversion of all outstanding shares of our redeemable convertible preferred stock and immediately prior to the closing of this offering, pursuant to provisions of our certificate of incorporation as currently in effect, assuming an initial public offering price of $         per share, the midpoint of the estimated price range set forth on the cover page of this prospectus; </w:t>
            </w:r>
          </w:p>
        </w:tc>
      </w:tr>
    </w:tbl>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shares of Class A common stock upon the settlement of RSUs outstanding as of                 under our 2015 Plan for which the performance-based vesting condition will be satisfied in connection with this offering and for which any service-based vesting condition was satisfied on or before the date of this offering, which settlement will be effected upon the earlier of (i) the expiration of the lock-up period in connection with this offering and (ii) March 15,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conversion of all outstanding shares of our nonvoting common stock into                shares of Class A common stock,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the underwriters option to purchase up to                additional shares of Class A common stock from the selling stockholders in this offering to cover over-allotments,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exercise of options or settlement of outstanding RSUs except as described above.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Additional Class A Conversion Shares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 stock. As of the date of this prospectus, shares of redeemable convertible preferred stock have accrued approximately $                million in unpaid dividends, which we expect to pay in shares of our common stock. As a result, at the closing of this offering, we expect to issue the Additional Class A Conversion Shares to holders of shares of our redeemable convertible preferred stock. The number of Additional Class A Conversion Shares to be 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 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 </w:t>
      </w:r>
    </w:p>
    <w:p>
      <w:pPr>
        <w:pStyle w:val="TextBody"/>
        <w:bidi w:val="0"/>
        <w:spacing w:before="0" w:after="0"/>
        <w:jc w:val="left"/>
        <w:rPr>
          <w:bdr w:val="single" w:sz="8" w:space="1" w:color="000000"/>
        </w:rPr>
      </w:pPr>
      <w:r>
        <w:rPr>
          <w:bdr w:val="single" w:sz="8" w:space="1" w:color="000000"/>
        </w:rPr>
        <w:t> </w:t>
      </w:r>
    </w:p>
    <w:tbl>
      <w:tblPr>
        <w:tblW w:w="4250" w:type="pct"/>
        <w:jc w:val="center"/>
        <w:tblInd w:w="0" w:type="dxa"/>
        <w:tblLayout w:type="fixed"/>
        <w:tblCellMar>
          <w:top w:w="0" w:type="dxa"/>
          <w:left w:w="0" w:type="dxa"/>
          <w:bottom w:w="0" w:type="dxa"/>
          <w:right w:w="0" w:type="dxa"/>
        </w:tblCellMar>
      </w:tblPr>
      <w:tblGrid>
        <w:gridCol w:w="1624"/>
        <w:gridCol w:w="447"/>
        <w:gridCol w:w="1942"/>
        <w:gridCol w:w="447"/>
        <w:gridCol w:w="1882"/>
        <w:gridCol w:w="447"/>
        <w:gridCol w:w="1885"/>
      </w:tblGrid>
      <w:tr>
        <w:trPr/>
        <w:tc>
          <w:tcPr>
            <w:tcW w:w="1624"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162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Assumed Initial Public</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Offering Price ($)</w:t>
            </w:r>
          </w:p>
        </w:tc>
        <w:tc>
          <w:tcPr>
            <w:tcW w:w="447" w:type="dxa"/>
            <w:tcBorders/>
            <w:vAlign w:val="bottom"/>
          </w:tcPr>
          <w:p>
            <w:pPr>
              <w:pStyle w:val="TableContents"/>
              <w:bidi w:val="0"/>
              <w:spacing w:before="0" w:after="283"/>
              <w:jc w:val="left"/>
              <w:rPr/>
            </w:pPr>
            <w:r>
              <w:rPr/>
              <w:t>  </w:t>
            </w:r>
          </w:p>
        </w:tc>
        <w:tc>
          <w:tcPr>
            <w:tcW w:w="1942" w:type="dxa"/>
            <w:tcBorders>
              <w:bottom w:val="single" w:sz="8" w:space="0" w:color="000000"/>
            </w:tcBorders>
            <w:tcMar>
              <w:bottom w:w="28" w:type="dxa"/>
            </w:tcMar>
            <w:vAlign w:val="bottom"/>
          </w:tcPr>
          <w:p>
            <w:pPr>
              <w:pStyle w:val="TableContents"/>
              <w:bidi w:val="0"/>
              <w:spacing w:before="0" w:after="283"/>
              <w:jc w:val="center"/>
              <w:rPr>
                <w:b/>
              </w:rPr>
            </w:pPr>
            <w:r>
              <w:rPr>
                <w:b/>
              </w:rPr>
              <w:t>Additional Class A</w:t>
              <w:br/>
              <w:t>Conversion Shares</w:t>
            </w:r>
          </w:p>
        </w:tc>
        <w:tc>
          <w:tcPr>
            <w:tcW w:w="447" w:type="dxa"/>
            <w:tcBorders/>
            <w:vAlign w:val="bottom"/>
          </w:tcPr>
          <w:p>
            <w:pPr>
              <w:pStyle w:val="TableContents"/>
              <w:bidi w:val="0"/>
              <w:spacing w:before="0" w:after="283"/>
              <w:jc w:val="left"/>
              <w:rPr/>
            </w:pPr>
            <w:r>
              <w:rPr/>
              <w:t>  </w:t>
            </w:r>
          </w:p>
        </w:tc>
        <w:tc>
          <w:tcPr>
            <w:tcW w:w="1882" w:type="dxa"/>
            <w:tcBorders>
              <w:bottom w:val="single" w:sz="8" w:space="0" w:color="000000"/>
            </w:tcBorders>
            <w:tcMar>
              <w:bottom w:w="28" w:type="dxa"/>
            </w:tcMar>
            <w:vAlign w:val="bottom"/>
          </w:tcPr>
          <w:p>
            <w:pPr>
              <w:pStyle w:val="TableContents"/>
              <w:bidi w:val="0"/>
              <w:spacing w:before="0" w:after="283"/>
              <w:jc w:val="center"/>
              <w:rPr/>
            </w:pPr>
            <w:r>
              <w:rPr>
                <w:b/>
              </w:rPr>
              <w:t>Estimated Total</w:t>
              <w:br/>
              <w:t>Shares of</w:t>
            </w:r>
            <w:r>
              <w:rPr/>
              <w:br/>
            </w:r>
            <w:r>
              <w:rPr>
                <w:b/>
              </w:rPr>
              <w:t>Class A Common</w:t>
              <w:br/>
              <w:t>Stock</w:t>
              <w:br/>
              <w:t>Outstanding After</w:t>
              <w:br/>
              <w:t>this Offering</w:t>
            </w:r>
          </w:p>
        </w:tc>
        <w:tc>
          <w:tcPr>
            <w:tcW w:w="447" w:type="dxa"/>
            <w:tcBorders/>
            <w:vAlign w:val="bottom"/>
          </w:tcPr>
          <w:p>
            <w:pPr>
              <w:pStyle w:val="TableContents"/>
              <w:bidi w:val="0"/>
              <w:spacing w:before="0" w:after="283"/>
              <w:jc w:val="left"/>
              <w:rPr/>
            </w:pPr>
            <w:r>
              <w:rPr/>
              <w:t>  </w:t>
            </w:r>
          </w:p>
        </w:tc>
        <w:tc>
          <w:tcPr>
            <w:tcW w:w="1885" w:type="dxa"/>
            <w:tcBorders>
              <w:bottom w:val="single" w:sz="8" w:space="0" w:color="000000"/>
            </w:tcBorders>
            <w:tcMar>
              <w:bottom w:w="28" w:type="dxa"/>
            </w:tcMar>
            <w:vAlign w:val="bottom"/>
          </w:tcPr>
          <w:p>
            <w:pPr>
              <w:pStyle w:val="TableContents"/>
              <w:bidi w:val="0"/>
              <w:spacing w:before="0" w:after="283"/>
              <w:jc w:val="center"/>
              <w:rPr/>
            </w:pPr>
            <w:r>
              <w:rPr>
                <w:b/>
              </w:rPr>
              <w:t>Estimated Total</w:t>
              <w:br/>
              <w:t>Shares of</w:t>
            </w:r>
            <w:r>
              <w:rPr/>
              <w:br/>
            </w:r>
            <w:r>
              <w:rPr>
                <w:b/>
              </w:rPr>
              <w:t>Class B Common</w:t>
              <w:br/>
              <w:t>Stock</w:t>
              <w:br/>
              <w:t>Outstanding After</w:t>
              <w:br/>
              <w:t>this Offering</w:t>
            </w:r>
          </w:p>
        </w:tc>
      </w:tr>
    </w:tbl>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summary consolidated statement of operations data for the years ended December 31, 2019 and 2020 have been derived from our audited consolidated financial statements included elsewhere in this prospectus. The summary consolidated statements of operations data for the six months ended June 30, 2020 and 2021 and the summary consolidated balance sheet data as of June 30, 2021 have been derived from our unaudited interim consolidated financial statements included elsewhere in this prospectus. The unaudited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637"/>
        <w:gridCol w:w="205"/>
        <w:gridCol w:w="153"/>
        <w:gridCol w:w="941"/>
        <w:gridCol w:w="162"/>
        <w:gridCol w:w="167"/>
        <w:gridCol w:w="153"/>
        <w:gridCol w:w="941"/>
        <w:gridCol w:w="155"/>
        <w:gridCol w:w="167"/>
        <w:gridCol w:w="140"/>
        <w:gridCol w:w="876"/>
        <w:gridCol w:w="162"/>
        <w:gridCol w:w="167"/>
        <w:gridCol w:w="140"/>
        <w:gridCol w:w="877"/>
        <w:gridCol w:w="162"/>
      </w:tblGrid>
      <w:tr>
        <w:trPr/>
        <w:tc>
          <w:tcPr>
            <w:tcW w:w="4637"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5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Months Ended June 30,</w:t>
            </w:r>
          </w:p>
        </w:tc>
        <w:tc>
          <w:tcPr>
            <w:tcW w:w="162"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201" w:type="dxa"/>
            <w:gridSpan w:val="14"/>
            <w:tcBorders/>
            <w:vAlign w:val="bottom"/>
          </w:tcPr>
          <w:p>
            <w:pPr>
              <w:pStyle w:val="TableContents"/>
              <w:bidi w:val="0"/>
              <w:spacing w:before="0" w:after="283"/>
              <w:jc w:val="center"/>
              <w:rPr>
                <w:b/>
              </w:rPr>
            </w:pPr>
            <w:r>
              <w:rPr>
                <w:b/>
              </w:rPr>
              <w:t>(in thousands, except share and per share data)</w:t>
            </w:r>
          </w:p>
        </w:tc>
        <w:tc>
          <w:tcPr>
            <w:tcW w:w="162"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 Data:</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Genomics</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27,890</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151,911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26,145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112,900</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Data and Other</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34,167</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36,093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10,274</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19,195</w:t>
            </w:r>
          </w:p>
        </w:tc>
        <w:tc>
          <w:tcPr>
            <w:tcW w:w="162"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62,057</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188,004</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36,419</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132,095</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Cost and operating expenses:</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 genomics</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39,685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152,198</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34,058</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97,503</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 data and other</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6,330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7,092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2,889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4,917</w:t>
            </w:r>
          </w:p>
        </w:tc>
        <w:tc>
          <w:tcPr>
            <w:tcW w:w="162"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25,608</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45,861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20,895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32,293</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31,253</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45,415</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20,625</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27,791</w:t>
            </w:r>
          </w:p>
        </w:tc>
        <w:tc>
          <w:tcPr>
            <w:tcW w:w="162"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78,962</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130,892</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57,058</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93,899</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Total cost and operating expenses</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181,838</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381,458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135,525</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256,403</w:t>
            </w:r>
          </w:p>
        </w:tc>
        <w:tc>
          <w:tcPr>
            <w:tcW w:w="162"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(119,781</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(193,454</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(99,106</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(124,308</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4,860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1,495</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919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356</w:t>
            </w:r>
          </w:p>
        </w:tc>
        <w:tc>
          <w:tcPr>
            <w:tcW w:w="162"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(28</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(18,929</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(7,562</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(expenses), net</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(466</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(7</w:t>
            </w:r>
          </w:p>
        </w:tc>
        <w:tc>
          <w:tcPr>
            <w:tcW w:w="162"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(114,951</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(211,354</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(98,202</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(131,521</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(losses) from equity method investments</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1,500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(348</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(114,951</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(209,854</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(98,202</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7" w:type="dxa"/>
            <w:tcBorders/>
            <w:vAlign w:val="bottom"/>
          </w:tcPr>
          <w:p>
            <w:pPr>
              <w:pStyle w:val="TableContents"/>
              <w:bidi w:val="0"/>
              <w:spacing w:before="0" w:after="283"/>
              <w:jc w:val="right"/>
              <w:rPr/>
            </w:pPr>
            <w:r>
              <w:rPr/>
              <w:t>(131,869</w:t>
            </w:r>
          </w:p>
        </w:tc>
        <w:tc>
          <w:tcPr>
            <w:tcW w:w="162"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convertible preferred stock to redemption value</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(7,303</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(7,381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(3,203</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(106</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Dividends on Series A, B, B-1, B-2, C, D, E, F and G preferred shares</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(23,640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(34,420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(16,625</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(18,461</w:t>
            </w:r>
          </w:p>
        </w:tc>
        <w:tc>
          <w:tcPr>
            <w:tcW w:w="162"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Cumulative Undeclared Dividends on Series C preferred shares</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(2,250</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(2,250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(1,125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(1,125</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Net loss available to common shareholders, basic and diluted</w:t>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(148,144</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(253,905</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(119,155</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7" w:type="dxa"/>
            <w:tcBorders/>
            <w:vAlign w:val="bottom"/>
          </w:tcPr>
          <w:p>
            <w:pPr>
              <w:pStyle w:val="TableContents"/>
              <w:bidi w:val="0"/>
              <w:spacing w:before="0" w:after="283"/>
              <w:jc w:val="right"/>
              <w:rPr/>
            </w:pPr>
            <w:r>
              <w:rPr/>
              <w:t>(151,561</w:t>
            </w:r>
          </w:p>
        </w:tc>
        <w:tc>
          <w:tcPr>
            <w:tcW w:w="162"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shareholders, basic and diluted</w:t>
            </w:r>
          </w:p>
        </w:tc>
        <w:tc>
          <w:tcPr>
            <w:tcW w:w="20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(2.41</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(4.05</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(1.90</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7" w:type="dxa"/>
            <w:tcBorders/>
            <w:shd w:fill="CCEEFF" w:val="clear"/>
            <w:vAlign w:val="bottom"/>
          </w:tcPr>
          <w:p>
            <w:pPr>
              <w:pStyle w:val="TableContents"/>
              <w:bidi w:val="0"/>
              <w:spacing w:before="0" w:after="283"/>
              <w:jc w:val="right"/>
              <w:rPr/>
            </w:pPr>
            <w:r>
              <w:rPr/>
              <w:t>(2.41</w:t>
            </w:r>
          </w:p>
        </w:tc>
        <w:tc>
          <w:tcPr>
            <w:tcW w:w="162"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611"/>
        <w:gridCol w:w="213"/>
        <w:gridCol w:w="60"/>
        <w:gridCol w:w="774"/>
        <w:gridCol w:w="60"/>
        <w:gridCol w:w="213"/>
        <w:gridCol w:w="140"/>
        <w:gridCol w:w="774"/>
        <w:gridCol w:w="60"/>
        <w:gridCol w:w="213"/>
        <w:gridCol w:w="60"/>
        <w:gridCol w:w="774"/>
        <w:gridCol w:w="60"/>
        <w:gridCol w:w="212"/>
        <w:gridCol w:w="140"/>
        <w:gridCol w:w="774"/>
        <w:gridCol w:w="67"/>
      </w:tblGrid>
      <w:tr>
        <w:trPr/>
        <w:tc>
          <w:tcPr>
            <w:tcW w:w="5611"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Months Ended June 30,</w:t>
            </w:r>
          </w:p>
        </w:tc>
        <w:tc>
          <w:tcPr>
            <w:tcW w:w="67" w:type="dxa"/>
            <w:tcBorders/>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7" w:type="dxa"/>
            <w:tcBorders/>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314" w:type="dxa"/>
            <w:gridSpan w:val="14"/>
            <w:tcBorders/>
            <w:vAlign w:val="bottom"/>
          </w:tcPr>
          <w:p>
            <w:pPr>
              <w:pStyle w:val="TableContents"/>
              <w:bidi w:val="0"/>
              <w:spacing w:before="0" w:after="283"/>
              <w:jc w:val="center"/>
              <w:rPr>
                <w:b/>
              </w:rPr>
            </w:pPr>
            <w:r>
              <w:rPr>
                <w:b/>
              </w:rPr>
              <w:t>(in thousands, except share and per share data)</w:t>
            </w:r>
          </w:p>
        </w:tc>
        <w:tc>
          <w:tcPr>
            <w:tcW w:w="67" w:type="dxa"/>
            <w:tcBorders/>
            <w:vAlign w:val="bottom"/>
          </w:tcPr>
          <w:p>
            <w:pPr>
              <w:pStyle w:val="TableContents"/>
              <w:bidi w:val="0"/>
              <w:spacing w:before="0" w:after="283"/>
              <w:jc w:val="left"/>
              <w:rPr/>
            </w:pPr>
            <w:r>
              <w:rPr/>
              <w:t> </w:t>
            </w:r>
          </w:p>
        </w:tc>
      </w:tr>
      <w:tr>
        <w:trPr/>
        <w:tc>
          <w:tcPr>
            <w:tcW w:w="5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to compute net loss per share attributable to common stockholders, basic and diluted(1)</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61,347</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62,706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62,726</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62,969</w:t>
            </w:r>
          </w:p>
        </w:tc>
        <w:tc>
          <w:tcPr>
            <w:tcW w:w="67" w:type="dxa"/>
            <w:tcBorders/>
            <w:shd w:fill="CCEEFF" w:val="clear"/>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11"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 per share attributable to common stockholders, basic and diluted(2)</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used to compute pro forma net loss per share attributable to common stockholders, basic and diluted(2)</w:t>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611"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See Notes 2 and 11 to our consolidated financial statements included elsewhere in this prospectus for an explanation of the calculations of our basic and diluted net loss per share attributable to common stockholders.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 forma net loss per share gives effect to (a) the automatic conversion of all of our outstanding shares of Series B redeemable convertible preferred stock into                shares of Class B common stock, which will occur immediately prior to the closing of this offering, (b) the automatic conversion of all of our outstanding shares of redeemable convertible preferred stock, other than our Series B preferred stock, into                shares of Class A common stock, which will occur immediately prior to the closing of this offering, (c) the issuance of the Additional Class A Conversion Shares, which will occur upon the conversion of all outstanding shares of our redeemable convertible preferred stock and immediately prior to the closing of this offering, (d) the automatic conversion of all of our nonvoting common stock into                shares of Class A common stock, which will occur immediately prior to the closing of this offering, (e) the issuance of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later of (i) the expiration of the lock-up period in connection with this offering and (ii) March 15, 2022, and (f) stock-based compensation expense of approximately $                million related to the vesting of RSUs subject to service-based and performance-based vesting conditions that will be satisfied upon consummation of this offering, as further described in Note 9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423"/>
        <w:gridCol w:w="418"/>
        <w:gridCol w:w="140"/>
        <w:gridCol w:w="894"/>
        <w:gridCol w:w="155"/>
        <w:gridCol w:w="370"/>
        <w:gridCol w:w="161"/>
        <w:gridCol w:w="628"/>
        <w:gridCol w:w="60"/>
        <w:gridCol w:w="418"/>
        <w:gridCol w:w="287"/>
        <w:gridCol w:w="1185"/>
        <w:gridCol w:w="66"/>
      </w:tblGrid>
      <w:tr>
        <w:trPr/>
        <w:tc>
          <w:tcPr>
            <w:tcW w:w="5423"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423"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429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June 30, 2021</w:t>
            </w:r>
          </w:p>
        </w:tc>
        <w:tc>
          <w:tcPr>
            <w:tcW w:w="66" w:type="dxa"/>
            <w:tcBorders/>
            <w:vAlign w:val="bottom"/>
          </w:tcPr>
          <w:p>
            <w:pPr>
              <w:pStyle w:val="TableContents"/>
              <w:bidi w:val="0"/>
              <w:spacing w:before="0" w:after="283"/>
              <w:jc w:val="left"/>
              <w:rPr/>
            </w:pPr>
            <w:r>
              <w:rPr/>
              <w:t> </w:t>
            </w:r>
          </w:p>
        </w:tc>
      </w:tr>
      <w:tr>
        <w:trPr/>
        <w:tc>
          <w:tcPr>
            <w:tcW w:w="5423"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Forma(1)</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Adjusted(2)(3)</w:t>
            </w:r>
          </w:p>
        </w:tc>
        <w:tc>
          <w:tcPr>
            <w:tcW w:w="66" w:type="dxa"/>
            <w:tcBorders/>
            <w:vAlign w:val="bottom"/>
          </w:tcPr>
          <w:p>
            <w:pPr>
              <w:pStyle w:val="TableContents"/>
              <w:bidi w:val="0"/>
              <w:spacing w:before="0" w:after="283"/>
              <w:jc w:val="left"/>
              <w:rPr/>
            </w:pPr>
            <w:r>
              <w:rPr/>
              <w:t> </w:t>
            </w:r>
          </w:p>
        </w:tc>
      </w:tr>
      <w:tr>
        <w:trPr/>
        <w:tc>
          <w:tcPr>
            <w:tcW w:w="5423"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4298" w:type="dxa"/>
            <w:gridSpan w:val="10"/>
            <w:tcBorders/>
            <w:vAlign w:val="bottom"/>
          </w:tcPr>
          <w:p>
            <w:pPr>
              <w:pStyle w:val="TableContents"/>
              <w:bidi w:val="0"/>
              <w:spacing w:before="0" w:after="283"/>
              <w:jc w:val="center"/>
              <w:rPr>
                <w:b/>
              </w:rPr>
            </w:pPr>
            <w:r>
              <w:rPr>
                <w:b/>
              </w:rPr>
              <w:t>(in thousands)</w:t>
            </w:r>
          </w:p>
        </w:tc>
        <w:tc>
          <w:tcPr>
            <w:tcW w:w="66" w:type="dxa"/>
            <w:tcBorders/>
            <w:vAlign w:val="bottom"/>
          </w:tcPr>
          <w:p>
            <w:pPr>
              <w:pStyle w:val="TableContents"/>
              <w:bidi w:val="0"/>
              <w:spacing w:before="0" w:after="283"/>
              <w:jc w:val="left"/>
              <w:rPr/>
            </w:pPr>
            <w:r>
              <w:rPr/>
              <w:t> </w:t>
            </w:r>
          </w:p>
        </w:tc>
      </w:tr>
      <w:tr>
        <w:trPr/>
        <w:tc>
          <w:tcPr>
            <w:tcW w:w="54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2578" w:type="dxa"/>
            <w:gridSpan w:val="5"/>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42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423,178</w:t>
            </w:r>
          </w:p>
        </w:tc>
        <w:tc>
          <w:tcPr>
            <w:tcW w:w="15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sz w:val="4"/>
                <w:szCs w:val="4"/>
              </w:rPr>
            </w:pPr>
            <w:r>
              <w:rPr>
                <w:sz w:val="4"/>
                <w:szCs w:val="4"/>
              </w:rPr>
            </w:r>
          </w:p>
        </w:tc>
      </w:tr>
      <w:tr>
        <w:trPr/>
        <w:tc>
          <w:tcPr>
            <w:tcW w:w="54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604,186</w:t>
            </w:r>
          </w:p>
        </w:tc>
        <w:tc>
          <w:tcPr>
            <w:tcW w:w="15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423"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capital(4)</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407,528</w:t>
            </w:r>
          </w:p>
        </w:tc>
        <w:tc>
          <w:tcPr>
            <w:tcW w:w="15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4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4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883,805</w:t>
            </w:r>
          </w:p>
        </w:tc>
        <w:tc>
          <w:tcPr>
            <w:tcW w:w="155"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118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423"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4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(662,849</w:t>
            </w:r>
          </w:p>
        </w:tc>
        <w:tc>
          <w:tcPr>
            <w:tcW w:w="155"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sz w:val="4"/>
                <w:szCs w:val="4"/>
              </w:rPr>
            </w:pPr>
            <w:r>
              <w:rPr>
                <w:sz w:val="4"/>
                <w:szCs w:val="4"/>
              </w:rPr>
            </w:r>
          </w:p>
        </w:tc>
        <w:tc>
          <w:tcPr>
            <w:tcW w:w="118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 forma consolidated balance sheet data gives effect to (a) the automatic conversion of all of our outstanding shares of Series B redeemable convertible preferred stock into                shares of Class B common stock, which will occur immediately prior to the closing of this offering, (b) the automatic conversion of all of our outstanding shares of redeemable convertible preferred stock, other than our Series B preferred stock, into                shares of Class A common stock, which will occur immediately prior to the closing of this offering, (c) the issuance of the Additional Class A Conversion Shares, which will </w:t>
            </w:r>
          </w:p>
        </w:tc>
      </w:tr>
    </w:tbl>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occur upon the conversion of all outstanding shares of our redeemable convertible preferred stock and immediately prior to the closing of this offering, (d) the automatic conversion of all of our nonvoting common stock into                shares of Class A common stock, which will occur immediately prior to the closing of this offering, (e) the filing and effectiveness of our amended and restated certificate of incorporation, which will occur immediately prior to the closing of this offering, (f) the issuance of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later of (i) the expiration of the lock-up period in connection with this offering and (ii) March 15, 2022, and (g) stock-based compensation expense of approximately $                million related to the vesting of RSUs subject to service-based and performance-based vesting conditions that will be satisfied upon consummation of this offering, as further described in Note 9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pro forma as adjusted consolidated balance sheet data reflects (a) the pro forma adjustments set forth in footnote (1) above and (b) our receipt of $                million in net proceeds from the sale of shares of Class A common stock that we are offering at an assumed initial public offering price of $                per share, the midpoint of the estimated price range set forth on the cover page of this prospectus, after deducting the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$1.00 increase (decrease) in the assumed initial public offering price of $                per share, the midpoint of the estimated price range set forth on the cover page of this prospectus, would increase (decrease) each of our pro forma as adjusted cash, cash equivalents and restricted cash, total 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 total stockholders (deficit) equity by $                million, assuming the assumed initial public offering price of $                per share of Class A common stock remains the same, and after deducting the estimated underwriting discounts and commissions.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Working capital is defined as current assets less current liabilities. </w:t>
            </w:r>
          </w:p>
        </w:tc>
      </w:tr>
    </w:tbl>
    <w:p>
      <w:pPr>
        <w:pStyle w:val="TextBody"/>
        <w:bidi w:val="0"/>
        <w:spacing w:before="0" w:after="0"/>
        <w:jc w:val="left"/>
        <w:rPr>
          <w:bdr w:val="single" w:sz="8" w:space="1" w:color="000000"/>
        </w:rPr>
      </w:pPr>
      <w:r>
        <w:rPr>
          <w:bdr w:val="single" w:sz="8" w:space="1" w:color="000000"/>
        </w:rPr>
        <w:t> </w:t>
      </w:r>
    </w:p>
    <w:p>
      <w:pPr>
        <w:pStyle w:val="TextBody"/>
        <w:bidi w:val="0"/>
        <w:jc w:val="left"/>
        <w:rPr>
          <w:bdr w:val="single" w:sz="8" w:space="1" w:color="000000"/>
        </w:rPr>
      </w:pPr>
      <w:r>
        <w:rPr>
          <w:bdr w:val="single" w:sz="8" w:space="1" w:color="000000"/>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rom221145_3"/>
      <w:bookmarkEnd w:id="5"/>
      <w:r>
        <w:rPr>
          <w:rFonts w:ascii="Times New Roman" w:hAnsi="Times New Roman"/>
          <w:b/>
          <w:sz w:val="20"/>
        </w:rPr>
        <w:t xml:space="preserve">RISK FACTORS </w:t>
      </w:r>
    </w:p>
    <w:p>
      <w:pPr>
        <w:pStyle w:val="TextBody"/>
        <w:bidi w:val="0"/>
        <w:spacing w:before="120" w:after="0"/>
        <w:jc w:val="both"/>
        <w:rPr>
          <w:rFonts w:ascii="Times New Roman" w:hAnsi="Times New Roman"/>
          <w:i/>
          <w:sz w:val="20"/>
        </w:rPr>
      </w:pPr>
      <w:r>
        <w:rPr>
          <w:rFonts w:ascii="Times New Roman" w:hAnsi="Times New Roman"/>
          <w:i/>
          <w:sz w:val="20"/>
        </w:rPr>
        <w:t xml:space="preserve">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Strategy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incurred significant losses since inception, we may continue to incur losses in the future, and we may not be able to generate sufficient revenue to achieve and maintain profitability.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significant losses since our inception. For the years ended December 31, 2019 and 2020 and the six months ended June 30, 2021, we incurred net losses of $115.0 million, $209.9 million and $131.9 million, respectively. As of June 30, 2021, we had an accumulated deficit of $662.9 million. To date, we have financed our operations principally from the sale of stock and convertible securities, and revenue from precision oncology and COVID-19 testing in our Genomics business, and from our Insights product in our Data business.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demand for COVID-19 testing decreases or such testing is no longer necessary, we expect our COVID-19 testing revenue to decrease, and if the Emergency Use Authorizations for our COVID-19 diagnostic tests or tests we license are terminated or revoked, we may be unable to secure regulatory approval for our test. </w:t>
      </w:r>
    </w:p>
    <w:p>
      <w:pPr>
        <w:pStyle w:val="TextBody"/>
        <w:bidi w:val="0"/>
        <w:spacing w:before="120" w:after="0"/>
        <w:jc w:val="both"/>
        <w:rPr>
          <w:rFonts w:ascii="Times New Roman" w:hAnsi="Times New Roman"/>
          <w:sz w:val="20"/>
        </w:rPr>
      </w:pPr>
      <w:r>
        <w:rPr>
          <w:rFonts w:ascii="Times New Roman" w:hAnsi="Times New Roman"/>
          <w:sz w:val="20"/>
        </w:rPr>
        <w:t xml:space="preserve">We currently offer reverse transcription polymerase chain reaction, or PCR, diagnostic tests for the qualitative detection of nucleic acid from the SARS-CoV-2 virus in nasopharyngeal swab specimens from individuals suspected of having COVID-19. We anticipate that demand for our COVID-19 testing products will decrease in future periods due to successful containment efforts, the successful vaccination of a majority of Americans and other factors, and such decreases would have an adverse effect on our results of operations. Revenue from COVID-19 testing accounted for $89.5 million, or 47.6%, of our revenue in the year ended December 31, 2020, and for $71.6 million, or 54.2%, of our revenue in the six months ended June 30, 2021, of which $32.3 million and $7.5 million, and $45.2 million and $55.6 million, was derived from contracts with the Illinois Department of Health and CVS Health Corporation, or CVS, respectively. Our COVID-19 testing agreement with CVS expired in July 2021. As a result, we do not expect to continue to process samples under this agreement. We also expect revenue from our contract with the Illinois Department of Health and from other customers seeking COVID-19 testing products to decrease substantially over time as the prevalence of COVID-19 subsides and as other COVID-19 testing providers enter the market.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currently provide our COVID-19 testing products under emergency use authorizations, or EUAs, issued by the Food &amp; Drug Administration, or FDA, to us or our licensor, permitting us to offer these tests without having completed the normally applicable FDA review and clearance or approval process for marketing authorization (with the related standards that would apply to demonstrate safety and effectiveness) or in some cases, as an LDT. Although the FDA has waived certain regulatory requirements for the duration of the EUAs, we remain subject to specific conditions of the authorizations, including ensuring appropriate labeling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approved by the FDA specifically for purposes of the EUAs, maintaining records of distribution to authorized laboratories, collecting data on occurrences of any false positives or false negatives, and tracking any adverse events. As with other FDA-regulated products, compliance or product performance issues could emerge during the course of the marketing and use of our products under an EUA, that could impact our ability to continue the sale and distribution of these products. </w:t>
      </w:r>
    </w:p>
    <w:p>
      <w:pPr>
        <w:pStyle w:val="TextBody"/>
        <w:bidi w:val="0"/>
        <w:spacing w:before="240" w:after="0"/>
        <w:jc w:val="both"/>
        <w:rPr>
          <w:rFonts w:ascii="Times New Roman" w:hAnsi="Times New Roman"/>
          <w:sz w:val="20"/>
        </w:rPr>
      </w:pPr>
      <w:r>
        <w:rPr>
          <w:rFonts w:ascii="Times New Roman" w:hAnsi="Times New Roman"/>
          <w:sz w:val="20"/>
        </w:rPr>
        <w:t xml:space="preserve">Our EUAs or those of our licensors could be terminated or revoked at any time, including if the FDA determines the criteria for issuance are no longer met or other circumstances make such revocation appropriate to protect public health or safety, which could harm our future business prospects. Once an EUA is revoked or terminated, we will be required to stop marketing the applicable COVID-19 test immediately unless we can obtain FDA clearance for that COVID-19 test under a traditional regulatory pathway, which is lengthy and expensive, and which we may never receive. We also would be subject to the full and usual regulatory obligations for device manufacturers, including the FDAs quality system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or future products may not achieve or maintain sufficient commercial market acceptance.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commercial success is dependent upon our ability to continue to successfully market and sell our current Genomic diagnostics products, including diagnostic tests in oncology and infectious diseases,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Algos tests. Our ability to achieve and maintain sufficient commercial market acceptance of our existing and future products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increase awareness of our Genomics and Algos diagnostic tests, including new product offerings as they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rate of adoption and/or endorsement of our Genomics and Algos diagnostic tests by clinicians, pharmaceutical and biotechnology companies, KOLs, and advocacy groups;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scope of obtaining any necessary approvals by regulatory agencies, including the FDA, for our diagnostic tests, any software offerings, Algos, or any features of our Platform, in each case, that may be subject to regulatory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positive coverage decisions for our tests from additional commercial payers and to broaden the scope of indications included in such coverage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obtain reimbursement and expanded coverage from government payers, including Medicare;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increase demand for our Data business, including by expanding our database of patient information and increasing the utility of our product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successfully expand beyond oncology into infectious disease, neuropsychology and other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build and maintain robust data sets with respect to patient populations in geographic regions that we may seek to enter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our investments in Platform development, product innovation and commercial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public perception of our products, those of our competitors and the industry in which we operate, including our ability to avoid adverse publicity from defects or errors;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further validate our Platform through clinical research and accompanying publications.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before="120" w:after="0"/>
        <w:jc w:val="both"/>
        <w:rPr>
          <w:rFonts w:ascii="Times New Roman" w:hAnsi="Times New Roman"/>
          <w:sz w:val="20"/>
        </w:rPr>
      </w:pPr>
      <w:r>
        <w:rPr>
          <w:rFonts w:ascii="Times New Roman" w:hAnsi="Times New Roman"/>
          <w:sz w:val="20"/>
        </w:rPr>
        <w:t xml:space="preserve">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level of demand for any of our products, which may vary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and cost of, and level of investment in, research, development, regulatory approval and commercialization activities relating to our Platform and products, which may change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volume and customer mix of our Genomics and Algos diagnostic testing and other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start and completion of projects in which our Data products are utilized;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introduction of new products or product enhancements by us or others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coverage and reimbursement policies with respect to our products and products that compete with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expenditures that we may incur to acquire, develop or commercialize additional products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governmental regulations, including with respect to privacy and data security and medical device regulation, and our compliance therewith, or in the status of our regulatory approvals or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accounting pronouncements or changes in our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developments or disruptions in the business and operations of our clinical, commercial and other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impact of natural disasters, political and economic instability, including wars, terrorism, and political unrest, epidemics or pandemics, boycotts, curtailment of trade and other business restrictions;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general market conditions and other factors, including factors unrelated to our operating performance or the operating performance of our competitors.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Additionally, it is difficult to predict the amounts, if any, we will be able to collect for our diagnostic tests from commercial payers. We are a participating network provider in an extremely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the demand for our Genomics and Data products will depend in part upon the research and development and clinical budgets of pharmaceutical and biotechnology customers, which are impacted by factors beyond our control,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government programs (such as the National Institutes of Health) that provide funding to research institutions and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macroeconomic conditions, the political climate and the ongoing impact of the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regulatory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differences in budgetary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competitor products or pricing;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market-driven pressures to consolidate operations and reduce costs;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market acceptance of relatively new products.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operating results may fluctuate significantly due to reductions and delays in research and development or clinical expenditures by these customers, including delays caused by these customers reducing activities in response to the COVID-19 pandemic. </w:t>
      </w:r>
    </w:p>
    <w:p>
      <w:pPr>
        <w:pStyle w:val="TextBody"/>
        <w:bidi w:val="0"/>
        <w:spacing w:before="240" w:after="0"/>
        <w:jc w:val="both"/>
        <w:rPr>
          <w:rFonts w:ascii="Times New Roman" w:hAnsi="Times New Roman"/>
          <w:sz w:val="20"/>
        </w:rPr>
      </w:pPr>
      <w:r>
        <w:rPr>
          <w:rFonts w:ascii="Times New Roman" w:hAnsi="Times New Roman"/>
          <w:sz w:val="20"/>
        </w:rPr>
        <w:t xml:space="preserve">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40" w:after="0"/>
        <w:jc w:val="both"/>
        <w:rPr>
          <w:rFonts w:ascii="Times New Roman" w:hAnsi="Times New Roman"/>
          <w:sz w:val="20"/>
        </w:rPr>
      </w:pPr>
      <w:r>
        <w:rPr>
          <w:rFonts w:ascii="Times New Roman" w:hAnsi="Times New Roman"/>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 of our business depends on our continued access to, and ability to monetize, de-identified patient data. </w:t>
      </w:r>
    </w:p>
    <w:p>
      <w:pPr>
        <w:pStyle w:val="TextBody"/>
        <w:bidi w:val="0"/>
        <w:spacing w:before="120" w:after="0"/>
        <w:jc w:val="both"/>
        <w:rPr>
          <w:rFonts w:ascii="Times New Roman" w:hAnsi="Times New Roman"/>
          <w:sz w:val="20"/>
        </w:rPr>
      </w:pPr>
      <w:r>
        <w:rPr>
          <w:rFonts w:ascii="Times New Roman" w:hAnsi="Times New Roman"/>
          <w:sz w:val="20"/>
        </w:rPr>
        <w:t xml:space="preserve">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is critical to our ability to offer our Data and Algos products and services. We have historically generated more revenue from the sale of products and services that leverage our de-identified data than we have from the provision of the underlying Genomics test related to such data, and we expect this trend to continue.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 </w:t>
      </w:r>
    </w:p>
    <w:p>
      <w:pPr>
        <w:pStyle w:val="TextBody"/>
        <w:bidi w:val="0"/>
        <w:spacing w:before="240" w:after="0"/>
        <w:jc w:val="both"/>
        <w:rPr>
          <w:rFonts w:ascii="Times New Roman" w:hAnsi="Times New Roman"/>
          <w:sz w:val="20"/>
        </w:rPr>
      </w:pPr>
      <w:r>
        <w:rPr>
          <w:rFonts w:ascii="Times New Roman" w:hAnsi="Times New Roman"/>
          <w:sz w:val="20"/>
        </w:rPr>
        <w:t xml:space="preserve">Our ability to maintain, expand and monetize our datasets are subject to a number of factors, many of which are outside of our control. With respect to data generated through our provision of Genomics tests, we rely on a combination of the statutory rights available to us as a HIPAA covered entity, along with the consents obtained by and from providers and their patients, with whom we may have no direct contact, to use the de-identified data that we generate in the provision of our other offerings. More broadly, the failure by us or our data suppliers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permission or waiver, we may be subject to claims or liability for use or disclosure of information. </w:t>
      </w:r>
    </w:p>
    <w:p>
      <w:pPr>
        <w:pStyle w:val="TextBody"/>
        <w:bidi w:val="0"/>
        <w:spacing w:before="240" w:after="0"/>
        <w:jc w:val="both"/>
        <w:rPr>
          <w:rFonts w:ascii="Times New Roman" w:hAnsi="Times New Roman"/>
          <w:sz w:val="20"/>
        </w:rPr>
      </w:pPr>
      <w:r>
        <w:rPr>
          <w:rFonts w:ascii="Times New Roman" w:hAnsi="Times New Roman"/>
          <w:sz w:val="20"/>
        </w:rPr>
        <w:t xml:space="preserve">We are also dependent on the healthcare institutions within our network continuing to provide us with broad access to data to multimodal data to support the robustness of our Genomics tests and other offerings, as well as on maintaining our collaborations with ASCO, QCCA, NCCA, Geisinger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 </w:t>
      </w:r>
    </w:p>
    <w:p>
      <w:pPr>
        <w:pStyle w:val="TextBody"/>
        <w:bidi w:val="0"/>
        <w:spacing w:before="240" w:after="0"/>
        <w:jc w:val="both"/>
        <w:rPr>
          <w:rFonts w:ascii="Times New Roman" w:hAnsi="Times New Roman"/>
          <w:sz w:val="20"/>
        </w:rPr>
      </w:pPr>
      <w:r>
        <w:rPr>
          <w:rFonts w:ascii="Times New Roman" w:hAnsi="Times New Roman"/>
          <w:sz w:val="20"/>
        </w:rPr>
        <w:t xml:space="preserve">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continued adoption of our products and services is dependent on a number of factors, many of which are interrelated. </w:t>
      </w:r>
    </w:p>
    <w:p>
      <w:pPr>
        <w:pStyle w:val="TextBody"/>
        <w:bidi w:val="0"/>
        <w:spacing w:before="120" w:after="0"/>
        <w:jc w:val="both"/>
        <w:rPr>
          <w:rFonts w:ascii="Times New Roman" w:hAnsi="Times New Roman"/>
          <w:sz w:val="20"/>
        </w:rPr>
      </w:pPr>
      <w:r>
        <w:rPr>
          <w:rFonts w:ascii="Times New Roman" w:hAnsi="Times New Roman"/>
          <w:sz w:val="20"/>
        </w:rPr>
        <w:t xml:space="preserve">Our ability to execute our growth strategy and become profitable is highly dependent on a number of factors, many of which are interrelated. </w:t>
      </w:r>
    </w:p>
    <w:p>
      <w:pPr>
        <w:pStyle w:val="TextBody"/>
        <w:bidi w:val="0"/>
        <w:spacing w:before="240" w:after="0"/>
        <w:jc w:val="both"/>
        <w:rPr>
          <w:rFonts w:ascii="Times New Roman" w:hAnsi="Times New Roman"/>
          <w:sz w:val="20"/>
        </w:rPr>
      </w:pPr>
      <w:r>
        <w:rPr>
          <w:rFonts w:ascii="Times New Roman" w:hAnsi="Times New Roman"/>
          <w:sz w:val="20"/>
        </w:rPr>
        <w:t xml:space="preserve">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43%, 27%, and 26% of our revenue in the years ended December 31, 2019 and 2020 and the six months ended June 30, 2021, respectively. We cannot assure that our oncology tests will continue to maintain or gain market acceptance, and any failure to do so would materially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Continued adoption of and use of our Data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 </w:t>
      </w:r>
    </w:p>
    <w:p>
      <w:pPr>
        <w:pStyle w:val="TextBody"/>
        <w:bidi w:val="0"/>
        <w:spacing w:before="240" w:after="0"/>
        <w:jc w:val="both"/>
        <w:rPr>
          <w:rFonts w:ascii="Times New Roman" w:hAnsi="Times New Roman"/>
          <w:sz w:val="20"/>
        </w:rPr>
      </w:pPr>
      <w:r>
        <w:rPr>
          <w:rFonts w:ascii="Times New Roman" w:hAnsi="Times New Roman"/>
          <w:sz w:val="20"/>
        </w:rPr>
        <w:t xml:space="preserve">The scope and robustness of the Data products and Algos that we can offer our customers also depend significantly on the continued success of our Genomics product line, as the data that we collect through genomic testing is an essential component of our Data products and Algos. Further, we believe that growth in the use of our Data products will help drive awareness and adoption of our Genomics product line, which in turn will drive further growth within our Data and Algos product lines. However, there can be no assurance that we will realize these synergies.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limited operating history and rapid growth make it difficult to evaluate our future prospects and the risks and challenges we may encounter. </w:t>
      </w:r>
    </w:p>
    <w:p>
      <w:pPr>
        <w:pStyle w:val="TextBody"/>
        <w:bidi w:val="0"/>
        <w:spacing w:before="120" w:after="0"/>
        <w:jc w:val="both"/>
        <w:rPr>
          <w:rFonts w:ascii="Times New Roman" w:hAnsi="Times New Roman"/>
          <w:sz w:val="20"/>
        </w:rPr>
      </w:pPr>
      <w:r>
        <w:rPr>
          <w:rFonts w:ascii="Times New Roman" w:hAnsi="Times New Roman"/>
          <w:sz w:val="20"/>
        </w:rPr>
        <w:t xml:space="preserve">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 </w:t>
      </w:r>
    </w:p>
    <w:p>
      <w:pPr>
        <w:pStyle w:val="TextBody"/>
        <w:bidi w:val="0"/>
        <w:spacing w:before="240" w:after="0"/>
        <w:jc w:val="both"/>
        <w:rPr>
          <w:rFonts w:ascii="Times New Roman" w:hAnsi="Times New Roman"/>
          <w:sz w:val="20"/>
        </w:rPr>
      </w:pPr>
      <w:r>
        <w:rPr>
          <w:rFonts w:ascii="Times New Roman" w:hAnsi="Times New Roman"/>
          <w:sz w:val="20"/>
        </w:rPr>
        <w:t xml:space="preserve">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need to raise additional capital to fund our existing operations, develop our Platform, commercialize new products or expand our operations. </w:t>
      </w:r>
    </w:p>
    <w:p>
      <w:pPr>
        <w:pStyle w:val="TextBody"/>
        <w:bidi w:val="0"/>
        <w:spacing w:before="120" w:after="0"/>
        <w:jc w:val="both"/>
        <w:rPr>
          <w:rFonts w:ascii="Times New Roman" w:hAnsi="Times New Roman"/>
          <w:sz w:val="20"/>
        </w:rPr>
      </w:pPr>
      <w:r>
        <w:rPr>
          <w:rFonts w:ascii="Times New Roman" w:hAnsi="Times New Roman"/>
          <w:sz w:val="20"/>
        </w:rPr>
        <w:t xml:space="preserve">We will need to raise additional capital in the future to expand our business, meet existing obligations, pursue acquisitions or strategic investments, or take advantage of financing opportunities or for other reasons, including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 our sales and marketing efforts to drive market adoption of our current products and services, and address 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fund development and marketing efforts of our products under development or any other future products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acquire, license or invest in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acquire or invest in complementary businesses or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finance capital expenditures and general and administrative expenses.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present and future funding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achieve revenue growth and favorable gross profits;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rate of progress in establishing payer coverage and reimbursement arrangements with domestic and international commercial payers and government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cost of expanding our laboratory operations and product offerings, including our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rate of progress in, and costs of our sales and marketing activities associated with, establishing adoption of and reimbursement for our current products, including our diagnostic tests and our data analytics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rate at which we choose to advance, rate of progress in, and costs of our research and development activities associated with, products in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costs related to our international expansion;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costs of and delays in product development as a result of any existing or new regulatory oversight applicable to our products.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curtail existing operations and could contribute to negative market perceptions about us or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Algos product line is nascent.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2021, we had only two commercialized Algos. While we have a number of additional Algos in development, we may not be successful in developing and commercializing these or future Algos, or in attaining our Algo development targets. Further, the scope and robustness of the Algos that we can offer our customers depend significantly on the continued success of our Genomics product line and access to third-party data, of which there can be no assurance. We also cannot accurately estimate how our future Algos will be priced, whether reimbursement can be obtained or whether we will generate any revenue from such Algos. Further, the use of diagnostics that are entirely algorithmic in nature is novel and today represent only a small proportion of the diagnostics market. While we believe Algos represent a significant long-term opportunity for us, there can be no assurances that a robust and sustained market for such diagnostics will develop or that we will successfully compete in any such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product development and commercialization involve a lengthy and complex process and we may be unable to develop or commercialize new products on a timely basis, or at all. </w:t>
      </w:r>
    </w:p>
    <w:p>
      <w:pPr>
        <w:pStyle w:val="TextBody"/>
        <w:bidi w:val="0"/>
        <w:spacing w:before="120" w:after="0"/>
        <w:jc w:val="both"/>
        <w:rPr>
          <w:rFonts w:ascii="Times New Roman" w:hAnsi="Times New Roman"/>
          <w:sz w:val="20"/>
        </w:rPr>
      </w:pPr>
      <w:r>
        <w:rPr>
          <w:rFonts w:ascii="Times New Roman" w:hAnsi="Times New Roman"/>
          <w:sz w:val="20"/>
        </w:rPr>
        <w:t xml:space="preserve">Products that are under development have taken time and considerable resources to develop, and we may not be able to complete the development and commercialization of such products on a timely basis, or at all. </w:t>
      </w:r>
    </w:p>
    <w:p>
      <w:pPr>
        <w:pStyle w:val="TextBody"/>
        <w:bidi w:val="0"/>
        <w:spacing w:before="240" w:after="0"/>
        <w:jc w:val="both"/>
        <w:rPr>
          <w:rFonts w:ascii="Times New Roman" w:hAnsi="Times New Roman"/>
          <w:sz w:val="20"/>
        </w:rPr>
      </w:pPr>
      <w:r>
        <w:rPr>
          <w:rFonts w:ascii="Times New Roman" w:hAnsi="Times New Roman"/>
          <w:sz w:val="20"/>
        </w:rPr>
        <w:t xml:space="preserve">Before we can commercialize any new Genomics or Algos diagnostic products, we will need to expend significant funds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conduct substantial research and development, including validation studies and, in some cases,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further develop and scale our laboratory or algorithmic processes to accommodate diagnostic tests in additional disease areas;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further develop and scale our infrastructure to be able to analyze increasingly large amounts of data.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diagnostic product development process involves a high degree of risk, and product development efforts may fail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of the diagnostic product to perform as expected, including defects and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lack of validation data;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demonstrate the clinical utility of the diagnostic test. </w:t>
            </w:r>
          </w:p>
        </w:tc>
      </w:tr>
    </w:tbl>
    <w:p>
      <w:pPr>
        <w:pStyle w:val="TextBody"/>
        <w:bidi w:val="0"/>
        <w:spacing w:before="240" w:after="0"/>
        <w:jc w:val="both"/>
        <w:rPr>
          <w:rFonts w:ascii="Times New Roman" w:hAnsi="Times New Roman"/>
          <w:sz w:val="20"/>
        </w:rPr>
      </w:pPr>
      <w:r>
        <w:rPr>
          <w:rFonts w:ascii="Times New Roman" w:hAnsi="Times New Roman"/>
          <w:sz w:val="20"/>
        </w:rPr>
        <w:t xml:space="preserve">Expanding the offerings of our Data business is also a speculative and risky endeavor and may require 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acquire additional access to patient healthcare information that is relevant to the products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correctly identify customer needs and preferences and predict future needs and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allocate our research and development funding to areas with higher growth prospects;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anticipate and respond to our competitors development of new products and technological innovations.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 </w:t>
      </w:r>
    </w:p>
    <w:p>
      <w:pPr>
        <w:pStyle w:val="TextBody"/>
        <w:bidi w:val="0"/>
        <w:spacing w:before="240" w:after="0"/>
        <w:jc w:val="both"/>
        <w:rPr>
          <w:rFonts w:ascii="Times New Roman" w:hAnsi="Times New Roman"/>
          <w:sz w:val="20"/>
        </w:rPr>
      </w:pPr>
      <w:r>
        <w:rPr>
          <w:rFonts w:ascii="Times New Roman" w:hAnsi="Times New Roman"/>
          <w:sz w:val="20"/>
        </w:rPr>
        <w:t xml:space="preserve">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Algos business, and we may exert limited or no control over such development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updating or otherwise enhancing our Platform and products.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2021, we offered approximately eight genomics diagnostics tests across oncology, infectious diseases, and neuropsychology, and three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 </w:t>
      </w:r>
    </w:p>
    <w:p>
      <w:pPr>
        <w:pStyle w:val="TextBody"/>
        <w:bidi w:val="0"/>
        <w:spacing w:before="240" w:after="0"/>
        <w:jc w:val="both"/>
        <w:rPr>
          <w:rFonts w:ascii="Times New Roman" w:hAnsi="Times New Roman"/>
          <w:sz w:val="20"/>
        </w:rPr>
      </w:pPr>
      <w:r>
        <w:rPr>
          <w:rFonts w:ascii="Times New Roman" w:hAnsi="Times New Roman"/>
          <w:sz w:val="20"/>
        </w:rPr>
        <w:t xml:space="preserve">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correctly identify customer needs and preferences and predict future needs and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allocate our research and development funding to areas with higher growth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anticipate and respond to our competitors development of new products and technological innovations;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innovate and develop new technologies and applications, and acquire or obtain rights to third-party technologies that may have valuable applications in the markets we 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successfully develop and commercialize new technologies and applications in a timely manner;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convince customers to adopt new technologies and applications.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expenses or losses associated with unsuccessful expansion of our Platform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successful in leveraging our Platform to identify, develop and commercialize additional genomic and algorithmic tests, our ability to expand our business and achieve our strategic objectives would be impaired. </w:t>
      </w:r>
    </w:p>
    <w:p>
      <w:pPr>
        <w:pStyle w:val="TextBody"/>
        <w:bidi w:val="0"/>
        <w:spacing w:before="120" w:after="0"/>
        <w:jc w:val="both"/>
        <w:rPr>
          <w:rFonts w:ascii="Times New Roman" w:hAnsi="Times New Roman"/>
          <w:sz w:val="20"/>
        </w:rPr>
      </w:pPr>
      <w:r>
        <w:rPr>
          <w:rFonts w:ascii="Times New Roman" w:hAnsi="Times New Roman"/>
          <w:sz w:val="20"/>
        </w:rPr>
        <w:t xml:space="preserve">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 </w:t>
      </w:r>
    </w:p>
    <w:p>
      <w:pPr>
        <w:pStyle w:val="TextBody"/>
        <w:bidi w:val="0"/>
        <w:spacing w:before="240" w:after="0"/>
        <w:jc w:val="both"/>
        <w:rPr>
          <w:rFonts w:ascii="Times New Roman" w:hAnsi="Times New Roman"/>
          <w:sz w:val="20"/>
        </w:rPr>
      </w:pPr>
      <w:r>
        <w:rPr>
          <w:rFonts w:ascii="Times New Roman" w:hAnsi="Times New Roman"/>
          <w:sz w:val="20"/>
        </w:rPr>
        <w:t xml:space="preserve">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existing and new products fail to achieve and sustain sufficient scientific acceptance, we will not generate expected revenue and our prospects may be harmed. </w:t>
      </w:r>
    </w:p>
    <w:p>
      <w:pPr>
        <w:pStyle w:val="TextBody"/>
        <w:bidi w:val="0"/>
        <w:spacing w:before="120" w:after="0"/>
        <w:jc w:val="both"/>
        <w:rPr>
          <w:rFonts w:ascii="Times New Roman" w:hAnsi="Times New Roman"/>
          <w:sz w:val="20"/>
        </w:rPr>
      </w:pPr>
      <w:r>
        <w:rPr>
          <w:rFonts w:ascii="Times New Roman" w:hAnsi="Times New Roman"/>
          <w:sz w:val="20"/>
        </w:rPr>
        <w:t xml:space="preserve">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We cannot assure investors that our products will continue to be mentioned in peer-reviewed articles with any frequency or that any new products that we introduce in the future will be mentioned in peer-reviewed articles.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may negatively impact our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diagnostic products, or our competitors diagnostic products, could have defects or errors or otherwise fail to meet the expectations of patients, physicians and third-party payers; in such cases our operating results, reputation and business could suffer. </w:t>
      </w:r>
    </w:p>
    <w:p>
      <w:pPr>
        <w:pStyle w:val="TextBody"/>
        <w:bidi w:val="0"/>
        <w:spacing w:before="120" w:after="0"/>
        <w:jc w:val="both"/>
        <w:rPr>
          <w:rFonts w:ascii="Times New Roman" w:hAnsi="Times New Roman"/>
          <w:sz w:val="20"/>
        </w:rPr>
      </w:pPr>
      <w:r>
        <w:rPr>
          <w:rFonts w:ascii="Times New Roman" w:hAnsi="Times New Roman"/>
          <w:sz w:val="20"/>
        </w:rPr>
        <w:t xml:space="preserve">The success of our Genomics and Algos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product defects and errors in the use of our products, including if our products fail to detect genomic alterations or other clinical relevant information with high accuracy from samples, if we fail to list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support demand for our current and future Genomics product line, including ensuring that we have adequate capacity to meet increased demand, or we are unable to successfully manage our anticipated growth, our business could suffer. </w:t>
      </w:r>
    </w:p>
    <w:p>
      <w:pPr>
        <w:pStyle w:val="TextBody"/>
        <w:bidi w:val="0"/>
        <w:spacing w:before="120" w:after="0"/>
        <w:jc w:val="both"/>
        <w:rPr>
          <w:rFonts w:ascii="Times New Roman" w:hAnsi="Times New Roman"/>
          <w:sz w:val="20"/>
        </w:rPr>
      </w:pPr>
      <w:r>
        <w:rPr>
          <w:rFonts w:ascii="Times New Roman" w:hAnsi="Times New Roman"/>
          <w:sz w:val="20"/>
        </w:rPr>
        <w:t xml:space="preserve">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 </w:t>
      </w:r>
    </w:p>
    <w:p>
      <w:pPr>
        <w:pStyle w:val="TextBody"/>
        <w:bidi w:val="0"/>
        <w:spacing w:before="240" w:after="0"/>
        <w:jc w:val="both"/>
        <w:rPr>
          <w:rFonts w:ascii="Times New Roman" w:hAnsi="Times New Roman"/>
          <w:sz w:val="20"/>
        </w:rPr>
      </w:pPr>
      <w:r>
        <w:rPr>
          <w:rFonts w:ascii="Times New Roman" w:hAnsi="Times New Roman"/>
          <w:sz w:val="20"/>
        </w:rPr>
        <w:t xml:space="preserve">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third-party payers, including commercial payers and government healthcare programs, do not provide coverage of, or adequate reimbursement for, our tests, our business, financial condition and results of operations will be negatively affected. </w:t>
      </w:r>
    </w:p>
    <w:p>
      <w:pPr>
        <w:pStyle w:val="TextBody"/>
        <w:bidi w:val="0"/>
        <w:spacing w:before="120" w:after="0"/>
        <w:jc w:val="both"/>
        <w:rPr>
          <w:rFonts w:ascii="Times New Roman" w:hAnsi="Times New Roman"/>
          <w:sz w:val="20"/>
        </w:rPr>
      </w:pPr>
      <w:r>
        <w:rPr>
          <w:rFonts w:ascii="Times New Roman" w:hAnsi="Times New Roman"/>
          <w:sz w:val="20"/>
        </w:rPr>
        <w:t xml:space="preserve">For the years ended December 31, 2019 and 2020, we received payment through reimbursement on approximately 50% and 48% of our clinical oncology NGS tests, respectively. We did not receive payment on approximately 50% and 52% of our clinical oncology NGS tests during the same periods,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30% and 29% of our clinical tests were for Medicare beneficiaries in the years 2019 and 2020, respectively, and 28% for the six months ended June 30, 2021. Our revenue and commercial success depend on achieving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 </w:t>
      </w:r>
    </w:p>
    <w:p>
      <w:pPr>
        <w:pStyle w:val="TextBody"/>
        <w:bidi w:val="0"/>
        <w:spacing w:before="240" w:after="0"/>
        <w:jc w:val="both"/>
        <w:rPr>
          <w:rFonts w:ascii="Times New Roman" w:hAnsi="Times New Roman"/>
          <w:sz w:val="20"/>
        </w:rPr>
      </w:pPr>
      <w:r>
        <w:rPr>
          <w:rFonts w:ascii="Times New Roman" w:hAnsi="Times New Roman"/>
          <w:sz w:val="20"/>
        </w:rPr>
        <w:t xml:space="preserve">In addition, because our Genomics and Algos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w:t>
      </w:r>
    </w:p>
    <w:p>
      <w:pPr>
        <w:pStyle w:val="TextBody"/>
        <w:bidi w:val="0"/>
        <w:spacing w:before="240" w:after="0"/>
        <w:jc w:val="both"/>
        <w:rPr>
          <w:rFonts w:ascii="Times New Roman" w:hAnsi="Times New Roman"/>
          <w:sz w:val="20"/>
        </w:rPr>
      </w:pPr>
      <w:r>
        <w:rPr>
          <w:rFonts w:ascii="Times New Roman" w:hAnsi="Times New Roman"/>
          <w:sz w:val="20"/>
        </w:rPr>
        <w:t xml:space="preserve">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 </w:t>
      </w:r>
    </w:p>
    <w:p>
      <w:pPr>
        <w:pStyle w:val="TextBody"/>
        <w:bidi w:val="0"/>
        <w:spacing w:before="240" w:after="0"/>
        <w:jc w:val="both"/>
        <w:rPr>
          <w:rFonts w:ascii="Times New Roman" w:hAnsi="Times New Roman"/>
          <w:sz w:val="20"/>
        </w:rPr>
      </w:pPr>
      <w:r>
        <w:rPr>
          <w:rFonts w:ascii="Times New Roman" w:hAnsi="Times New Roman"/>
          <w:sz w:val="20"/>
        </w:rPr>
        <w:t xml:space="preserve">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 </w:t>
      </w:r>
    </w:p>
    <w:p>
      <w:pPr>
        <w:pStyle w:val="TextBody"/>
        <w:bidi w:val="0"/>
        <w:spacing w:before="240" w:after="0"/>
        <w:jc w:val="both"/>
        <w:rPr>
          <w:rFonts w:ascii="Times New Roman" w:hAnsi="Times New Roman"/>
          <w:sz w:val="20"/>
        </w:rPr>
      </w:pPr>
      <w:r>
        <w:rPr>
          <w:rFonts w:ascii="Times New Roman" w:hAnsi="Times New Roman"/>
          <w:sz w:val="20"/>
        </w:rPr>
        <w:t xml:space="preserve">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 </w:t>
      </w:r>
    </w:p>
    <w:p>
      <w:pPr>
        <w:pStyle w:val="TextBody"/>
        <w:bidi w:val="0"/>
        <w:spacing w:before="240" w:after="0"/>
        <w:jc w:val="both"/>
        <w:rPr>
          <w:rFonts w:ascii="Times New Roman" w:hAnsi="Times New Roman"/>
          <w:sz w:val="20"/>
        </w:rPr>
      </w:pPr>
      <w:r>
        <w:rPr>
          <w:rFonts w:ascii="Times New Roman" w:hAnsi="Times New Roman"/>
          <w:sz w:val="20"/>
        </w:rPr>
        <w:t xml:space="preserve">Although we are a participating provider with an extremely small number of commercial payers, other large, national commercial payers, including Anthem, Aetna and Humana,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 </w:t>
      </w:r>
    </w:p>
    <w:p>
      <w:pPr>
        <w:pStyle w:val="TextBody"/>
        <w:bidi w:val="0"/>
        <w:spacing w:before="240" w:after="0"/>
        <w:jc w:val="both"/>
        <w:rPr>
          <w:rFonts w:ascii="Times New Roman" w:hAnsi="Times New Roman"/>
          <w:sz w:val="20"/>
        </w:rPr>
      </w:pPr>
      <w:r>
        <w:rPr>
          <w:rFonts w:ascii="Times New Roman" w:hAnsi="Times New Roman"/>
          <w:sz w:val="20"/>
        </w:rPr>
        <w:t xml:space="preserve">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w:t>
      </w:r>
    </w:p>
    <w:p>
      <w:pPr>
        <w:pStyle w:val="TextBody"/>
        <w:bidi w:val="0"/>
        <w:spacing w:before="240" w:after="0"/>
        <w:jc w:val="both"/>
        <w:rPr>
          <w:rFonts w:ascii="Times New Roman" w:hAnsi="Times New Roman"/>
          <w:sz w:val="20"/>
        </w:rPr>
      </w:pPr>
      <w:r>
        <w:rPr>
          <w:rFonts w:ascii="Times New Roman" w:hAnsi="Times New Roman"/>
          <w:sz w:val="20"/>
        </w:rPr>
        <w:t xml:space="preserve">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 </w:t>
      </w:r>
    </w:p>
    <w:p>
      <w:pPr>
        <w:pStyle w:val="TextBody"/>
        <w:bidi w:val="0"/>
        <w:spacing w:before="240" w:after="0"/>
        <w:jc w:val="both"/>
        <w:rPr>
          <w:rFonts w:ascii="Times New Roman" w:hAnsi="Times New Roman"/>
          <w:sz w:val="20"/>
        </w:rPr>
      </w:pPr>
      <w:r>
        <w:rPr>
          <w:rFonts w:ascii="Times New Roman" w:hAnsi="Times New Roman"/>
          <w:sz w:val="20"/>
        </w:rPr>
        <w:t xml:space="preserve">National Government Services, Inc., or the Local MAC, is the MAC that makes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the Local MAC indicated that such claims would be individually reviewed. Claims we have submitted under this code have since been summarily denied. </w:t>
      </w:r>
    </w:p>
    <w:p>
      <w:pPr>
        <w:pStyle w:val="TextBody"/>
        <w:bidi w:val="0"/>
        <w:spacing w:before="240" w:after="0"/>
        <w:jc w:val="both"/>
        <w:rPr>
          <w:rFonts w:ascii="Times New Roman" w:hAnsi="Times New Roman"/>
          <w:sz w:val="20"/>
        </w:rPr>
      </w:pPr>
      <w:r>
        <w:rPr>
          <w:rFonts w:ascii="Times New Roman" w:hAnsi="Times New Roman"/>
          <w:sz w:val="20"/>
        </w:rPr>
        <w:t xml:space="preserve">We have begun the process of appealing these denials, but the outcome of any appeal is uncertain and the appeal process is typically slow and costly. As a result, it is impossible for us to predict when the payments for NGS oncology tests performed for Medicare beneficiaries in our Chicago laboratory after March 25, 2021 will be finally adjudicated or whether we will receive any payment for the claims we have submitted to the Local MAC after March 25, 2021. </w:t>
      </w:r>
    </w:p>
    <w:p>
      <w:pPr>
        <w:pStyle w:val="TextBody"/>
        <w:bidi w:val="0"/>
        <w:spacing w:before="240" w:after="0"/>
        <w:jc w:val="both"/>
        <w:rPr>
          <w:rFonts w:ascii="Times New Roman" w:hAnsi="Times New Roman"/>
          <w:sz w:val="20"/>
        </w:rPr>
      </w:pPr>
      <w:r>
        <w:rPr>
          <w:rFonts w:ascii="Times New Roman" w:hAnsi="Times New Roman"/>
          <w:sz w:val="20"/>
        </w:rPr>
        <w:t xml:space="preserve">In addition, on July 23, 2021, the Local MAC issued revised instructions for CPT coding which may be applicable to our NGS oncology tests and further updated those instructions on July 29, 2021. We have sought additional clarification on this guidance from the Local MAC in order to understand its impact on our coding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procedures. We are also attempting to assess the impact of this updated guidance on the payments we may receive for Medicare claims submitted to the Local MAC. At present, the outcome is uncertain and it is possible that the Local MAC will deny all claims related to the NGS oncology testing we perform for Medicare beneficiaries in our Chicago laboratory, which as of June 30, 2021 represented approximately 30% of our clinical testing volume. While we intend to appeal any future denials of claims that we believe are inappropriate, the outcome of any appeal process is likely to be both lengthy and costly and the result of any such process is uncertain. </w:t>
      </w:r>
    </w:p>
    <w:p>
      <w:pPr>
        <w:pStyle w:val="TextBody"/>
        <w:bidi w:val="0"/>
        <w:spacing w:before="240" w:after="0"/>
        <w:jc w:val="both"/>
        <w:rPr>
          <w:rFonts w:ascii="Times New Roman" w:hAnsi="Times New Roman"/>
          <w:sz w:val="20"/>
        </w:rPr>
      </w:pPr>
      <w:r>
        <w:rPr>
          <w:rFonts w:ascii="Times New Roman" w:hAnsi="Times New Roman"/>
          <w:sz w:val="20"/>
        </w:rPr>
        <w:t xml:space="preserve">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 </w:t>
      </w:r>
    </w:p>
    <w:p>
      <w:pPr>
        <w:pStyle w:val="TextBody"/>
        <w:bidi w:val="0"/>
        <w:spacing w:before="240" w:after="0"/>
        <w:jc w:val="both"/>
        <w:rPr>
          <w:rFonts w:ascii="Times New Roman" w:hAnsi="Times New Roman"/>
          <w:sz w:val="20"/>
        </w:rPr>
      </w:pPr>
      <w:r>
        <w:rPr>
          <w:rFonts w:ascii="Times New Roman" w:hAnsi="Times New Roman"/>
          <w:sz w:val="20"/>
        </w:rPr>
        <w:t xml:space="preserve">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obtain or maintain adequate reimbursement for our Genomics product line outside of the United States, our ability to expand internationally will be compromised. </w:t>
      </w:r>
    </w:p>
    <w:p>
      <w:pPr>
        <w:pStyle w:val="TextBody"/>
        <w:bidi w:val="0"/>
        <w:spacing w:before="120" w:after="0"/>
        <w:jc w:val="both"/>
        <w:rPr>
          <w:rFonts w:ascii="Times New Roman" w:hAnsi="Times New Roman"/>
          <w:sz w:val="20"/>
        </w:rPr>
      </w:pPr>
      <w:r>
        <w:rPr>
          <w:rFonts w:ascii="Times New Roman" w:hAnsi="Times New Roman"/>
          <w:sz w:val="20"/>
        </w:rPr>
        <w:t xml:space="preserve">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 </w:t>
      </w:r>
    </w:p>
    <w:p>
      <w:pPr>
        <w:pStyle w:val="TextBody"/>
        <w:bidi w:val="0"/>
        <w:spacing w:before="240" w:after="0"/>
        <w:jc w:val="both"/>
        <w:rPr>
          <w:rFonts w:ascii="Times New Roman" w:hAnsi="Times New Roman"/>
          <w:sz w:val="20"/>
        </w:rPr>
      </w:pPr>
      <w:r>
        <w:rPr>
          <w:rFonts w:ascii="Times New Roman" w:hAnsi="Times New Roman"/>
          <w:sz w:val="20"/>
        </w:rPr>
        <w:t xml:space="preserve">Even if public or private reimbursement is obtained, it may cover competing tests, or the reimbursement may be limited to a subset of the eligible patient population or conditioned upon local performance of the tests or other requirements we may have difficulty satisfying. </w:t>
      </w:r>
    </w:p>
    <w:p>
      <w:pPr>
        <w:pStyle w:val="TextBody"/>
        <w:bidi w:val="0"/>
        <w:spacing w:before="240" w:after="0"/>
        <w:jc w:val="both"/>
        <w:rPr>
          <w:rFonts w:ascii="Times New Roman" w:hAnsi="Times New Roman"/>
          <w:sz w:val="20"/>
        </w:rPr>
      </w:pPr>
      <w:r>
        <w:rPr>
          <w:rFonts w:ascii="Times New Roman" w:hAnsi="Times New Roman"/>
          <w:sz w:val="20"/>
        </w:rPr>
        <w:t xml:space="preserve">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of, or defects in, our Platforms artificial intelligence software, or increased regulation in this space, could impair our ability to process our data, develop products, or provide test results, and harm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Artificial intelligence is enabled by or integrated into our Platform and, as a result, our diagnostic and data products and is a significant element of our current business and our future strategy. As with many developing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technologies, artificial intelligence presents risks and challenges that could affect its further development, adoption, and use, and therefore our business.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recommendations, forecasts or analyses that our Platforms artificial intelligence applications assist in producing are deficient or inaccurate, we could be subjected to competitive harm, potential legal liability and brand or reputational harm. </w:t>
      </w:r>
    </w:p>
    <w:p>
      <w:pPr>
        <w:pStyle w:val="TextBody"/>
        <w:bidi w:val="0"/>
        <w:spacing w:before="240" w:after="0"/>
        <w:jc w:val="both"/>
        <w:rPr>
          <w:rFonts w:ascii="Times New Roman" w:hAnsi="Times New Roman"/>
          <w:sz w:val="20"/>
        </w:rPr>
      </w:pPr>
      <w:r>
        <w:rPr>
          <w:rFonts w:ascii="Times New Roman" w:hAnsi="Times New Roman"/>
          <w:sz w:val="20"/>
        </w:rPr>
        <w:t xml:space="preserve">In addition, inappropriate or controversial data practices by data scientists, engineers and end-users of our or our competitors products could impair the acceptance of artificial intelligence products. Though our business practices are designed to mitigate many of these risks, if we enable or offer artificial intelligence products that are controversial because of their purported or real impact on human rights, privacy, employment, or other social issues, we may experience brand or reputational harm. Additionally, regulation in the artificial intelligence space is constantly changing and increasing, and may make it difficult for us to continue using our artificial intelligence approach to diagnostics and data analysis. </w:t>
      </w:r>
    </w:p>
    <w:p>
      <w:pPr>
        <w:pStyle w:val="TextBody"/>
        <w:bidi w:val="0"/>
        <w:spacing w:before="240" w:after="0"/>
        <w:jc w:val="both"/>
        <w:rPr>
          <w:rFonts w:ascii="Times New Roman" w:hAnsi="Times New Roman"/>
          <w:sz w:val="20"/>
        </w:rPr>
      </w:pPr>
      <w:r>
        <w:rPr>
          <w:rFonts w:ascii="Times New Roman" w:hAnsi="Times New Roman"/>
          <w:sz w:val="20"/>
        </w:rPr>
        <w:t xml:space="preserve">If our Platform does not function reliably, fails to meet expectations in terms of performance, or cannot be fully utilized due to increasing regulation or reputational concerns, we may be unable to provide or our customers may stop using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experience challenges with the acquisition, development, enhancement or deployment of technology necessary for our businesses. </w:t>
      </w:r>
    </w:p>
    <w:p>
      <w:pPr>
        <w:pStyle w:val="TextBody"/>
        <w:bidi w:val="0"/>
        <w:spacing w:before="120" w:after="0"/>
        <w:jc w:val="both"/>
        <w:rPr>
          <w:rFonts w:ascii="Times New Roman" w:hAnsi="Times New Roman"/>
          <w:sz w:val="20"/>
        </w:rPr>
      </w:pPr>
      <w:r>
        <w:rPr>
          <w:rFonts w:ascii="Times New Roman" w:hAnsi="Times New Roman"/>
          <w:sz w:val="20"/>
        </w:rPr>
        <w:t xml:space="preserve">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compete successfully with our competitors, we may be unable to increase or sustain our revenue or to achieve and then sustain profitability. </w:t>
      </w:r>
    </w:p>
    <w:p>
      <w:pPr>
        <w:pStyle w:val="TextBody"/>
        <w:bidi w:val="0"/>
        <w:spacing w:before="120" w:after="0"/>
        <w:jc w:val="both"/>
        <w:rPr>
          <w:rFonts w:ascii="Times New Roman" w:hAnsi="Times New Roman"/>
          <w:sz w:val="20"/>
        </w:rPr>
      </w:pPr>
      <w:r>
        <w:rPr>
          <w:rFonts w:ascii="Times New Roman" w:hAnsi="Times New Roman"/>
          <w:sz w:val="20"/>
        </w:rPr>
        <w:t xml:space="preserve">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artificial intelligence-driven data platforms and diagnostic products. </w:t>
      </w:r>
    </w:p>
    <w:p>
      <w:pPr>
        <w:pStyle w:val="TextBody"/>
        <w:bidi w:val="0"/>
        <w:spacing w:before="240" w:after="0"/>
        <w:jc w:val="both"/>
        <w:rPr>
          <w:rFonts w:ascii="Times New Roman" w:hAnsi="Times New Roman"/>
          <w:sz w:val="20"/>
        </w:rPr>
      </w:pPr>
      <w:r>
        <w:rPr>
          <w:rFonts w:ascii="Times New Roman" w:hAnsi="Times New Roman"/>
          <w:sz w:val="20"/>
        </w:rPr>
        <w:t xml:space="preserve">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 </w:t>
      </w:r>
    </w:p>
    <w:p>
      <w:pPr>
        <w:pStyle w:val="TextBody"/>
        <w:bidi w:val="0"/>
        <w:spacing w:before="240" w:after="0"/>
        <w:jc w:val="both"/>
        <w:rPr>
          <w:rFonts w:ascii="Times New Roman" w:hAnsi="Times New Roman"/>
          <w:sz w:val="20"/>
        </w:rPr>
      </w:pPr>
      <w:r>
        <w:rPr>
          <w:rFonts w:ascii="Times New Roman" w:hAnsi="Times New Roman"/>
          <w:sz w:val="20"/>
        </w:rPr>
        <w:t xml:space="preserve">Our competitors with respect to our Data products include Flatiron Health, Inc., IQVIA Holdings Inc., and ConcertAI, among others. Furthermore, our Data products also face competition from CROs, such as Covance, ICON, Syneos, PPD, and others, who provide data and clinical trial matching services to pharmaceutical and biotechnology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competitors with respect to our Algos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and Eko Devices, Inc. In addition, we are aware that academic medical centers may be developing their own Algos and may decide to enter this market. </w:t>
      </w:r>
    </w:p>
    <w:p>
      <w:pPr>
        <w:pStyle w:val="TextBody"/>
        <w:bidi w:val="0"/>
        <w:spacing w:before="240" w:after="0"/>
        <w:jc w:val="both"/>
        <w:rPr>
          <w:rFonts w:ascii="Times New Roman" w:hAnsi="Times New Roman"/>
          <w:sz w:val="20"/>
        </w:rPr>
      </w:pPr>
      <w:r>
        <w:rPr>
          <w:rFonts w:ascii="Times New Roman" w:hAnsi="Times New Roman"/>
          <w:sz w:val="20"/>
        </w:rPr>
        <w:t xml:space="preserve">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sizes of the markets for our current and future products have not been established with precision, and may be smaller than we estimate. </w:t>
      </w:r>
    </w:p>
    <w:p>
      <w:pPr>
        <w:pStyle w:val="TextBody"/>
        <w:bidi w:val="0"/>
        <w:spacing w:before="120" w:after="0"/>
        <w:jc w:val="both"/>
        <w:rPr>
          <w:rFonts w:ascii="Times New Roman" w:hAnsi="Times New Roman"/>
          <w:sz w:val="20"/>
        </w:rPr>
      </w:pPr>
      <w:r>
        <w:rPr>
          <w:rFonts w:ascii="Times New Roman" w:hAnsi="Times New Roman"/>
          <w:sz w:val="20"/>
        </w:rPr>
        <w:t xml:space="preserve">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industries in which we operate are subject to rapid change, which could make our Platform, our current products and any future products we may develop obsolete. </w:t>
      </w:r>
    </w:p>
    <w:p>
      <w:pPr>
        <w:pStyle w:val="TextBody"/>
        <w:bidi w:val="0"/>
        <w:spacing w:before="120" w:after="0"/>
        <w:jc w:val="both"/>
        <w:rPr>
          <w:rFonts w:ascii="Times New Roman" w:hAnsi="Times New Roman"/>
          <w:sz w:val="20"/>
        </w:rPr>
      </w:pPr>
      <w:r>
        <w:rPr>
          <w:rFonts w:ascii="Times New Roman" w:hAnsi="Times New Roman"/>
          <w:sz w:val="20"/>
        </w:rPr>
        <w:t xml:space="preserve">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application of artificial intelligence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artificial intelligence,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 </w:t>
      </w:r>
    </w:p>
    <w:p>
      <w:pPr>
        <w:pStyle w:val="TextBody"/>
        <w:bidi w:val="0"/>
        <w:spacing w:before="120" w:after="0"/>
        <w:jc w:val="both"/>
        <w:rPr>
          <w:rFonts w:ascii="Times New Roman" w:hAnsi="Times New Roman"/>
          <w:sz w:val="20"/>
        </w:rPr>
      </w:pPr>
      <w:r>
        <w:rPr>
          <w:rFonts w:ascii="Times New Roman" w:hAnsi="Times New Roman"/>
          <w:sz w:val="20"/>
        </w:rPr>
        <w:t xml:space="preserve">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 </w:t>
      </w:r>
    </w:p>
    <w:p>
      <w:pPr>
        <w:pStyle w:val="TextBody"/>
        <w:bidi w:val="0"/>
        <w:spacing w:before="240" w:after="0"/>
        <w:jc w:val="both"/>
        <w:rPr>
          <w:rFonts w:ascii="Times New Roman" w:hAnsi="Times New Roman"/>
          <w:sz w:val="20"/>
        </w:rPr>
      </w:pPr>
      <w:r>
        <w:rPr>
          <w:rFonts w:ascii="Times New Roman" w:hAnsi="Times New Roman"/>
          <w:sz w:val="20"/>
        </w:rPr>
        <w:t xml:space="preserve">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market, sell or distribute our products, and if we are unable to expand our sales organization to adequately address our customers needs, our business, financial condition and results of operations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We may not be able to market, sell or distribute our data products and diagnostic tests, and other products we may develop effectively enough to support our planned growth. We currently sell our Genomics and Algos tests to clinicians and hospital systems in the United States through our own sales organization, and we sell our Data products to pharmaceutical and biotechnology companies through our business development team. </w:t>
      </w:r>
    </w:p>
    <w:p>
      <w:pPr>
        <w:pStyle w:val="TextBody"/>
        <w:bidi w:val="0"/>
        <w:spacing w:before="240" w:after="0"/>
        <w:jc w:val="both"/>
        <w:rPr>
          <w:rFonts w:ascii="Times New Roman" w:hAnsi="Times New Roman"/>
          <w:sz w:val="20"/>
        </w:rPr>
      </w:pPr>
      <w:r>
        <w:rPr>
          <w:rFonts w:ascii="Times New Roman" w:hAnsi="Times New Roman"/>
          <w:sz w:val="20"/>
        </w:rPr>
        <w:t xml:space="preserve">Each of our target markets is large, distinctive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successful in executing our strategy to increase sales of our Data products to large pharmaceutical and biotechnology customers, our results of operations may suffer. </w:t>
      </w:r>
    </w:p>
    <w:p>
      <w:pPr>
        <w:pStyle w:val="TextBody"/>
        <w:bidi w:val="0"/>
        <w:spacing w:before="120" w:after="0"/>
        <w:jc w:val="both"/>
        <w:rPr>
          <w:rFonts w:ascii="Times New Roman" w:hAnsi="Times New Roman"/>
          <w:sz w:val="20"/>
        </w:rPr>
      </w:pPr>
      <w:r>
        <w:rPr>
          <w:rFonts w:ascii="Times New Roman" w:hAnsi="Times New Roman"/>
          <w:sz w:val="20"/>
        </w:rPr>
        <w:t xml:space="preserve">An important part of our growth strategy is to increase sales of Data products, and in particular our Insights product, to large pharmaceutical and biotechnology companies. Sales to large companies involve risks that may not be present (or that are present to a lesser extent) with sales to small-to-mid-sized entities. These risks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leverage held by large customers in negotiating contractual arrangements with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key decisionmakers within these organizations that may negatively impact our ability to negotiate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customer employees may perceive that our products pose a threat to their internal control and advocate for internally developed solutions over our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resources may be spent on a potential customer that ultimately elects not to purchase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more stringent requirements in our service contracts, including stricter service response times, and increased penalties for any failure to meet service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increased competition from larger competitors that traditionally target large enterprises and government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less predictability in completing some of our sales than we do with smaller customers.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Sales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 </w:t>
      </w:r>
    </w:p>
    <w:p>
      <w:pPr>
        <w:pStyle w:val="TextBody"/>
        <w:bidi w:val="0"/>
        <w:spacing w:before="240" w:after="0"/>
        <w:jc w:val="both"/>
        <w:rPr>
          <w:rFonts w:ascii="Times New Roman" w:hAnsi="Times New Roman"/>
          <w:sz w:val="20"/>
        </w:rPr>
      </w:pPr>
      <w:r>
        <w:rPr>
          <w:rFonts w:ascii="Times New Roman" w:hAnsi="Times New Roman"/>
          <w:sz w:val="20"/>
        </w:rPr>
        <w:t xml:space="preserve">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 </w:t>
      </w:r>
    </w:p>
    <w:p>
      <w:pPr>
        <w:pStyle w:val="TextBody"/>
        <w:bidi w:val="0"/>
        <w:spacing w:before="240" w:after="0"/>
        <w:jc w:val="both"/>
        <w:rPr>
          <w:rFonts w:ascii="Times New Roman" w:hAnsi="Times New Roman"/>
          <w:sz w:val="20"/>
        </w:rPr>
      </w:pPr>
      <w:r>
        <w:rPr>
          <w:rFonts w:ascii="Times New Roman" w:hAnsi="Times New Roman"/>
          <w:sz w:val="20"/>
        </w:rPr>
        <w:t xml:space="preserve">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existing customers do not renew their licenses, do not buy additional products from us, or renew at lower prices, our business and operating results will suffer. </w:t>
      </w:r>
    </w:p>
    <w:p>
      <w:pPr>
        <w:pStyle w:val="TextBody"/>
        <w:bidi w:val="0"/>
        <w:spacing w:before="120" w:after="0"/>
        <w:jc w:val="both"/>
        <w:rPr>
          <w:rFonts w:ascii="Times New Roman" w:hAnsi="Times New Roman"/>
          <w:sz w:val="20"/>
        </w:rPr>
      </w:pPr>
      <w:r>
        <w:rPr>
          <w:rFonts w:ascii="Times New Roman" w:hAnsi="Times New Roman"/>
          <w:sz w:val="20"/>
        </w:rPr>
        <w:t xml:space="preserve">For the year ended December 31, 2020, we derived $22.1 million, or approximately 61% of our Data product line revenue from three customers. After removing the impact of COVID-19 testing revenue, we derived $23.6 million, or approximately 24%, of total revenue from the same three customers for the year ended December 31, 2020. We expect to continue to derive a significant portion of our Data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 performance, and functionality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price, performance, and functionality of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effectiveness of our support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complementary products 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success of competitive products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stability, performance, and security of our technological infrastructure;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business environment of our customers.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deliver our Insights product through a subscription that allows our customers to access our cloud-based Insights product for a specified term or for specified uses. Our customers have no obligation to renew their licenses or subscriptions for our Data products after the license ends, and many of our contracts may be terminated or reduced in scope either immediately or upon notice. In addition, our customers may negotiate terms less advantageous to us upon renewal, which may reduce our revenues from these customers. Factors that are not within our control may contribute to a reduction in our Data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Data product line revenues are generated by sales to life sciences industry customers, and factors that adversely affect this industry could also adversely affect our Data business sales. </w:t>
      </w:r>
    </w:p>
    <w:p>
      <w:pPr>
        <w:pStyle w:val="TextBody"/>
        <w:bidi w:val="0"/>
        <w:spacing w:before="120" w:after="0"/>
        <w:jc w:val="both"/>
        <w:rPr>
          <w:rFonts w:ascii="Times New Roman" w:hAnsi="Times New Roman"/>
          <w:sz w:val="20"/>
        </w:rPr>
      </w:pPr>
      <w:r>
        <w:rPr>
          <w:rFonts w:ascii="Times New Roman" w:hAnsi="Times New Roman"/>
          <w:sz w:val="20"/>
        </w:rPr>
        <w:t xml:space="preserve">A significant portion of our current Data products sales are to customers in the life sciences industry, in particular the pharmaceutical and biotechnology industry. Demand for our Data products could be affected by factors that adversely affect the life sciences industry.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our ability to efficiently provide our products to life sciences companies and to grow or maintain our customer base could be adversely affected as a result of factors that affect the life sciences industry generally.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customize a substantial portion of our Data products to address the needs of individual customers and collaborators. If we cannot sell our customized Data products in the event an order is cancelled, we may be unable to cover our costs and may be left with substantial unsaleable inventory, which could have a material adverse effect on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customize a substantial portion of our Data products to address the needs of individual customers. Some of the agreements with our customers require us to cover the initial setup costs for Data products, which means that we will be paid only upon use of these products by our customers. If our customers fail to purchase these Data products from us in sufficient quantities, do not purchase such products from us at all or otherwise fail to perform their obligations under the agreements with us, we may bear the full cost of customizing these products,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 </w:t>
      </w:r>
    </w:p>
    <w:p>
      <w:pPr>
        <w:pStyle w:val="TextBody"/>
        <w:bidi w:val="0"/>
        <w:spacing w:before="120" w:after="0"/>
        <w:jc w:val="both"/>
        <w:rPr>
          <w:rFonts w:ascii="Times New Roman" w:hAnsi="Times New Roman"/>
          <w:sz w:val="20"/>
        </w:rPr>
      </w:pPr>
      <w:r>
        <w:rPr>
          <w:rFonts w:ascii="Times New Roman" w:hAnsi="Times New Roman"/>
          <w:sz w:val="20"/>
        </w:rPr>
        <w:t xml:space="preserve">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collect receivables from our customers, our operating results may be adversely affected. </w:t>
      </w:r>
    </w:p>
    <w:p>
      <w:pPr>
        <w:pStyle w:val="TextBody"/>
        <w:bidi w:val="0"/>
        <w:spacing w:before="120" w:after="0"/>
        <w:jc w:val="both"/>
        <w:rPr>
          <w:rFonts w:ascii="Times New Roman" w:hAnsi="Times New Roman"/>
          <w:sz w:val="20"/>
        </w:rPr>
      </w:pPr>
      <w:r>
        <w:rPr>
          <w:rFonts w:ascii="Times New Roman" w:hAnsi="Times New Roman"/>
          <w:sz w:val="20"/>
        </w:rPr>
        <w:t xml:space="preserve">While the majority of our current customers are well-established large companies and hospital systems, we also provide our Data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a limited number of suppliers or, in some cases, sole suppliers, for some of our laboratory instruments and materials and may not be able to find replacements or promptly transition to alternative suppliers. </w:t>
      </w:r>
    </w:p>
    <w:p>
      <w:pPr>
        <w:pStyle w:val="TextBody"/>
        <w:bidi w:val="0"/>
        <w:spacing w:before="120" w:after="0"/>
        <w:jc w:val="both"/>
        <w:rPr>
          <w:rFonts w:ascii="Times New Roman" w:hAnsi="Times New Roman"/>
          <w:sz w:val="20"/>
        </w:rPr>
      </w:pPr>
      <w:r>
        <w:rPr>
          <w:rFonts w:ascii="Times New Roman" w:hAnsi="Times New Roman"/>
          <w:sz w:val="20"/>
        </w:rPr>
        <w:t xml:space="preserve">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14% and 23% of total vendor payments for the year ended December 31, 2019 and 2020, respectively, and approximately 10% and 9% of total vendor payments for the six months ended June 30, 2020 and 2021, respectively. Amounts due to this supplier approximated $4.1 million and $5.3 million at December 31, 2019 and 2020, respectively, and $2.5 million at both June 30, 2020 and 2021.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disruptions in supply of, and changes in the competitive environment for, raw materials and components integral to the manufacturing of our products may adversely affect our ability to achieve and maintain profitability. </w:t>
      </w:r>
    </w:p>
    <w:p>
      <w:pPr>
        <w:pStyle w:val="TextBody"/>
        <w:bidi w:val="0"/>
        <w:spacing w:before="120" w:after="0"/>
        <w:jc w:val="both"/>
        <w:rPr>
          <w:rFonts w:ascii="Times New Roman" w:hAnsi="Times New Roman"/>
          <w:sz w:val="20"/>
        </w:rPr>
      </w:pPr>
      <w:r>
        <w:rPr>
          <w:rFonts w:ascii="Times New Roman" w:hAnsi="Times New Roman"/>
          <w:sz w:val="20"/>
        </w:rPr>
        <w:t xml:space="preserve">We use a broad range of materials and supplies, including chemicals and other electronic components, in our Genomics product line. A significant disruption in the supply of these materials, including disruptions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civil unrest, acts of terrorism or other interruptions to or difficulties in the employment of labor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existing laboratory and storage facilities become damaged or inoperable or we are required to vacate our existing facilities, our ability to perform our tests and pursue our research and development efforts may be jeopardized. </w:t>
      </w:r>
    </w:p>
    <w:p>
      <w:pPr>
        <w:pStyle w:val="TextBody"/>
        <w:bidi w:val="0"/>
        <w:spacing w:before="120" w:after="0"/>
        <w:jc w:val="both"/>
        <w:rPr>
          <w:rFonts w:ascii="Times New Roman" w:hAnsi="Times New Roman"/>
          <w:sz w:val="20"/>
        </w:rPr>
      </w:pPr>
      <w:r>
        <w:rPr>
          <w:rFonts w:ascii="Times New Roman" w:hAnsi="Times New Roman"/>
          <w:sz w:val="20"/>
        </w:rPr>
        <w:t xml:space="preserve">We currently derive nearly all of our diagnostic revenue from tests performed at laboratory facilities located in Chicago, Illinois and Atlanta, Georgia, and these facilities generally do not have redundant capabilities. Further, while we are currently in the process of validating our new laboratory facility in Raleigh, North Carolina, there is no assurance that we will successfully complete such validation in a timely manner or at all, and we will not be able to operationalize this facility until such validation is complete.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w:t>
      </w:r>
    </w:p>
    <w:p>
      <w:pPr>
        <w:pStyle w:val="TextBody"/>
        <w:bidi w:val="0"/>
        <w:spacing w:before="240" w:after="0"/>
        <w:jc w:val="both"/>
        <w:rPr>
          <w:rFonts w:ascii="Times New Roman" w:hAnsi="Times New Roman"/>
          <w:sz w:val="20"/>
        </w:rPr>
      </w:pPr>
      <w:r>
        <w:rPr>
          <w:rFonts w:ascii="Times New Roman" w:hAnsi="Times New Roman"/>
          <w:sz w:val="20"/>
        </w:rPr>
        <w:t xml:space="preserve">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commercial courier delivery services to transport samples to our laboratory facility in a timely and cost-efficient manner and if these delivery services are disrupted, our business will be harmed. </w:t>
      </w:r>
    </w:p>
    <w:p>
      <w:pPr>
        <w:pStyle w:val="TextBody"/>
        <w:bidi w:val="0"/>
        <w:spacing w:before="120" w:after="0"/>
        <w:jc w:val="both"/>
        <w:rPr>
          <w:rFonts w:ascii="Times New Roman" w:hAnsi="Times New Roman"/>
          <w:sz w:val="20"/>
        </w:rPr>
      </w:pPr>
      <w:r>
        <w:rPr>
          <w:rFonts w:ascii="Times New Roman" w:hAnsi="Times New Roman"/>
          <w:sz w:val="20"/>
        </w:rPr>
        <w:t xml:space="preserve">Our business depends on our ability to deliver test results quickly and reliably to our customers. Blood and tissue samples sent from the United States by patients, physicians or hospital pathology departments are typically received within days for analysis at our Chicago or Atlanta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provide quality technical support and services for our Data products, we could lose customers and our business and prospects will suffer. </w:t>
      </w:r>
    </w:p>
    <w:p>
      <w:pPr>
        <w:pStyle w:val="TextBody"/>
        <w:bidi w:val="0"/>
        <w:spacing w:before="120" w:after="0"/>
        <w:jc w:val="both"/>
        <w:rPr>
          <w:rFonts w:ascii="Times New Roman" w:hAnsi="Times New Roman"/>
          <w:sz w:val="20"/>
        </w:rPr>
      </w:pPr>
      <w:r>
        <w:rPr>
          <w:rFonts w:ascii="Times New Roman" w:hAnsi="Times New Roman"/>
          <w:sz w:val="20"/>
        </w:rPr>
        <w:t xml:space="preserve">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Seasonality may cause fluctuations in our revenue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materially affected, and may in the future materially affect, our business, financial condition and results of operations. Additionally, impacts of the COVID-19 pandemic could cause unpredictable temporary or permanent fluctuations in seasonal or cyclical variations, including seasonal demand for COVID-19 tests.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Highly Regulated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 </w:t>
      </w:r>
    </w:p>
    <w:p>
      <w:pPr>
        <w:pStyle w:val="TextBody"/>
        <w:bidi w:val="0"/>
        <w:spacing w:before="120" w:after="0"/>
        <w:jc w:val="both"/>
        <w:rPr>
          <w:rFonts w:ascii="Times New Roman" w:hAnsi="Times New Roman"/>
          <w:sz w:val="20"/>
        </w:rPr>
      </w:pPr>
      <w:r>
        <w:rPr>
          <w:rFonts w:ascii="Times New Roman" w:hAnsi="Times New Roman"/>
          <w:sz w:val="20"/>
        </w:rPr>
        <w:t xml:space="preserve">The privacy and security of personally identifiable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or other privacy-related matters, even if unfounded and even if we are in compliance with applicable laws, could damage our reputation and harm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 </w:t>
      </w:r>
    </w:p>
    <w:p>
      <w:pPr>
        <w:pStyle w:val="TextBody"/>
        <w:bidi w:val="0"/>
        <w:spacing w:before="240" w:after="0"/>
        <w:jc w:val="both"/>
        <w:rPr>
          <w:rFonts w:ascii="Times New Roman" w:hAnsi="Times New Roman"/>
          <w:sz w:val="20"/>
        </w:rPr>
      </w:pPr>
      <w:r>
        <w:rPr>
          <w:rFonts w:ascii="Times New Roman" w:hAnsi="Times New Roman"/>
          <w:sz w:val="20"/>
        </w:rPr>
        <w:t xml:space="preserve">HIPAA, as amended by HITECH, establishes a set of national privacy and security standards for the protection of protected health information, or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 </w:t>
      </w:r>
    </w:p>
    <w:p>
      <w:pPr>
        <w:pStyle w:val="TextBody"/>
        <w:bidi w:val="0"/>
        <w:spacing w:before="240" w:after="0"/>
        <w:jc w:val="both"/>
        <w:rPr>
          <w:rFonts w:ascii="Times New Roman" w:hAnsi="Times New Roman"/>
          <w:sz w:val="20"/>
        </w:rPr>
      </w:pPr>
      <w:r>
        <w:rPr>
          <w:rFonts w:ascii="Times New Roman" w:hAnsi="Times New Roman"/>
          <w:sz w:val="20"/>
        </w:rPr>
        <w:t xml:space="preserve">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Data privacy remains an evolving landscape at both the domestic and international level, with new regulations coming into effect. For example,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came into effect on January 1, 2020, and creates new data privacy rights for users.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it is anticipated that the CCPA will be expanded on January 1, 2023, when the California Privacy Rights Act of 2020, or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become effective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w:t>
      </w:r>
    </w:p>
    <w:p>
      <w:pPr>
        <w:pStyle w:val="TextBody"/>
        <w:bidi w:val="0"/>
        <w:spacing w:before="240" w:after="0"/>
        <w:jc w:val="both"/>
        <w:rPr>
          <w:rFonts w:ascii="Times New Roman" w:hAnsi="Times New Roman"/>
          <w:sz w:val="20"/>
        </w:rPr>
      </w:pPr>
      <w:r>
        <w:rPr>
          <w:rFonts w:ascii="Times New Roman" w:hAnsi="Times New Roman"/>
          <w:sz w:val="20"/>
        </w:rPr>
        <w:t xml:space="preserve">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w:t>
      </w:r>
    </w:p>
    <w:p>
      <w:pPr>
        <w:pStyle w:val="TextBody"/>
        <w:bidi w:val="0"/>
        <w:spacing w:before="240" w:after="0"/>
        <w:jc w:val="both"/>
        <w:rPr>
          <w:rFonts w:ascii="Times New Roman" w:hAnsi="Times New Roman"/>
          <w:sz w:val="20"/>
        </w:rPr>
      </w:pPr>
      <w:r>
        <w:rPr>
          <w:rFonts w:ascii="Times New Roman" w:hAnsi="Times New Roman"/>
          <w:sz w:val="20"/>
        </w:rPr>
        <w:t xml:space="preserve">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 increased demands for enhanced data security infrastructure applied to personally identifiable information, could greatly increase our costs of providing our products, decrease demand for our products, reduce our revenue and/or subject us to additional risks.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laboratory resides.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data and pseudonymised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decision in Schrems II and subsequent draft guidance from the European Data Protection Board, or EDPB, may require the parties to that transfer to implement certain supplementary technical, organizational and/or contractual measures to rely on the standard contractual clauses as a GDPR-compliant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U.S. public authorities and commentary in that draft EDPB guidance, include the United States in certain circumstances (e.g., where Section 702 of the US Foreign Intelligence Surveillance Act applies). If we are unable to implement a valid compliance mechanism for cross-border personal data transfers, we may face increased exposure to regulatory actions, substantial fines and injunctions against processing or transferring personal data from Europe. </w:t>
      </w:r>
    </w:p>
    <w:p>
      <w:pPr>
        <w:pStyle w:val="TextBody"/>
        <w:bidi w:val="0"/>
        <w:spacing w:before="240" w:after="0"/>
        <w:jc w:val="both"/>
        <w:rPr>
          <w:rFonts w:ascii="Times New Roman" w:hAnsi="Times New Roman"/>
          <w:sz w:val="20"/>
        </w:rPr>
      </w:pPr>
      <w:r>
        <w:rPr>
          <w:rFonts w:ascii="Times New Roman" w:hAnsi="Times New Roman"/>
          <w:sz w:val="20"/>
        </w:rPr>
        <w:t xml:space="preserve">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form the EEA to the United Kingdom to continue. </w:t>
      </w:r>
    </w:p>
    <w:p>
      <w:pPr>
        <w:pStyle w:val="TextBody"/>
        <w:bidi w:val="0"/>
        <w:spacing w:before="240" w:after="0"/>
        <w:jc w:val="both"/>
        <w:rPr>
          <w:rFonts w:ascii="Times New Roman" w:hAnsi="Times New Roman"/>
          <w:sz w:val="20"/>
        </w:rPr>
      </w:pPr>
      <w:r>
        <w:rPr>
          <w:rFonts w:ascii="Times New Roman" w:hAnsi="Times New Roman"/>
          <w:sz w:val="20"/>
        </w:rPr>
        <w:t xml:space="preserve">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 </w:t>
      </w:r>
    </w:p>
    <w:p>
      <w:pPr>
        <w:pStyle w:val="TextBody"/>
        <w:bidi w:val="0"/>
        <w:spacing w:before="240" w:after="0"/>
        <w:jc w:val="both"/>
        <w:rPr>
          <w:rFonts w:ascii="Times New Roman" w:hAnsi="Times New Roman"/>
          <w:sz w:val="20"/>
        </w:rPr>
      </w:pPr>
      <w:r>
        <w:rPr>
          <w:rFonts w:ascii="Times New Roman" w:hAnsi="Times New Roman"/>
          <w:sz w:val="20"/>
        </w:rPr>
        <w:t xml:space="preserve">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conduct business in a heavily regulated industry, and changes in regulations or violations of regulations may, directly or indirectly, reduce our revenue, adversely affect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laws applicable to test ordering, documentation of tests ordered, billing practices and claims payment and/or regulatory agencies enforcing those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health care fraud and abuse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laboratory anti-mark-up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coverage and reimbursement levels by Medicare, Medicaid, other governmental payers and private insurers;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restrictions on coverage of and reimbursement for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laws governing laboratory testing, including CLIA, and state licensing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laws and enforcement policies governing the development, use and distribution of diagnostic medical devices, including laboratory developed tests, or LDTs;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laws and enforcement policies governing the use of artificial intelligence in analyzing data, including data in healthcare related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state and local laws governing the handling and disposal of medical and hazardous waste;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Occupational Safety and Health Administration rules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Health Insurance Portability and Accountability Act of 1996, or HIPAA, and similar state data privacy and security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consumer protection laws.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 </w:t>
      </w:r>
    </w:p>
    <w:p>
      <w:pPr>
        <w:pStyle w:val="TextBody"/>
        <w:bidi w:val="0"/>
        <w:spacing w:before="240" w:after="0"/>
        <w:jc w:val="both"/>
        <w:rPr>
          <w:rFonts w:ascii="Times New Roman" w:hAnsi="Times New Roman"/>
          <w:sz w:val="20"/>
        </w:rPr>
      </w:pPr>
      <w:r>
        <w:rPr>
          <w:rFonts w:ascii="Times New Roman" w:hAnsi="Times New Roman"/>
          <w:sz w:val="20"/>
        </w:rPr>
        <w:t xml:space="preserve">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artificial intelligence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tests are currently marketed as LDTs, and future changes in FDA enforcement discretion for LDTs could subject our operations to much more significant regulatory requirements. </w:t>
      </w:r>
    </w:p>
    <w:p>
      <w:pPr>
        <w:pStyle w:val="TextBody"/>
        <w:bidi w:val="0"/>
        <w:spacing w:before="120" w:after="0"/>
        <w:jc w:val="both"/>
        <w:rPr>
          <w:rFonts w:ascii="Times New Roman" w:hAnsi="Times New Roman"/>
          <w:sz w:val="20"/>
        </w:rPr>
      </w:pPr>
      <w:r>
        <w:rPr>
          <w:rFonts w:ascii="Times New Roman" w:hAnsi="Times New Roman"/>
          <w:sz w:val="20"/>
        </w:rPr>
        <w:t xml:space="preserve">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 </w:t>
      </w:r>
    </w:p>
    <w:p>
      <w:pPr>
        <w:pStyle w:val="TextBody"/>
        <w:bidi w:val="0"/>
        <w:spacing w:before="240" w:after="0"/>
        <w:jc w:val="both"/>
        <w:rPr>
          <w:rFonts w:ascii="Times New Roman" w:hAnsi="Times New Roman"/>
          <w:sz w:val="20"/>
        </w:rPr>
      </w:pPr>
      <w:r>
        <w:rPr>
          <w:rFonts w:ascii="Times New Roman" w:hAnsi="Times New Roman"/>
          <w:sz w:val="20"/>
        </w:rPr>
        <w:t xml:space="preserve">We market some of our tests as LDTs. While we believe that we are in material compliance with applicable laws and regulations, we cannot assure that the FDA will agree with us. </w:t>
      </w:r>
    </w:p>
    <w:p>
      <w:pPr>
        <w:pStyle w:val="TextBody"/>
        <w:bidi w:val="0"/>
        <w:spacing w:before="240" w:after="0"/>
        <w:jc w:val="both"/>
        <w:rPr>
          <w:rFonts w:ascii="Times New Roman" w:hAnsi="Times New Roman"/>
          <w:sz w:val="20"/>
        </w:rPr>
      </w:pPr>
      <w:r>
        <w:rPr>
          <w:rFonts w:ascii="Times New Roman" w:hAnsi="Times New Roman"/>
          <w:sz w:val="20"/>
        </w:rPr>
        <w:t xml:space="preserve">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guarantee that the FDA will grant 510(k) clearance or a premarket approval of our products and failure to obtain necessary clearances or approvals for our products would adversely affect our ability to grow our business. </w:t>
      </w:r>
    </w:p>
    <w:p>
      <w:pPr>
        <w:pStyle w:val="TextBody"/>
        <w:bidi w:val="0"/>
        <w:spacing w:before="120" w:after="0"/>
        <w:jc w:val="both"/>
        <w:rPr>
          <w:rFonts w:ascii="Times New Roman" w:hAnsi="Times New Roman"/>
          <w:sz w:val="20"/>
        </w:rPr>
      </w:pPr>
      <w:r>
        <w:rPr>
          <w:rFonts w:ascii="Times New Roman" w:hAnsi="Times New Roman"/>
          <w:sz w:val="20"/>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hAnsi="Times New Roman"/>
          <w:i/>
          <w:sz w:val="20"/>
        </w:rPr>
        <w:t xml:space="preserve">in vitro </w:t>
      </w:r>
      <w:r>
        <w:rPr>
          <w:rFonts w:ascii="Times New Roman" w:hAnsi="Times New Roman"/>
          <w:sz w:val="20"/>
        </w:rPr>
        <w:t xml:space="preserve">diagnostic test that is designed, manufactured and used within a single laboratory. The FDA has also largely refrained from regulating pharmacogenomic tests like those we perform in our neuropsychology business. </w:t>
      </w:r>
    </w:p>
    <w:p>
      <w:pPr>
        <w:pStyle w:val="TextBody"/>
        <w:bidi w:val="0"/>
        <w:spacing w:before="240" w:after="0"/>
        <w:jc w:val="both"/>
        <w:rPr>
          <w:rFonts w:ascii="Times New Roman" w:hAnsi="Times New Roman"/>
          <w:sz w:val="20"/>
        </w:rPr>
      </w:pPr>
      <w:r>
        <w:rPr>
          <w:rFonts w:ascii="Times New Roman" w:hAnsi="Times New Roman"/>
          <w:sz w:val="20"/>
        </w:rPr>
        <w:t xml:space="preserve">The process of obtaining a PMA is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 </w:t>
      </w:r>
    </w:p>
    <w:p>
      <w:pPr>
        <w:pStyle w:val="TextBody"/>
        <w:bidi w:val="0"/>
        <w:spacing w:before="240" w:after="0"/>
        <w:jc w:val="both"/>
        <w:rPr>
          <w:rFonts w:ascii="Times New Roman" w:hAnsi="Times New Roman"/>
          <w:sz w:val="20"/>
        </w:rPr>
      </w:pPr>
      <w:r>
        <w:rPr>
          <w:rFonts w:ascii="Times New Roman" w:hAnsi="Times New Roman"/>
          <w:sz w:val="20"/>
        </w:rPr>
        <w:t xml:space="preserve">The FDA can delay, limit or deny clearance or approval of a device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inability to demonstrate to the satisfaction of the FDA that our products are safe or effective for their intended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disagreement of the FDA with the design, conduct or implementation of our clinical trials or the analysis or interpretation of data from our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serious and unexpected adverse effects experienced by participants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data from our pre-clinical studies and clinical trials may be insufficient to support clearance or approval, where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inability to demonstrate that the clinical and other benefits of any of our tests outweigh the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FDA may identify deficiencies in our marketing application, and in our manufacturing processes, facilities or analytical methods or those of our third-party contract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for approval policies or regulations of the FDA to change significantly in a manner rendering our clinical data or regulatory filings insufficient for the clearance or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FDA may audit our clinical trial data and conclude that the data is not sufficiently reliable to support a PMA application.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In foreign jurisdictions, we may be required to procure similar regulatory approvals or clearances prior to marketing our diagnostic products. For example, in the Europe Union, we would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pStyle w:val="TextBody"/>
        <w:bidi w:val="0"/>
        <w:spacing w:before="240" w:after="0"/>
        <w:jc w:val="both"/>
        <w:rPr>
          <w:rFonts w:ascii="Times New Roman" w:hAnsi="Times New Roman"/>
          <w:sz w:val="20"/>
        </w:rPr>
      </w:pPr>
      <w:r>
        <w:rPr>
          <w:rFonts w:ascii="Times New Roman" w:hAnsi="Times New Roman"/>
          <w:sz w:val="20"/>
        </w:rPr>
        <w:t xml:space="preserve">Any delay or failure to obtain necessary regulatory approvals or clearances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Modifications to our FDA-cleared or approved products may require new 510(k) clearances or premarket approvals, or may require us to cease marketing or recall the modified products until clearances are obtained. </w:t>
      </w:r>
    </w:p>
    <w:p>
      <w:pPr>
        <w:pStyle w:val="TextBody"/>
        <w:bidi w:val="0"/>
        <w:spacing w:before="120" w:after="0"/>
        <w:jc w:val="both"/>
        <w:rPr>
          <w:rFonts w:ascii="Times New Roman" w:hAnsi="Times New Roman"/>
          <w:sz w:val="20"/>
        </w:rPr>
      </w:pPr>
      <w:r>
        <w:rPr>
          <w:rFonts w:ascii="Times New Roman" w:hAnsi="Times New Roman"/>
          <w:sz w:val="20"/>
        </w:rPr>
        <w:t xml:space="preserve">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may in the future be subject to product recalls. A recall of our products, either voluntarily or at the direction of the FDA or another governmental authority, or the discovery of serious safety issues with our products, could have a significant adverse impact on us. </w:t>
      </w:r>
    </w:p>
    <w:p>
      <w:pPr>
        <w:pStyle w:val="TextBody"/>
        <w:bidi w:val="0"/>
        <w:spacing w:before="120" w:after="0"/>
        <w:jc w:val="both"/>
        <w:rPr>
          <w:rFonts w:ascii="Times New Roman" w:hAnsi="Times New Roman"/>
          <w:sz w:val="20"/>
        </w:rPr>
      </w:pPr>
      <w:r>
        <w:rPr>
          <w:rFonts w:ascii="Times New Roman" w:hAnsi="Times New Roman"/>
          <w:sz w:val="20"/>
        </w:rPr>
        <w:t xml:space="preserve">The FDA has the authority to require the recall of commercialized products that are subject to FDA regulation in the event of material deficiencies or defects in design or manufacture. We may also, on our own initiative, recall a product. The FDA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 </w:t>
      </w:r>
    </w:p>
    <w:p>
      <w:pPr>
        <w:pStyle w:val="TextBody"/>
        <w:bidi w:val="0"/>
        <w:spacing w:before="240" w:after="0"/>
        <w:jc w:val="both"/>
        <w:rPr>
          <w:rFonts w:ascii="Times New Roman" w:hAnsi="Times New Roman"/>
          <w:sz w:val="20"/>
        </w:rPr>
      </w:pPr>
      <w:r>
        <w:rPr>
          <w:rFonts w:ascii="Times New Roman" w:hAnsi="Times New Roman"/>
          <w:sz w:val="20"/>
        </w:rPr>
        <w:t xml:space="preserve">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regulatory approval of our products, we will continue to be subject to extensive regulatory oversight. </w:t>
      </w:r>
    </w:p>
    <w:p>
      <w:pPr>
        <w:pStyle w:val="TextBody"/>
        <w:bidi w:val="0"/>
        <w:spacing w:before="120" w:after="0"/>
        <w:jc w:val="both"/>
        <w:rPr>
          <w:rFonts w:ascii="Times New Roman" w:hAnsi="Times New Roman"/>
          <w:sz w:val="20"/>
        </w:rPr>
      </w:pPr>
      <w:r>
        <w:rPr>
          <w:rFonts w:ascii="Times New Roman" w:hAnsi="Times New Roman"/>
          <w:sz w:val="20"/>
        </w:rPr>
        <w:t xml:space="preserve">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The FDA and the Federal Trade Commission, or FTC, also regulate the advertising and promotion of medical devices to ensure that their promotional claims made are consistent with the applicable marketing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 </w:t>
      </w:r>
    </w:p>
    <w:p>
      <w:pPr>
        <w:pStyle w:val="TextBody"/>
        <w:bidi w:val="0"/>
        <w:spacing w:before="240" w:after="0"/>
        <w:jc w:val="both"/>
        <w:rPr>
          <w:rFonts w:ascii="Times New Roman" w:hAnsi="Times New Roman"/>
          <w:sz w:val="20"/>
        </w:rPr>
      </w:pPr>
      <w:r>
        <w:rPr>
          <w:rFonts w:ascii="Times New Roman" w:hAnsi="Times New Roman"/>
          <w:sz w:val="20"/>
        </w:rPr>
        <w:t xml:space="preserve">The FDA, state and foreign authorities have broad enforcement powers. Our failure to comply with applicable regulatory requirements could result in enforcement action by the FDA, state or foreign regulatory agencies, which may include any of the following sanctions: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adverse publicity, warning letters, untitled letters, fines, injunctions, consent decrees and civil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repair, replacement, refunds, recalls, termination of distribution, administrative detention or seizures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operating restrictions, partial suspension or total shutdown of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customer notifications or repair, replacement or refunds;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refusing our requests for clearances or approvals of new products, new intended uses or modifications to existing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withdrawals of current clearances or approvals, resulting in prohibitions on sales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to issue certificates needed to export products for sale in other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criminal prosecution.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of these sanctions could also result in higher than anticipated costs or lower than anticipated sales of our products and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 </w:t>
      </w:r>
    </w:p>
    <w:p>
      <w:pPr>
        <w:pStyle w:val="TextBody"/>
        <w:bidi w:val="0"/>
        <w:spacing w:before="240" w:after="0"/>
        <w:jc w:val="both"/>
        <w:rPr>
          <w:rFonts w:ascii="Times New Roman" w:hAnsi="Times New Roman"/>
          <w:sz w:val="20"/>
        </w:rPr>
      </w:pPr>
      <w:r>
        <w:rPr>
          <w:rFonts w:ascii="Times New Roman" w:hAnsi="Times New Roman"/>
          <w:sz w:val="20"/>
        </w:rPr>
        <w:t xml:space="preserve">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 </w:t>
      </w:r>
    </w:p>
    <w:p>
      <w:pPr>
        <w:pStyle w:val="TextBody"/>
        <w:bidi w:val="0"/>
        <w:spacing w:before="240" w:after="0"/>
        <w:jc w:val="both"/>
        <w:rPr>
          <w:rFonts w:ascii="Times New Roman" w:hAnsi="Times New Roman"/>
          <w:sz w:val="20"/>
        </w:rPr>
      </w:pPr>
      <w:r>
        <w:rPr>
          <w:rFonts w:ascii="Times New Roman" w:hAnsi="Times New Roman"/>
          <w:sz w:val="20"/>
        </w:rPr>
        <w:t xml:space="preserve">The FDAs and other regulatory authorities policies may change and additional government regulations may be promulgated that could prevent, limit or delay regulatory clearance or approval of our diagnostic tests. </w:t>
      </w:r>
    </w:p>
    <w:p>
      <w:pPr>
        <w:pStyle w:val="TextBody"/>
        <w:bidi w:val="0"/>
        <w:spacing w:before="240" w:after="0"/>
        <w:jc w:val="both"/>
        <w:rPr>
          <w:rFonts w:ascii="Times New Roman" w:hAnsi="Times New Roman"/>
          <w:sz w:val="20"/>
        </w:rPr>
      </w:pPr>
      <w:r>
        <w:rPr>
          <w:rFonts w:ascii="Times New Roman" w:hAnsi="Times New Roman"/>
          <w:sz w:val="20"/>
        </w:rPr>
        <w:t xml:space="preserve">We also cannot predict the likelihood, nature or extent of government regulation that may arise from future legislation or administrative or executive action, either in the United States or abroad.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never obtain approval in the EU or in any other foreign country for any of our products and, even if we do, we may never be able to commercialize them in any other jurisdiction, which would limit our ability to realize their full market potential. </w:t>
      </w:r>
    </w:p>
    <w:p>
      <w:pPr>
        <w:pStyle w:val="TextBody"/>
        <w:bidi w:val="0"/>
        <w:spacing w:before="120" w:after="0"/>
        <w:jc w:val="both"/>
        <w:rPr>
          <w:rFonts w:ascii="Times New Roman" w:hAnsi="Times New Roman"/>
          <w:sz w:val="20"/>
        </w:rPr>
      </w:pPr>
      <w:r>
        <w:rPr>
          <w:rFonts w:ascii="Times New Roman" w:hAnsi="Times New Roman"/>
          <w:sz w:val="20"/>
        </w:rPr>
        <w:t xml:space="preserve">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 </w:t>
      </w:r>
    </w:p>
    <w:p>
      <w:pPr>
        <w:pStyle w:val="TextBody"/>
        <w:bidi w:val="0"/>
        <w:spacing w:before="240" w:after="0"/>
        <w:jc w:val="both"/>
        <w:rPr>
          <w:rFonts w:ascii="Times New Roman" w:hAnsi="Times New Roman"/>
          <w:sz w:val="20"/>
        </w:rPr>
      </w:pPr>
      <w:r>
        <w:rPr>
          <w:rFonts w:ascii="Times New Roman" w:hAnsi="Times New Roman"/>
          <w:sz w:val="20"/>
        </w:rPr>
        <w:t xml:space="preserve">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the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and Atlanta and have commenced the process of obtaining CLIA certification to perform our tests at our proposed laboratory in Raleigh, North Carolina. To maintain this certificate, we are subject to survey and inspection every two years. Moreover, CLIA inspectors may make random inspections of our laboratory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We are also required to maintain clinical laboratory licenses to perform testing in Illinois and Georgia, and we will be required to maintain these licenses to perform testing at our proposed facility in Raleigh.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 </w:t>
      </w:r>
    </w:p>
    <w:p>
      <w:pPr>
        <w:pStyle w:val="TextBody"/>
        <w:bidi w:val="0"/>
        <w:spacing w:before="240" w:after="0"/>
        <w:jc w:val="both"/>
        <w:rPr>
          <w:rFonts w:ascii="Times New Roman" w:hAnsi="Times New Roman"/>
          <w:sz w:val="20"/>
        </w:rPr>
      </w:pPr>
      <w:r>
        <w:rPr>
          <w:rFonts w:ascii="Times New Roman" w:hAnsi="Times New Roman"/>
          <w:sz w:val="20"/>
        </w:rPr>
        <w:t xml:space="preserve">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 </w:t>
      </w:r>
    </w:p>
    <w:p>
      <w:pPr>
        <w:pStyle w:val="TextBody"/>
        <w:bidi w:val="0"/>
        <w:spacing w:before="240" w:after="0"/>
        <w:jc w:val="both"/>
        <w:rPr>
          <w:rFonts w:ascii="Times New Roman" w:hAnsi="Times New Roman"/>
          <w:sz w:val="20"/>
        </w:rPr>
      </w:pPr>
      <w:r>
        <w:rPr>
          <w:rFonts w:ascii="Times New Roman" w:hAnsi="Times New Roman"/>
          <w:sz w:val="20"/>
        </w:rPr>
        <w:t xml:space="preserve">In order to test specimens from New York, LDTs must be approved by the New York State Department of Health, or NYSDOH, on a product-by-product basis before they are offered, and a version of our Tempus|xT test has been approved by NYSDOH. We will need to seek NYSDOH approval of any future LDTs we develop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 </w:t>
      </w:r>
    </w:p>
    <w:p>
      <w:pPr>
        <w:pStyle w:val="TextBody"/>
        <w:bidi w:val="0"/>
        <w:spacing w:before="240" w:after="0"/>
        <w:jc w:val="both"/>
        <w:rPr>
          <w:rFonts w:ascii="Times New Roman" w:hAnsi="Times New Roman"/>
          <w:sz w:val="20"/>
        </w:rPr>
      </w:pPr>
      <w:r>
        <w:rPr>
          <w:rFonts w:ascii="Times New Roman" w:hAnsi="Times New Roman"/>
          <w:sz w:val="20"/>
        </w:rPr>
        <w:t xml:space="preserve">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apply for CAP accreditation for our planned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Our operations are subject to other extensive federal, state, local and foreign laws and regulations, all of which are subject to change. These laws and regulations may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hAnsi="Times New Roman"/>
                <w:i/>
                <w:sz w:val="20"/>
              </w:rPr>
              <w:t xml:space="preserve">per se </w:t>
            </w:r>
            <w:r>
              <w:rPr>
                <w:rFonts w:ascii="Times New Roman" w:hAnsi="Times New Roman"/>
                <w:sz w:val="20"/>
              </w:rPr>
              <w:t xml:space="preserve">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 value to physicians (defined to include doctors, dentists, optometrists, podiatrists and chiropractors) and teaching hospitals, and, beginning in 2022, payments and other transfers of value provided to physician assistants, nurse practitioners, clinical nurse specialists, certified registered nurse anesthetists and certified nurse midwives during the previous year;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hAnsi="Times New Roman"/>
                <w:i/>
                <w:sz w:val="20"/>
              </w:rPr>
              <w:t>qui tam</w:t>
            </w:r>
            <w:r>
              <w:rPr>
                <w:rFonts w:ascii="Times New Roman" w:hAnsi="Times New Roman"/>
                <w:sz w:val="20"/>
              </w:rPr>
              <w:t xml:space="preserve">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HIPAA, as amended by the Health Information Technology for Economic and Clinical Health Act of 2009, or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federal and state fraud and abuse laws, such as state anti-kickback, self-referrals, false claims and anti-markup laws, any of which may extend to services reimbursable by any payer, including private insurers;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similar foreign laws and regulations in the countries in which we operate or may operate in the future.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 </w:t>
      </w:r>
    </w:p>
    <w:p>
      <w:pPr>
        <w:pStyle w:val="TextBody"/>
        <w:bidi w:val="0"/>
        <w:spacing w:before="240" w:after="0"/>
        <w:jc w:val="both"/>
        <w:rPr>
          <w:rFonts w:ascii="Times New Roman" w:hAnsi="Times New Roman"/>
          <w:sz w:val="20"/>
        </w:rPr>
      </w:pPr>
      <w:r>
        <w:rPr>
          <w:rFonts w:ascii="Times New Roman" w:hAnsi="Times New Roman"/>
          <w:sz w:val="20"/>
        </w:rPr>
        <w:t xml:space="preserve">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 </w:t>
      </w:r>
    </w:p>
    <w:p>
      <w:pPr>
        <w:pStyle w:val="TextBody"/>
        <w:bidi w:val="0"/>
        <w:spacing w:before="240" w:after="0"/>
        <w:jc w:val="both"/>
        <w:rPr>
          <w:rFonts w:ascii="Times New Roman" w:hAnsi="Times New Roman"/>
          <w:sz w:val="20"/>
        </w:rPr>
      </w:pPr>
      <w:r>
        <w:rPr>
          <w:rFonts w:ascii="Times New Roman" w:hAnsi="Times New Roman"/>
          <w:sz w:val="20"/>
        </w:rPr>
        <w:t xml:space="preserve">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validity of an informed consent from patients regarding our tests was challenged, we could be forced to stop offering our products or using our resources, and our business, financial condition and results of operations could be negatively affected. </w:t>
      </w:r>
    </w:p>
    <w:p>
      <w:pPr>
        <w:pStyle w:val="TextBody"/>
        <w:bidi w:val="0"/>
        <w:spacing w:before="120" w:after="0"/>
        <w:jc w:val="both"/>
        <w:rPr>
          <w:rFonts w:ascii="Times New Roman" w:hAnsi="Times New Roman"/>
          <w:sz w:val="20"/>
        </w:rPr>
      </w:pPr>
      <w:r>
        <w:rPr>
          <w:rFonts w:ascii="Times New Roman" w:hAnsi="Times New Roman"/>
          <w:sz w:val="20"/>
        </w:rPr>
        <w:t xml:space="preserve">We seek to ensure that all data and biological samples that we receive from our customers have been collected from patients, subjects or participants who have provided the necessary informed consent for purposes that extend to our development activities. In many instances, this requires the physician or hospital system ordering the diagnostic system to obtain the consent of the patient.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under a large number of different legal systems.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fines, penalties, licensure requirements, or legal liability, if it is determined that through our test reports we are practicing medicine without a license. </w:t>
      </w:r>
    </w:p>
    <w:p>
      <w:pPr>
        <w:pStyle w:val="TextBody"/>
        <w:bidi w:val="0"/>
        <w:spacing w:before="120" w:after="0"/>
        <w:jc w:val="both"/>
        <w:rPr>
          <w:rFonts w:ascii="Times New Roman" w:hAnsi="Times New Roman"/>
          <w:sz w:val="20"/>
        </w:rPr>
      </w:pPr>
      <w:r>
        <w:rPr>
          <w:rFonts w:ascii="Times New Roman" w:hAnsi="Times New Roman"/>
          <w:sz w:val="20"/>
        </w:rPr>
        <w:t xml:space="preserve">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billing and claim processing are complex and time-consuming, and any delay in submitting claims or failure to comply with applicable billing requirements could hinder collection and have an adverse effect on our revenue. </w:t>
      </w:r>
    </w:p>
    <w:p>
      <w:pPr>
        <w:pStyle w:val="TextBody"/>
        <w:bidi w:val="0"/>
        <w:spacing w:before="120" w:after="0"/>
        <w:jc w:val="both"/>
        <w:rPr>
          <w:rFonts w:ascii="Times New Roman" w:hAnsi="Times New Roman"/>
          <w:sz w:val="20"/>
        </w:rPr>
      </w:pPr>
      <w:r>
        <w:rPr>
          <w:rFonts w:ascii="Times New Roman" w:hAnsi="Times New Roman"/>
          <w:sz w:val="20"/>
        </w:rPr>
        <w:t xml:space="preserve">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differences between the list prices for our tests and the reimbursement rates of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compliance with complex federal and state regulations related to billing government healthcare programs, including Medicare and Medicaid, to the extent our tests are covered by such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differences in coverage among payers and the effect of patient co-payments or co-insurance;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differences in information, pre-authorization and other billing requirements among payers;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to codes and coding instructions governing our tests;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incorrect or missing billing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resources required to manage the billing and claim appeals process.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so we have historically submitted claims using individual codes or combinations of codes based on the cancer subtype profiled. However, providers, such as the Local MAC,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are currently disputing denials of a substantial number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healthcare laws, regulations and policies could increase our costs, decrease our sales and revenues and negatively impact reimbursement for our tests. </w:t>
      </w:r>
    </w:p>
    <w:p>
      <w:pPr>
        <w:pStyle w:val="TextBody"/>
        <w:bidi w:val="0"/>
        <w:spacing w:before="120" w:after="0"/>
        <w:jc w:val="both"/>
        <w:rPr>
          <w:rFonts w:ascii="Times New Roman" w:hAnsi="Times New Roman"/>
          <w:sz w:val="20"/>
        </w:rPr>
      </w:pPr>
      <w:r>
        <w:rPr>
          <w:rFonts w:ascii="Times New Roman" w:hAnsi="Times New Roman"/>
          <w:sz w:val="20"/>
        </w:rPr>
        <w:t xml:space="preserve">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 </w:t>
      </w:r>
    </w:p>
    <w:p>
      <w:pPr>
        <w:pStyle w:val="TextBody"/>
        <w:bidi w:val="0"/>
        <w:spacing w:before="240" w:after="0"/>
        <w:jc w:val="both"/>
        <w:rPr>
          <w:rFonts w:ascii="Times New Roman" w:hAnsi="Times New Roman"/>
          <w:sz w:val="20"/>
        </w:rPr>
      </w:pPr>
      <w:r>
        <w:rPr>
          <w:rFonts w:ascii="Times New Roman" w:hAnsi="Times New Roman"/>
          <w:sz w:val="20"/>
        </w:rPr>
        <w:t xml:space="preserve">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 and our business. </w:t>
      </w:r>
    </w:p>
    <w:p>
      <w:pPr>
        <w:pStyle w:val="TextBody"/>
        <w:bidi w:val="0"/>
        <w:spacing w:before="240" w:after="0"/>
        <w:jc w:val="both"/>
        <w:rPr>
          <w:rFonts w:ascii="Times New Roman" w:hAnsi="Times New Roman"/>
          <w:sz w:val="20"/>
        </w:rPr>
      </w:pPr>
      <w:r>
        <w:rPr>
          <w:rFonts w:ascii="Times New Roman" w:hAnsi="Times New Roman"/>
          <w:sz w:val="20"/>
        </w:rPr>
        <w:t xml:space="preserve">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 </w:t>
      </w:r>
    </w:p>
    <w:p>
      <w:pPr>
        <w:pStyle w:val="TextBody"/>
        <w:bidi w:val="0"/>
        <w:spacing w:before="240" w:after="0"/>
        <w:jc w:val="both"/>
        <w:rPr>
          <w:rFonts w:ascii="Times New Roman" w:hAnsi="Times New Roman"/>
          <w:sz w:val="20"/>
        </w:rPr>
      </w:pPr>
      <w:r>
        <w:rPr>
          <w:rFonts w:ascii="Times New Roman" w:hAnsi="Times New Roman"/>
          <w:sz w:val="20"/>
        </w:rPr>
        <w:t xml:space="preserve">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 Further, it is possible that additional governmental action will be taken in response to the COVID-19 pandemic.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risks related to handling of hazardous materials and other regulations governing environmental safety. </w:t>
      </w:r>
    </w:p>
    <w:p>
      <w:pPr>
        <w:pStyle w:val="TextBody"/>
        <w:bidi w:val="0"/>
        <w:spacing w:before="120" w:after="0"/>
        <w:jc w:val="both"/>
        <w:rPr>
          <w:rFonts w:ascii="Times New Roman" w:hAnsi="Times New Roman"/>
          <w:sz w:val="20"/>
        </w:rPr>
      </w:pPr>
      <w:r>
        <w:rPr>
          <w:rFonts w:ascii="Times New Roman" w:hAnsi="Times New Roman"/>
          <w:sz w:val="20"/>
        </w:rPr>
        <w:t xml:space="preserve">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 </w:t>
      </w:r>
    </w:p>
    <w:p>
      <w:pPr>
        <w:pStyle w:val="TextBody"/>
        <w:bidi w:val="0"/>
        <w:spacing w:before="120" w:after="0"/>
        <w:jc w:val="both"/>
        <w:rPr>
          <w:rFonts w:ascii="Times New Roman" w:hAnsi="Times New Roman"/>
          <w:sz w:val="20"/>
        </w:rPr>
      </w:pPr>
      <w:r>
        <w:rPr>
          <w:rFonts w:ascii="Times New Roman" w:hAnsi="Times New Roman"/>
          <w:sz w:val="20"/>
        </w:rPr>
        <w:t xml:space="preserve">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 </w:t>
      </w:r>
    </w:p>
    <w:p>
      <w:pPr>
        <w:pStyle w:val="TextBody"/>
        <w:bidi w:val="0"/>
        <w:spacing w:before="240" w:after="0"/>
        <w:jc w:val="both"/>
        <w:rPr>
          <w:rFonts w:ascii="Times New Roman" w:hAnsi="Times New Roman"/>
          <w:sz w:val="20"/>
        </w:rPr>
      </w:pPr>
      <w:r>
        <w:rPr>
          <w:rFonts w:ascii="Times New Roman" w:hAnsi="Times New Roman"/>
          <w:sz w:val="20"/>
        </w:rPr>
        <w:t xml:space="preserve">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 </w:t>
      </w:r>
    </w:p>
    <w:p>
      <w:pPr>
        <w:pStyle w:val="TextBody"/>
        <w:bidi w:val="0"/>
        <w:spacing w:before="240" w:after="0"/>
        <w:jc w:val="both"/>
        <w:rPr>
          <w:rFonts w:ascii="Times New Roman" w:hAnsi="Times New Roman"/>
          <w:sz w:val="20"/>
        </w:rPr>
      </w:pPr>
      <w:r>
        <w:rPr>
          <w:rFonts w:ascii="Times New Roman" w:hAnsi="Times New Roman"/>
          <w:sz w:val="20"/>
        </w:rPr>
        <w:t xml:space="preserve">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 </w:t>
      </w:r>
    </w:p>
    <w:p>
      <w:pPr>
        <w:pStyle w:val="TextBody"/>
        <w:bidi w:val="0"/>
        <w:spacing w:before="240" w:after="0"/>
        <w:jc w:val="both"/>
        <w:rPr>
          <w:rFonts w:ascii="Times New Roman" w:hAnsi="Times New Roman"/>
          <w:sz w:val="20"/>
        </w:rPr>
      </w:pPr>
      <w:r>
        <w:rPr>
          <w:rFonts w:ascii="Times New Roman" w:hAnsi="Times New Roman"/>
          <w:sz w:val="20"/>
        </w:rPr>
        <w:t xml:space="preserve">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elsewhere. Courts frequently render opinions in the biotechnology field that may affect the patentability of certain inventions or discoveries, including opinions that may affect the patentability of methods for analyzing or comparing DNA sequences. </w:t>
      </w:r>
    </w:p>
    <w:p>
      <w:pPr>
        <w:pStyle w:val="TextBody"/>
        <w:bidi w:val="0"/>
        <w:spacing w:before="240" w:after="0"/>
        <w:jc w:val="both"/>
        <w:rPr>
          <w:rFonts w:ascii="Times New Roman" w:hAnsi="Times New Roman"/>
          <w:sz w:val="20"/>
        </w:rPr>
      </w:pPr>
      <w:r>
        <w:rPr>
          <w:rFonts w:ascii="Times New Roman" w:hAnsi="Times New Roman"/>
          <w:sz w:val="20"/>
        </w:rPr>
        <w:t xml:space="preserve">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United States and other jurisdictions could diminish the value of patents in general, thereby impairing our ability to protect our Platform and products. </w:t>
      </w:r>
    </w:p>
    <w:p>
      <w:pPr>
        <w:pStyle w:val="TextBody"/>
        <w:bidi w:val="0"/>
        <w:spacing w:before="120" w:after="0"/>
        <w:jc w:val="both"/>
        <w:rPr>
          <w:rFonts w:ascii="Times New Roman" w:hAnsi="Times New Roman"/>
          <w:sz w:val="20"/>
        </w:rPr>
      </w:pPr>
      <w:r>
        <w:rPr>
          <w:rFonts w:ascii="Times New Roman" w:hAnsi="Times New Roman"/>
          <w:sz w:val="20"/>
        </w:rPr>
        <w:t xml:space="preserve">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 </w:t>
      </w:r>
    </w:p>
    <w:p>
      <w:pPr>
        <w:pStyle w:val="TextBody"/>
        <w:bidi w:val="0"/>
        <w:spacing w:before="240" w:after="0"/>
        <w:jc w:val="both"/>
        <w:rPr>
          <w:rFonts w:ascii="Times New Roman" w:hAnsi="Times New Roman"/>
          <w:sz w:val="20"/>
        </w:rPr>
      </w:pPr>
      <w:r>
        <w:rPr>
          <w:rFonts w:ascii="Times New Roman" w:hAnsi="Times New Roman"/>
          <w:sz w:val="20"/>
        </w:rPr>
        <w:t xml:space="preserve">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 </w:t>
      </w:r>
    </w:p>
    <w:p>
      <w:pPr>
        <w:pStyle w:val="TextBody"/>
        <w:bidi w:val="0"/>
        <w:spacing w:before="240" w:after="0"/>
        <w:jc w:val="both"/>
        <w:rPr>
          <w:rFonts w:ascii="Times New Roman" w:hAnsi="Times New Roman"/>
          <w:sz w:val="20"/>
        </w:rPr>
      </w:pPr>
      <w:r>
        <w:rPr>
          <w:rFonts w:ascii="Times New Roman" w:hAnsi="Times New Roman"/>
          <w:sz w:val="20"/>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hAnsi="Times New Roman"/>
          <w:i/>
          <w:sz w:val="20"/>
        </w:rPr>
        <w:t>inter partes</w:t>
      </w:r>
      <w:r>
        <w:rPr>
          <w:rFonts w:ascii="Times New Roman" w:hAnsi="Times New Roman"/>
          <w:sz w:val="20"/>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Issued patents covering our Platform or products could be found invalid or unenforceable if challenged. </w:t>
      </w:r>
    </w:p>
    <w:p>
      <w:pPr>
        <w:pStyle w:val="TextBody"/>
        <w:bidi w:val="0"/>
        <w:spacing w:before="120" w:after="0"/>
        <w:jc w:val="both"/>
        <w:rPr>
          <w:rFonts w:ascii="Times New Roman" w:hAnsi="Times New Roman"/>
          <w:sz w:val="20"/>
        </w:rPr>
      </w:pPr>
      <w:r>
        <w:rPr>
          <w:rFonts w:ascii="Times New Roman" w:hAnsi="Times New Roman"/>
          <w:sz w:val="20"/>
        </w:rPr>
        <w:t xml:space="preserve">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hAnsi="Times New Roman"/>
          <w:i/>
          <w:sz w:val="20"/>
        </w:rPr>
        <w:t>inter partes</w:t>
      </w:r>
      <w:r>
        <w:rPr>
          <w:rFonts w:ascii="Times New Roman" w:hAnsi="Times New Roman"/>
          <w:sz w:val="20"/>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 </w:t>
      </w:r>
    </w:p>
    <w:p>
      <w:pPr>
        <w:pStyle w:val="TextBody"/>
        <w:bidi w:val="0"/>
        <w:spacing w:before="240" w:after="0"/>
        <w:jc w:val="both"/>
        <w:rPr>
          <w:rFonts w:ascii="Times New Roman" w:hAnsi="Times New Roman"/>
          <w:sz w:val="20"/>
        </w:rPr>
      </w:pPr>
      <w:r>
        <w:rPr>
          <w:rFonts w:ascii="Times New Roman" w:hAnsi="Times New Roman"/>
          <w:sz w:val="20"/>
        </w:rPr>
        <w:t xml:space="preserve">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licenses from third parties to provide certain products, and if we lose these licenses or if our rights under these licenses are limited, then our business will be adversely impacted. </w:t>
      </w:r>
    </w:p>
    <w:p>
      <w:pPr>
        <w:pStyle w:val="TextBody"/>
        <w:bidi w:val="0"/>
        <w:spacing w:before="120" w:after="0"/>
        <w:jc w:val="both"/>
        <w:rPr>
          <w:rFonts w:ascii="Times New Roman" w:hAnsi="Times New Roman"/>
          <w:sz w:val="20"/>
        </w:rPr>
      </w:pPr>
      <w:r>
        <w:rPr>
          <w:rFonts w:ascii="Times New Roman" w:hAnsi="Times New Roman"/>
          <w:sz w:val="20"/>
        </w:rPr>
        <w:t xml:space="preserve">We are, and we may acquire companies that are, party to various license agreements that grant us rights to use certain intellectual property, including de-identified patient data, artificial intelligence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 </w:t>
      </w:r>
    </w:p>
    <w:p>
      <w:pPr>
        <w:pStyle w:val="TextBody"/>
        <w:bidi w:val="0"/>
        <w:spacing w:before="240" w:after="0"/>
        <w:jc w:val="both"/>
        <w:rPr>
          <w:rFonts w:ascii="Times New Roman" w:hAnsi="Times New Roman"/>
          <w:sz w:val="20"/>
        </w:rPr>
      </w:pPr>
      <w:r>
        <w:rPr>
          <w:rFonts w:ascii="Times New Roman" w:hAnsi="Times New Roman"/>
          <w:sz w:val="20"/>
        </w:rPr>
        <w:t xml:space="preserve">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Moreover, disputes could arise with respect to any aspect of our license agreements,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financial or other obligations under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our Platform, products, and processes infringe, misappropriate, or otherwise violate the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licensing of patent and other rights controlled by our licensors or developed under our collaborative development relationships to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sublicensing of patent and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inventorship and ownership of inventions and know-how licensed to us or resulting from the joint creation or use of intellectual property by our licensors, us and/or our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validity, enforceability or priority of licensed patent rights.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we do not prevail in such disputes, we may lose any of such license agreements, the license agreements may not be meaningful for our business and operations, and we may be subject to unnecessary or additional payment obligations.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 </w:t>
      </w:r>
    </w:p>
    <w:p>
      <w:pPr>
        <w:pStyle w:val="TextBody"/>
        <w:bidi w:val="0"/>
        <w:spacing w:before="240" w:after="0"/>
        <w:jc w:val="both"/>
        <w:rPr>
          <w:rFonts w:ascii="Times New Roman" w:hAnsi="Times New Roman"/>
          <w:sz w:val="20"/>
        </w:rPr>
      </w:pPr>
      <w:r>
        <w:rPr>
          <w:rFonts w:ascii="Times New Roman" w:hAnsi="Times New Roman"/>
          <w:sz w:val="20"/>
        </w:rPr>
        <w:t xml:space="preserve">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w:t>
      </w:r>
    </w:p>
    <w:p>
      <w:pPr>
        <w:pStyle w:val="TextBody"/>
        <w:bidi w:val="0"/>
        <w:spacing w:before="240" w:after="0"/>
        <w:jc w:val="both"/>
        <w:rPr>
          <w:rFonts w:ascii="Times New Roman" w:hAnsi="Times New Roman"/>
          <w:sz w:val="20"/>
        </w:rPr>
      </w:pPr>
      <w:r>
        <w:rPr>
          <w:rFonts w:ascii="Times New Roman" w:hAnsi="Times New Roman"/>
          <w:sz w:val="20"/>
        </w:rPr>
        <w:t xml:space="preserve">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 and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cannot license and maintain rights to use third-party intellectual property on reasonable terms, we may not be able to successfully commercialize our products. Our licensed or acquired technology may lose value or utility over time.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or enforce our intellectual property rights adequately throughout the world. </w:t>
      </w:r>
    </w:p>
    <w:p>
      <w:pPr>
        <w:pStyle w:val="TextBody"/>
        <w:bidi w:val="0"/>
        <w:spacing w:before="120" w:after="0"/>
        <w:jc w:val="both"/>
        <w:rPr>
          <w:rFonts w:ascii="Times New Roman" w:hAnsi="Times New Roman"/>
          <w:sz w:val="20"/>
        </w:rPr>
      </w:pPr>
      <w:r>
        <w:rPr>
          <w:rFonts w:ascii="Times New Roman" w:hAnsi="Times New Roman"/>
          <w:sz w:val="20"/>
        </w:rPr>
        <w:t xml:space="preserve">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 </w:t>
      </w:r>
    </w:p>
    <w:p>
      <w:pPr>
        <w:pStyle w:val="TextBody"/>
        <w:bidi w:val="0"/>
        <w:spacing w:before="240" w:after="0"/>
        <w:jc w:val="both"/>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 </w:t>
      </w:r>
    </w:p>
    <w:p>
      <w:pPr>
        <w:pStyle w:val="TextBody"/>
        <w:bidi w:val="0"/>
        <w:spacing w:before="240" w:after="0"/>
        <w:jc w:val="both"/>
        <w:rPr>
          <w:rFonts w:ascii="Times New Roman" w:hAnsi="Times New Roman"/>
          <w:sz w:val="20"/>
        </w:rPr>
      </w:pPr>
      <w:r>
        <w:rPr>
          <w:rFonts w:ascii="Times New Roman" w:hAnsi="Times New Roman"/>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protect the confidentiality of our trade secrets, the value of our Platform and other technology could be materially adversely affected and our business could be harmed.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 </w:t>
      </w:r>
    </w:p>
    <w:p>
      <w:pPr>
        <w:pStyle w:val="TextBody"/>
        <w:bidi w:val="0"/>
        <w:spacing w:before="240" w:after="0"/>
        <w:jc w:val="both"/>
        <w:rPr>
          <w:rFonts w:ascii="Times New Roman" w:hAnsi="Times New Roman"/>
          <w:sz w:val="20"/>
        </w:rPr>
      </w:pPr>
      <w:r>
        <w:rPr>
          <w:rFonts w:ascii="Times New Roman" w:hAnsi="Times New Roman"/>
          <w:sz w:val="20"/>
        </w:rPr>
        <w:t xml:space="preserve">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 </w:t>
      </w:r>
    </w:p>
    <w:p>
      <w:pPr>
        <w:pStyle w:val="TextBody"/>
        <w:bidi w:val="0"/>
        <w:spacing w:before="240" w:after="0"/>
        <w:jc w:val="both"/>
        <w:rPr>
          <w:rFonts w:ascii="Times New Roman" w:hAnsi="Times New Roman"/>
          <w:sz w:val="20"/>
        </w:rPr>
      </w:pPr>
      <w:r>
        <w:rPr>
          <w:rFonts w:ascii="Times New Roman" w:hAnsi="Times New Roman"/>
          <w:sz w:val="20"/>
        </w:rPr>
        <w:t xml:space="preserve">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that our employees, consultants or independent contractors have wrongfully used or disclosed confidential information of third parties or that our employees have wrongfully used or disclosed trade secrets of their former employers. </w:t>
      </w:r>
    </w:p>
    <w:p>
      <w:pPr>
        <w:pStyle w:val="TextBody"/>
        <w:bidi w:val="0"/>
        <w:spacing w:before="120" w:after="0"/>
        <w:jc w:val="both"/>
        <w:rPr>
          <w:rFonts w:ascii="Times New Roman" w:hAnsi="Times New Roman"/>
          <w:sz w:val="20"/>
        </w:rPr>
      </w:pPr>
      <w:r>
        <w:rPr>
          <w:rFonts w:ascii="Times New Roman" w:hAnsi="Times New Roman"/>
          <w:sz w:val="20"/>
        </w:rPr>
        <w:t xml:space="preserve">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and enforce our trademarks and we could infringe or otherwise violate others trademarks and if our trademarks are not adequately protected, then we may not be able to build name recognition in our markets of interest. </w:t>
      </w:r>
    </w:p>
    <w:p>
      <w:pPr>
        <w:pStyle w:val="TextBody"/>
        <w:bidi w:val="0"/>
        <w:spacing w:before="120" w:after="0"/>
        <w:jc w:val="both"/>
        <w:rPr>
          <w:rFonts w:ascii="Times New Roman" w:hAnsi="Times New Roman"/>
          <w:sz w:val="20"/>
        </w:rPr>
      </w:pPr>
      <w:r>
        <w:rPr>
          <w:rFonts w:ascii="Times New Roman" w:hAnsi="Times New Roman"/>
          <w:sz w:val="20"/>
        </w:rPr>
        <w:t xml:space="preserve">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 </w:t>
      </w:r>
    </w:p>
    <w:p>
      <w:pPr>
        <w:pStyle w:val="TextBody"/>
        <w:bidi w:val="0"/>
        <w:spacing w:before="240" w:after="0"/>
        <w:jc w:val="both"/>
        <w:rPr>
          <w:rFonts w:ascii="Times New Roman" w:hAnsi="Times New Roman"/>
          <w:sz w:val="20"/>
        </w:rPr>
      </w:pPr>
      <w:r>
        <w:rPr>
          <w:rFonts w:ascii="Times New Roman" w:hAnsi="Times New Roman"/>
          <w:sz w:val="20"/>
        </w:rPr>
        <w:t xml:space="preserve">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challenging the inventorship or ownership of our owned or licensed intellectual property or claims asserting ownership of what we regard as our own 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We or our licensors may be subject to claims that former employees, collaborators or other third parties have an interest in or right to our owned or licensed patents, trade secrets or other intellectual property.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 </w:t>
      </w:r>
    </w:p>
    <w:p>
      <w:pPr>
        <w:pStyle w:val="TextBody"/>
        <w:bidi w:val="0"/>
        <w:spacing w:before="240" w:after="0"/>
        <w:jc w:val="both"/>
        <w:rPr>
          <w:rFonts w:ascii="Times New Roman" w:hAnsi="Times New Roman"/>
          <w:sz w:val="20"/>
        </w:rPr>
      </w:pPr>
      <w:r>
        <w:rPr>
          <w:rFonts w:ascii="Times New Roman" w:hAnsi="Times New Roman"/>
          <w:sz w:val="20"/>
        </w:rPr>
        <w:t xml:space="preserve">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As we move into new markets and applications for our Platform or products, incumbent participants in such markets may assert their patents and other intellectual property or proprietary rights against us as a means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 </w:t>
      </w:r>
    </w:p>
    <w:p>
      <w:pPr>
        <w:pStyle w:val="TextBody"/>
        <w:bidi w:val="0"/>
        <w:spacing w:before="240" w:after="0"/>
        <w:jc w:val="both"/>
        <w:rPr>
          <w:rFonts w:ascii="Times New Roman" w:hAnsi="Times New Roman"/>
          <w:sz w:val="20"/>
        </w:rPr>
      </w:pPr>
      <w:r>
        <w:rPr>
          <w:rFonts w:ascii="Times New Roman" w:hAnsi="Times New Roman"/>
          <w:sz w:val="20"/>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hAnsi="Times New Roman"/>
          <w:i/>
          <w:sz w:val="20"/>
        </w:rPr>
        <w:t>inter partes</w:t>
      </w:r>
      <w:r>
        <w:rPr>
          <w:rFonts w:ascii="Times New Roman" w:hAnsi="Times New Roman"/>
          <w:sz w:val="20"/>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 </w:t>
      </w:r>
    </w:p>
    <w:p>
      <w:pPr>
        <w:pStyle w:val="TextBody"/>
        <w:bidi w:val="0"/>
        <w:spacing w:before="240" w:after="0"/>
        <w:jc w:val="both"/>
        <w:rPr>
          <w:rFonts w:ascii="Times New Roman" w:hAnsi="Times New Roman"/>
          <w:sz w:val="20"/>
        </w:rPr>
      </w:pPr>
      <w:r>
        <w:rPr>
          <w:rFonts w:ascii="Times New Roman" w:hAnsi="Times New Roman"/>
          <w:sz w:val="20"/>
        </w:rPr>
        <w:t xml:space="preserve">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 </w:t>
      </w:r>
    </w:p>
    <w:p>
      <w:pPr>
        <w:pStyle w:val="TextBody"/>
        <w:bidi w:val="0"/>
        <w:spacing w:before="240" w:after="0"/>
        <w:jc w:val="both"/>
        <w:rPr>
          <w:rFonts w:ascii="Times New Roman" w:hAnsi="Times New Roman"/>
          <w:sz w:val="20"/>
        </w:rPr>
      </w:pPr>
      <w:r>
        <w:rPr>
          <w:rFonts w:ascii="Times New Roman" w:hAnsi="Times New Roman"/>
          <w:sz w:val="20"/>
        </w:rPr>
        <w:t xml:space="preserve">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 </w:t>
      </w:r>
    </w:p>
    <w:p>
      <w:pPr>
        <w:pStyle w:val="TextBody"/>
        <w:bidi w:val="0"/>
        <w:spacing w:before="240" w:after="0"/>
        <w:jc w:val="both"/>
        <w:rPr>
          <w:rFonts w:ascii="Times New Roman" w:hAnsi="Times New Roman"/>
          <w:sz w:val="20"/>
        </w:rPr>
      </w:pPr>
      <w:r>
        <w:rPr>
          <w:rFonts w:ascii="Times New Roman" w:hAnsi="Times New Roman"/>
          <w:sz w:val="20"/>
        </w:rPr>
        <w:t xml:space="preserve">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 </w:t>
      </w:r>
    </w:p>
    <w:p>
      <w:pPr>
        <w:pStyle w:val="TextBody"/>
        <w:bidi w:val="0"/>
        <w:spacing w:before="120" w:after="0"/>
        <w:jc w:val="both"/>
        <w:rPr>
          <w:rFonts w:ascii="Times New Roman" w:hAnsi="Times New Roman"/>
          <w:sz w:val="20"/>
        </w:rPr>
      </w:pPr>
      <w:r>
        <w:rPr>
          <w:rFonts w:ascii="Times New Roman" w:hAnsi="Times New Roman"/>
          <w:sz w:val="20"/>
        </w:rPr>
        <w:t xml:space="preserve">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thus the partial or complete loss of patent or trademark rights in the relevant jurisdiction. Such an event would allow our competitors to enter the unprotected market and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our competitive position for an adequate amount of time. </w:t>
      </w:r>
    </w:p>
    <w:p>
      <w:pPr>
        <w:pStyle w:val="TextBody"/>
        <w:bidi w:val="0"/>
        <w:spacing w:before="120" w:after="0"/>
        <w:jc w:val="both"/>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w:t>
      </w:r>
    </w:p>
    <w:p>
      <w:pPr>
        <w:pStyle w:val="TextBody"/>
        <w:bidi w:val="0"/>
        <w:spacing w:before="120" w:after="0"/>
        <w:jc w:val="both"/>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be able to make products that are similar to ours, but that are not covered by the claims of the patents that we license or may own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license partners or future collaborators, might not have been the first to make the inventions covered by the issued patent or pending patent applications that we license or may own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or our license partners or future collaborators, might not have been the first to file patent applications covering certain of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our owned or licensed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is possible that our pending licensed patent applications or those that we may own in the future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issued patents that we hold rights to now or in the future may be held invalid or unenforceable, including as a result of legal challenges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others may have access to the same intellectual property rights licensed to us in the future on a nonexclusive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patents or other intellectual property rights of others may have an adverse effect on our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choose not to file a patent for certain trade secrets or know-how, and a third party may subsequently file a patent covering such intellectual property.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of the foregoing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products contain third-party open source software components and failure to comply with the terms of the underlying open source software licenses could restrict our ability to sell our products or may require us to publicly disclose our proprietary software. </w:t>
      </w:r>
    </w:p>
    <w:p>
      <w:pPr>
        <w:pStyle w:val="TextBody"/>
        <w:bidi w:val="0"/>
        <w:spacing w:before="120" w:after="0"/>
        <w:jc w:val="both"/>
        <w:rPr>
          <w:rFonts w:ascii="Times New Roman" w:hAnsi="Times New Roman"/>
          <w:sz w:val="20"/>
        </w:rPr>
      </w:pPr>
      <w:r>
        <w:rPr>
          <w:rFonts w:ascii="Times New Roman" w:hAnsi="Times New Roman"/>
          <w:sz w:val="20"/>
        </w:rPr>
        <w:t xml:space="preserve">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w:t>
      </w:r>
    </w:p>
    <w:p>
      <w:pPr>
        <w:pStyle w:val="TextBody"/>
        <w:bidi w:val="0"/>
        <w:spacing w:before="240" w:after="0"/>
        <w:jc w:val="both"/>
        <w:rPr>
          <w:rFonts w:ascii="Times New Roman" w:hAnsi="Times New Roman"/>
          <w:sz w:val="20"/>
        </w:rPr>
      </w:pPr>
      <w:r>
        <w:rPr>
          <w:rFonts w:ascii="Times New Roman" w:hAnsi="Times New Roman"/>
          <w:sz w:val="20"/>
        </w:rPr>
        <w:t xml:space="preserve">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COVID-19 global pandemic and the worldwide attempts to contain it could harm our business and our results of operations have been and could continue to be adversely impacted by such pandemic. </w:t>
      </w:r>
    </w:p>
    <w:p>
      <w:pPr>
        <w:pStyle w:val="TextBody"/>
        <w:bidi w:val="0"/>
        <w:spacing w:before="120" w:after="0"/>
        <w:jc w:val="both"/>
        <w:rPr>
          <w:rFonts w:ascii="Times New Roman" w:hAnsi="Times New Roman"/>
          <w:sz w:val="20"/>
        </w:rPr>
      </w:pPr>
      <w:r>
        <w:rPr>
          <w:rFonts w:ascii="Times New Roman" w:hAnsi="Times New Roman"/>
          <w:sz w:val="20"/>
        </w:rPr>
        <w:t xml:space="preserve">The COVID-19 global pandemic and the various attempts throughout the world to contain it, have created significant volatility, uncertainty and disruption. In response to government directives and guidelines, health care advisories and employee and customer concerns, we altered certain aspects of our operations. Many of our employees worked remotely from home and those on site followed social distance guidelines, which have impacted their productivity. Any resurgence of COVID-19 could cause us or government authorities to reimpose these operating restrictions. </w:t>
      </w:r>
    </w:p>
    <w:p>
      <w:pPr>
        <w:pStyle w:val="TextBody"/>
        <w:bidi w:val="0"/>
        <w:spacing w:before="240" w:after="0"/>
        <w:jc w:val="both"/>
        <w:rPr>
          <w:rFonts w:ascii="Times New Roman" w:hAnsi="Times New Roman"/>
          <w:sz w:val="20"/>
        </w:rPr>
      </w:pPr>
      <w:r>
        <w:rPr>
          <w:rFonts w:ascii="Times New Roman" w:hAnsi="Times New Roman"/>
          <w:sz w:val="20"/>
        </w:rPr>
        <w:t xml:space="preserve">We also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healthcare customers divert medical resources and priorities toward the treatment of the virus. To the extent the COVID-19 pandemic continues to cause or again causes severe disruption, vendors of equipment and reagents for our operations could also reduce production or even go out of business, resulting in supply constraints for us. The COVID-19 pandemic has resulted in, and could continue to cause, increased costs or delays to production and development of our products. </w:t>
      </w:r>
    </w:p>
    <w:p>
      <w:pPr>
        <w:pStyle w:val="TextBody"/>
        <w:bidi w:val="0"/>
        <w:spacing w:before="240" w:after="0"/>
        <w:jc w:val="both"/>
        <w:rPr>
          <w:rFonts w:ascii="Times New Roman" w:hAnsi="Times New Roman"/>
          <w:sz w:val="20"/>
        </w:rPr>
      </w:pPr>
      <w:r>
        <w:rPr>
          <w:rFonts w:ascii="Times New Roman" w:hAnsi="Times New Roman"/>
          <w:sz w:val="20"/>
        </w:rPr>
        <w:t xml:space="preserve">The full extent to which the COVID-19 pandemic and the various responses to it impacts our business, operations and financial results will depend on numerous evolving factors that we may not be able to accurately predict, including: the duration and scope of the pandemic, including any resurgence in the United States; governmental, business and individuals actions that have been and continue to be taken in response to the pandemic; the availability, cost to access and effectiveness of COVID-19 tests, vaccines and medicines; the effect on our customers and customer demand for and ability to pay for our tests; restrictions on our employees ability to work and travel; disruptions related to the distribution of our tests, including impacts on logistics of shipping and receiving blood collection kits; and any stoppages, disruptions or increased costs associated with development, production and marketing of our products. During the COVID-19 pandemic, we may not be able to maintain the same level of customer outreach and service, which could negatively impact our customers perception of us. We will continue to actively monitor the issues raised by the COVID-19 pandemic and may take further actions that alter our operations, as may be required by federal, state, local or foreign authorities, or that we determine are in the best interests of our employees, customers and stockholders. It is not clear what the potential effects any such alterations or modifications may have on our business, including the effects on our financial results. </w:t>
      </w:r>
    </w:p>
    <w:p>
      <w:pPr>
        <w:pStyle w:val="TextBody"/>
        <w:bidi w:val="0"/>
        <w:spacing w:before="240" w:after="0"/>
        <w:jc w:val="both"/>
        <w:rPr>
          <w:rFonts w:ascii="Times New Roman" w:hAnsi="Times New Roman"/>
          <w:sz w:val="20"/>
        </w:rPr>
      </w:pPr>
      <w:r>
        <w:rPr>
          <w:rFonts w:ascii="Times New Roman" w:hAnsi="Times New Roman"/>
          <w:sz w:val="20"/>
        </w:rPr>
        <w:t xml:space="preserve">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we expect our COVID-19 diagnostic testing revenue to decline substantially over time as the COVID-19 pandemic wanes and demand for testing subsides. In addition,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 In addition to the impacts to our business, the global economy is likely to be significantly weakened as a result of actions taken in response to the COVID-19 pandemic. To the extent that such a weakened global economy impacts customers ability or willingness to pay for our tests, our business, financial condition and results of operations could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 </w:t>
      </w:r>
    </w:p>
    <w:p>
      <w:pPr>
        <w:pStyle w:val="TextBody"/>
        <w:bidi w:val="0"/>
        <w:spacing w:before="120" w:after="0"/>
        <w:jc w:val="both"/>
        <w:rPr>
          <w:rFonts w:ascii="Times New Roman" w:hAnsi="Times New Roman"/>
          <w:sz w:val="20"/>
        </w:rPr>
      </w:pPr>
      <w:r>
        <w:rPr>
          <w:rFonts w:ascii="Times New Roman" w:hAnsi="Times New Roman"/>
          <w:sz w:val="20"/>
        </w:rPr>
        <w:t xml:space="preserve">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 </w:t>
      </w:r>
    </w:p>
    <w:p>
      <w:pPr>
        <w:pStyle w:val="TextBody"/>
        <w:bidi w:val="0"/>
        <w:spacing w:before="240" w:after="0"/>
        <w:jc w:val="both"/>
        <w:rPr>
          <w:rFonts w:ascii="Times New Roman" w:hAnsi="Times New Roman"/>
          <w:sz w:val="20"/>
        </w:rPr>
      </w:pPr>
      <w:r>
        <w:rPr>
          <w:rFonts w:ascii="Times New Roman" w:hAnsi="Times New Roman"/>
          <w:sz w:val="20"/>
        </w:rPr>
        <w:t xml:space="preserve">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 carryforwards and certain other tax attributes may be limited.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an ownership change for purposes of Section 382 or 383 has occurred, or whether there have been multiple ownership changes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but allows such NOLs to be carried forward indefinitely. These changes may adversely affect our future cash flow.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For example, in connection with adopting and implementing the new revenue recognition standard, FASB ASC Topic 606, </w:t>
      </w:r>
      <w:r>
        <w:rPr>
          <w:rFonts w:ascii="Times New Roman" w:hAnsi="Times New Roman"/>
          <w:i/>
          <w:sz w:val="20"/>
        </w:rPr>
        <w:t>Revenue from Contracts with Customers</w:t>
      </w:r>
      <w:r>
        <w:rPr>
          <w:rFonts w:ascii="Times New Roman" w:hAnsi="Times New Roman"/>
          <w:sz w:val="20"/>
        </w:rPr>
        <w:t xml:space="preserve">, management has made and will continue to make judgments and assumptions based on our interpretation of the new standard. The new revenue recognition standard is principle-based and interpretation of those principles may vary from company to company based on their unique circumstances.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on the skills, experience and performance of key members of our senior management team. In particular, we are highly dependent on the services of Eric Lefkofsky, our Founder, Chief Executive Officer and Chairman of our board of directors. Although Mr. Lefkofsky spends substantially all of his time with us and is highly active in our management, he does devote some of his full time and attention to other endeavors. Mr. Lefkofsky is also a co-founder and serves as Executive Chairman of the board of Pathos AI, Inc., an AI-enabled drug development company, is the managing partner and co-founder of Lightbank LLC, a private venture capital firm specializing in investments in technology companies, and is a member of the board of directors of Groupon, Inc., which he co-founded. </w:t>
      </w:r>
    </w:p>
    <w:p>
      <w:pPr>
        <w:pStyle w:val="TextBody"/>
        <w:bidi w:val="0"/>
        <w:spacing w:before="240" w:after="0"/>
        <w:jc w:val="both"/>
        <w:rPr>
          <w:rFonts w:ascii="Times New Roman" w:hAnsi="Times New Roman"/>
          <w:sz w:val="20"/>
        </w:rPr>
      </w:pPr>
      <w:r>
        <w:rPr>
          <w:rFonts w:ascii="Times New Roman" w:hAnsi="Times New Roman"/>
          <w:sz w:val="20"/>
        </w:rPr>
        <w:t xml:space="preserve">The individual and collective efforts of Mr. Lefkofsky and our other employees will be important as we continue to develop our Platform and additional products, and as we expand our commercial activities. The loss or incapacity of existing members of our executive management team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 </w:t>
      </w:r>
    </w:p>
    <w:p>
      <w:pPr>
        <w:pStyle w:val="TextBody"/>
        <w:bidi w:val="0"/>
        <w:spacing w:before="240" w:after="0"/>
        <w:jc w:val="both"/>
        <w:rPr>
          <w:rFonts w:ascii="Times New Roman" w:hAnsi="Times New Roman"/>
          <w:sz w:val="20"/>
        </w:rPr>
      </w:pPr>
      <w:r>
        <w:rPr>
          <w:rFonts w:ascii="Times New Roman" w:hAnsi="Times New Roman"/>
          <w:sz w:val="20"/>
        </w:rPr>
        <w:t xml:space="preserve">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and Atlanta and our planned laboratory in Raleigh. We also face competition from universities and public and private research institutions in recruiting and retaining highly qualified scientific personnel. In addition, we may have difficulties locating, recruiting or retaining 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w:t>
      </w:r>
    </w:p>
    <w:p>
      <w:pPr>
        <w:pStyle w:val="TextBody"/>
        <w:bidi w:val="0"/>
        <w:spacing w:before="360" w:after="0"/>
        <w:jc w:val="left"/>
        <w:rPr>
          <w:rFonts w:ascii="Times New Roman" w:hAnsi="Times New Roman"/>
          <w:b/>
          <w:i/>
          <w:sz w:val="20"/>
        </w:rPr>
      </w:pPr>
      <w:r>
        <w:rPr>
          <w:rFonts w:ascii="Times New Roman" w:hAnsi="Times New Roman"/>
          <w:b/>
          <w:i/>
          <w:sz w:val="20"/>
        </w:rPr>
        <w:t>We have identified a material weakness in our internal control over financial reporting.</w:t>
      </w:r>
    </w:p>
    <w:p>
      <w:pPr>
        <w:pStyle w:val="TextBody"/>
        <w:bidi w:val="0"/>
        <w:spacing w:before="120" w:after="0"/>
        <w:jc w:val="both"/>
        <w:rPr>
          <w:rFonts w:ascii="Times New Roman" w:hAnsi="Times New Roman"/>
          <w:sz w:val="20"/>
        </w:rPr>
      </w:pPr>
      <w:r>
        <w:rPr>
          <w:rFonts w:ascii="Times New Roman" w:hAnsi="Times New Roman"/>
          <w:sz w:val="20"/>
        </w:rPr>
        <w:t>In connection with the preparation of our consolidated financial statements, we identified a material weakness in our internal control over financial reporting as of December 31, 2020,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pStyle w:val="TextBody"/>
        <w:bidi w:val="0"/>
        <w:spacing w:before="240" w:after="0"/>
        <w:jc w:val="both"/>
        <w:rPr>
          <w:rFonts w:ascii="Times New Roman" w:hAnsi="Times New Roman"/>
          <w:sz w:val="20"/>
        </w:rPr>
      </w:pPr>
      <w:r>
        <w:rPr>
          <w:rFonts w:ascii="Times New Roman" w:hAnsi="Times New Roman"/>
          <w:sz w:val="20"/>
        </w:rPr>
        <w:t xml:space="preserve">We did not design or maintain an effective control environment due to an insufficient complement of personnel with the appropriate level of technical accounting and financial reporting knowledge and experience commensurate with our financial reporting requirements. </w:t>
      </w:r>
    </w:p>
    <w:p>
      <w:pPr>
        <w:pStyle w:val="TextBody"/>
        <w:bidi w:val="0"/>
        <w:spacing w:before="240" w:after="0"/>
        <w:jc w:val="both"/>
        <w:rPr>
          <w:rFonts w:ascii="Times New Roman" w:hAnsi="Times New Roman"/>
          <w:sz w:val="20"/>
        </w:rPr>
      </w:pPr>
      <w:r>
        <w:rPr>
          <w:rFonts w:ascii="Times New Roman" w:hAnsi="Times New Roman"/>
          <w:sz w:val="20"/>
        </w:rPr>
        <w:t xml:space="preserve">This material weakness did not result in a material misstatement to the financial statements. However, this material weakness could result in material misstatements potentially impacting one or more of the financial statement accounts and disclosures that would not be prevented or detected. </w:t>
      </w:r>
    </w:p>
    <w:p>
      <w:pPr>
        <w:pStyle w:val="TextBody"/>
        <w:bidi w:val="0"/>
        <w:spacing w:before="240" w:after="0"/>
        <w:jc w:val="both"/>
        <w:rPr>
          <w:rFonts w:ascii="Times New Roman" w:hAnsi="Times New Roman"/>
          <w:sz w:val="20"/>
        </w:rPr>
      </w:pPr>
      <w:r>
        <w:rPr>
          <w:rFonts w:ascii="Times New Roman" w:hAnsi="Times New Roman"/>
          <w:sz w:val="20"/>
        </w:rPr>
        <w:t xml:space="preserve">We have taken steps to remediate this material weakness by hiring a Chief Accounting Officer and other key technical accounting and financial reporting roles to further develop and document our accounting policies and financial reporting procedures, including ongoing senior management review. Management will continue to work to remediate this material weakness by hiring additional qualified accounting and financial reporting personnel, training existing personnel, and further evolving our accounting processes. There is no assurance that we will be able to remediate the material weakness in a timely manner or that in the future additional material weaknesses will not exist or otherwise be discovered. If we are not able to remedy this material weakness, we may not be able to manage our business effectively or accurately report our financial performance on a timely basis, which could cause a decline in our common stock price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an effective system of internal control over financial reporting, we may not be able to accurately report our financial results or prevent fraud. </w:t>
      </w:r>
    </w:p>
    <w:p>
      <w:pPr>
        <w:pStyle w:val="TextBody"/>
        <w:bidi w:val="0"/>
        <w:spacing w:before="120" w:after="0"/>
        <w:jc w:val="both"/>
        <w:rPr>
          <w:rFonts w:ascii="Times New Roman" w:hAnsi="Times New Roman"/>
          <w:sz w:val="20"/>
        </w:rPr>
      </w:pPr>
      <w:r>
        <w:rPr>
          <w:rFonts w:ascii="Times New Roman" w:hAnsi="Times New Roman"/>
          <w:sz w:val="20"/>
        </w:rPr>
        <w:t xml:space="preserve">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 </w:t>
      </w:r>
    </w:p>
    <w:p>
      <w:pPr>
        <w:pStyle w:val="TextBody"/>
        <w:bidi w:val="0"/>
        <w:spacing w:before="240" w:after="0"/>
        <w:jc w:val="both"/>
        <w:rPr>
          <w:rFonts w:ascii="Times New Roman" w:hAnsi="Times New Roman"/>
          <w:sz w:val="20"/>
        </w:rPr>
      </w:pPr>
      <w:r>
        <w:rPr>
          <w:rFonts w:ascii="Times New Roman" w:hAnsi="Times New Roman"/>
          <w:sz w:val="20"/>
        </w:rPr>
        <w:t xml:space="preserve">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 and to remediate our material weakness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we are unable to remediate our material weakness described above,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w:t>
      </w:r>
    </w:p>
    <w:p>
      <w:pPr>
        <w:pStyle w:val="TextBody"/>
        <w:bidi w:val="0"/>
        <w:spacing w:before="240" w:after="0"/>
        <w:jc w:val="both"/>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claims and proceedings could adversely impact our business. </w:t>
      </w:r>
    </w:p>
    <w:p>
      <w:pPr>
        <w:pStyle w:val="TextBody"/>
        <w:bidi w:val="0"/>
        <w:spacing w:before="120" w:after="0"/>
        <w:jc w:val="both"/>
        <w:rPr>
          <w:rFonts w:ascii="Times New Roman" w:hAnsi="Times New Roman"/>
          <w:sz w:val="20"/>
        </w:rPr>
      </w:pPr>
      <w:r>
        <w:rPr>
          <w:rFonts w:ascii="Times New Roman" w:hAnsi="Times New Roman"/>
          <w:sz w:val="20"/>
        </w:rPr>
        <w:t xml:space="preserve">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officers, directors and principal stockholders may pursue corporate opportunities independent of us that could present conflicts with our and our stockholders interests. </w:t>
      </w:r>
    </w:p>
    <w:p>
      <w:pPr>
        <w:pStyle w:val="TextBody"/>
        <w:bidi w:val="0"/>
        <w:spacing w:before="120" w:after="0"/>
        <w:jc w:val="both"/>
        <w:rPr>
          <w:rFonts w:ascii="Times New Roman" w:hAnsi="Times New Roman"/>
          <w:sz w:val="20"/>
        </w:rPr>
      </w:pPr>
      <w:r>
        <w:rPr>
          <w:rFonts w:ascii="Times New Roman" w:hAnsi="Times New Roman"/>
          <w:sz w:val="20"/>
        </w:rPr>
        <w:t xml:space="preserve">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were to be sued for product liability or professional liability, we could face substantial liabilities that exceed our resources. </w:t>
      </w:r>
    </w:p>
    <w:p>
      <w:pPr>
        <w:pStyle w:val="TextBody"/>
        <w:bidi w:val="0"/>
        <w:spacing w:before="120" w:after="0"/>
        <w:jc w:val="both"/>
        <w:rPr>
          <w:rFonts w:ascii="Times New Roman" w:hAnsi="Times New Roman"/>
          <w:sz w:val="20"/>
        </w:rPr>
      </w:pPr>
      <w:r>
        <w:rPr>
          <w:rFonts w:ascii="Times New Roman" w:hAnsi="Times New Roman"/>
          <w:sz w:val="20"/>
        </w:rPr>
        <w:t xml:space="preserve">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 </w:t>
      </w:r>
    </w:p>
    <w:p>
      <w:pPr>
        <w:pStyle w:val="TextBody"/>
        <w:bidi w:val="0"/>
        <w:spacing w:before="240" w:after="0"/>
        <w:jc w:val="both"/>
        <w:rPr>
          <w:rFonts w:ascii="Times New Roman" w:hAnsi="Times New Roman"/>
          <w:sz w:val="20"/>
        </w:rPr>
      </w:pPr>
      <w:r>
        <w:rPr>
          <w:rFonts w:ascii="Times New Roman" w:hAnsi="Times New Roman"/>
          <w:sz w:val="20"/>
        </w:rPr>
        <w:t xml:space="preserve">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liability lawsuit could damage our reputation or cause current clinical customers to terminate existing agreements with us and potential clinical customers to seek other partners, any of which could adversely impact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information technology systems, including on-premises, co-located and third-party data centers and platforms, and any interruptions of service or failures may impair and harm our business, financial condition and 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We depend on information technology and telecommunications systems for significant elements of our operations, including our laboratory information management system, our computational biology system, our artificial intelligence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 </w:t>
      </w:r>
    </w:p>
    <w:p>
      <w:pPr>
        <w:pStyle w:val="TextBody"/>
        <w:bidi w:val="0"/>
        <w:spacing w:before="240" w:after="0"/>
        <w:jc w:val="both"/>
        <w:rPr>
          <w:rFonts w:ascii="Times New Roman" w:hAnsi="Times New Roman"/>
          <w:sz w:val="20"/>
        </w:rPr>
      </w:pPr>
      <w:r>
        <w:rPr>
          <w:rFonts w:ascii="Times New Roman" w:hAnsi="Times New Roman"/>
          <w:sz w:val="20"/>
        </w:rPr>
        <w:t xml:space="preserve">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 </w:t>
      </w:r>
    </w:p>
    <w:p>
      <w:pPr>
        <w:pStyle w:val="TextBody"/>
        <w:bidi w:val="0"/>
        <w:spacing w:before="240" w:after="0"/>
        <w:jc w:val="both"/>
        <w:rPr>
          <w:rFonts w:ascii="Times New Roman" w:hAnsi="Times New Roman"/>
          <w:sz w:val="20"/>
        </w:rPr>
      </w:pPr>
      <w:r>
        <w:rPr>
          <w:rFonts w:ascii="Times New Roman" w:hAnsi="Times New Roman"/>
          <w:sz w:val="20"/>
        </w:rPr>
        <w:t xml:space="preserve">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 </w:t>
      </w:r>
    </w:p>
    <w:p>
      <w:pPr>
        <w:pStyle w:val="TextBody"/>
        <w:bidi w:val="0"/>
        <w:spacing w:before="120" w:after="0"/>
        <w:jc w:val="both"/>
        <w:rPr>
          <w:rFonts w:ascii="Times New Roman" w:hAnsi="Times New Roman"/>
          <w:sz w:val="20"/>
        </w:rPr>
      </w:pPr>
      <w:r>
        <w:rPr>
          <w:rFonts w:ascii="Times New Roman" w:hAnsi="Times New Roman"/>
          <w:sz w:val="20"/>
        </w:rPr>
        <w:t xml:space="preserve">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 </w:t>
      </w:r>
    </w:p>
    <w:p>
      <w:pPr>
        <w:pStyle w:val="TextBody"/>
        <w:bidi w:val="0"/>
        <w:spacing w:before="240" w:after="0"/>
        <w:jc w:val="both"/>
        <w:rPr>
          <w:rFonts w:ascii="Times New Roman" w:hAnsi="Times New Roman"/>
          <w:sz w:val="20"/>
        </w:rPr>
      </w:pPr>
      <w:r>
        <w:rPr>
          <w:rFonts w:ascii="Times New Roman" w:hAnsi="Times New Roman"/>
          <w:sz w:val="20"/>
        </w:rPr>
        <w:t xml:space="preserve">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 </w:t>
      </w:r>
    </w:p>
    <w:p>
      <w:pPr>
        <w:pStyle w:val="TextBody"/>
        <w:bidi w:val="0"/>
        <w:spacing w:before="240" w:after="0"/>
        <w:jc w:val="both"/>
        <w:rPr>
          <w:rFonts w:ascii="Times New Roman" w:hAnsi="Times New Roman"/>
          <w:sz w:val="20"/>
        </w:rPr>
      </w:pPr>
      <w:r>
        <w:rPr>
          <w:rFonts w:ascii="Times New Roman" w:hAnsi="Times New Roman"/>
          <w:sz w:val="20"/>
        </w:rPr>
        <w:t xml:space="preserve">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 </w:t>
      </w:r>
    </w:p>
    <w:p>
      <w:pPr>
        <w:pStyle w:val="TextBody"/>
        <w:bidi w:val="0"/>
        <w:spacing w:before="240" w:after="0"/>
        <w:jc w:val="both"/>
        <w:rPr>
          <w:rFonts w:ascii="Times New Roman" w:hAnsi="Times New Roman"/>
          <w:sz w:val="20"/>
        </w:rPr>
      </w:pPr>
      <w:r>
        <w:rPr>
          <w:rFonts w:ascii="Times New Roman" w:hAnsi="Times New Roman"/>
          <w:sz w:val="20"/>
        </w:rPr>
        <w:t xml:space="preserve">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 </w:t>
      </w:r>
    </w:p>
    <w:p>
      <w:pPr>
        <w:pStyle w:val="TextBody"/>
        <w:bidi w:val="0"/>
        <w:spacing w:before="240" w:after="0"/>
        <w:jc w:val="both"/>
        <w:rPr>
          <w:rFonts w:ascii="Times New Roman" w:hAnsi="Times New Roman"/>
          <w:sz w:val="20"/>
        </w:rPr>
      </w:pPr>
      <w:r>
        <w:rPr>
          <w:rFonts w:ascii="Times New Roman" w:hAnsi="Times New Roman"/>
          <w:sz w:val="20"/>
        </w:rPr>
        <w:t xml:space="preserve">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International expansion of our business exposes us to business, regulatory, political, operational, financial, and economic risks associated with doing business outside of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by us, our distributors, our local partners to obtain regulatory approvals for the use of our products in various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additional potentially blocking or relevant third-party patent or other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complexities and difficulties in obtaining intellectual property protection and enforcing our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difficulties in staffing and managing foreign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complexities associated with managing multiple payer reimbursement regimes, government payers, or patient self-pay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logistics and regulations associated with shipping blood samples, including infrastructure conditions and transportation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patient populations that are underrepresented in our databases;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limits in our ability to penetrate international markets if we are not able to perform our tests locally;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natural disasters, political and economic instability, including wars, terrorism, and political unrest, boycotts, curtailment of trade and other business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public health or similar issues, such as epidemics or pandemics, including the current outbreak of COVID-19, that could cause business disruption,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regulatory and compliance risks that relate to maintaining accurate information and control over sales and distributors activities that may fall within the purview of the U.S. Foreign Corrupt Practices Act, or FCPA, its books and records provisions, or its anti-bribery provisions.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Any of these factors could significantly harm our future international expansion and operations and, consequently, our revenue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existing debt may affect our flexibility in operating and developing our business and our ability to satisfy our obligations. </w:t>
      </w:r>
    </w:p>
    <w:p>
      <w:pPr>
        <w:pStyle w:val="TextBody"/>
        <w:bidi w:val="0"/>
        <w:spacing w:before="120" w:after="0"/>
        <w:jc w:val="both"/>
        <w:rPr>
          <w:rFonts w:ascii="Times New Roman" w:hAnsi="Times New Roman"/>
          <w:sz w:val="20"/>
        </w:rPr>
      </w:pPr>
      <w:r>
        <w:rPr>
          <w:rFonts w:ascii="Times New Roman" w:hAnsi="Times New Roman"/>
          <w:sz w:val="20"/>
        </w:rPr>
        <w:t xml:space="preserve">As of December 31, 2020, and June 30, 2021, we had indebtedness of $250 million and $246.6 million, respectively, under the convertible promissory note, or Note, that we issued to Google LLC, or Google. For as long as the Note is outstanding, it may have significant negative effects on our future operations,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impairing our ability to obtain additional financing in the future (or to obtain such financing on acceptable terms) for working capital, capital expenditures, acquisitions or other important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requiring us to repay the principal and accrued interest on the Note if we terminate our agreement with Google for use of Google Cloud or as a result of an event of default under the operating covenants in the Note, which could impair our liquidity and reduce the availability of our cash flow to fund working capital, capital expenditures, acquisitions and other important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limiting our ability to adjust to rapidly changing conditions in the industry, reducing our ability to withstand competitive pressures and making us more vulnerable to a downturn in general economic conditions or business than our competitors with relatively lower levels of debt.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the Note contains restrictions on our ability to incur additional debt. Complying with these covenants may cause us to take actions that make it more difficult to successfully execute our business strategy and we may face competition from companies not subject to such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violations of the FCPA and other anti-bribery laws. </w:t>
      </w:r>
    </w:p>
    <w:p>
      <w:pPr>
        <w:pStyle w:val="TextBody"/>
        <w:bidi w:val="0"/>
        <w:spacing w:before="120" w:after="0"/>
        <w:jc w:val="both"/>
        <w:rPr>
          <w:rFonts w:ascii="Times New Roman" w:hAnsi="Times New Roman"/>
          <w:sz w:val="20"/>
        </w:rPr>
      </w:pPr>
      <w:r>
        <w:rPr>
          <w:rFonts w:ascii="Times New Roman" w:hAnsi="Times New Roman"/>
          <w:sz w:val="20"/>
        </w:rPr>
        <w:t xml:space="preserve">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dual class structure of our common stock will have the effect of concentrating voting control with our Chief Executive Officer, Founder and Chairman, which will limit your ability to influence the outcome of important decisions. </w:t>
      </w:r>
    </w:p>
    <w:p>
      <w:pPr>
        <w:pStyle w:val="TextBody"/>
        <w:bidi w:val="0"/>
        <w:spacing w:before="120" w:after="0"/>
        <w:jc w:val="both"/>
        <w:rPr>
          <w:rFonts w:ascii="Times New Roman" w:hAnsi="Times New Roman"/>
          <w:sz w:val="20"/>
        </w:rPr>
      </w:pPr>
      <w:r>
        <w:rPr>
          <w:rFonts w:ascii="Times New Roman" w:hAnsi="Times New Roman"/>
          <w:sz w:val="20"/>
        </w:rPr>
        <w:t xml:space="preserve">Our Class B common stock has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 beneficially own shares representing approximately                %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elected to take advantage of the controlled company exemption to the corporate governance rules for publicly listed companies but may do so in the future. </w:t>
      </w:r>
    </w:p>
    <w:p>
      <w:pPr>
        <w:pStyle w:val="TextBody"/>
        <w:bidi w:val="0"/>
        <w:spacing w:before="120" w:after="0"/>
        <w:jc w:val="both"/>
        <w:rPr>
          <w:rFonts w:ascii="Times New Roman" w:hAnsi="Times New Roman"/>
          <w:sz w:val="20"/>
        </w:rPr>
      </w:pPr>
      <w:r>
        <w:rPr>
          <w:rFonts w:ascii="Times New Roman" w:hAnsi="Times New Roman"/>
          <w:sz w:val="20"/>
        </w:rPr>
        <w:t xml:space="preserve">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predict the impact our dual class structure may have on the market price of our Class A common stock. </w:t>
      </w:r>
    </w:p>
    <w:p>
      <w:pPr>
        <w:pStyle w:val="TextBody"/>
        <w:bidi w:val="0"/>
        <w:spacing w:before="120" w:after="0"/>
        <w:jc w:val="both"/>
        <w:rPr>
          <w:rFonts w:ascii="Times New Roman" w:hAnsi="Times New Roman"/>
          <w:sz w:val="20"/>
        </w:rPr>
      </w:pPr>
      <w:r>
        <w:rPr>
          <w:rFonts w:ascii="Times New Roman" w:hAnsi="Times New Roman"/>
          <w:sz w:val="20"/>
        </w:rPr>
        <w:t xml:space="preserve">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 public market for our Class A common stock currently exists, and an active public trading market may not develop or be sustained following this offering. </w:t>
      </w:r>
    </w:p>
    <w:p>
      <w:pPr>
        <w:pStyle w:val="TextBody"/>
        <w:bidi w:val="0"/>
        <w:spacing w:before="120" w:after="0"/>
        <w:jc w:val="both"/>
        <w:rPr>
          <w:rFonts w:ascii="Times New Roman" w:hAnsi="Times New Roman"/>
          <w:sz w:val="20"/>
        </w:rPr>
      </w:pPr>
      <w:r>
        <w:rPr>
          <w:rFonts w:ascii="Times New Roman" w:hAnsi="Times New Roman"/>
          <w:sz w:val="20"/>
        </w:rPr>
        <w:t xml:space="preserve">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have broad discretion in the use of the net proceeds to us from this offering and may not use them effectively. </w:t>
      </w:r>
    </w:p>
    <w:p>
      <w:pPr>
        <w:pStyle w:val="TextBody"/>
        <w:bidi w:val="0"/>
        <w:spacing w:before="120" w:after="0"/>
        <w:jc w:val="both"/>
        <w:rPr>
          <w:rFonts w:ascii="Times New Roman" w:hAnsi="Times New Roman"/>
          <w:sz w:val="20"/>
        </w:rPr>
      </w:pPr>
      <w:r>
        <w:rPr>
          <w:rFonts w:ascii="Times New Roman" w:hAnsi="Times New Roman"/>
          <w:sz w:val="20"/>
        </w:rPr>
        <w:t xml:space="preserve">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our Class A common stock in the public market could cause the market price of our Class A common stock to decline. </w:t>
      </w:r>
    </w:p>
    <w:p>
      <w:pPr>
        <w:pStyle w:val="TextBody"/>
        <w:bidi w:val="0"/>
        <w:spacing w:before="120" w:after="0"/>
        <w:jc w:val="both"/>
        <w:rPr>
          <w:rFonts w:ascii="Times New Roman" w:hAnsi="Times New Roman"/>
          <w:sz w:val="20"/>
        </w:rPr>
      </w:pPr>
      <w:r>
        <w:rPr>
          <w:rFonts w:ascii="Times New Roman" w:hAnsi="Times New Roman"/>
          <w:sz w:val="20"/>
        </w:rPr>
        <w:t xml:space="preserve">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there were                shares of Class A common stock issuable upon the exercise of options and upon the vesting and settlement of restricted stock units outstanding as of                , 2021. The shares of Class A common stock will become eligible for sale in the public market to the extent such options are exercised or restricted stock units vested and settled, subject to the lock-up agreements described above and compliance with applicable securities laws. We intend to register all of the shares of Class A common stock issuable upon the vesting and settlement of outstanding restricted stock units, and other equity incentives we may grant in the future, for public resale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Further, based on shares outstanding as of                , 2021, holders of approximately                shares of Class A common stock (assuming the issuance of the Additional Conversion Shares, as discussed under Prospectus Summary above, and assuming no exercise of the underwriters option to purchase additional shares) and approximately                shares of Class B common stock (assuming the issuance of the Additional Conversion Shares),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 </w:t>
      </w:r>
    </w:p>
    <w:p>
      <w:pPr>
        <w:pStyle w:val="TextBody"/>
        <w:bidi w:val="0"/>
        <w:spacing w:before="240" w:after="0"/>
        <w:jc w:val="both"/>
        <w:rPr>
          <w:rFonts w:ascii="Times New Roman" w:hAnsi="Times New Roman"/>
          <w:sz w:val="20"/>
        </w:rPr>
      </w:pPr>
      <w:r>
        <w:rPr>
          <w:rFonts w:ascii="Times New Roman" w:hAnsi="Times New Roman"/>
          <w:sz w:val="20"/>
        </w:rPr>
        <w:t xml:space="preserve">Sales, short sales, or hedging transactions involving our equity securities, whether before or after this offering and whether or not we believe them to be prohibited, could adversely affect the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experience immediate and substantial dilution in the net tangible book value of the shares of Class A common stock you purchase in this offering. </w:t>
      </w:r>
    </w:p>
    <w:p>
      <w:pPr>
        <w:pStyle w:val="TextBody"/>
        <w:bidi w:val="0"/>
        <w:spacing w:before="120" w:after="0"/>
        <w:jc w:val="both"/>
        <w:rPr>
          <w:rFonts w:ascii="Times New Roman" w:hAnsi="Times New Roman"/>
          <w:sz w:val="20"/>
        </w:rPr>
      </w:pPr>
      <w:r>
        <w:rPr>
          <w:rFonts w:ascii="Times New Roman" w:hAnsi="Times New Roman"/>
          <w:sz w:val="20"/>
        </w:rPr>
        <w:t xml:space="preserve">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                per share, or $                per share if the underwriters exercise their option to purchase additional shares in full, representing the difference between our pro forma as adjusted net tangible book value per share as of                2021, after giving effect to the sale of Class A common stock in this offering and the assumed public offering price of $                per share, the midpoint of the price range set forth on the cover page of this prospectus. See the section 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for the foreseeable future and, as a result, your ability to achieve a return on your investment will depend on appreciation in the price of our Class A common stock. </w:t>
      </w:r>
    </w:p>
    <w:p>
      <w:pPr>
        <w:pStyle w:val="TextBody"/>
        <w:bidi w:val="0"/>
        <w:spacing w:before="120" w:after="0"/>
        <w:jc w:val="both"/>
        <w:rPr>
          <w:rFonts w:ascii="Times New Roman" w:hAnsi="Times New Roman"/>
          <w:sz w:val="20"/>
        </w:rPr>
      </w:pPr>
      <w:r>
        <w:rPr>
          <w:rFonts w:ascii="Times New Roman" w:hAnsi="Times New Roman"/>
          <w:sz w:val="20"/>
        </w:rPr>
        <w:t xml:space="preserve">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an emerging growth company, and we cannot be certain if the reduced reporting and disclosure requirements applicable to emerging growth companies will make our Class A common stock less attractive to investors.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t>
      </w:r>
    </w:p>
    <w:p>
      <w:pPr>
        <w:pStyle w:val="TextBody"/>
        <w:bidi w:val="0"/>
        <w:spacing w:before="240" w:after="0"/>
        <w:jc w:val="both"/>
        <w:rPr>
          <w:rFonts w:ascii="Times New Roman" w:hAnsi="Times New Roman"/>
          <w:sz w:val="20"/>
        </w:rPr>
      </w:pPr>
      <w:r>
        <w:rPr>
          <w:rFonts w:ascii="Times New Roman" w:hAnsi="Times New Roman"/>
          <w:sz w:val="20"/>
        </w:rPr>
        <w:t xml:space="preserve">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 </w:t>
      </w:r>
    </w:p>
    <w:p>
      <w:pPr>
        <w:pStyle w:val="TextBody"/>
        <w:bidi w:val="0"/>
        <w:spacing w:before="240" w:after="0"/>
        <w:jc w:val="both"/>
        <w:rPr>
          <w:rFonts w:ascii="Times New Roman" w:hAnsi="Times New Roman"/>
          <w:sz w:val="20"/>
        </w:rPr>
      </w:pPr>
      <w:r>
        <w:rPr>
          <w:rFonts w:ascii="Times New Roman" w:hAnsi="Times New Roman"/>
          <w:sz w:val="20"/>
        </w:rPr>
        <w:t xml:space="preserve">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charter documents and under Delaware law could make an acquisition of our company more difficult, limit attempts by our stockholders to replace or remove our current management and limit the market price of our Class A common stock.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derivative claim or cause of action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claim or cause of action asserting a breach of fiduciary duty;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claim or cause of action against us arising under the Delaware General Corporation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claim or cause of action arising under or seeking to interpret our amended and restated certificate of incorporation or our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claim or cause of action against us that is governed by the internal affairs doctrine.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both"/>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0"/>
        <w:jc w:val="both"/>
        <w:rPr>
          <w:rFonts w:ascii="Times New Roman" w:hAnsi="Times New Roman"/>
          <w:sz w:val="20"/>
        </w:rPr>
      </w:pPr>
      <w:r>
        <w:rPr>
          <w:rFonts w:ascii="Times New Roman" w:hAnsi="Times New Roman"/>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may be volatile, and the value of our Class A common stock may decline. </w:t>
      </w:r>
    </w:p>
    <w:p>
      <w:pPr>
        <w:pStyle w:val="TextBody"/>
        <w:bidi w:val="0"/>
        <w:spacing w:before="120" w:after="0"/>
        <w:jc w:val="both"/>
        <w:rPr>
          <w:rFonts w:ascii="Times New Roman" w:hAnsi="Times New Roman"/>
          <w:sz w:val="20"/>
        </w:rPr>
      </w:pPr>
      <w:r>
        <w:rPr>
          <w:rFonts w:ascii="Times New Roman" w:hAnsi="Times New Roman"/>
          <w:sz w:val="20"/>
        </w:rPr>
        <w:t xml:space="preserve">The market price of our Class A common stock may be highly volatile and may fluctuate or decline substantially as a result of a variety of factors, some of which are beyond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actual or anticipated fluctuations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variance in our financial performance from expectations of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pricing of our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our projected operating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laws or regulations applicable to our Platform and products, including changes in the regulation of data or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announcements by us or our competitors of significant business developments, acquisitions, or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significant data breaches, disruptions to or other incidents involving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involvement in litigation or governmental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future sales of our Class A common stock by us or our stockholders, as well as the anticipation of lock-up releases;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senior management or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of new or changed securities analysts reports or recommendations;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trading volume of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changes in the anticipated future size and growth rate of our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economic and market conditions in general, or in our industry in particular. </w:t>
            </w:r>
          </w:p>
        </w:tc>
      </w:tr>
    </w:tbl>
    <w:p>
      <w:pPr>
        <w:pStyle w:val="TextBody"/>
        <w:bidi w:val="0"/>
        <w:spacing w:before="240" w:after="0"/>
        <w:jc w:val="both"/>
        <w:rPr>
          <w:rFonts w:ascii="Times New Roman" w:hAnsi="Times New Roman"/>
          <w:sz w:val="20"/>
        </w:rPr>
      </w:pPr>
      <w:r>
        <w:rPr>
          <w:rFonts w:ascii="Times New Roman" w:hAnsi="Times New Roman"/>
          <w:sz w:val="20"/>
        </w:rPr>
        <w:t xml:space="preserve">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unfavorable or inaccurate research about our business, the market price and trading volume of our Class A common stock could decline. </w:t>
      </w:r>
    </w:p>
    <w:p>
      <w:pPr>
        <w:pStyle w:val="TextBody"/>
        <w:bidi w:val="0"/>
        <w:spacing w:before="120" w:after="0"/>
        <w:jc w:val="both"/>
        <w:rPr>
          <w:rFonts w:ascii="Times New Roman" w:hAnsi="Times New Roman"/>
          <w:sz w:val="20"/>
        </w:rPr>
      </w:pPr>
      <w:r>
        <w:rPr>
          <w:rFonts w:ascii="Times New Roman" w:hAnsi="Times New Roman"/>
          <w:sz w:val="20"/>
        </w:rPr>
        <w:t xml:space="preserve">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increased costs as a result of operating as a public company, and our management will be required to devote substantial time to compliance with our public company responsibilities and corporate governance practices. </w:t>
      </w:r>
    </w:p>
    <w:p>
      <w:pPr>
        <w:pStyle w:val="TextBody"/>
        <w:bidi w:val="0"/>
        <w:spacing w:before="120" w:after="0"/>
        <w:jc w:val="both"/>
        <w:rPr>
          <w:rFonts w:ascii="Times New Roman" w:hAnsi="Times New Roman"/>
          <w:sz w:val="20"/>
        </w:rPr>
      </w:pPr>
      <w:r>
        <w:rPr>
          <w:rFonts w:ascii="Times New Roman" w:hAnsi="Times New Roman"/>
          <w:sz w:val="20"/>
        </w:rPr>
        <w:t xml:space="preserve">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rom221145_4"/>
      <w:bookmarkEnd w:id="6"/>
      <w:r>
        <w:rPr>
          <w:rFonts w:ascii="Times New Roman" w:hAnsi="Times New Roman"/>
          <w:b/>
          <w:sz w:val="20"/>
        </w:rPr>
        <w:t xml:space="preserve">SPECIAL NOTE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evolving treatment paradigm for cancer, including physicians use of molecular data and targeted oncology therapeutics and the market size for our current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expand our business beyond oncology into new disease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estimates of our addressable market and our expectations regarding our revenue, expenses, capital requirements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develop new products and services, including our goals and strategy regarding development and commercialization of Algos;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maintain and grow our datasets, including in new disease areas and geographies;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expectation that the growth of our datasets will improve the quality of our products and services and accelerate their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capture, aggregate, analyze or otherwise utilize genomic data in new ways and in additional diagnostic modalities;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expectation that we will continue to commercialize de-identified records and license them to multiple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acceptance of our publications in peer-reviewed journals or of our presentations at scientific and medical conference presentations;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implementation of our business model and strategic plans for our products, technologies and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competitive companies and technologies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of Intelligent Diagnostics to be disruptive across a broad set of disease areas and the clinical trial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manage and grow our business by expanding our sales to existing customers or introducing our products to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third-party payer reimbursement and coverage decisions, including our strategy to increase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establish and maintain intellectual property protection for our products or avoid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potential effects of evolving and/or extensive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timing or likelihood of regulatory filings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hire and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expand internationally;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ability to protect and enforce our intellectual property rights, including our trade secret protected proprietary rights in our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anticipated cash needs and our needs for additional 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anticipated trends and challenges in our business and the markets in which we operate.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rom221145_5"/>
      <w:bookmarkEnd w:id="7"/>
      <w:r>
        <w:rPr>
          <w:rFonts w:ascii="Times New Roman" w:hAnsi="Times New Roman"/>
          <w:b/>
          <w:sz w:val="20"/>
        </w:rPr>
        <w:t xml:space="preserve">MARKET, INDUSTRY AND OTHER DATA </w:t>
      </w:r>
    </w:p>
    <w:p>
      <w:pPr>
        <w:pStyle w:val="TextBody"/>
        <w:bidi w:val="0"/>
        <w:spacing w:before="240" w:after="0"/>
        <w:jc w:val="both"/>
        <w:rPr>
          <w:rFonts w:ascii="Times New Roman" w:hAnsi="Times New Roman"/>
          <w:sz w:val="20"/>
        </w:rPr>
      </w:pPr>
      <w:r>
        <w:rPr>
          <w:rFonts w:ascii="Times New Roman" w:hAnsi="Times New Roman"/>
          <w:sz w:val="20"/>
        </w:rPr>
        <w:t xml:space="preserve">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 </w:t>
      </w:r>
    </w:p>
    <w:p>
      <w:pPr>
        <w:pStyle w:val="TextBody"/>
        <w:bidi w:val="0"/>
        <w:spacing w:before="240" w:after="0"/>
        <w:jc w:val="both"/>
        <w:rPr>
          <w:rFonts w:ascii="Times New Roman" w:hAnsi="Times New Roman"/>
          <w:sz w:val="20"/>
        </w:rPr>
      </w:pPr>
      <w:r>
        <w:rPr>
          <w:rFonts w:ascii="Times New Roman" w:hAnsi="Times New Roman"/>
          <w:sz w:val="20"/>
        </w:rPr>
        <w:t xml:space="preserve">The sources of certain statistical data, estimates and forecasts contained in this prospectus are the following independent industry publications, reports and other publicly available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Mordor Intelligence, Biomarkers MarketGrowth, Trends, COVID-19 Impact, and Forecast (2021-2026),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Mordor Intelligence, Clinical Trials MarketGrowth, Trends, COVID-19 Impact, and Forecast (2021-2026),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Evaluate Pharma, World Preview 2020, Outlook to 2026, July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American Clinical Laboratory Association, Value of Lab Testing,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National Cancer Institute, Cancer Statistics, September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ClinicalTrials.gov database, 2020: U.S. National Library of Medicine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GLOBOCAN 2020 database, 2020: Global Cancer Observatory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National Institute of Mental Health, Major Depression, September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Anxiety &amp; Depression Association of America, Facts &amp; Statistics,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Cancers (Basel), PARP Inhibitors in the Treatment of Early Breast Cancer: The Step Beyond?, June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Gynecologic Oncology, Frequencies of BRCA1 and BRCA2 Mutations Among 1,342 Unselected Patients with Invasive Ovarian Cancer, May 2011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Journal of Oncology, BRCA Mutations in Prostate Cancer: Prognostic and Predictive Implications,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World Journal of Urology, Efficacy of Routine Follow-up After First-Line Treatment of Testicular Cancer, October 2004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Global Economic Burden of Non-communicable Diseases, Harvard School of Public Health, World Economic Forum (September 2011)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Mental Health and Substance Use, Mental Health in the Workplace, World Health Organization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World Cancer Report 2014, International Agency for Research on Cancer, World Health Organization (2014)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CoronavirusUpdate: COVID-19 likely to cost economy $1 trillion during 2020, says UN trade agency, United Nations, UN News (March 9, 2020).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rom221145_6"/>
      <w:bookmarkEnd w:id="8"/>
      <w:r>
        <w:rPr>
          <w:rFonts w:ascii="Times New Roman" w:hAnsi="Times New Roman"/>
          <w:b/>
          <w:sz w:val="20"/>
        </w:rPr>
        <w:t xml:space="preserve">USE OF PROCEEDS </w:t>
      </w:r>
    </w:p>
    <w:p>
      <w:pPr>
        <w:pStyle w:val="TextBody"/>
        <w:bidi w:val="0"/>
        <w:spacing w:before="240" w:after="0"/>
        <w:jc w:val="both"/>
        <w:rPr>
          <w:rFonts w:ascii="Times New Roman" w:hAnsi="Times New Roman"/>
          <w:sz w:val="20"/>
        </w:rPr>
      </w:pPr>
      <w:r>
        <w:rPr>
          <w:rFonts w:ascii="Times New Roman" w:hAnsi="Times New Roman"/>
          <w:sz w:val="20"/>
        </w:rPr>
        <w:t xml:space="preserve">We estimate that we will receive net proceeds from this offering of approximately $                million based on an assumed initial public offering price of $                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 </w:t>
      </w:r>
    </w:p>
    <w:p>
      <w:pPr>
        <w:pStyle w:val="TextBody"/>
        <w:bidi w:val="0"/>
        <w:spacing w:before="240" w:after="0"/>
        <w:jc w:val="both"/>
        <w:rPr>
          <w:rFonts w:ascii="Times New Roman" w:hAnsi="Times New Roman"/>
          <w:sz w:val="20"/>
        </w:rPr>
      </w:pPr>
      <w:r>
        <w:rPr>
          <w:rFonts w:ascii="Times New Roman" w:hAnsi="Times New Roman"/>
          <w:sz w:val="20"/>
        </w:rPr>
        <w:t xml:space="preserve">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purposes of this offering are to increase our capitalization and financial flexibility, facilitate an orderly distribution of shares for the selling stockholders,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w:t>
      </w:r>
    </w:p>
    <w:p>
      <w:pPr>
        <w:pStyle w:val="TextBody"/>
        <w:bidi w:val="0"/>
        <w:spacing w:before="240" w:after="0"/>
        <w:jc w:val="both"/>
        <w:rPr>
          <w:rFonts w:ascii="Times New Roman" w:hAnsi="Times New Roman"/>
          <w:sz w:val="20"/>
        </w:rPr>
      </w:pPr>
      <w:r>
        <w:rPr>
          <w:rFonts w:ascii="Times New Roman" w:hAnsi="Times New Roman"/>
          <w:sz w:val="20"/>
        </w:rPr>
        <w:t xml:space="preserve">We will have broad discretion over how to use the net proceeds to us from this offering. We intend to invest the net proceeds to us from this offering that are not used as described above in investment-grade, interest-bearing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rom221145_7"/>
      <w:bookmarkEnd w:id="9"/>
      <w:r>
        <w:rPr>
          <w:rFonts w:ascii="Times New Roman" w:hAnsi="Times New Roman"/>
          <w:b/>
          <w:sz w:val="20"/>
        </w:rPr>
        <w:t xml:space="preserve">DIVIDEND POLICY </w:t>
      </w:r>
    </w:p>
    <w:p>
      <w:pPr>
        <w:pStyle w:val="TextBody"/>
        <w:bidi w:val="0"/>
        <w:spacing w:before="240" w:after="0"/>
        <w:jc w:val="both"/>
        <w:rPr>
          <w:rFonts w:ascii="Times New Roman" w:hAnsi="Times New Roman"/>
          <w:sz w:val="20"/>
        </w:rPr>
      </w:pPr>
      <w:r>
        <w:rPr>
          <w:rFonts w:ascii="Times New Roman" w:hAnsi="Times New Roman"/>
          <w:sz w:val="20"/>
        </w:rPr>
        <w:t xml:space="preserve">Since our incorporation in 2015, we have paid an aggregate of $21.2 million in cash dividends to holders of our preferred stock in satisfaction of dividend obligations accruing pursuant to our certificate of incorporation in effect prior to this offering. As of the date of this prospectus, shares of our convertible 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rom221145_8"/>
      <w:bookmarkEnd w:id="10"/>
      <w:r>
        <w:rPr>
          <w:rFonts w:ascii="Times New Roman" w:hAnsi="Times New Roman"/>
          <w:b/>
          <w:sz w:val="20"/>
        </w:rPr>
        <w:t xml:space="preserve">CAPITALIZATION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our cash and capitalization as of                ,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basis, giving effect to (1) the automatic conversion of all of our outstanding shares of Series B redeemable convertible preferred stock into                shares of Class B common stock, which will occur immediately prior to the closing of this offering; (2) the automatic conversion of all of our outstanding shares of redeemable convertible preferred stock, other than our Series B preferred stock, into                shares of Class A common stock, which will occur immediately prior to the closing of this offering; (3) the issuance of the Additional Class A Conversion Shares, which will occur upon the conversion of all outstanding shares of our redeemable convertible preferred stock and immediately prior to the closing of this offering; (4) the automatic conversion of all of our nonvoting common stock into                shares of Class A common stock, which will occur immediately prior to the closing of this offering; (5) the filing and effectiveness of our amended and restated certificate of incorporation, which will occur immediately prior to the closing of this offering; (6) the issuance of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later of (i) the expiration of the lock-up period in connection with this offering and (ii) March 15, 2022; and (7) stock-based compensation expense of approximately $                million related to RSUs subject to service-based and performance-based vesting conditions that will be satisfied upon consummation of this offering, as further described in Note 9 to our consolidated financial statements included elsewhere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 a pro forma as adjusted basis, giving effect to (1) the pro forma adjustments set forth above and (2) our receipt of $            million in net proceeds from the sale of shares of Class A common stock that we are offering at an assumed initial public offering price of $            per share, the midpoint of the estimated price range set forth on the cover page of this prospectus, after deducting the estimated underwriting discounts and commissions and estimated offering expenses payable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Prospectus SummaryThe Offering for a description of the Additional Class A Conversion Shares, as the number of Additional Class A Conversion Shares that will be issued depends on the initial public offering price of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You should read this table together with the section titled Managements Discussion and Analysis of Financial Condition and Results of Operations and our consolidated financial statements and related notes included elsewhere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33"/>
        <w:gridCol w:w="468"/>
        <w:gridCol w:w="209"/>
        <w:gridCol w:w="829"/>
        <w:gridCol w:w="88"/>
        <w:gridCol w:w="519"/>
        <w:gridCol w:w="344"/>
        <w:gridCol w:w="1355"/>
        <w:gridCol w:w="88"/>
        <w:gridCol w:w="519"/>
        <w:gridCol w:w="385"/>
        <w:gridCol w:w="1503"/>
        <w:gridCol w:w="65"/>
      </w:tblGrid>
      <w:tr>
        <w:trPr/>
        <w:tc>
          <w:tcPr>
            <w:tcW w:w="3833"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33"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58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 2021</w:t>
            </w:r>
          </w:p>
        </w:tc>
        <w:tc>
          <w:tcPr>
            <w:tcW w:w="65" w:type="dxa"/>
            <w:tcBorders/>
            <w:vAlign w:val="bottom"/>
          </w:tcPr>
          <w:p>
            <w:pPr>
              <w:pStyle w:val="TableContents"/>
              <w:bidi w:val="0"/>
              <w:spacing w:before="0" w:after="283"/>
              <w:jc w:val="left"/>
              <w:rPr/>
            </w:pPr>
            <w:r>
              <w:rPr/>
              <w:t> </w:t>
            </w:r>
          </w:p>
        </w:tc>
      </w:tr>
      <w:tr>
        <w:trPr/>
        <w:tc>
          <w:tcPr>
            <w:tcW w:w="3833"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88"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88"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w:t>
            </w:r>
          </w:p>
        </w:tc>
        <w:tc>
          <w:tcPr>
            <w:tcW w:w="65" w:type="dxa"/>
            <w:tcBorders/>
            <w:vAlign w:val="bottom"/>
          </w:tcPr>
          <w:p>
            <w:pPr>
              <w:pStyle w:val="TableContents"/>
              <w:bidi w:val="0"/>
              <w:spacing w:before="0" w:after="283"/>
              <w:jc w:val="left"/>
              <w:rPr/>
            </w:pPr>
            <w:r>
              <w:rPr/>
              <w:t> </w:t>
            </w:r>
          </w:p>
        </w:tc>
      </w:tr>
      <w:tr>
        <w:trPr/>
        <w:tc>
          <w:tcPr>
            <w:tcW w:w="3833"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5839" w:type="dxa"/>
            <w:gridSpan w:val="10"/>
            <w:tcBorders/>
            <w:vAlign w:val="bottom"/>
          </w:tcPr>
          <w:p>
            <w:pPr>
              <w:pStyle w:val="TableContents"/>
              <w:bidi w:val="0"/>
              <w:spacing w:before="0" w:after="283"/>
              <w:jc w:val="center"/>
              <w:rPr>
                <w:b/>
              </w:rPr>
            </w:pPr>
            <w:r>
              <w:rPr>
                <w:b/>
              </w:rPr>
              <w:t>(in thousands except share and per share amounts)</w:t>
            </w:r>
          </w:p>
        </w:tc>
        <w:tc>
          <w:tcPr>
            <w:tcW w:w="65" w:type="dxa"/>
            <w:tcBorders/>
            <w:vAlign w:val="bottom"/>
          </w:tcPr>
          <w:p>
            <w:pPr>
              <w:pStyle w:val="TableContents"/>
              <w:bidi w:val="0"/>
              <w:spacing w:before="0" w:after="283"/>
              <w:jc w:val="left"/>
              <w:rPr/>
            </w:pPr>
            <w:r>
              <w:rPr/>
              <w:t> </w:t>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4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50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33"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50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33"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w:t>
            </w:r>
          </w:p>
        </w:tc>
        <w:tc>
          <w:tcPr>
            <w:tcW w:w="46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13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50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$0.0001 par value,             shares authorized,             shares issued and outstanding, actual; no shares authorized, issued and outstanding, pro forma and pro forma as adjusted</w:t>
            </w:r>
          </w:p>
        </w:tc>
        <w:tc>
          <w:tcPr>
            <w:tcW w:w="4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50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904"/>
        <w:gridCol w:w="449"/>
        <w:gridCol w:w="209"/>
        <w:gridCol w:w="826"/>
        <w:gridCol w:w="88"/>
        <w:gridCol w:w="501"/>
        <w:gridCol w:w="344"/>
        <w:gridCol w:w="1349"/>
        <w:gridCol w:w="88"/>
        <w:gridCol w:w="501"/>
        <w:gridCol w:w="385"/>
        <w:gridCol w:w="1497"/>
        <w:gridCol w:w="64"/>
      </w:tblGrid>
      <w:tr>
        <w:trPr/>
        <w:tc>
          <w:tcPr>
            <w:tcW w:w="3904"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04"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57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 2021</w:t>
            </w:r>
          </w:p>
        </w:tc>
        <w:tc>
          <w:tcPr>
            <w:tcW w:w="64" w:type="dxa"/>
            <w:tcBorders/>
            <w:vAlign w:val="bottom"/>
          </w:tcPr>
          <w:p>
            <w:pPr>
              <w:pStyle w:val="TableContents"/>
              <w:bidi w:val="0"/>
              <w:spacing w:before="0" w:after="283"/>
              <w:jc w:val="left"/>
              <w:rPr/>
            </w:pPr>
            <w:r>
              <w:rPr/>
              <w:t> </w:t>
            </w:r>
          </w:p>
        </w:tc>
      </w:tr>
      <w:tr>
        <w:trPr/>
        <w:tc>
          <w:tcPr>
            <w:tcW w:w="3904"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8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8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w:t>
            </w:r>
          </w:p>
        </w:tc>
        <w:tc>
          <w:tcPr>
            <w:tcW w:w="64" w:type="dxa"/>
            <w:tcBorders/>
            <w:vAlign w:val="bottom"/>
          </w:tcPr>
          <w:p>
            <w:pPr>
              <w:pStyle w:val="TableContents"/>
              <w:bidi w:val="0"/>
              <w:spacing w:before="0" w:after="283"/>
              <w:jc w:val="left"/>
              <w:rPr/>
            </w:pPr>
            <w:r>
              <w:rPr/>
              <w:t> </w:t>
            </w:r>
          </w:p>
        </w:tc>
      </w:tr>
      <w:tr>
        <w:trPr/>
        <w:tc>
          <w:tcPr>
            <w:tcW w:w="3904"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5788" w:type="dxa"/>
            <w:gridSpan w:val="10"/>
            <w:tcBorders/>
            <w:vAlign w:val="bottom"/>
          </w:tcPr>
          <w:p>
            <w:pPr>
              <w:pStyle w:val="TableContents"/>
              <w:bidi w:val="0"/>
              <w:spacing w:before="0" w:after="283"/>
              <w:jc w:val="center"/>
              <w:rPr>
                <w:b/>
              </w:rPr>
            </w:pPr>
            <w:r>
              <w:rPr>
                <w:b/>
              </w:rPr>
              <w:t>(in thousands except share and per share amounts)</w:t>
            </w:r>
          </w:p>
        </w:tc>
        <w:tc>
          <w:tcPr>
            <w:tcW w:w="64" w:type="dxa"/>
            <w:tcBorders/>
            <w:vAlign w:val="bottom"/>
          </w:tcPr>
          <w:p>
            <w:pPr>
              <w:pStyle w:val="TableContents"/>
              <w:bidi w:val="0"/>
              <w:spacing w:before="0" w:after="283"/>
              <w:jc w:val="left"/>
              <w:rPr/>
            </w:pPr>
            <w:r>
              <w:rPr/>
              <w:t> </w:t>
            </w:r>
          </w:p>
        </w:tc>
      </w:tr>
      <w:tr>
        <w:trPr/>
        <w:tc>
          <w:tcPr>
            <w:tcW w:w="3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(deficit) equity:</w:t>
            </w:r>
          </w:p>
        </w:tc>
        <w:tc>
          <w:tcPr>
            <w:tcW w:w="44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04"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no shares authorized, issued, and outstanding,             actual; shares authorized, no shares issued and outstanding, pro forma and pro forma as adjusted</w:t>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49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shares authorized, shares issued and outstanding, actual; no shares authorized, issued and outstanding, pro forma and pro forma as adjusted</w:t>
            </w:r>
          </w:p>
        </w:tc>
        <w:tc>
          <w:tcPr>
            <w:tcW w:w="44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04"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shares authorized, shares issued and outstanding, actual;             shares authorized, shares issued and outstanding, pro forma;             shares authorized,             shares issued and outstanding, pro forma as adjusted</w:t>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4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shares authorized, no shares issued and outstanding, actual;             shares authorized,             shares issued and outstanding, pro forma and pro forma as adjusted</w:t>
            </w:r>
          </w:p>
        </w:tc>
        <w:tc>
          <w:tcPr>
            <w:tcW w:w="44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0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4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44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0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sz w:val="4"/>
                <w:szCs w:val="4"/>
              </w:rPr>
            </w:pPr>
            <w:r>
              <w:rPr>
                <w:sz w:val="4"/>
                <w:szCs w:val="4"/>
              </w:rPr>
            </w:r>
          </w:p>
        </w:tc>
        <w:tc>
          <w:tcPr>
            <w:tcW w:w="1349"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4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04"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44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501"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w:t>
            </w:r>
          </w:p>
        </w:tc>
        <w:tc>
          <w:tcPr>
            <w:tcW w:w="1497"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904"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04"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497"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04"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1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$1.00 increase (decrease) in the assumed initial public offering price of $                per share of Class A common stock, the midpoint of the estimated price range set forth on the cover page of this prospectus, would increase (decrease) each of our pro forma as adjusted cash, cash equivalents and restricted cash, 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 $                million, assuming the assumed initial public offering price of $                per share of Class A common stock remains the same, and after deducting estimated underwriting discounts and commissions.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Class A common stock and Class B common stock that will be outstanding immediately after this offering is based on                 shares of Class A common stock and no shares of Class B common stock outstanding as of                ,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vesting and settlement of RSUs outstanding as of                 under the 2015 Plan, for which the performance-based vesting condition will be satisfied in connection with this offering, but for which the service-based vesting condition will not be satisfied on or before the date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vesting and settlement of RSUs granted after                 under the 2015 Plan for which the performance-based vesting condition will be satisfied in connection with this offering, but for which the service-based vesting condition will not be satisfied on or before the date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that may become issuable upon the vesting and settlement of PSUs outstanding as of                , 2021 under our 2015 Plan, for which the performance-based vesting condition may be satisfied in connection with this offering, but for which the service-based vesting condition will not be satisfied on or before the date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reserved for future issuance under 2021 Plan, plus a number of shares of Class A common stock not to exceed                 (consisting of the number of shares that remain available under the 2015 Plan as of immediately prior to the effective date of the 2021 Plan, and any shares underlying RSUs outstanding under the 2015 Plan that expire or otherwise terminate prior to settlement after the effective date of the 2021 Plan), as well as any future increases, including annual automatic evergreen increases, in the number of shares of Class A common stock reserved for issuance under the 2021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exercise of a stock option outstanding as of                under the 2015 Plan, with an exercise price of $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 to                shares of Class A common stock issuable upon conversion of an outstanding convertible promissory note, which is convertible beginning in March 2026, as more fully described in the section of this prospectus titled Description of Capital StockConvertible Promissory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rom221145_9"/>
      <w:bookmarkEnd w:id="11"/>
      <w:r>
        <w:rPr>
          <w:rFonts w:ascii="Times New Roman" w:hAnsi="Times New Roman"/>
          <w:b/>
          <w:sz w:val="20"/>
        </w:rPr>
        <w:t xml:space="preserve">DILUTION </w:t>
      </w:r>
    </w:p>
    <w:p>
      <w:pPr>
        <w:pStyle w:val="TextBody"/>
        <w:bidi w:val="0"/>
        <w:spacing w:before="240" w:after="0"/>
        <w:jc w:val="both"/>
        <w:rPr>
          <w:rFonts w:ascii="Times New Roman" w:hAnsi="Times New Roman"/>
          <w:sz w:val="20"/>
        </w:rPr>
      </w:pPr>
      <w:r>
        <w:rPr>
          <w:rFonts w:ascii="Times New Roman" w:hAnsi="Times New Roman"/>
          <w:sz w:val="20"/>
        </w:rPr>
        <w:t xml:space="preserve">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Our pro forma net tangible book value as of                was $                 million, or $                 per share. Our pro forma net tangible book value per share represents the amount of our total tangible assets less our total liabilities, divided by the number of our shares of common stock outstanding as of                , after giving effect to (1) the automatic conversion of all outstanding shares of our Series B redeemable preferred stock into                shares of Class B common stock, which will occur immediately prior to the closing of this offering; (2) the automatic conversion of all outstanding shares of our redeemable convertible preferred stock, other than our Series B preferred stock, into an aggregate of                shares of Class A common stock, which will occur immediately prior to the closing of this offering; (3) the issuance of the Additional Class A Conversion Shares, which will occur upon the conversion of all outstanding shares of our redeemable convertible preferred stock and immediately prior to the closing of this offering; (4) the automatic conversion of all of our nonvoting common stock into                shares of Class A common stock, which will occur immediately prior to the closing of this offering; (5) the issuance of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later of (i) the expiration of the lock-up period in connection with this offering and (ii) March 15, 2022; and (6) stock-based compensation expense of approximately $                million related to RSUs subject to service-based and performance-based vesting conditions that will be satisfied upon consummation of this offering, as further described in Note 9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After giving effect to the sale by us of                  shares of Class A common stock in this offering at an assumed initial public offering price of $                per share, the midpoint of the estimated price range set forth on the cover page of this prospectus, after deducting estimated underwriting discounts and commissions and estimated offering expenses payable by us, our pro forma as adjusted net tangible book value as of                would have been $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 offering from the initial public offering price per share paid by investors purchasing Class A common stock in this offering. The following table illustrates this dilution on a per share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96"/>
        <w:gridCol w:w="322"/>
        <w:gridCol w:w="140"/>
        <w:gridCol w:w="781"/>
        <w:gridCol w:w="60"/>
        <w:gridCol w:w="322"/>
        <w:gridCol w:w="140"/>
        <w:gridCol w:w="781"/>
        <w:gridCol w:w="63"/>
      </w:tblGrid>
      <w:tr>
        <w:trPr/>
        <w:tc>
          <w:tcPr>
            <w:tcW w:w="7596"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initial public offering price per share</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per share attributable to the pro forma adjustments described above</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as adjusted net tangible book value per share attributable to new investors purchasing shares in this offering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596"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596"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giving effect to this offering</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596"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dilution information discussed above is illustrative only and may change based on the actual initial public offering price and other terms of this 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 $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as of                , on a pro forma as adjusted basis as described above, the aggregate number of shares of our Class A common stock and Class B common stock, the total consideration and the average price per share (1) paid to us by existing stockholders, and (2) to be 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5"/>
        <w:gridCol w:w="281"/>
        <w:gridCol w:w="437"/>
        <w:gridCol w:w="438"/>
        <w:gridCol w:w="78"/>
        <w:gridCol w:w="316"/>
        <w:gridCol w:w="78"/>
        <w:gridCol w:w="770"/>
        <w:gridCol w:w="275"/>
        <w:gridCol w:w="224"/>
        <w:gridCol w:w="81"/>
        <w:gridCol w:w="897"/>
        <w:gridCol w:w="81"/>
        <w:gridCol w:w="322"/>
        <w:gridCol w:w="81"/>
        <w:gridCol w:w="762"/>
        <w:gridCol w:w="275"/>
        <w:gridCol w:w="224"/>
        <w:gridCol w:w="736"/>
        <w:gridCol w:w="736"/>
        <w:gridCol w:w="68"/>
      </w:tblGrid>
      <w:tr>
        <w:trPr/>
        <w:tc>
          <w:tcPr>
            <w:tcW w:w="3045"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04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21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2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Price</w:t>
              <w:br/>
              <w:t>Per Share</w:t>
            </w:r>
          </w:p>
        </w:tc>
        <w:tc>
          <w:tcPr>
            <w:tcW w:w="68" w:type="dxa"/>
            <w:tcBorders/>
            <w:vAlign w:val="bottom"/>
          </w:tcPr>
          <w:p>
            <w:pPr>
              <w:pStyle w:val="TableContents"/>
              <w:bidi w:val="0"/>
              <w:spacing w:before="0" w:after="283"/>
              <w:jc w:val="left"/>
              <w:rPr/>
            </w:pPr>
            <w:r>
              <w:rPr/>
              <w:t> </w:t>
            </w:r>
          </w:p>
        </w:tc>
      </w:tr>
      <w:tr>
        <w:trPr/>
        <w:tc>
          <w:tcPr>
            <w:tcW w:w="3045"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78"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8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8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r>
      <w:tr>
        <w:trPr/>
        <w:tc>
          <w:tcPr>
            <w:tcW w:w="30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w:t>
            </w:r>
          </w:p>
        </w:tc>
        <w:tc>
          <w:tcPr>
            <w:tcW w:w="2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97"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32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045"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w:t>
            </w:r>
          </w:p>
        </w:tc>
        <w:tc>
          <w:tcPr>
            <w:tcW w:w="2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897"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04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0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Totals</w:t>
            </w:r>
          </w:p>
        </w:tc>
        <w:tc>
          <w:tcPr>
            <w:tcW w:w="2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both"/>
              <w:rPr>
                <w:rFonts w:ascii="Times New Roman" w:hAnsi="Times New Roman"/>
                <w:sz w:val="20"/>
              </w:rPr>
            </w:pPr>
            <w:r>
              <w:rPr>
                <w:rFonts w:ascii="Times New Roman" w:hAnsi="Times New Roman"/>
                <w:sz w:val="20"/>
              </w:rPr>
              <w:t>$            </w:t>
            </w:r>
          </w:p>
        </w:tc>
        <w:tc>
          <w:tcPr>
            <w:tcW w:w="8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04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8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Sales by the selling stockholders upon the exercise in full of the underwriters option to purchase additional shares to cover over-allotments, if any, would 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Each $1.00 increase (decrease) in the assumed initial public offering price of $                per share, the midpoint of the estimated price range set forth on the cover page of this prospectus, would increase (decrease) the total consideration paid by new investors and total consideration paid by all stockholders by $                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total consideration paid by new investors and total consideration paid by all stockholders by $                million, assuming the assumed initial public offering price of $                per share of Class A common stock remains the same, and after deducting estimated underwriting discounts and commissions.     </w:t>
      </w:r>
    </w:p>
    <w:p>
      <w:pPr>
        <w:pStyle w:val="TextBody"/>
        <w:bidi w:val="0"/>
        <w:spacing w:before="240" w:after="0"/>
        <w:jc w:val="both"/>
        <w:rPr>
          <w:rFonts w:ascii="Times New Roman" w:hAnsi="Times New Roman"/>
          <w:sz w:val="20"/>
        </w:rPr>
      </w:pPr>
      <w:r>
        <w:rPr>
          <w:rFonts w:ascii="Times New Roman" w:hAnsi="Times New Roman"/>
          <w:sz w:val="20"/>
        </w:rPr>
        <w:t xml:space="preserve">The number of shares of Class A common stock and Class B common stock that will be outstanding immediately after this offering is based on                 shares of Class A common stock and no shares of Class B common stock outstanding as of                ,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vesting and settlement of RSUs outstanding as of                 under our 2015 Plan, for which the performance-based vesting condition will be satisfied in connection with this offering, but for which the service-based vesting condition will not be satisfied on or before the date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vesting and settlement of RSUs granted after                 under the 2015 Plan for which the performance-based vesting condition will be satisfied in connection with this offering, but for which the service-based vesting condition will not be satisfied on or before the date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that may become issuable to upon the vesting and settlement of PSUs outstanding as of                , 2021 under our 2015 Plan, for which the performance-based vesting condition may be satisfied in connection with this offering, but for which the service-based vesting condition will not be satisfied on or before the date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reserved for future issuance under our 2021 Plan, plus a number of shares of Class A common stock not to exceed                 (consisting of the number of shares that remain available under the 2015 Plan as of immediately prior to the effective date of the 2021 Plan, and any shares underlying RSUs outstanding under the 2015 Plan that expire or otherwise terminate prior to settlement after the effective date of the 2021 Plan), as well as any future increases, including annual automatic evergreen increases, in the number of shares of Class A common stock reserved for issuance under the 2021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of Class A common stock issuable on the exercise of a stock option outstanding as of                under the 2015 Plan, with an exercise price of $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up to                shares of Class A common stock issuable upon conversion of an outstanding convertible promissory note, which is convertible beginning in March 2026, as more fully described in the section of this prospectus titled Description of Capital StockConvertible Promissory Note.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 2021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rom221145_10"/>
      <w:bookmarkEnd w:id="12"/>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both"/>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 </w:t>
      </w:r>
    </w:p>
    <w:p>
      <w:pPr>
        <w:pStyle w:val="TextBody"/>
        <w:bidi w:val="0"/>
        <w:spacing w:before="240" w:after="0"/>
        <w:jc w:val="both"/>
        <w:rPr>
          <w:rFonts w:ascii="Times New Roman" w:hAnsi="Times New Roman"/>
          <w:sz w:val="20"/>
        </w:rPr>
      </w:pPr>
      <w:r>
        <w:rPr>
          <w:rFonts w:ascii="Times New Roman" w:hAnsi="Times New Roman"/>
          <w:sz w:val="20"/>
        </w:rPr>
        <w:t xml:space="preserve">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To accomplish this, we built both a technology platform to free healthcare data from silos and an operating system to make this data useful. We refer to the combination of those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0"/>
        <w:jc w:val="both"/>
        <w:rPr>
          <w:rFonts w:ascii="Times New Roman" w:hAnsi="Times New Roman"/>
          <w:sz w:val="20"/>
        </w:rPr>
      </w:pPr>
      <w:r>
        <w:rPr>
          <w:rFonts w:ascii="Times New Roman" w:hAnsi="Times New Roman"/>
          <w:sz w:val="20"/>
        </w:rPr>
        <w:t xml:space="preserve">We primarily operate in the United States and generated total revenue of $62.1 million and $188.0 million in the years ended December 31, 2019 and 2020, respectively, and of $36.4 million and $132.1 million in the six months ended June 30, 2020 and 2021, respectively. In the year ended December 31, 2019, two separate customers accounted for approximately 14.8% and 17.7% of our total revenue, and revenue from one customer accounted for approximately 16.5% of our total revenue in the year ended December 31, 2020. We also incurred net losses of $115.0 million and $209.9 million in the years ended December 31, 2019 and 2020, respectively, and net losses of $98.2 million and $131.9 million in the six months ended June 30, 2020 and 2021, respectively. </w:t>
      </w:r>
    </w:p>
    <w:p>
      <w:pPr>
        <w:pStyle w:val="TextBody"/>
        <w:bidi w:val="0"/>
        <w:spacing w:before="360" w:after="0"/>
        <w:jc w:val="both"/>
        <w:rPr>
          <w:rFonts w:ascii="Times New Roman" w:hAnsi="Times New Roman"/>
          <w:b/>
          <w:i/>
          <w:sz w:val="20"/>
        </w:rPr>
      </w:pPr>
      <w:r>
        <w:rPr>
          <w:rFonts w:ascii="Times New Roman" w:hAnsi="Times New Roman"/>
          <w:b/>
          <w:i/>
          <w:sz w:val="20"/>
        </w:rPr>
        <w:t xml:space="preserve">Our Business Model </w:t>
      </w:r>
    </w:p>
    <w:p>
      <w:pPr>
        <w:pStyle w:val="TextBody"/>
        <w:bidi w:val="0"/>
        <w:spacing w:before="120" w:after="0"/>
        <w:jc w:val="both"/>
        <w:rPr>
          <w:rFonts w:ascii="Times New Roman" w:hAnsi="Times New Roman"/>
          <w:sz w:val="20"/>
        </w:rPr>
      </w:pPr>
      <w:r>
        <w:rPr>
          <w:rFonts w:ascii="Times New Roman" w:hAnsi="Times New Roman"/>
          <w:sz w:val="20"/>
        </w:rPr>
        <w:t xml:space="preserve">We currently offer three product lines: Genomics, Data, and Algos. Each product line is designed to enable and enhance the others, thereby creating network effects in each of the markets in which we operate. We are 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 </w:t>
      </w:r>
    </w:p>
    <w:p>
      <w:pPr>
        <w:pStyle w:val="TextBody"/>
        <w:bidi w:val="0"/>
        <w:spacing w:before="240" w:after="0"/>
        <w:jc w:val="both"/>
        <w:rPr>
          <w:rFonts w:ascii="Times New Roman" w:hAnsi="Times New Roman"/>
          <w:sz w:val="20"/>
        </w:rPr>
      </w:pPr>
      <w:r>
        <w:rPr>
          <w:rFonts w:ascii="Times New Roman" w:hAnsi="Times New Roman"/>
          <w:sz w:val="20"/>
        </w:rPr>
        <w:t xml:space="preserve">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Healthcare providers benefit from a tailored test result that provides information that can be used in routing patients to the most effective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Pharmaceutical and biotechnology companies benefit by licensing deep molecular data and longitudinal clinical data that they can leverage in their drug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benefit by leveraging the multimodal data to make our current tests more precise and/or to develop new algorithmic tests in the future.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Although we are only five years old, the network effects described above have already been demonstrated with the cohort of records that were added to our database in 2018, 2019, and 2020 (which we refer to as the 2018 Cohort, the 2019 Cohort, and the 2020 cohort, respectively). The below charts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83845"/>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577850" cy="2838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21971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577850" cy="2197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1780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577850" cy="217805"/>
                    </a:xfrm>
                    <a:prstGeom prst="rect">
                      <a:avLst/>
                    </a:prstGeom>
                  </pic:spPr>
                </pic:pic>
              </a:graphicData>
            </a:graphic>
          </wp:inline>
        </w:drawing>
      </w:r>
      <w:r>
        <w:rPr/>
        <w:t xml:space="preserve"> </w:t>
      </w:r>
    </w:p>
    <w:p>
      <w:pPr>
        <w:pStyle w:val="TextBody"/>
        <w:bidi w:val="0"/>
        <w:spacing w:before="360" w:after="0"/>
        <w:jc w:val="both"/>
        <w:rPr>
          <w:rFonts w:ascii="Times New Roman" w:hAnsi="Times New Roman"/>
          <w:i/>
          <w:sz w:val="20"/>
        </w:rPr>
      </w:pPr>
      <w:r>
        <w:rPr>
          <w:rFonts w:ascii="Times New Roman" w:hAnsi="Times New Roman"/>
          <w:i/>
          <w:sz w:val="20"/>
        </w:rPr>
        <w:t xml:space="preserve">*Cumulative gross profit in the above charts is calculated as cumulative revenue less initial sequencing costs. Cost of subsequent data revenue is minimal in nature and limited to the cloud costs associated with delivering a record. </w:t>
      </w:r>
    </w:p>
    <w:p>
      <w:pPr>
        <w:pStyle w:val="TextBody"/>
        <w:bidi w:val="0"/>
        <w:spacing w:before="240" w:after="0"/>
        <w:jc w:val="both"/>
        <w:rPr>
          <w:rFonts w:ascii="Times New Roman" w:hAnsi="Times New Roman"/>
          <w:sz w:val="20"/>
        </w:rPr>
      </w:pPr>
      <w:r>
        <w:rPr>
          <w:rFonts w:ascii="Times New Roman" w:hAnsi="Times New Roman"/>
          <w:sz w:val="20"/>
        </w:rPr>
        <w:t xml:space="preserve">Below is a description of each product line: </w:t>
      </w:r>
    </w:p>
    <w:p>
      <w:pPr>
        <w:pStyle w:val="TextBody"/>
        <w:bidi w:val="0"/>
        <w:spacing w:before="120" w:after="0"/>
        <w:jc w:val="left"/>
        <w:rPr>
          <w:rFonts w:ascii="Times New Roman" w:hAnsi="Times New Roman"/>
          <w:i/>
          <w:sz w:val="20"/>
        </w:rPr>
      </w:pPr>
      <w:r>
        <w:rPr>
          <w:rFonts w:ascii="Times New Roman" w:hAnsi="Times New Roman"/>
          <w:i/>
          <w:sz w:val="20"/>
        </w:rPr>
        <w:t xml:space="preserve">Genomics </w:t>
      </w:r>
    </w:p>
    <w:p>
      <w:pPr>
        <w:pStyle w:val="TextBody"/>
        <w:bidi w:val="0"/>
        <w:spacing w:before="120" w:after="0"/>
        <w:jc w:val="both"/>
        <w:rPr>
          <w:rFonts w:ascii="Times New Roman" w:hAnsi="Times New Roman"/>
          <w:sz w:val="20"/>
        </w:rPr>
      </w:pPr>
      <w:r>
        <w:rPr>
          <w:rFonts w:ascii="Times New Roman" w:hAnsi="Times New Roman"/>
          <w:sz w:val="20"/>
        </w:rPr>
        <w:t xml:space="preserve">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w:t>
      </w:r>
    </w:p>
    <w:p>
      <w:pPr>
        <w:pStyle w:val="TextBody"/>
        <w:bidi w:val="0"/>
        <w:spacing w:before="240" w:after="0"/>
        <w:jc w:val="both"/>
        <w:rPr>
          <w:rFonts w:ascii="Times New Roman" w:hAnsi="Times New Roman"/>
          <w:sz w:val="20"/>
        </w:rPr>
      </w:pPr>
      <w:r>
        <w:rPr>
          <w:rFonts w:ascii="Times New Roman" w:hAnsi="Times New Roman"/>
          <w:sz w:val="20"/>
        </w:rPr>
        <w:t xml:space="preserve">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 </w:t>
      </w:r>
    </w:p>
    <w:p>
      <w:pPr>
        <w:pStyle w:val="TextBody"/>
        <w:bidi w:val="0"/>
        <w:spacing w:before="240" w:after="0"/>
        <w:jc w:val="both"/>
        <w:rPr>
          <w:rFonts w:ascii="Times New Roman" w:hAnsi="Times New Roman"/>
          <w:sz w:val="20"/>
        </w:rPr>
      </w:pPr>
      <w:r>
        <w:rPr>
          <w:rFonts w:ascii="Times New Roman" w:hAnsi="Times New Roman"/>
          <w:sz w:val="20"/>
        </w:rPr>
        <w:t xml:space="preserve">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Genomics revenue was $27.9 million and $151.9 million for the years ended December 31, 2019 and 2020, respectively, and $26.1 million and $112.9 million for the six months ended June 30, 2020 and 2021, respectively. COVID-19 PCR testing accounted for $89.5 million of revenue for the year ended December 31, 2020 and $71.6 million for the six months ended June 30, 2021. COVID-19 PCR testing did not generate revenue in the year ended December 31, 2019 or the six months ended June 30, 2020.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Other </w:t>
      </w:r>
    </w:p>
    <w:p>
      <w:pPr>
        <w:pStyle w:val="TextBody"/>
        <w:bidi w:val="0"/>
        <w:spacing w:before="120" w:after="0"/>
        <w:jc w:val="both"/>
        <w:rPr>
          <w:rFonts w:ascii="Times New Roman" w:hAnsi="Times New Roman"/>
          <w:sz w:val="20"/>
        </w:rPr>
      </w:pPr>
      <w:r>
        <w:rPr>
          <w:rFonts w:ascii="Times New Roman" w:hAnsi="Times New Roman"/>
          <w:sz w:val="20"/>
        </w:rPr>
        <w:t xml:space="preserve">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products, Insights and Therapies. </w:t>
      </w:r>
    </w:p>
    <w:p>
      <w:pPr>
        <w:pStyle w:val="TextBody"/>
        <w:bidi w:val="0"/>
        <w:spacing w:before="240" w:after="0"/>
        <w:jc w:val="both"/>
        <w:rPr>
          <w:rFonts w:ascii="Times New Roman" w:hAnsi="Times New Roman"/>
          <w:sz w:val="20"/>
        </w:rPr>
      </w:pPr>
      <w:r>
        <w:rPr>
          <w:rFonts w:ascii="Times New Roman" w:hAnsi="Times New Roman"/>
          <w:sz w:val="20"/>
        </w:rPr>
        <w:t xml:space="preserve">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or upon the completion of performance obligations for related services. </w:t>
      </w:r>
    </w:p>
    <w:p>
      <w:pPr>
        <w:pStyle w:val="TextBody"/>
        <w:bidi w:val="0"/>
        <w:spacing w:before="240" w:after="0"/>
        <w:jc w:val="both"/>
        <w:rPr>
          <w:rFonts w:ascii="Times New Roman" w:hAnsi="Times New Roman"/>
          <w:sz w:val="20"/>
        </w:rPr>
      </w:pPr>
      <w:r>
        <w:rPr>
          <w:rFonts w:ascii="Times New Roman" w:hAnsi="Times New Roman"/>
          <w:sz w:val="20"/>
        </w:rPr>
        <w:t xml:space="preserve">Our Therapies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Therapies product is generally recognized upon a match between a patient and a trial in our network or upon enrollment of a patient that we matched to a trial in our network. </w:t>
      </w:r>
    </w:p>
    <w:p>
      <w:pPr>
        <w:pStyle w:val="TextBody"/>
        <w:bidi w:val="0"/>
        <w:spacing w:before="240" w:after="0"/>
        <w:jc w:val="both"/>
        <w:rPr>
          <w:rFonts w:ascii="Times New Roman" w:hAnsi="Times New Roman"/>
          <w:sz w:val="20"/>
        </w:rPr>
      </w:pPr>
      <w:r>
        <w:rPr>
          <w:rFonts w:ascii="Times New Roman" w:hAnsi="Times New Roman"/>
          <w:sz w:val="20"/>
        </w:rPr>
        <w:t xml:space="preserve">Data revenue was $34.2 million and $36.1 million for the years ended December 31, 2019 and 2020, respectively, and $10.3 million and $19.2 million for the six months ended June 30, 2020 and 2021, respectively. Our Data revenue is typically back-weighted towards the second half of the year based on the budgeting cycles of our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Algos </w:t>
      </w:r>
    </w:p>
    <w:p>
      <w:pPr>
        <w:pStyle w:val="TextBody"/>
        <w:bidi w:val="0"/>
        <w:spacing w:before="120" w:after="0"/>
        <w:jc w:val="both"/>
        <w:rPr>
          <w:rFonts w:ascii="Times New Roman" w:hAnsi="Times New Roman"/>
          <w:sz w:val="20"/>
        </w:rPr>
      </w:pPr>
      <w:r>
        <w:rPr>
          <w:rFonts w:ascii="Times New Roman" w:hAnsi="Times New Roman"/>
          <w:sz w:val="20"/>
        </w:rPr>
        <w:t xml:space="preserve">Our newest product line, Algos, is focused on developing and providing diagnostics that are algorithmic in nature. Algos are tests that can be run without chemistry or biology; they are simply 0s and 1s running on digitized data derived from a laboratory test. Algos leverage AI-driven insights to produce clinically validated and actionable information for physicians. </w:t>
      </w:r>
    </w:p>
    <w:p>
      <w:pPr>
        <w:pStyle w:val="TextBody"/>
        <w:bidi w:val="0"/>
        <w:spacing w:before="240" w:after="0"/>
        <w:jc w:val="both"/>
        <w:rPr>
          <w:rFonts w:ascii="Times New Roman" w:hAnsi="Times New Roman"/>
          <w:sz w:val="20"/>
        </w:rPr>
      </w:pPr>
      <w:r>
        <w:rPr>
          <w:rFonts w:ascii="Times New Roman" w:hAnsi="Times New Roman"/>
          <w:sz w:val="20"/>
        </w:rPr>
        <w:t xml:space="preserve">We launched our Algos product line in the fourth quarter of 2020 and currently offer two algorithmic tests in oncology: our Tumor Origin, TO, test and our Homologous Recombination Deficiency, HRD, test. Similar to our Genomics product line, we typically bill commercial payers or government-funded programs (i.e., Medicare and Medicaid) after delivering a test result. The amount that we charge varies depending on the algorithms being run, the party being billed and other information about the patients diagnosis. Revenue is generally recognized based on estimated cash receipts determined by historical and current payment trends. We currently report our Algos revenue within our Data and Other product line. </w:t>
      </w:r>
    </w:p>
    <w:p>
      <w:pPr>
        <w:pStyle w:val="TextBody"/>
        <w:bidi w:val="0"/>
        <w:spacing w:before="240" w:after="0"/>
        <w:jc w:val="both"/>
        <w:rPr>
          <w:rFonts w:ascii="Times New Roman" w:hAnsi="Times New Roman"/>
          <w:sz w:val="20"/>
        </w:rPr>
      </w:pPr>
      <w:r>
        <w:rPr>
          <w:rFonts w:ascii="Times New Roman" w:hAnsi="Times New Roman"/>
          <w:sz w:val="20"/>
        </w:rPr>
        <w:t xml:space="preserve">While our Algos product line does not currently generate significant revenue, we believe it represents a significant opportunity for us and we will incur significant expenses over the next several years as we work to identify and develop algorithms that we can deploy into a clinical setting.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Performance </w:t>
      </w:r>
    </w:p>
    <w:p>
      <w:pPr>
        <w:pStyle w:val="TextBody"/>
        <w:bidi w:val="0"/>
        <w:spacing w:before="120" w:after="0"/>
        <w:jc w:val="both"/>
        <w:rPr>
          <w:rFonts w:ascii="Times New Roman" w:hAnsi="Times New Roman"/>
          <w:sz w:val="20"/>
        </w:rPr>
      </w:pPr>
      <w:r>
        <w:rPr>
          <w:rFonts w:ascii="Times New Roman" w:hAnsi="Times New Roman"/>
          <w:sz w:val="20"/>
        </w:rPr>
        <w:t xml:space="preserve">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and New Products </w:t>
      </w:r>
    </w:p>
    <w:p>
      <w:pPr>
        <w:pStyle w:val="TextBody"/>
        <w:bidi w:val="0"/>
        <w:spacing w:before="120" w:after="0"/>
        <w:jc w:val="both"/>
        <w:rPr>
          <w:rFonts w:ascii="Times New Roman" w:hAnsi="Times New Roman"/>
          <w:sz w:val="20"/>
        </w:rPr>
      </w:pPr>
      <w:r>
        <w:rPr>
          <w:rFonts w:ascii="Times New Roman" w:hAnsi="Times New Roman"/>
          <w:sz w:val="20"/>
        </w:rPr>
        <w:t xml:space="preserve">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$31.3 million and $45.4 million during the years ended December 31, 2019 and 2020, respectively, and $20.6 million and $27.8 million during the six months ended June 30, 2020 and 2021, respectively, in research and development. Our ability to develop new products, obtain regulatory approvals when required, launch them into the market, and drive adoption of these products by our customers will continue to play a key role in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Acquisition and Expansion </w:t>
      </w:r>
    </w:p>
    <w:p>
      <w:pPr>
        <w:pStyle w:val="TextBody"/>
        <w:bidi w:val="0"/>
        <w:spacing w:before="120" w:after="0"/>
        <w:jc w:val="both"/>
        <w:rPr>
          <w:rFonts w:ascii="Times New Roman" w:hAnsi="Times New Roman"/>
          <w:sz w:val="20"/>
        </w:rPr>
      </w:pPr>
      <w:r>
        <w:rPr>
          <w:rFonts w:ascii="Times New Roman" w:hAnsi="Times New Roman"/>
          <w:sz w:val="20"/>
        </w:rPr>
        <w:t xml:space="preserve">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Algos, this entails demonstrating the utility of these algorithms in a clinical setting. Since our inception, our offerings have been used by more than 5,000 oncologists and 33 pharmaceutical and biotechnology customers licensing data through our Insights product, including more than half of the 20 largest public pharmaceutical companies based on 2020 revenue. Our financial performance relies heavily on our ability to add customers to our Platform and expand the relationships with our current customers through adoption of our new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in Technology </w:t>
      </w:r>
    </w:p>
    <w:p>
      <w:pPr>
        <w:pStyle w:val="TextBody"/>
        <w:bidi w:val="0"/>
        <w:spacing w:before="120" w:after="0"/>
        <w:jc w:val="both"/>
        <w:rPr>
          <w:rFonts w:ascii="Times New Roman" w:hAnsi="Times New Roman"/>
          <w:sz w:val="20"/>
        </w:rPr>
      </w:pPr>
      <w:r>
        <w:rPr>
          <w:rFonts w:ascii="Times New Roman" w:hAnsi="Times New Roman"/>
          <w:sz w:val="20"/>
        </w:rPr>
        <w:t xml:space="preserve">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$25.6 million and $45.9 million during the years ended December 31, 2019 and 2020, respectively, and $20.9 million and $32.3 million during the six months ended June 30, 2020 and 2021,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Payer Coverage and Reimbursement </w:t>
      </w:r>
    </w:p>
    <w:p>
      <w:pPr>
        <w:pStyle w:val="TextBody"/>
        <w:bidi w:val="0"/>
        <w:spacing w:before="120" w:after="0"/>
        <w:jc w:val="both"/>
        <w:rPr>
          <w:rFonts w:ascii="Times New Roman" w:hAnsi="Times New Roman"/>
          <w:sz w:val="20"/>
        </w:rPr>
      </w:pPr>
      <w:r>
        <w:rPr>
          <w:rFonts w:ascii="Times New Roman" w:hAnsi="Times New Roman"/>
          <w:sz w:val="20"/>
        </w:rPr>
        <w:t xml:space="preserve">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For the year ended December 31, 2019 and 2020, we received payment on approximately 50% and 48%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clinical oncology NGS tests, respectively. We did not receive payment on approximately 50% and 52% of our clinical oncology NGS tests during the same periods,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COVID-19 Global Pandemic </w:t>
      </w:r>
    </w:p>
    <w:p>
      <w:pPr>
        <w:pStyle w:val="TextBody"/>
        <w:bidi w:val="0"/>
        <w:spacing w:before="120" w:after="0"/>
        <w:jc w:val="both"/>
        <w:rPr>
          <w:rFonts w:ascii="Times New Roman" w:hAnsi="Times New Roman"/>
          <w:sz w:val="20"/>
        </w:rPr>
      </w:pPr>
      <w:r>
        <w:rPr>
          <w:rFonts w:ascii="Times New Roman" w:hAnsi="Times New Roman"/>
          <w:sz w:val="20"/>
        </w:rPr>
        <w:t xml:space="preserve">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$89.5 million and $71.6 million of revenue for the year ended December 31, 2020 and the six months ended June 30, 2021, respectively. Given the unpredictability surrounding the COVID-19 testing needs going forward, we are unable to predict testing volumes for our test on a go-forward basis, although there is a reasonable likelihood that levels will decline. As a result, our financial performance in the second half of 2021 may not be comparable to our financial performance in the second half of 2020.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We currently primarily derive our revenue from two product lines: (1) Genomics and (2) Data and Other. </w:t>
      </w:r>
    </w:p>
    <w:p>
      <w:pPr>
        <w:pStyle w:val="TextBody"/>
        <w:bidi w:val="0"/>
        <w:spacing w:before="360" w:after="0"/>
        <w:jc w:val="left"/>
        <w:rPr>
          <w:rFonts w:ascii="Times New Roman" w:hAnsi="Times New Roman"/>
          <w:i/>
          <w:sz w:val="20"/>
        </w:rPr>
      </w:pPr>
      <w:r>
        <w:rPr>
          <w:rFonts w:ascii="Times New Roman" w:hAnsi="Times New Roman"/>
          <w:i/>
          <w:sz w:val="20"/>
        </w:rPr>
        <w:t xml:space="preserve">Genomics </w:t>
      </w:r>
    </w:p>
    <w:p>
      <w:pPr>
        <w:pStyle w:val="TextBody"/>
        <w:bidi w:val="0"/>
        <w:spacing w:before="120" w:after="0"/>
        <w:jc w:val="both"/>
        <w:rPr>
          <w:rFonts w:ascii="Times New Roman" w:hAnsi="Times New Roman"/>
          <w:sz w:val="20"/>
        </w:rPr>
      </w:pPr>
      <w:r>
        <w:rPr>
          <w:rFonts w:ascii="Times New Roman" w:hAnsi="Times New Roman"/>
          <w:sz w:val="20"/>
        </w:rPr>
        <w:t xml:space="preserve">Genomics primarily includes revenue from diagnostics, PCR profiling, and other anatomic and molecular pathology testing to healthcare providers, pharmaceutical companies, biotechnology companies, researchers, and other third parties.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Other </w:t>
      </w:r>
    </w:p>
    <w:p>
      <w:pPr>
        <w:pStyle w:val="TextBody"/>
        <w:bidi w:val="0"/>
        <w:spacing w:before="120" w:after="0"/>
        <w:jc w:val="both"/>
        <w:rPr>
          <w:rFonts w:ascii="Times New Roman" w:hAnsi="Times New Roman"/>
          <w:sz w:val="20"/>
        </w:rPr>
      </w:pPr>
      <w:r>
        <w:rPr>
          <w:rFonts w:ascii="Times New Roman" w:hAnsi="Times New Roman"/>
          <w:sz w:val="20"/>
        </w:rPr>
        <w:t xml:space="preserve">Data and Other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Algos revenue within this line item as it is immaterial.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and Operating Expenses </w:t>
      </w:r>
    </w:p>
    <w:p>
      <w:pPr>
        <w:pStyle w:val="TextBody"/>
        <w:bidi w:val="0"/>
        <w:spacing w:before="120" w:after="0"/>
        <w:jc w:val="both"/>
        <w:rPr>
          <w:rFonts w:ascii="Times New Roman" w:hAnsi="Times New Roman"/>
          <w:sz w:val="20"/>
        </w:rPr>
      </w:pPr>
      <w:r>
        <w:rPr>
          <w:rFonts w:ascii="Times New Roman" w:hAnsi="Times New Roman"/>
          <w:sz w:val="20"/>
        </w:rPr>
        <w:t xml:space="preserve">We incur costs to generate revenue for each of our two primary product lines. Cost of revenue for our Genomics product line is a higher percentage of the Genomics revenue than cost of revenue for Data and Other is as a percentage of Data and Other revenue. As revenue shifts between these product lines, total cost of revenue as a percentage of revenue will be impacted.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Genomics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for Genomics primarily includes personnel lab expenses, including salaries, bonuses, employee benefits and stock-based compensation expenses (which we refer to as personnel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amortization of intangible assets, cost of laboratory supplies and consumables, administration fees associated with COVID-19 testing, depreciation of laboratory equipment, shipping costs and third-party laboratory costs. Costs associated with performing our tests are recorded at the time of report delivery. We expect these costs will increase in absolute dollars as our Genomics revenue continues to grow.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Data and Other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for Data and Other primarily includes data acquisition and royalty fees, and personnel costs related to delivery of our data services and platform, and certain allocated overhead expenses. Costs associated with performing data product services are recorded as incurred. We expect these costs will increase in absolute dollars as our Data and Other revenues continue to grow. We currently report our Algos cost of revenue within this line item as it is immaterial.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expense primarily includes costs incurred to develop new assays and algorithms, including validation costs, research and development and allocated lab personnel costs,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 quarter in which this offering occurs due to stock-based compensation expenses of approximately $                million related to RSUs for which the service-based vesting condition was satisfied and for which the performance-based vesting condition will be satisfied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 </w:t>
      </w:r>
    </w:p>
    <w:p>
      <w:pPr>
        <w:pStyle w:val="TextBody"/>
        <w:bidi w:val="0"/>
        <w:spacing w:before="120" w:after="0"/>
        <w:jc w:val="both"/>
        <w:rPr>
          <w:rFonts w:ascii="Times New Roman" w:hAnsi="Times New Roman"/>
          <w:sz w:val="20"/>
        </w:rPr>
      </w:pPr>
      <w:r>
        <w:rPr>
          <w:rFonts w:ascii="Times New Roman" w:hAnsi="Times New Roman"/>
          <w:sz w:val="20"/>
        </w:rPr>
        <w:t xml:space="preserve">Technology expense primarily includes personnel costs incurred to develop and deploy new algorithms and to improve and maintain our Platform. Technology costs are expensed as incurred. We plan to continue to invest in technology personnel to support our Platform and new algorithm development. We expect that technology expenses will increase in absolute dollars for the foreseeable future as we continue to invest to support these activities. Our technology expense will increase in the quarter in which this offering occurs due to stock-based compensation expenses of approximately $                million related to RSUs for which the service-based vesting condition was satisfied and for which the performance-based vesting condition will be satisfied in connection with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both"/>
        <w:rPr>
          <w:rFonts w:ascii="Times New Roman" w:hAnsi="Times New Roman"/>
          <w:sz w:val="20"/>
        </w:rPr>
      </w:pPr>
      <w:r>
        <w:rPr>
          <w:rFonts w:ascii="Times New Roman" w:hAnsi="Times New Roman"/>
          <w:sz w:val="20"/>
        </w:rPr>
        <w:t xml:space="preserve">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 stock-based compensation expenses of approximately $     million related to RSUs for which the service-based vesting condition was satisfied and for which the performance-based vesting condition will be satisfied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income consists of interest earned on our cash and cash equivalents.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both"/>
        <w:rPr>
          <w:rFonts w:ascii="Times New Roman" w:hAnsi="Times New Roman"/>
          <w:sz w:val="20"/>
        </w:rPr>
      </w:pPr>
      <w:r>
        <w:rPr>
          <w:rFonts w:ascii="Times New Roman" w:hAnsi="Times New Roman"/>
          <w:sz w:val="20"/>
        </w:rPr>
        <w:t xml:space="preserve">Interest expense consists primarily of interest from our convertible debt, and capital leases. In 2020, we recorded a loss on extinguishment of debt relating to the conversion of convertible debt into Series G-2 preferred shares. Interest expense related to our convertible debt will continue, but should decrease over time as the principal amount decreases.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both"/>
        <w:rPr>
          <w:rFonts w:ascii="Times New Roman" w:hAnsi="Times New Roman"/>
          <w:sz w:val="20"/>
        </w:rPr>
      </w:pPr>
      <w:r>
        <w:rPr>
          <w:rFonts w:ascii="Times New Roman" w:hAnsi="Times New Roman"/>
          <w:sz w:val="20"/>
        </w:rPr>
        <w:t xml:space="preserve">Other income (expense), net consists of foreign currency exchange gains and losses.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 for (Benefit from) Income Tax </w:t>
      </w:r>
    </w:p>
    <w:p>
      <w:pPr>
        <w:pStyle w:val="TextBody"/>
        <w:bidi w:val="0"/>
        <w:spacing w:before="120" w:after="0"/>
        <w:jc w:val="both"/>
        <w:rPr>
          <w:rFonts w:ascii="Times New Roman" w:hAnsi="Times New Roman"/>
          <w:sz w:val="20"/>
        </w:rPr>
      </w:pPr>
      <w:r>
        <w:rPr>
          <w:rFonts w:ascii="Times New Roman" w:hAnsi="Times New Roman"/>
          <w:sz w:val="20"/>
        </w:rPr>
        <w:t xml:space="preserve">Provision for (benefit from) income taxes consists of U.S. federal and state income taxes and income taxes in certain foreign jurisdictions in which we conduct business. We maintain a full valuation allowance on our U.S. federal and state deferred tax assets as we have concluded that it is more likely than not that the deferred tax assets will not be realized. Our effective tax rate is affected by tax rates in foreign jurisdictions and the relative amounts of income we earn in those jurisdictions, as well as non-deductible expenses, such as stock-based compensation, and changes in our valuation allowance. </w:t>
      </w:r>
    </w:p>
    <w:p>
      <w:pPr>
        <w:pStyle w:val="TextBody"/>
        <w:bidi w:val="0"/>
        <w:spacing w:before="360" w:after="0"/>
        <w:jc w:val="both"/>
        <w:rPr>
          <w:rFonts w:ascii="Times New Roman" w:hAnsi="Times New Roman"/>
          <w:b/>
          <w:i/>
          <w:sz w:val="20"/>
        </w:rPr>
      </w:pPr>
      <w:r>
        <w:rPr>
          <w:rFonts w:ascii="Times New Roman" w:hAnsi="Times New Roman"/>
          <w:b/>
          <w:i/>
          <w:sz w:val="20"/>
        </w:rPr>
        <w:t xml:space="preserve">Earnings from Equity Method Investments </w:t>
      </w:r>
    </w:p>
    <w:p>
      <w:pPr>
        <w:pStyle w:val="TextBody"/>
        <w:bidi w:val="0"/>
        <w:spacing w:before="120" w:after="0"/>
        <w:jc w:val="both"/>
        <w:rPr>
          <w:rFonts w:ascii="Times New Roman" w:hAnsi="Times New Roman"/>
          <w:sz w:val="20"/>
        </w:rPr>
      </w:pPr>
      <w:r>
        <w:rPr>
          <w:rFonts w:ascii="Times New Roman" w:hAnsi="Times New Roman"/>
          <w:sz w:val="20"/>
        </w:rPr>
        <w:t xml:space="preserve">Earnings from equity method investments consists of earnings from our joint venture entered during the third quarter of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the significant components of our results of operations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1"/>
        <w:gridCol w:w="193"/>
        <w:gridCol w:w="140"/>
        <w:gridCol w:w="929"/>
        <w:gridCol w:w="155"/>
        <w:gridCol w:w="146"/>
        <w:gridCol w:w="140"/>
        <w:gridCol w:w="929"/>
        <w:gridCol w:w="155"/>
        <w:gridCol w:w="146"/>
        <w:gridCol w:w="218"/>
        <w:gridCol w:w="1264"/>
        <w:gridCol w:w="203"/>
        <w:gridCol w:w="158"/>
        <w:gridCol w:w="178"/>
        <w:gridCol w:w="1117"/>
        <w:gridCol w:w="163"/>
      </w:tblGrid>
      <w:tr>
        <w:trPr/>
        <w:tc>
          <w:tcPr>
            <w:tcW w:w="3971"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7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4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3"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2020        </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63"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5878" w:type="dxa"/>
            <w:gridSpan w:val="14"/>
            <w:tcBorders/>
            <w:vAlign w:val="bottom"/>
          </w:tcPr>
          <w:p>
            <w:pPr>
              <w:pStyle w:val="TableContents"/>
              <w:bidi w:val="0"/>
              <w:spacing w:before="0" w:after="283"/>
              <w:jc w:val="center"/>
              <w:rPr>
                <w:b/>
              </w:rPr>
            </w:pPr>
            <w:r>
              <w:rPr>
                <w:b/>
              </w:rPr>
              <w:t>(in thousands)</w:t>
            </w:r>
          </w:p>
        </w:tc>
        <w:tc>
          <w:tcPr>
            <w:tcW w:w="163" w:type="dxa"/>
            <w:tcBorders/>
            <w:vAlign w:val="bottom"/>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264"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Genomics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27,890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151,911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64" w:type="dxa"/>
            <w:tcBorders/>
            <w:vAlign w:val="bottom"/>
          </w:tcPr>
          <w:p>
            <w:pPr>
              <w:pStyle w:val="TableContents"/>
              <w:bidi w:val="0"/>
              <w:spacing w:before="0" w:after="283"/>
              <w:jc w:val="right"/>
              <w:rPr/>
            </w:pPr>
            <w:r>
              <w:rPr/>
              <w:t>26,145</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112,900</w:t>
            </w:r>
          </w:p>
        </w:tc>
        <w:tc>
          <w:tcPr>
            <w:tcW w:w="163" w:type="dxa"/>
            <w:tcBorders/>
            <w:vAlign w:val="bottom"/>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Data and Other</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34,167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36,093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10,274</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19,195</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62,057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188,004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36,419</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132,095</w:t>
            </w:r>
          </w:p>
        </w:tc>
        <w:tc>
          <w:tcPr>
            <w:tcW w:w="163"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and operating expenses: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264"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genomics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39,685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152,198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34,058</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97,503</w:t>
            </w:r>
          </w:p>
        </w:tc>
        <w:tc>
          <w:tcPr>
            <w:tcW w:w="163" w:type="dxa"/>
            <w:tcBorders/>
            <w:vAlign w:val="bottom"/>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data and other</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6,330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7,092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2,889</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4,917</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25,608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45,861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20,895</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32,293</w:t>
            </w:r>
          </w:p>
        </w:tc>
        <w:tc>
          <w:tcPr>
            <w:tcW w:w="163" w:type="dxa"/>
            <w:tcBorders/>
            <w:vAlign w:val="bottom"/>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31,253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45,415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20,625</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27,791</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78,962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130,892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57,058</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93,899</w:t>
            </w:r>
          </w:p>
        </w:tc>
        <w:tc>
          <w:tcPr>
            <w:tcW w:w="163"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and operating expenses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181,838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381,458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135,525</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256,403</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(119,781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(193,454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(99,106</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(124,308</w:t>
            </w:r>
          </w:p>
        </w:tc>
        <w:tc>
          <w:tcPr>
            <w:tcW w:w="163"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4,860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1,495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919</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356</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(18,929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(7</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(7,562</w:t>
            </w:r>
          </w:p>
        </w:tc>
        <w:tc>
          <w:tcPr>
            <w:tcW w:w="163" w:type="dxa"/>
            <w:tcBorders/>
            <w:vAlign w:val="bottom"/>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 net</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(466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(8</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(7</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(114,951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(211,354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(98,202</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(131,521</w:t>
            </w:r>
          </w:p>
        </w:tc>
        <w:tc>
          <w:tcPr>
            <w:tcW w:w="163"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(losses) from equity method investments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1,500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w:t>
            </w:r>
          </w:p>
        </w:tc>
        <w:tc>
          <w:tcPr>
            <w:tcW w:w="20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(348</w:t>
            </w:r>
          </w:p>
        </w:tc>
        <w:tc>
          <w:tcPr>
            <w:tcW w:w="163" w:type="dxa"/>
            <w:tcBorders/>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(114,951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(209,854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(98,202</w:t>
            </w:r>
          </w:p>
        </w:tc>
        <w:tc>
          <w:tcPr>
            <w:tcW w:w="20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(131,869</w:t>
            </w:r>
          </w:p>
        </w:tc>
        <w:tc>
          <w:tcPr>
            <w:tcW w:w="163" w:type="dxa"/>
            <w:tcBorders/>
            <w:shd w:fill="CCEEFF" w:val="clear"/>
            <w:vAlign w:val="bottom"/>
          </w:tcPr>
          <w:p>
            <w:pPr>
              <w:pStyle w:val="TableContents"/>
              <w:bidi w:val="0"/>
              <w:spacing w:before="0" w:after="283"/>
              <w:jc w:val="left"/>
              <w:rPr/>
            </w:pPr>
            <w:r>
              <w:rPr/>
              <w:t>) </w:t>
            </w:r>
          </w:p>
        </w:tc>
      </w:tr>
      <w:tr>
        <w:trPr/>
        <w:tc>
          <w:tcPr>
            <w:tcW w:w="3971"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64"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Comparison of the Six Months Ended June 30, 2020 and 2021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Total revenue was $36.4 million for the six months ended June 30, 2020 compared to $132.1 million for the six months ended June 30, 2021, an increase of $95.7 million, or 263%. Adjusted for the impact of COVID-19 PCR testing, revenue increased $24.1 million or 66%, from $36.4 million for the six months ended June 30, 2020, compared to $60.5 million for the six months ended June 30, 2021. The increase in revenue was primarily due to increased demand in each of our product categories. </w:t>
      </w:r>
    </w:p>
    <w:p>
      <w:pPr>
        <w:pStyle w:val="TextBody"/>
        <w:bidi w:val="0"/>
        <w:spacing w:before="360" w:after="0"/>
        <w:jc w:val="left"/>
        <w:rPr>
          <w:rFonts w:ascii="Times New Roman" w:hAnsi="Times New Roman"/>
          <w:i/>
          <w:sz w:val="20"/>
        </w:rPr>
      </w:pPr>
      <w:r>
        <w:rPr>
          <w:rFonts w:ascii="Times New Roman" w:hAnsi="Times New Roman"/>
          <w:i/>
          <w:sz w:val="20"/>
        </w:rPr>
        <w:t xml:space="preserve">Genomics </w:t>
      </w:r>
    </w:p>
    <w:p>
      <w:pPr>
        <w:pStyle w:val="TextBody"/>
        <w:bidi w:val="0"/>
        <w:spacing w:before="120" w:after="0"/>
        <w:jc w:val="both"/>
        <w:rPr>
          <w:rFonts w:ascii="Times New Roman" w:hAnsi="Times New Roman"/>
          <w:sz w:val="20"/>
        </w:rPr>
      </w:pPr>
      <w:r>
        <w:rPr>
          <w:rFonts w:ascii="Times New Roman" w:hAnsi="Times New Roman"/>
          <w:sz w:val="20"/>
        </w:rPr>
        <w:t xml:space="preserve">Genomics, adjusted for the impact of COVID-19 PCR testing, increased $15.2 million, or 58%, from $26.1 million for the six months ended June 30, 2020, compared to $41.3 million for the six months ended June 30, 2021. This increase was primarily driven by increases in the number of next generation sequencing clinical tests delivered.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Other </w:t>
      </w:r>
    </w:p>
    <w:p>
      <w:pPr>
        <w:pStyle w:val="TextBody"/>
        <w:bidi w:val="0"/>
        <w:spacing w:before="120" w:after="0"/>
        <w:jc w:val="both"/>
        <w:rPr>
          <w:rFonts w:ascii="Times New Roman" w:hAnsi="Times New Roman"/>
          <w:sz w:val="20"/>
        </w:rPr>
      </w:pPr>
      <w:r>
        <w:rPr>
          <w:rFonts w:ascii="Times New Roman" w:hAnsi="Times New Roman"/>
          <w:sz w:val="20"/>
        </w:rPr>
        <w:t xml:space="preserve">Data and Other increased $8.9 million, or 87%, from $10.3 million for the six months ended June 30, 2020, compared to $19.2 million for the six months ended June 30, 2021. This increase was primarily driven by increased demand for our data products compared to the six months ended June 30,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Cost and Operating Expenses </w:t>
      </w:r>
    </w:p>
    <w:p>
      <w:pPr>
        <w:pStyle w:val="TextBody"/>
        <w:bidi w:val="0"/>
        <w:spacing w:before="24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was $36.9 million for the six months ended June 30, 2020 compared to $102.4 million for the six months ended June 30, 2021, an increase of $65.5 million, or 177%. Adjusted for the impact of COVID-19 PCR testing, cost of revenue increased $11.6 million or 31%, from $36.9 million for the six months ended June 30, 2020, compared to $48.6 million for the six months ended June 30, 2021. This increase was primarily due to an increase of $7.0 million of material and service costs, and $3.6 million in personnel, labor and overhead costs.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Genomics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Genomics was $34.1 million for the six months ended June 30, 2020 compared to $43.7 million for the six months ended June 30, 2021, an increase of $9.6 million, or 28%. This increase was primarily due to an increase of $7.0 million in material and service costs and a $1.5 million increase in production labor and overhead costs.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Data and Other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Data and Other was $2.9 million for the six months ended June 30, 2020 compared to $4.9 million for the six months ended June 30, 2021, an increase of $2.0 million, or 70%. This increase was primarily due to an increase in personnel costs.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expenses were $20.6 million for the six months ended June 30, 2020 compared to $27.8 million for the six months ended June 30, 2021, an increase of $7.2 million, or 35%. This increase was primarily due to an increase of $5.4 million increase in personnel-related costs for employees in our research and development group, as we increased our spend and headcount to support continued investment in our technology, and $2.0 million in validation and regulatory-related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 </w:t>
      </w:r>
    </w:p>
    <w:p>
      <w:pPr>
        <w:pStyle w:val="TextBody"/>
        <w:bidi w:val="0"/>
        <w:spacing w:before="120" w:after="0"/>
        <w:jc w:val="both"/>
        <w:rPr>
          <w:rFonts w:ascii="Times New Roman" w:hAnsi="Times New Roman"/>
          <w:sz w:val="20"/>
        </w:rPr>
      </w:pPr>
      <w:r>
        <w:rPr>
          <w:rFonts w:ascii="Times New Roman" w:hAnsi="Times New Roman"/>
          <w:sz w:val="20"/>
        </w:rPr>
        <w:t xml:space="preserve">Technology expenses were $20.9 million for the six months ended June 30, 2020 compared to $32.3 million for the six months ended June 30, 2021, an increase of $11.4 million, or 55%. This increase was entirely the result of an increase in personnel-related costs associated with the investment in our cloud infrastructure and new lines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both"/>
        <w:rPr>
          <w:rFonts w:ascii="Times New Roman" w:hAnsi="Times New Roman"/>
          <w:sz w:val="20"/>
        </w:rPr>
      </w:pPr>
      <w:r>
        <w:rPr>
          <w:rFonts w:ascii="Times New Roman" w:hAnsi="Times New Roman"/>
          <w:sz w:val="20"/>
        </w:rPr>
        <w:t xml:space="preserve">Selling, general and administrative expenses were $57.1 million for the six months ended June 30, 2020 compared to $93.9 million for the six months ended June 30, 2021, an increase of $36.8 million, or 65%. This increase was primarily due to an increase of $16.3 million in personnel-related costs, inclusive of $4.4 million of software licenses, as a result of an increase in our headcount, an increase of $15.0 million related to cloud storage costs, an increase of $4.2 million in contingent consideration expense related to the acquisition of AKESOgen, Inc., and an increase of $1.3 million in rent expense as a result of increased office space to accommodate our increased headcount.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income was $0.9 million for the six months ended June 30, 2020 compared to $0.4 million for the six months ended June 30, 2021, a decrease of $0.6 million, or 61%. This decrease was primarily due to a significant decrease in interest rates as the U.S. Federal Reserve lowered the risk-free interest rate to nearly zero, which occurred in March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both"/>
        <w:rPr>
          <w:rFonts w:ascii="Times New Roman" w:hAnsi="Times New Roman"/>
          <w:sz w:val="20"/>
        </w:rPr>
      </w:pPr>
      <w:r>
        <w:rPr>
          <w:rFonts w:ascii="Times New Roman" w:hAnsi="Times New Roman"/>
          <w:sz w:val="20"/>
        </w:rPr>
        <w:t xml:space="preserve">Interest expense was immaterial for the six months ended June 30, 2020 compared to $7.6 million for the six months ended June 30, 2021, an increase of $7.6 million. This increase was entirely due to interest expense related to our convertible debt issued in June 2020.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Net </w:t>
      </w:r>
    </w:p>
    <w:p>
      <w:pPr>
        <w:pStyle w:val="TextBody"/>
        <w:bidi w:val="0"/>
        <w:spacing w:before="120" w:after="0"/>
        <w:jc w:val="both"/>
        <w:rPr>
          <w:rFonts w:ascii="Times New Roman" w:hAnsi="Times New Roman"/>
          <w:sz w:val="20"/>
        </w:rPr>
      </w:pPr>
      <w:r>
        <w:rPr>
          <w:rFonts w:ascii="Times New Roman" w:hAnsi="Times New Roman"/>
          <w:sz w:val="20"/>
        </w:rPr>
        <w:t xml:space="preserve">For the six months ended June 30, 2020, other income (expense) was flat compared to the six months ended June 30,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Earnings (losses) from Equity Method Investments </w:t>
      </w:r>
    </w:p>
    <w:p>
      <w:pPr>
        <w:pStyle w:val="TextBody"/>
        <w:bidi w:val="0"/>
        <w:spacing w:before="120" w:after="0"/>
        <w:jc w:val="both"/>
        <w:rPr>
          <w:rFonts w:ascii="Times New Roman" w:hAnsi="Times New Roman"/>
          <w:sz w:val="20"/>
        </w:rPr>
      </w:pPr>
      <w:r>
        <w:rPr>
          <w:rFonts w:ascii="Times New Roman" w:hAnsi="Times New Roman"/>
          <w:sz w:val="20"/>
        </w:rPr>
        <w:t xml:space="preserve">For the six months ended June 30, 2020 there were no equity method investments, we entered into a joint venture in September 2020, which had a loss of $0.4 million for the six months ended June 30, 2021. </w:t>
      </w:r>
    </w:p>
    <w:p>
      <w:pPr>
        <w:pStyle w:val="TextBody"/>
        <w:bidi w:val="0"/>
        <w:spacing w:before="360" w:after="0"/>
        <w:jc w:val="left"/>
        <w:rPr>
          <w:rFonts w:ascii="Times New Roman" w:hAnsi="Times New Roman"/>
          <w:b/>
          <w:sz w:val="20"/>
        </w:rPr>
      </w:pPr>
      <w:r>
        <w:rPr>
          <w:rFonts w:ascii="Times New Roman" w:hAnsi="Times New Roman"/>
          <w:b/>
          <w:sz w:val="20"/>
        </w:rPr>
        <w:t xml:space="preserve">Comparison of the Years Ended December 31, 2019 and 2020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both"/>
        <w:rPr>
          <w:rFonts w:ascii="Times New Roman" w:hAnsi="Times New Roman"/>
          <w:sz w:val="20"/>
        </w:rPr>
      </w:pPr>
      <w:r>
        <w:rPr>
          <w:rFonts w:ascii="Times New Roman" w:hAnsi="Times New Roman"/>
          <w:sz w:val="20"/>
        </w:rPr>
        <w:t xml:space="preserve">Total revenue was $62.1 million for the year ended December 31, 2019 compared to $188.0 million for the year ended December 31, 2020, an increase of $125.9 million, or 203%. Adjusted for the impact of COVID-19 PCR testing, revenue increased $36.4 million or 59%, from $62.1 million for the year ended December 31, 2019, compared to $98.5 million for the year ended December 31, 2019. The increase in revenue is due to increased demand in each of our product categories. </w:t>
      </w:r>
    </w:p>
    <w:p>
      <w:pPr>
        <w:pStyle w:val="TextBody"/>
        <w:bidi w:val="0"/>
        <w:spacing w:before="360" w:after="0"/>
        <w:jc w:val="left"/>
        <w:rPr>
          <w:rFonts w:ascii="Times New Roman" w:hAnsi="Times New Roman"/>
          <w:i/>
          <w:sz w:val="20"/>
        </w:rPr>
      </w:pPr>
      <w:r>
        <w:rPr>
          <w:rFonts w:ascii="Times New Roman" w:hAnsi="Times New Roman"/>
          <w:i/>
          <w:sz w:val="20"/>
        </w:rPr>
        <w:t xml:space="preserve">Genomics </w:t>
      </w:r>
    </w:p>
    <w:p>
      <w:pPr>
        <w:pStyle w:val="TextBody"/>
        <w:bidi w:val="0"/>
        <w:spacing w:before="120" w:after="0"/>
        <w:jc w:val="both"/>
        <w:rPr>
          <w:rFonts w:ascii="Times New Roman" w:hAnsi="Times New Roman"/>
          <w:sz w:val="20"/>
        </w:rPr>
      </w:pPr>
      <w:r>
        <w:rPr>
          <w:rFonts w:ascii="Times New Roman" w:hAnsi="Times New Roman"/>
          <w:sz w:val="20"/>
        </w:rPr>
        <w:t xml:space="preserve">Genomics, adjusted for the impact of COVID-19 PCR testing, increased $34.5 million, or 124%, from $27.9 million for the year ended December 31, 2019, compared to $62.4 million for the year ended December 31, 2020. This increase was primarily driven by increases in the number of next generation sequencing clinical tests delivered.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Other </w:t>
      </w:r>
    </w:p>
    <w:p>
      <w:pPr>
        <w:pStyle w:val="TextBody"/>
        <w:bidi w:val="0"/>
        <w:spacing w:before="120" w:after="0"/>
        <w:jc w:val="both"/>
        <w:rPr>
          <w:rFonts w:ascii="Times New Roman" w:hAnsi="Times New Roman"/>
          <w:sz w:val="20"/>
        </w:rPr>
      </w:pPr>
      <w:r>
        <w:rPr>
          <w:rFonts w:ascii="Times New Roman" w:hAnsi="Times New Roman"/>
          <w:sz w:val="20"/>
        </w:rPr>
        <w:t xml:space="preserve">Data and Other increased $1.9 million, or 6%, from $34.2 million for the year ended December 31, 2019, compared to $36.1 million for the year ended December 31, 2020. Our Data and Other product line was negatively impacted by the effects of COVID-19 due to fewer customer interactions caused by office interruptions and clinical trial recruitments being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and 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was $46.0 million for the year ended December 31, 2019 compared to $159.3 million for the year ended December 31, 2020, an increase of $113.3 million, or 246%. Adjusted for the impact of COVID-19 PCR testing, cost of revenue increased $36.8 million or 80%, from $46.0 million for the year ended December 31, 2019, compared to $82.8 million for the year ended December 31, 2020. This increase was primarily due to an increase of $19.7 million of material and service costs and $12.6 million in personnel, labor and overhead costs.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Genomics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Genomics was $39.7 million for the year ended December 31, 2019 compared to $75.7 million for the year ended December 31, 2020, an increase of $36.0 million, or 91%. This increase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primarily due to an increase of $19.7 million in material and service costs, a $10.6 million increase in production labor and overhead costs, a $3.8 million increase in depreciation expense, and a $1.7 million increase in other costs including costs related to kits and freight.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Data and Other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Data and Other was $6.3 million for the year ended December 31, 2019 compared to $7.1 million for the year ended December 31, 2020, an increase of $0.8 million, or 12%. This increase was primarily due to an increase in personnel costs.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both"/>
        <w:rPr>
          <w:rFonts w:ascii="Times New Roman" w:hAnsi="Times New Roman"/>
          <w:sz w:val="20"/>
        </w:rPr>
      </w:pPr>
      <w:r>
        <w:rPr>
          <w:rFonts w:ascii="Times New Roman" w:hAnsi="Times New Roman"/>
          <w:sz w:val="20"/>
        </w:rPr>
        <w:t xml:space="preserve">Research and development expenses were $31.3 million for the year ended December 31, 2019 compared to $45.4 million for the year ended December 31, 2020, an increase of $14.2 million, or 45%. This increase was primarily due to an $8.5 million increase in personnel-related costs for employees in our research and development group, as we increased our spend and headcount to support continued investment in our technology and an increase of $5.5 million in validation and regulatory-related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 </w:t>
      </w:r>
    </w:p>
    <w:p>
      <w:pPr>
        <w:pStyle w:val="TextBody"/>
        <w:bidi w:val="0"/>
        <w:spacing w:before="120" w:after="0"/>
        <w:jc w:val="both"/>
        <w:rPr>
          <w:rFonts w:ascii="Times New Roman" w:hAnsi="Times New Roman"/>
          <w:sz w:val="20"/>
        </w:rPr>
      </w:pPr>
      <w:r>
        <w:rPr>
          <w:rFonts w:ascii="Times New Roman" w:hAnsi="Times New Roman"/>
          <w:sz w:val="20"/>
        </w:rPr>
        <w:t xml:space="preserve">Technology expenses were $25.6 million for the year ended December 31, 2019 compared to $45.9 million for the year ended December 31, 2020, an increase of $20.3 million, or 79%. This increase was entirely due to an increase in personnel-related costs associated with the investment in our cloud infrastructure and new lines of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both"/>
        <w:rPr>
          <w:rFonts w:ascii="Times New Roman" w:hAnsi="Times New Roman"/>
          <w:sz w:val="20"/>
        </w:rPr>
      </w:pPr>
      <w:r>
        <w:rPr>
          <w:rFonts w:ascii="Times New Roman" w:hAnsi="Times New Roman"/>
          <w:sz w:val="20"/>
        </w:rPr>
        <w:t xml:space="preserve">Selling, general and administrative expenses were $79.0 million for the year ended December 31, 2019 compared to $130.9 million for the year ended December 31, 2020, an increase of $51.9 million, or 66%. This increase was primarily due to an increase of $28.5 million in personnel-related costs, inclusive of $6.0 million of software licenses, as a result of an increase in our headcount, an increase of $11.4 million related to cloud storage costs, an increase of $6.9 million in contingent consideration expense related to the acquisition of AKESOgen, Inc., an increase of $2.9 million in rent expense as a result of increased office space to accommodate our increased headcount, and an increase of $1.5 million professional service expenses related to outside legal, accounting, and consulting.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both"/>
        <w:rPr>
          <w:rFonts w:ascii="Times New Roman" w:hAnsi="Times New Roman"/>
          <w:sz w:val="20"/>
        </w:rPr>
      </w:pPr>
      <w:r>
        <w:rPr>
          <w:rFonts w:ascii="Times New Roman" w:hAnsi="Times New Roman"/>
          <w:sz w:val="20"/>
        </w:rPr>
        <w:t xml:space="preserve">Interest income was $4.9 million for the year ended December 31, 2019 compared to $1.5 million for the year ended December 31, 2020, a decrease of $3.4 million, or 69%. This decrease was primarily due to a significant decrease in interest rate as the U.S. Federal Reserve lowered the risk-free interest rate to nearly zero.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w:t>
      </w:r>
    </w:p>
    <w:p>
      <w:pPr>
        <w:pStyle w:val="TextBody"/>
        <w:bidi w:val="0"/>
        <w:spacing w:before="120" w:after="0"/>
        <w:jc w:val="both"/>
        <w:rPr>
          <w:rFonts w:ascii="Times New Roman" w:hAnsi="Times New Roman"/>
          <w:sz w:val="20"/>
        </w:rPr>
      </w:pPr>
      <w:r>
        <w:rPr>
          <w:rFonts w:ascii="Times New Roman" w:hAnsi="Times New Roman"/>
          <w:sz w:val="20"/>
        </w:rPr>
        <w:t xml:space="preserve">Interest expense was immaterial for the year ended December 31, 2019 compared to $18.9 million for the year ended December 31, 2020, an increase of $18.9 million, or 100%. This increase was primarily due to $10.0 million of interest expense related to our convertible debt issued in June 2020, and $8.9 million of loss on extinguishment of $80 million of our promissory note which was converted in November 2020.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Expense, Net </w:t>
      </w:r>
    </w:p>
    <w:p>
      <w:pPr>
        <w:pStyle w:val="TextBody"/>
        <w:bidi w:val="0"/>
        <w:spacing w:before="120" w:after="0"/>
        <w:jc w:val="both"/>
        <w:rPr>
          <w:rFonts w:ascii="Times New Roman" w:hAnsi="Times New Roman"/>
          <w:sz w:val="20"/>
        </w:rPr>
      </w:pPr>
      <w:r>
        <w:rPr>
          <w:rFonts w:ascii="Times New Roman" w:hAnsi="Times New Roman"/>
          <w:sz w:val="20"/>
        </w:rPr>
        <w:t xml:space="preserve">For the year ended December 31, 2020, other income (expense), net included bad debt expense of $0.5 million related to customer accounts receivable which were deemed uncollectible. There was no similar charge or gain for the year ended December 31,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Earnings (losses) from Equity Method Investments </w:t>
      </w:r>
    </w:p>
    <w:p>
      <w:pPr>
        <w:pStyle w:val="TextBody"/>
        <w:bidi w:val="0"/>
        <w:spacing w:before="120" w:after="0"/>
        <w:jc w:val="both"/>
        <w:rPr>
          <w:rFonts w:ascii="Times New Roman" w:hAnsi="Times New Roman"/>
          <w:sz w:val="20"/>
        </w:rPr>
      </w:pPr>
      <w:r>
        <w:rPr>
          <w:rFonts w:ascii="Times New Roman" w:hAnsi="Times New Roman"/>
          <w:sz w:val="20"/>
        </w:rPr>
        <w:t xml:space="preserve">For the year ended December 31, 2019 there were no equity method investments, we entered into a joint venture in September 2020, which had earnings of $1.5 million for the year ended December 31, 2020.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both"/>
        <w:rPr>
          <w:rFonts w:ascii="Times New Roman" w:hAnsi="Times New Roman"/>
          <w:sz w:val="20"/>
        </w:rPr>
      </w:pPr>
      <w:r>
        <w:rPr>
          <w:rFonts w:ascii="Times New Roman" w:hAnsi="Times New Roman"/>
          <w:sz w:val="20"/>
        </w:rPr>
        <w:t xml:space="preserve">We have incurred significant losses and negative cash flows from operations since our inception, and as of June 30, 2021, we had an accumulated deficit of $662.9 million. We expect to incur additional operating losses in the near future and our operating expenses will increase as we continue to invest in clinical trials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 </w:t>
      </w:r>
    </w:p>
    <w:p>
      <w:pPr>
        <w:pStyle w:val="TextBody"/>
        <w:bidi w:val="0"/>
        <w:spacing w:before="240" w:after="0"/>
        <w:jc w:val="both"/>
        <w:rPr>
          <w:rFonts w:ascii="Times New Roman" w:hAnsi="Times New Roman"/>
          <w:sz w:val="20"/>
        </w:rPr>
      </w:pPr>
      <w:r>
        <w:rPr>
          <w:rFonts w:ascii="Times New Roman" w:hAnsi="Times New Roman"/>
          <w:sz w:val="20"/>
        </w:rPr>
        <w:t xml:space="preserve">We have funded our operations to date principally from the sale of stock, convertible debt and sales of our products. As of June 30, 2021, we had cash, cash equivalents and restricted cash of $423.2 million. </w:t>
      </w:r>
    </w:p>
    <w:p>
      <w:pPr>
        <w:pStyle w:val="TextBody"/>
        <w:bidi w:val="0"/>
        <w:spacing w:before="240" w:after="0"/>
        <w:jc w:val="both"/>
        <w:rPr>
          <w:rFonts w:ascii="Times New Roman" w:hAnsi="Times New Roman"/>
          <w:sz w:val="20"/>
        </w:rPr>
      </w:pPr>
      <w:r>
        <w:rPr>
          <w:rFonts w:ascii="Times New Roman" w:hAnsi="Times New Roman"/>
          <w:sz w:val="20"/>
        </w:rPr>
        <w:t xml:space="preserve">Based on our current business plan, we believe our current cash and cash equivalents and anticipated cash flows from operations will be sufficient to meet our anticipated cash requirements for more than twelve months from the date of this prospectus.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 </w:t>
      </w:r>
    </w:p>
    <w:p>
      <w:pPr>
        <w:pStyle w:val="TextBody"/>
        <w:bidi w:val="0"/>
        <w:spacing w:before="240" w:after="0"/>
        <w:jc w:val="both"/>
        <w:rPr>
          <w:rFonts w:ascii="Times New Roman" w:hAnsi="Times New Roman"/>
          <w:sz w:val="20"/>
        </w:rPr>
      </w:pPr>
      <w:r>
        <w:rPr>
          <w:rFonts w:ascii="Times New Roman" w:hAnsi="Times New Roman"/>
          <w:sz w:val="20"/>
        </w:rPr>
        <w:t xml:space="preserve">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may seek to sell additional common or preferred equity or convertible debt securities, enter into a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Promissory Note </w:t>
      </w:r>
    </w:p>
    <w:p>
      <w:pPr>
        <w:pStyle w:val="TextBody"/>
        <w:bidi w:val="0"/>
        <w:spacing w:before="120" w:after="0"/>
        <w:jc w:val="both"/>
        <w:rPr>
          <w:rFonts w:ascii="Times New Roman" w:hAnsi="Times New Roman"/>
          <w:sz w:val="20"/>
        </w:rPr>
      </w:pPr>
      <w:r>
        <w:rPr>
          <w:rFonts w:ascii="Times New Roman" w:hAnsi="Times New Roman"/>
          <w:sz w:val="20"/>
        </w:rPr>
        <w:t xml:space="preserve">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 </w:t>
      </w:r>
    </w:p>
    <w:p>
      <w:pPr>
        <w:pStyle w:val="TextBody"/>
        <w:bidi w:val="0"/>
        <w:spacing w:before="240" w:after="0"/>
        <w:jc w:val="both"/>
        <w:rPr>
          <w:rFonts w:ascii="Times New Roman" w:hAnsi="Times New Roman"/>
          <w:sz w:val="20"/>
        </w:rPr>
      </w:pPr>
      <w:r>
        <w:rPr>
          <w:rFonts w:ascii="Times New Roman" w:hAnsi="Times New Roman"/>
          <w:sz w:val="20"/>
        </w:rPr>
        <w:t xml:space="preserve">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The outstanding principal and accrued interest under the Amended Note, or the Outstanding Amount, is due and payable on the earlier of (1) March 22, 2026, which is the maturity date of the Amended Note, (2) upon the occurrence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 </w:t>
      </w:r>
    </w:p>
    <w:p>
      <w:pPr>
        <w:pStyle w:val="TextBody"/>
        <w:bidi w:val="0"/>
        <w:spacing w:before="240" w:after="0"/>
        <w:jc w:val="both"/>
        <w:rPr>
          <w:rFonts w:ascii="Times New Roman" w:hAnsi="Times New Roman"/>
          <w:sz w:val="20"/>
        </w:rPr>
      </w:pPr>
      <w:r>
        <w:rPr>
          <w:rFonts w:ascii="Times New Roman" w:hAnsi="Times New Roman"/>
          <w:sz w:val="20"/>
        </w:rPr>
        <w:t xml:space="preserve">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summarizes our cash flows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68"/>
        <w:gridCol w:w="203"/>
        <w:gridCol w:w="140"/>
        <w:gridCol w:w="931"/>
        <w:gridCol w:w="155"/>
        <w:gridCol w:w="159"/>
        <w:gridCol w:w="140"/>
        <w:gridCol w:w="931"/>
        <w:gridCol w:w="155"/>
        <w:gridCol w:w="159"/>
        <w:gridCol w:w="195"/>
        <w:gridCol w:w="1081"/>
        <w:gridCol w:w="211"/>
        <w:gridCol w:w="174"/>
        <w:gridCol w:w="198"/>
        <w:gridCol w:w="1043"/>
        <w:gridCol w:w="162"/>
      </w:tblGrid>
      <w:tr>
        <w:trPr/>
        <w:tc>
          <w:tcPr>
            <w:tcW w:w="416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6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4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9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416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2020      </w:t>
            </w:r>
          </w:p>
        </w:tc>
        <w:tc>
          <w:tcPr>
            <w:tcW w:w="21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2021      </w:t>
            </w:r>
          </w:p>
        </w:tc>
        <w:tc>
          <w:tcPr>
            <w:tcW w:w="162" w:type="dxa"/>
            <w:tcBorders/>
            <w:vAlign w:val="bottom"/>
          </w:tcPr>
          <w:p>
            <w:pPr>
              <w:pStyle w:val="TableContents"/>
              <w:bidi w:val="0"/>
              <w:spacing w:before="0" w:after="283"/>
              <w:jc w:val="left"/>
              <w:rPr/>
            </w:pPr>
            <w:r>
              <w:rPr/>
              <w:t> </w:t>
            </w:r>
          </w:p>
        </w:tc>
      </w:tr>
      <w:tr>
        <w:trPr/>
        <w:tc>
          <w:tcPr>
            <w:tcW w:w="416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672" w:type="dxa"/>
            <w:gridSpan w:val="14"/>
            <w:tcBorders/>
            <w:vAlign w:val="bottom"/>
          </w:tcPr>
          <w:p>
            <w:pPr>
              <w:pStyle w:val="TableContents"/>
              <w:bidi w:val="0"/>
              <w:spacing w:before="0" w:after="283"/>
              <w:jc w:val="center"/>
              <w:rPr>
                <w:b/>
              </w:rPr>
            </w:pPr>
            <w:r>
              <w:rPr>
                <w:b/>
              </w:rPr>
              <w:t>(in thousands)</w:t>
            </w:r>
          </w:p>
        </w:tc>
        <w:tc>
          <w:tcPr>
            <w:tcW w:w="162" w:type="dxa"/>
            <w:tcBorders/>
            <w:vAlign w:val="bottom"/>
          </w:tcPr>
          <w:p>
            <w:pPr>
              <w:pStyle w:val="TableContents"/>
              <w:bidi w:val="0"/>
              <w:spacing w:before="0" w:after="283"/>
              <w:jc w:val="left"/>
              <w:rPr/>
            </w:pPr>
            <w:r>
              <w:rPr/>
              <w:t> </w:t>
            </w:r>
          </w:p>
        </w:tc>
      </w:tr>
      <w:tr>
        <w:trPr/>
        <w:tc>
          <w:tcPr>
            <w:tcW w:w="4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1" w:type="dxa"/>
            <w:tcBorders/>
            <w:shd w:fill="CCEEFF" w:val="clear"/>
            <w:vAlign w:val="bottom"/>
          </w:tcPr>
          <w:p>
            <w:pPr>
              <w:pStyle w:val="TableContents"/>
              <w:bidi w:val="0"/>
              <w:spacing w:before="0" w:after="283"/>
              <w:jc w:val="right"/>
              <w:rPr/>
            </w:pPr>
            <w:r>
              <w:rPr/>
              <w:t>(117,111</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1" w:type="dxa"/>
            <w:tcBorders/>
            <w:shd w:fill="CCEEFF" w:val="clear"/>
            <w:vAlign w:val="bottom"/>
          </w:tcPr>
          <w:p>
            <w:pPr>
              <w:pStyle w:val="TableContents"/>
              <w:bidi w:val="0"/>
              <w:spacing w:before="0" w:after="283"/>
              <w:jc w:val="right"/>
              <w:rPr/>
            </w:pPr>
            <w:r>
              <w:rPr/>
              <w:t>(206,562</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081" w:type="dxa"/>
            <w:tcBorders/>
            <w:shd w:fill="CCEEFF" w:val="clear"/>
            <w:vAlign w:val="bottom"/>
          </w:tcPr>
          <w:p>
            <w:pPr>
              <w:pStyle w:val="TableContents"/>
              <w:bidi w:val="0"/>
              <w:spacing w:before="0" w:after="283"/>
              <w:jc w:val="right"/>
              <w:rPr/>
            </w:pPr>
            <w:r>
              <w:rPr/>
              <w:t>(98,667</w:t>
            </w:r>
          </w:p>
        </w:tc>
        <w:tc>
          <w:tcPr>
            <w:tcW w:w="21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043" w:type="dxa"/>
            <w:tcBorders/>
            <w:shd w:fill="CCEEFF" w:val="clear"/>
            <w:vAlign w:val="bottom"/>
          </w:tcPr>
          <w:p>
            <w:pPr>
              <w:pStyle w:val="TableContents"/>
              <w:bidi w:val="0"/>
              <w:spacing w:before="0" w:after="283"/>
              <w:jc w:val="right"/>
              <w:rPr/>
            </w:pPr>
            <w:r>
              <w:rPr/>
              <w:t>(80,570</w:t>
            </w:r>
          </w:p>
        </w:tc>
        <w:tc>
          <w:tcPr>
            <w:tcW w:w="162" w:type="dxa"/>
            <w:tcBorders/>
            <w:shd w:fill="CCEEFF" w:val="clear"/>
            <w:vAlign w:val="bottom"/>
          </w:tcPr>
          <w:p>
            <w:pPr>
              <w:pStyle w:val="TableContents"/>
              <w:bidi w:val="0"/>
              <w:spacing w:before="0" w:after="283"/>
              <w:jc w:val="left"/>
              <w:rPr/>
            </w:pPr>
            <w:r>
              <w:rPr/>
              <w:t>) </w:t>
            </w:r>
          </w:p>
        </w:tc>
      </w:tr>
      <w:tr>
        <w:trPr/>
        <w:tc>
          <w:tcPr>
            <w:tcW w:w="416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(43,029</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(13,416</w:t>
            </w:r>
          </w:p>
        </w:tc>
        <w:tc>
          <w:tcPr>
            <w:tcW w:w="15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(7,202</w:t>
            </w:r>
          </w:p>
        </w:tc>
        <w:tc>
          <w:tcPr>
            <w:tcW w:w="21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(9,927</w:t>
            </w:r>
          </w:p>
        </w:tc>
        <w:tc>
          <w:tcPr>
            <w:tcW w:w="162" w:type="dxa"/>
            <w:tcBorders/>
            <w:vAlign w:val="bottom"/>
          </w:tcPr>
          <w:p>
            <w:pPr>
              <w:pStyle w:val="TableContents"/>
              <w:bidi w:val="0"/>
              <w:spacing w:before="0" w:after="283"/>
              <w:jc w:val="left"/>
              <w:rPr/>
            </w:pPr>
            <w:r>
              <w:rPr/>
              <w:t>) </w:t>
            </w:r>
          </w:p>
        </w:tc>
      </w:tr>
      <w:tr>
        <w:trPr/>
        <w:tc>
          <w:tcPr>
            <w:tcW w:w="4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196,692</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506,107</w:t>
            </w:r>
          </w:p>
        </w:tc>
        <w:tc>
          <w:tcPr>
            <w:tcW w:w="15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410,719</w:t>
            </w:r>
          </w:p>
        </w:tc>
        <w:tc>
          <w:tcPr>
            <w:tcW w:w="21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(555</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Cash used in operating activities during the six months ended June 30, 2020 was $98.7 million, which resulted from a net loss of $98.2 million, a net change in our operating assets and liabilities of $12.2 million, and non-cash charges of $11.7 million. Non-cash charges primarily consisted of $11.3 million of depreciation and amortization. The net change in our operating assets and liabilities was primarily the result of a $9.3 million decrease in accounts receivable, $17.1 million increase in inventory, $14.1 million increase in investments and other assets, $6.9 million increase in accrued data licensing fees, and $4.3 million increase in accrued expenses and other. </w:t>
      </w:r>
    </w:p>
    <w:p>
      <w:pPr>
        <w:pStyle w:val="TextBody"/>
        <w:bidi w:val="0"/>
        <w:spacing w:before="240" w:after="0"/>
        <w:jc w:val="both"/>
        <w:rPr>
          <w:rFonts w:ascii="Times New Roman" w:hAnsi="Times New Roman"/>
          <w:sz w:val="20"/>
        </w:rPr>
      </w:pPr>
      <w:r>
        <w:rPr>
          <w:rFonts w:ascii="Times New Roman" w:hAnsi="Times New Roman"/>
          <w:sz w:val="20"/>
        </w:rPr>
        <w:t xml:space="preserve">Cash used in operating activities during the six months ended June 30, 2021 was $80.6 million, which resulted from a net loss of $131.9 million, a net change in our operating assets and liabilities of $37.9 million, and non-cash charges of $13.4 million. Non-cash charges primarily consisted of $12.2 million of depreciation and amortization. The net change in our operating assets and liabilities was primarily the result of a $41.1 million decrease in accounts receivable, $9.9 million decrease in inventory, $31.7 million decrease in accounts payable, and $21.1 million increase in accrued expenses and other. </w:t>
      </w:r>
    </w:p>
    <w:p>
      <w:pPr>
        <w:pStyle w:val="TextBody"/>
        <w:bidi w:val="0"/>
        <w:spacing w:before="240" w:after="0"/>
        <w:jc w:val="both"/>
        <w:rPr>
          <w:rFonts w:ascii="Times New Roman" w:hAnsi="Times New Roman"/>
          <w:sz w:val="20"/>
        </w:rPr>
      </w:pPr>
      <w:r>
        <w:rPr>
          <w:rFonts w:ascii="Times New Roman" w:hAnsi="Times New Roman"/>
          <w:sz w:val="20"/>
        </w:rPr>
        <w:t xml:space="preserve">Cash used in operating activities during the year ended December 31, 2019 was $117.1 million, which resulted from a net loss of $115.0 million and net change in our operating assets and liabilities of $17.9 million, offset by non-cash charges of $15.8 million. Non-cash charges primarily consisted of $15.0 million of depreciation and amortization. The net change in our operating assets and liabilities was primarily the result of a $13.4 million increase in accounts receivable, $6.8 million increase in prepaid expenses and other current assets and $9.1 million increase in accrued expenses and other. </w:t>
      </w:r>
    </w:p>
    <w:p>
      <w:pPr>
        <w:pStyle w:val="TextBody"/>
        <w:bidi w:val="0"/>
        <w:spacing w:before="240" w:after="0"/>
        <w:jc w:val="both"/>
        <w:rPr>
          <w:rFonts w:ascii="Times New Roman" w:hAnsi="Times New Roman"/>
          <w:sz w:val="20"/>
        </w:rPr>
      </w:pPr>
      <w:r>
        <w:rPr>
          <w:rFonts w:ascii="Times New Roman" w:hAnsi="Times New Roman"/>
          <w:sz w:val="20"/>
        </w:rPr>
        <w:t xml:space="preserve">Cash used in operating activities during the year ended December 31, 2020 was $206.6 million, which resulted from a net loss of $209.9 million and net change in our operating assets and liabilities of $28.6 million, offset by non-cash charges of $31.9 million. Non-cash charges primarily consisted of $23.1 million of depreciation and amortization and a $8.9 million relating to loss on extinguishment of convertible promissory notes. The net change in our operating assets and liabilities was primarily the result of a $55.8 million increase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accounts receivable, $29.3 million increase in inventory, $38.1 million increase in accounts payable and $30.0 million increase in accrued expenses and other.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both"/>
        <w:rPr>
          <w:rFonts w:ascii="Times New Roman" w:hAnsi="Times New Roman"/>
          <w:sz w:val="20"/>
        </w:rPr>
      </w:pPr>
      <w:r>
        <w:rPr>
          <w:rFonts w:ascii="Times New Roman" w:hAnsi="Times New Roman"/>
          <w:sz w:val="20"/>
        </w:rPr>
        <w:t xml:space="preserve">Cash used in investing activities during the six months ended June 30, 2020 was $7.2 million, which resulted entirely from purchases of property and equipment. </w:t>
      </w:r>
    </w:p>
    <w:p>
      <w:pPr>
        <w:pStyle w:val="TextBody"/>
        <w:bidi w:val="0"/>
        <w:spacing w:before="240" w:after="0"/>
        <w:jc w:val="both"/>
        <w:rPr>
          <w:rFonts w:ascii="Times New Roman" w:hAnsi="Times New Roman"/>
          <w:sz w:val="20"/>
        </w:rPr>
      </w:pPr>
      <w:r>
        <w:rPr>
          <w:rFonts w:ascii="Times New Roman" w:hAnsi="Times New Roman"/>
          <w:sz w:val="20"/>
        </w:rPr>
        <w:t xml:space="preserve">Cash used in investing activities during the six months ended June 30, 2021 was $9.9 million, which resulted from investments in non-marketable security of $6.0 million and purchases of property and equipment of $4.0 million. </w:t>
      </w:r>
    </w:p>
    <w:p>
      <w:pPr>
        <w:pStyle w:val="TextBody"/>
        <w:bidi w:val="0"/>
        <w:spacing w:before="240" w:after="0"/>
        <w:jc w:val="both"/>
        <w:rPr>
          <w:rFonts w:ascii="Times New Roman" w:hAnsi="Times New Roman"/>
          <w:sz w:val="20"/>
        </w:rPr>
      </w:pPr>
      <w:r>
        <w:rPr>
          <w:rFonts w:ascii="Times New Roman" w:hAnsi="Times New Roman"/>
          <w:sz w:val="20"/>
        </w:rPr>
        <w:t xml:space="preserve">Cash used in investing activities during the year ended December 31, 2019 was $43.0 million, which resulted primarily from the business combination of AKESOgen, Inc. of $26.0 million and purchases of property and equipment of $17.0 million. </w:t>
      </w:r>
    </w:p>
    <w:p>
      <w:pPr>
        <w:pStyle w:val="TextBody"/>
        <w:bidi w:val="0"/>
        <w:spacing w:before="240" w:after="0"/>
        <w:jc w:val="both"/>
        <w:rPr>
          <w:rFonts w:ascii="Times New Roman" w:hAnsi="Times New Roman"/>
          <w:sz w:val="20"/>
        </w:rPr>
      </w:pPr>
      <w:r>
        <w:rPr>
          <w:rFonts w:ascii="Times New Roman" w:hAnsi="Times New Roman"/>
          <w:sz w:val="20"/>
        </w:rPr>
        <w:t xml:space="preserve">Cash used in investing activities during the year ended December 31, 2020 was $13.4 million, which resulted entirely from purchases of property and equipment.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both"/>
        <w:rPr>
          <w:rFonts w:ascii="Times New Roman" w:hAnsi="Times New Roman"/>
          <w:sz w:val="20"/>
        </w:rPr>
      </w:pPr>
      <w:r>
        <w:rPr>
          <w:rFonts w:ascii="Times New Roman" w:hAnsi="Times New Roman"/>
          <w:sz w:val="20"/>
        </w:rPr>
        <w:t xml:space="preserve">Cash provided by financing activities during the six months ended June 30, 2020 was $410.7 million which was primarily due to net proceeds of $94.1 million from the issuance of convertible preferred stock and net proceeds of $330.0 million from the issuance of a convertible promissory note. </w:t>
      </w:r>
    </w:p>
    <w:p>
      <w:pPr>
        <w:pStyle w:val="TextBody"/>
        <w:bidi w:val="0"/>
        <w:spacing w:before="240" w:after="0"/>
        <w:jc w:val="both"/>
        <w:rPr>
          <w:rFonts w:ascii="Times New Roman" w:hAnsi="Times New Roman"/>
          <w:sz w:val="20"/>
        </w:rPr>
      </w:pPr>
      <w:r>
        <w:rPr>
          <w:rFonts w:ascii="Times New Roman" w:hAnsi="Times New Roman"/>
          <w:sz w:val="20"/>
        </w:rPr>
        <w:t xml:space="preserve">Cash used in financing activities during the six months ended June 30, 2021 was $0.6 million which was primarily due to net proceeds of $8.9 million from the issuance of convertible preferred stock offset by dividends of $5.6 million and payment of contingent consideration of $3.4 million. </w:t>
      </w:r>
    </w:p>
    <w:p>
      <w:pPr>
        <w:pStyle w:val="TextBody"/>
        <w:bidi w:val="0"/>
        <w:spacing w:before="240" w:after="0"/>
        <w:jc w:val="both"/>
        <w:rPr>
          <w:rFonts w:ascii="Times New Roman" w:hAnsi="Times New Roman"/>
          <w:sz w:val="20"/>
        </w:rPr>
      </w:pPr>
      <w:r>
        <w:rPr>
          <w:rFonts w:ascii="Times New Roman" w:hAnsi="Times New Roman"/>
          <w:sz w:val="20"/>
        </w:rPr>
        <w:t xml:space="preserve">Cash provided by financing activities during the year ended December 31, 2019 was $196.7 million which was primarily due to proceeds of $192.7 million from the issuance of convertible preferred stock and net proceeds of $10.2 million from the issuance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Cash provided by financing activities during the year ended December 31, 2020 was $506.1 million which was primarily due to net proceeds of $189.9 million from the issuance of convertible preferred stock and net proceeds of $330.0 million from the issuance of a convertible promissory note.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both"/>
        <w:rPr>
          <w:rFonts w:ascii="Times New Roman" w:hAnsi="Times New Roman"/>
          <w:sz w:val="20"/>
        </w:rPr>
      </w:pPr>
      <w:r>
        <w:rPr>
          <w:rFonts w:ascii="Times New Roman" w:hAnsi="Times New Roman"/>
          <w:sz w:val="20"/>
        </w:rPr>
        <w:t xml:space="preserve">Our contractual commitments will have an impact on our future liquidity. The following table summarizes our contractually committed future obligations as of June 30,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8"/>
        <w:gridCol w:w="253"/>
        <w:gridCol w:w="140"/>
        <w:gridCol w:w="815"/>
        <w:gridCol w:w="60"/>
        <w:gridCol w:w="253"/>
        <w:gridCol w:w="290"/>
        <w:gridCol w:w="1447"/>
        <w:gridCol w:w="60"/>
        <w:gridCol w:w="253"/>
        <w:gridCol w:w="140"/>
        <w:gridCol w:w="706"/>
        <w:gridCol w:w="60"/>
        <w:gridCol w:w="252"/>
        <w:gridCol w:w="140"/>
        <w:gridCol w:w="815"/>
        <w:gridCol w:w="60"/>
        <w:gridCol w:w="253"/>
        <w:gridCol w:w="320"/>
        <w:gridCol w:w="1623"/>
        <w:gridCol w:w="67"/>
      </w:tblGrid>
      <w:tr>
        <w:trPr/>
        <w:tc>
          <w:tcPr>
            <w:tcW w:w="2198"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19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768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Payments due by period</w:t>
            </w:r>
          </w:p>
        </w:tc>
        <w:tc>
          <w:tcPr>
            <w:tcW w:w="67" w:type="dxa"/>
            <w:tcBorders/>
            <w:vAlign w:val="bottom"/>
          </w:tcPr>
          <w:p>
            <w:pPr>
              <w:pStyle w:val="TableContents"/>
              <w:bidi w:val="0"/>
              <w:spacing w:before="0" w:after="283"/>
              <w:jc w:val="left"/>
              <w:rPr/>
            </w:pPr>
            <w:r>
              <w:rPr/>
              <w:t> </w:t>
            </w:r>
          </w:p>
        </w:tc>
      </w:tr>
      <w:tr>
        <w:trPr/>
        <w:tc>
          <w:tcPr>
            <w:tcW w:w="219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7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 1 year</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 years</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3-5 years</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More than 5 years</w:t>
            </w:r>
          </w:p>
        </w:tc>
        <w:tc>
          <w:tcPr>
            <w:tcW w:w="67" w:type="dxa"/>
            <w:tcBorders/>
            <w:vAlign w:val="bottom"/>
          </w:tcPr>
          <w:p>
            <w:pPr>
              <w:pStyle w:val="TableContents"/>
              <w:bidi w:val="0"/>
              <w:spacing w:before="0" w:after="283"/>
              <w:jc w:val="left"/>
              <w:rPr/>
            </w:pPr>
            <w:r>
              <w:rPr/>
              <w:t> </w:t>
            </w:r>
          </w:p>
        </w:tc>
      </w:tr>
      <w:tr>
        <w:trPr/>
        <w:tc>
          <w:tcPr>
            <w:tcW w:w="2198"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7687" w:type="dxa"/>
            <w:gridSpan w:val="18"/>
            <w:tcBorders/>
            <w:vAlign w:val="bottom"/>
          </w:tcPr>
          <w:p>
            <w:pPr>
              <w:pStyle w:val="TableContents"/>
              <w:bidi w:val="0"/>
              <w:spacing w:before="0" w:after="283"/>
              <w:jc w:val="center"/>
              <w:rPr>
                <w:b/>
              </w:rPr>
            </w:pPr>
            <w:r>
              <w:rPr>
                <w:b/>
              </w:rPr>
              <w:t>(in thousands)</w:t>
            </w:r>
          </w:p>
        </w:tc>
        <w:tc>
          <w:tcPr>
            <w:tcW w:w="67" w:type="dxa"/>
            <w:tcBorders/>
            <w:vAlign w:val="bottom"/>
          </w:tcPr>
          <w:p>
            <w:pPr>
              <w:pStyle w:val="TableContents"/>
              <w:bidi w:val="0"/>
              <w:spacing w:before="0" w:after="283"/>
              <w:jc w:val="left"/>
              <w:rPr/>
            </w:pPr>
            <w:r>
              <w:rPr/>
              <w:t> </w:t>
            </w:r>
          </w:p>
        </w:tc>
      </w:tr>
      <w:tr>
        <w:trPr/>
        <w:tc>
          <w:tcPr>
            <w:tcW w:w="2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obligations</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64,715</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447" w:type="dxa"/>
            <w:tcBorders/>
            <w:shd w:fill="CCEEFF" w:val="clear"/>
            <w:vAlign w:val="bottom"/>
          </w:tcPr>
          <w:p>
            <w:pPr>
              <w:pStyle w:val="TableContents"/>
              <w:bidi w:val="0"/>
              <w:spacing w:before="0" w:after="283"/>
              <w:jc w:val="right"/>
              <w:rPr/>
            </w:pPr>
            <w:r>
              <w:rPr/>
              <w:t>6,706</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16,201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21,961</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623" w:type="dxa"/>
            <w:tcBorders/>
            <w:shd w:fill="CCEEFF" w:val="clear"/>
            <w:vAlign w:val="bottom"/>
          </w:tcPr>
          <w:p>
            <w:pPr>
              <w:pStyle w:val="TableContents"/>
              <w:bidi w:val="0"/>
              <w:spacing w:before="0" w:after="283"/>
              <w:jc w:val="right"/>
              <w:rPr/>
            </w:pPr>
            <w:r>
              <w:rPr/>
              <w:t>19,847</w:t>
            </w:r>
          </w:p>
        </w:tc>
        <w:tc>
          <w:tcPr>
            <w:tcW w:w="67" w:type="dxa"/>
            <w:tcBorders/>
            <w:shd w:fill="CCEEFF" w:val="clear"/>
            <w:vAlign w:val="bottom"/>
          </w:tcPr>
          <w:p>
            <w:pPr>
              <w:pStyle w:val="TableContents"/>
              <w:bidi w:val="0"/>
              <w:spacing w:before="0" w:after="283"/>
              <w:jc w:val="left"/>
              <w:rPr/>
            </w:pPr>
            <w:r>
              <w:rPr/>
              <w:t> </w:t>
            </w:r>
          </w:p>
        </w:tc>
      </w:tr>
      <w:tr>
        <w:trPr/>
        <w:tc>
          <w:tcPr>
            <w:tcW w:w="2198" w:type="dxa"/>
            <w:tcBorders/>
          </w:tcPr>
          <w:p>
            <w:pPr>
              <w:pStyle w:val="TableContents"/>
              <w:bidi w:val="0"/>
              <w:spacing w:before="0" w:after="0"/>
              <w:jc w:val="left"/>
              <w:rPr>
                <w:rFonts w:ascii="Times New Roman" w:hAnsi="Times New Roman"/>
                <w:sz w:val="20"/>
              </w:rPr>
            </w:pPr>
            <w:r>
              <w:rPr>
                <w:rFonts w:ascii="Times New Roman" w:hAnsi="Times New Roman"/>
                <w:sz w:val="20"/>
              </w:rPr>
              <w:t>Purchase obligations</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115,541</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28,333</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43,833</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43,375</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2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246,581</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246,581</w:t>
            </w:r>
          </w:p>
        </w:tc>
        <w:tc>
          <w:tcPr>
            <w:tcW w:w="6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219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5" w:type="dxa"/>
            <w:tcBorders/>
            <w:vAlign w:val="bottom"/>
          </w:tcPr>
          <w:p>
            <w:pPr>
              <w:pStyle w:val="TableContents"/>
              <w:bidi w:val="0"/>
              <w:spacing w:before="0" w:after="283"/>
              <w:jc w:val="right"/>
              <w:rPr/>
            </w:pPr>
            <w:r>
              <w:rPr/>
              <w:t>426,837</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47" w:type="dxa"/>
            <w:tcBorders/>
            <w:vAlign w:val="bottom"/>
          </w:tcPr>
          <w:p>
            <w:pPr>
              <w:pStyle w:val="TableContents"/>
              <w:bidi w:val="0"/>
              <w:spacing w:before="0" w:after="283"/>
              <w:jc w:val="right"/>
              <w:rPr/>
            </w:pPr>
            <w:r>
              <w:rPr/>
              <w:t>35,039</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60,034</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311,917</w:t>
            </w:r>
          </w:p>
        </w:tc>
        <w:tc>
          <w:tcPr>
            <w:tcW w:w="6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23" w:type="dxa"/>
            <w:tcBorders/>
            <w:vAlign w:val="bottom"/>
          </w:tcPr>
          <w:p>
            <w:pPr>
              <w:pStyle w:val="TableContents"/>
              <w:bidi w:val="0"/>
              <w:spacing w:before="0" w:after="283"/>
              <w:jc w:val="right"/>
              <w:rPr/>
            </w:pPr>
            <w:r>
              <w:rPr/>
              <w:t>19,847</w:t>
            </w:r>
          </w:p>
        </w:tc>
        <w:tc>
          <w:tcPr>
            <w:tcW w:w="6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both"/>
        <w:rPr>
          <w:rFonts w:ascii="Times New Roman" w:hAnsi="Times New Roman"/>
          <w:sz w:val="20"/>
        </w:rPr>
      </w:pPr>
      <w:r>
        <w:rPr>
          <w:rFonts w:ascii="Times New Roman" w:hAnsi="Times New Roman"/>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both"/>
        <w:rPr>
          <w:rFonts w:ascii="Times New Roman" w:hAnsi="Times New Roman"/>
          <w:sz w:val="20"/>
        </w:rPr>
      </w:pPr>
      <w:r>
        <w:rPr>
          <w:rFonts w:ascii="Times New Roman" w:hAnsi="Times New Roman"/>
          <w:sz w:val="20"/>
        </w:rPr>
        <w:t xml:space="preserve">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 </w:t>
      </w:r>
    </w:p>
    <w:p>
      <w:pPr>
        <w:pStyle w:val="TextBody"/>
        <w:bidi w:val="0"/>
        <w:spacing w:before="240" w:after="0"/>
        <w:jc w:val="both"/>
        <w:rPr>
          <w:rFonts w:ascii="Times New Roman" w:hAnsi="Times New Roman"/>
          <w:sz w:val="20"/>
        </w:rPr>
      </w:pPr>
      <w:r>
        <w:rPr>
          <w:rFonts w:ascii="Times New Roman" w:hAnsi="Times New Roman"/>
          <w:sz w:val="20"/>
        </w:rPr>
        <w:t xml:space="preserve">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both"/>
        <w:rPr>
          <w:rFonts w:ascii="Times New Roman" w:hAnsi="Times New Roman"/>
          <w:sz w:val="20"/>
        </w:rPr>
      </w:pPr>
      <w:r>
        <w:rPr>
          <w:rFonts w:ascii="Times New Roman" w:hAnsi="Times New Roman"/>
          <w:sz w:val="20"/>
        </w:rPr>
        <w:t xml:space="preserve">We derive Genomics revenue from selling lab services to physicians, academic research institutions, and other parties. We also derive Data and Other revenue from the commercialization of data generated in the lab through the licensing of de-identified datasets to third parties and from matching patients to clinical trials enrolled in its clinical trial network. The majority of our revenue is generated in North America. </w:t>
      </w:r>
    </w:p>
    <w:p>
      <w:pPr>
        <w:pStyle w:val="TextBody"/>
        <w:bidi w:val="0"/>
        <w:spacing w:before="240" w:after="0"/>
        <w:jc w:val="both"/>
        <w:rPr>
          <w:rFonts w:ascii="Times New Roman" w:hAnsi="Times New Roman"/>
          <w:sz w:val="20"/>
        </w:rPr>
      </w:pPr>
      <w:r>
        <w:rPr>
          <w:rFonts w:ascii="Times New Roman" w:hAnsi="Times New Roman"/>
          <w:sz w:val="20"/>
        </w:rPr>
        <w:t xml:space="preserve">We account for our revenue in accordance with ASC Topic 606, </w:t>
      </w:r>
      <w:r>
        <w:rPr>
          <w:rFonts w:ascii="Times New Roman" w:hAnsi="Times New Roman"/>
          <w:i/>
          <w:sz w:val="20"/>
        </w:rPr>
        <w:t>Revenue From Contracts With Customers</w:t>
      </w:r>
      <w:r>
        <w:rPr>
          <w:rFonts w:ascii="Times New Roman" w:hAnsi="Times New Roman"/>
          <w:sz w:val="20"/>
        </w:rPr>
        <w:t xml:space="preserve">. We commence revenue recognition when control of these products is transferred to customers in an amount that reflects the consideration we expect to be entitled to in exchange for such products. This principle is achieved by applying the following five-step approach: </w:t>
      </w:r>
    </w:p>
    <w:p>
      <w:pPr>
        <w:pStyle w:val="TextBody"/>
        <w:bidi w:val="0"/>
        <w:spacing w:before="240" w:after="0"/>
        <w:jc w:val="both"/>
        <w:rPr>
          <w:rFonts w:ascii="Times New Roman" w:hAnsi="Times New Roman"/>
          <w:sz w:val="20"/>
        </w:rPr>
      </w:pPr>
      <w:r>
        <w:rPr>
          <w:rFonts w:ascii="Times New Roman" w:hAnsi="Times New Roman"/>
          <w:sz w:val="20"/>
        </w:rPr>
        <w:t xml:space="preserve">(i)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 </w:t>
      </w:r>
    </w:p>
    <w:p>
      <w:pPr>
        <w:pStyle w:val="TextBody"/>
        <w:bidi w:val="0"/>
        <w:spacing w:before="240" w:after="0"/>
        <w:jc w:val="both"/>
        <w:rPr>
          <w:rFonts w:ascii="Times New Roman" w:hAnsi="Times New Roman"/>
          <w:sz w:val="20"/>
        </w:rPr>
      </w:pPr>
      <w:r>
        <w:rPr>
          <w:rFonts w:ascii="Times New Roman" w:hAnsi="Times New Roman"/>
          <w:sz w:val="20"/>
        </w:rPr>
        <w:t xml:space="preserve">We account for clinical orders from payors by determining the transaction price by reducing the standard charge by the estimated effects of any variable consideration, such as contractual allowance and implicit price concessions. We estimate the contractual allowances and implicit price concessions based on historical collections in relation to established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 </w:t>
      </w:r>
    </w:p>
    <w:p>
      <w:pPr>
        <w:pStyle w:val="TextBody"/>
        <w:bidi w:val="0"/>
        <w:spacing w:before="240" w:after="0"/>
        <w:jc w:val="both"/>
        <w:rPr>
          <w:rFonts w:ascii="Times New Roman" w:hAnsi="Times New Roman"/>
          <w:sz w:val="20"/>
        </w:rPr>
      </w:pPr>
      <w:r>
        <w:rPr>
          <w:rFonts w:ascii="Times New Roman" w:hAnsi="Times New Roman"/>
          <w:sz w:val="20"/>
        </w:rPr>
        <w:t xml:space="preserve">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Common Stock Valuations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contemporaneous valuations performed by independent third-party specialists;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prices, rights, preferences and privileges of our redeemable convertible preferred stock relative to those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prices of common or preferred stock sold to third-party investors by us and in secondary transactions or repurchased by us in arms-length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lack of marketability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actual operating and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current business conditions and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stage of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likelihood of achieving a liquidity event, such as an initial public offering or a merger or acquisition of our company given prevailing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market performance of comparable publicly traded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U.S. and global capital market conditions.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valuing our common stock, our board of directors determined the equity value of our business using various valuation methods including combinations of income and market approaches with input from management.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 </w:t>
      </w:r>
    </w:p>
    <w:p>
      <w:pPr>
        <w:pStyle w:val="TextBody"/>
        <w:bidi w:val="0"/>
        <w:spacing w:before="240" w:after="0"/>
        <w:jc w:val="both"/>
        <w:rPr>
          <w:rFonts w:ascii="Times New Roman" w:hAnsi="Times New Roman"/>
          <w:sz w:val="20"/>
        </w:rPr>
      </w:pPr>
      <w:r>
        <w:rPr>
          <w:rFonts w:ascii="Times New Roman" w:hAnsi="Times New Roman"/>
          <w:sz w:val="20"/>
        </w:rPr>
        <w:t xml:space="preserve">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and a probability-weighted expected return method, or PWERM, which involves the estimation of multiple future potential outcomes for us, and estimates of the probability of each potential outcome. The per share value of our common stock determined using the PWERM approach is ultimately based upon probability-weighted per share values resulting from the various future scenarios, which include an initial public offering, merger or sale or continued operation as a private company. </w:t>
      </w:r>
    </w:p>
    <w:p>
      <w:pPr>
        <w:pStyle w:val="TextBody"/>
        <w:bidi w:val="0"/>
        <w:spacing w:before="240" w:after="0"/>
        <w:jc w:val="both"/>
        <w:rPr>
          <w:rFonts w:ascii="Times New Roman" w:hAnsi="Times New Roman"/>
          <w:sz w:val="20"/>
        </w:rPr>
      </w:pPr>
      <w:r>
        <w:rPr>
          <w:rFonts w:ascii="Times New Roman" w:hAnsi="Times New Roman"/>
          <w:sz w:val="20"/>
        </w:rPr>
        <w:t xml:space="preserve">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For valuations after the completion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this offering, we expect to incur approximately $             million of stock-based compensation expense related to RSUs for which the service-based vesting condition was satisfied and for which the performance-based vesting condition will be satisfied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both"/>
        <w:rPr>
          <w:rFonts w:ascii="Times New Roman" w:hAnsi="Times New Roman"/>
          <w:sz w:val="20"/>
        </w:rPr>
      </w:pPr>
      <w:r>
        <w:rPr>
          <w:rFonts w:ascii="Times New Roman" w:hAnsi="Times New Roman"/>
          <w:sz w:val="20"/>
        </w:rPr>
        <w:t xml:space="preserve">We are exposed to market risk for changes in interest rates related primarily to our cash, cash equivalents and restricted cash, and our indebtedness. As of December 31, 2020, we had cash, cash equivalents and restricted cash of $514.2 million held primarily in cash deposits and money market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Risk </w:t>
      </w:r>
    </w:p>
    <w:p>
      <w:pPr>
        <w:pStyle w:val="TextBody"/>
        <w:bidi w:val="0"/>
        <w:spacing w:before="120" w:after="0"/>
        <w:jc w:val="both"/>
        <w:rPr>
          <w:rFonts w:ascii="Times New Roman" w:hAnsi="Times New Roman"/>
          <w:sz w:val="20"/>
        </w:rPr>
      </w:pPr>
      <w:r>
        <w:rPr>
          <w:rFonts w:ascii="Times New Roman" w:hAnsi="Times New Roman"/>
          <w:sz w:val="20"/>
        </w:rPr>
        <w:t xml:space="preserve">The majority of our revenue is generated in the United States. Through December 31, 2020,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2020,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 </w:t>
      </w:r>
    </w:p>
    <w:p>
      <w:pPr>
        <w:pStyle w:val="TextBody"/>
        <w:bidi w:val="0"/>
        <w:spacing w:before="360" w:after="0"/>
        <w:jc w:val="left"/>
        <w:rPr>
          <w:rFonts w:ascii="Times New Roman" w:hAnsi="Times New Roman"/>
          <w:b/>
          <w:sz w:val="20"/>
        </w:rPr>
      </w:pPr>
      <w:r>
        <w:rPr>
          <w:rFonts w:ascii="Times New Roman" w:hAnsi="Times New Roman"/>
          <w:b/>
          <w:sz w:val="20"/>
        </w:rPr>
        <w:t xml:space="preserve">JOBS Act Accounting Election </w:t>
      </w:r>
    </w:p>
    <w:p>
      <w:pPr>
        <w:pStyle w:val="TextBody"/>
        <w:bidi w:val="0"/>
        <w:spacing w:before="120" w:after="0"/>
        <w:jc w:val="both"/>
        <w:rPr>
          <w:rFonts w:ascii="Times New Roman" w:hAnsi="Times New Roman"/>
          <w:sz w:val="20"/>
        </w:rPr>
      </w:pPr>
      <w:r>
        <w:rPr>
          <w:rFonts w:ascii="Times New Roman" w:hAnsi="Times New Roman"/>
          <w:sz w:val="20"/>
        </w:rPr>
        <w:t xml:space="preserve">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both"/>
        <w:rPr>
          <w:rFonts w:ascii="Times New Roman" w:hAnsi="Times New Roman"/>
          <w:sz w:val="20"/>
        </w:rPr>
      </w:pPr>
      <w:r>
        <w:rPr>
          <w:rFonts w:ascii="Times New Roman" w:hAnsi="Times New Roman"/>
          <w:sz w:val="20"/>
        </w:rPr>
        <w:t xml:space="preserve">See the section titled Summary of Significant Accounting Policies in Note 2 to our audited consolidated financial statements included elsewhere in this 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rom221145_11"/>
      <w:bookmarkEnd w:id="13"/>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both"/>
        <w:rPr>
          <w:rFonts w:ascii="Times New Roman" w:hAnsi="Times New Roman"/>
          <w:sz w:val="20"/>
        </w:rPr>
      </w:pPr>
      <w:r>
        <w:rPr>
          <w:rFonts w:ascii="Times New Roman" w:hAnsi="Times New Roman"/>
          <w:sz w:val="20"/>
        </w:rPr>
        <w:t xml:space="preserve">We endeavor to unlock the true power of precision medicine by creating Intelligent Diagnostics through the practical application of artificial intelligence, or AI, in healthcare. Intelligent Diagnostics use AI to make laboratory tests more accurate, tailored, and personal. Unlike traditional laboratory tests, an Intelligent Diagnostic contextualizes the laboratory test result to a specific patient, by incorporating an individuals longitudinal clinical data into the result. We believe Intelligent Diagnostics represents an emerging industry that we are pioneering. To accomplish this, we built both a technology platform to free healthcare data from silos and an operating system to make this data useful. We refer to the combination of those as the Tempus Platform. Our investment in this technology has allowed us to amass what we consider to be one of the largest libraries of oncology focused clinical and molecular data in the world. Our goal is to embed AI throughout every aspect of diagnostics to enable physicians and researchers to make data-driven decisions that improve patient care. We started in oncology in 2016 and have expanded into neuropsychology, infectious diseases, and cardiology, with aspirations to eventually be in all major disease areas. </w:t>
      </w:r>
    </w:p>
    <w:p>
      <w:pPr>
        <w:pStyle w:val="TextBody"/>
        <w:bidi w:val="0"/>
        <w:spacing w:before="240" w:after="0"/>
        <w:jc w:val="both"/>
        <w:rPr>
          <w:rFonts w:ascii="Times New Roman" w:hAnsi="Times New Roman"/>
          <w:sz w:val="20"/>
        </w:rPr>
      </w:pPr>
      <w:r>
        <w:rPr>
          <w:rFonts w:ascii="Times New Roman" w:hAnsi="Times New Roman"/>
          <w:sz w:val="20"/>
        </w:rPr>
        <w:t xml:space="preserve">We make tests intelligent by connecting laboratory results to a patients own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 </w:t>
      </w:r>
    </w:p>
    <w:p>
      <w:pPr>
        <w:pStyle w:val="TextBody"/>
        <w:bidi w:val="0"/>
        <w:spacing w:before="240" w:after="0"/>
        <w:jc w:val="both"/>
        <w:rPr>
          <w:rFonts w:ascii="Times New Roman" w:hAnsi="Times New Roman"/>
          <w:sz w:val="20"/>
        </w:rPr>
      </w:pPr>
      <w:r>
        <w:rPr>
          <w:rFonts w:ascii="Times New Roman" w:hAnsi="Times New Roman"/>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advance personalized medicine. Unlike traditional diagnostic labs, we can incorporate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therapeutics. We believe their adoption could empower physicians to deliver better care and researchers to develop more precise therapies, with the potential to save millions of lives. </w:t>
      </w:r>
    </w:p>
    <w:p>
      <w:pPr>
        <w:pStyle w:val="TextBody"/>
        <w:bidi w:val="0"/>
        <w:spacing w:before="240" w:after="0"/>
        <w:jc w:val="both"/>
        <w:rPr>
          <w:rFonts w:ascii="Times New Roman" w:hAnsi="Times New Roman"/>
          <w:sz w:val="20"/>
        </w:rPr>
      </w:pPr>
      <w:r>
        <w:rPr>
          <w:rFonts w:ascii="Times New Roman" w:hAnsi="Times New Roman"/>
          <w:sz w:val="20"/>
        </w:rPr>
        <w:t xml:space="preserve">In order to bring AI to healthcare at scale, we believe the foundation of how data flows throughout the ecosystem needs to be rebuilt. We established data pipes, going to and from providers, to allow for the free exchange of data between physicians, who interpret data, and diagnostic and therapeutic companies, who provide data. Without this capability, we believe that data would continue to accumulate without impacting patient care. Tempus has built this integrated Platform, and we are now deploying it at scale in oncology in the United States.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endeavor to help doctors find the best therapies for their patients, help life sciences companies make the best drugs possible, and enable patients to access emerging therapies and clinical trials when appropriate. </w:t>
      </w:r>
    </w:p>
    <w:p>
      <w:pPr>
        <w:pStyle w:val="TextBody"/>
        <w:bidi w:val="0"/>
        <w:spacing w:before="240" w:after="0"/>
        <w:jc w:val="both"/>
        <w:rPr>
          <w:rFonts w:ascii="Times New Roman" w:hAnsi="Times New Roman"/>
          <w:sz w:val="20"/>
        </w:rPr>
      </w:pPr>
      <w:r>
        <w:rPr>
          <w:rFonts w:ascii="Times New Roman" w:hAnsi="Times New Roman"/>
          <w:sz w:val="20"/>
        </w:rPr>
        <w:t xml:space="preserve">Our Platform includes proprietary software and dedicated data pipelines that create a network of healthcare institutions through approximately 200 unique data connections, many of which supply us with complex multimodal data in near real time, across approximately 770 healthcare institutions that order our products and services. We integrate this data into a unified software Platform through which we offer numerous analytical and decision support capabilities to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hAnsi="Times New Roman"/>
          <w:i/>
          <w:sz w:val="20"/>
        </w:rPr>
        <w:t>Genomics</w:t>
      </w:r>
      <w:r>
        <w:rPr>
          <w:rFonts w:ascii="Times New Roman" w:hAnsi="Times New Roman"/>
          <w:sz w:val="20"/>
        </w:rPr>
        <w:t xml:space="preserve">, </w:t>
      </w:r>
      <w:r>
        <w:rPr>
          <w:rFonts w:ascii="Times New Roman" w:hAnsi="Times New Roman"/>
          <w:i/>
          <w:sz w:val="20"/>
        </w:rPr>
        <w:t>Data</w:t>
      </w:r>
      <w:r>
        <w:rPr>
          <w:rFonts w:ascii="Times New Roman" w:hAnsi="Times New Roman"/>
          <w:sz w:val="20"/>
        </w:rPr>
        <w:t xml:space="preserve">, and </w:t>
      </w:r>
      <w:r>
        <w:rPr>
          <w:rFonts w:ascii="Times New Roman" w:hAnsi="Times New Roman"/>
          <w:i/>
          <w:sz w:val="20"/>
        </w:rPr>
        <w:t>Algos</w:t>
      </w:r>
      <w:r>
        <w:rPr>
          <w:rFonts w:ascii="Times New Roman" w:hAnsi="Times New Roman"/>
          <w:sz w:val="20"/>
        </w:rPr>
        <w:t xml:space="preserve">.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3685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577850" cy="2368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w:t>
      </w:r>
      <w:r>
        <w:rPr>
          <w:rFonts w:ascii="Times New Roman" w:hAnsi="Times New Roman"/>
          <w:i/>
          <w:sz w:val="20"/>
        </w:rPr>
        <w:t>Genomics</w:t>
      </w:r>
      <w:r>
        <w:rPr>
          <w:rFonts w:ascii="Times New Roman" w:hAnsi="Times New Roman"/>
          <w:sz w:val="20"/>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hAnsi="Times New Roman"/>
          <w:i/>
          <w:sz w:val="20"/>
        </w:rPr>
        <w:t>Data</w:t>
      </w:r>
      <w:r>
        <w:rPr>
          <w:rFonts w:ascii="Times New Roman" w:hAnsi="Times New Roman"/>
          <w:sz w:val="20"/>
        </w:rPr>
        <w:t xml:space="preserve"> product line facilitates drug discovery and development for life sciences companies through two primary products, Insights and Therapies. Through our Insights product, we license de-identified libraries of linked clinical, molecular, and imaging data and provide a suite of analytic and cloud-and-compute tools to pharmaceutical and biotechnology companies. Our second product within our Data product line, </w:t>
      </w:r>
      <w:r>
        <w:rPr>
          <w:rFonts w:ascii="Times New Roman" w:hAnsi="Times New Roman"/>
          <w:i/>
          <w:sz w:val="20"/>
        </w:rPr>
        <w:t>Therapies</w:t>
      </w:r>
      <w:r>
        <w:rPr>
          <w:rFonts w:ascii="Times New Roman" w:hAnsi="Times New Roman"/>
          <w:sz w:val="20"/>
        </w:rPr>
        <w:t xml:space="preserve">, leverages our broad network of oncologists to provide clinical trial matching services for pharmaceutical companies that are looking to reach hard-to-find and underserved patient populations. Our newest product line, </w:t>
      </w:r>
      <w:r>
        <w:rPr>
          <w:rFonts w:ascii="Times New Roman" w:hAnsi="Times New Roman"/>
          <w:i/>
          <w:sz w:val="20"/>
        </w:rPr>
        <w:t>Algos,</w:t>
      </w:r>
      <w:r>
        <w:rPr>
          <w:rFonts w:ascii="Times New Roman" w:hAnsi="Times New Roman"/>
          <w:sz w:val="20"/>
        </w:rPr>
        <w:t xml:space="preserve"> is focused on developing and providing diagnostics that are algorithmic in nature. We currently offer two Algos in oncology and are also developing Algos in other disease areas.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Limitations of Employing Technology, Data, and AI in Healthcare and Precision Medicine </w:t>
      </w:r>
    </w:p>
    <w:p>
      <w:pPr>
        <w:pStyle w:val="TextBody"/>
        <w:bidi w:val="0"/>
        <w:spacing w:before="120" w:after="0"/>
        <w:jc w:val="both"/>
        <w:rPr>
          <w:rFonts w:ascii="Times New Roman" w:hAnsi="Times New Roman"/>
          <w:sz w:val="20"/>
        </w:rPr>
      </w:pPr>
      <w:r>
        <w:rPr>
          <w:rFonts w:ascii="Times New Roman" w:hAnsi="Times New Roman"/>
          <w:sz w:val="20"/>
        </w:rPr>
        <w:t xml:space="preserve">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 </w:t>
      </w:r>
    </w:p>
    <w:p>
      <w:pPr>
        <w:pStyle w:val="TextBody"/>
        <w:bidi w:val="0"/>
        <w:spacing w:before="240" w:after="0"/>
        <w:jc w:val="both"/>
        <w:rPr>
          <w:rFonts w:ascii="Times New Roman" w:hAnsi="Times New Roman"/>
          <w:sz w:val="20"/>
        </w:rPr>
      </w:pPr>
      <w:r>
        <w:rPr>
          <w:rFonts w:ascii="Times New Roman" w:hAnsi="Times New Roman"/>
          <w:sz w:val="20"/>
        </w:rPr>
        <w:t xml:space="preserve">We believe this is changing. Recent technological advancements have facilitated the deployment of modern computational methods, such as AI and machine learning, to improve healthcare. Breakthroughs in cloud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computing, imaging technologies,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 </w:t>
      </w:r>
    </w:p>
    <w:p>
      <w:pPr>
        <w:pStyle w:val="TextBody"/>
        <w:bidi w:val="0"/>
        <w:spacing w:before="240" w:after="0"/>
        <w:jc w:val="both"/>
        <w:rPr>
          <w:rFonts w:ascii="Times New Roman" w:hAnsi="Times New Roman"/>
          <w:sz w:val="20"/>
        </w:rPr>
      </w:pPr>
      <w:r>
        <w:rPr>
          <w:rFonts w:ascii="Times New Roman" w:hAnsi="Times New Roman"/>
          <w:sz w:val="20"/>
        </w:rPr>
        <w:t xml:space="preserve">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 </w:t>
      </w:r>
    </w:p>
    <w:p>
      <w:pPr>
        <w:pStyle w:val="TextBody"/>
        <w:bidi w:val="0"/>
        <w:spacing w:before="240" w:after="0"/>
        <w:jc w:val="both"/>
        <w:rPr>
          <w:rFonts w:ascii="Times New Roman" w:hAnsi="Times New Roman"/>
          <w:sz w:val="20"/>
        </w:rPr>
      </w:pPr>
      <w:r>
        <w:rPr>
          <w:rFonts w:ascii="Times New Roman" w:hAnsi="Times New Roman"/>
          <w:sz w:val="20"/>
        </w:rPr>
        <w:t xml:space="preserve">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Without this Platform, we believe the data would continue to pile up at an increasing rate without improving patient care. We have built a version of this Platform and are now deploying it at scale in oncology in the United States, with other disease areas following.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Importance of Multimodal Healthcare Data </w:t>
      </w:r>
    </w:p>
    <w:p>
      <w:pPr>
        <w:pStyle w:val="TextBody"/>
        <w:bidi w:val="0"/>
        <w:spacing w:before="120" w:after="0"/>
        <w:jc w:val="both"/>
        <w:rPr>
          <w:rFonts w:ascii="Times New Roman" w:hAnsi="Times New Roman"/>
          <w:sz w:val="20"/>
        </w:rPr>
      </w:pPr>
      <w:r>
        <w:rPr>
          <w:rFonts w:ascii="Times New Roman" w:hAnsi="Times New Roman"/>
          <w:sz w:val="20"/>
        </w:rPr>
        <w:t xml:space="preserve">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New Industry: Intelligent Diagnostics to Advance Precision Medicine </w:t>
      </w:r>
    </w:p>
    <w:p>
      <w:pPr>
        <w:pStyle w:val="TextBody"/>
        <w:bidi w:val="0"/>
        <w:spacing w:before="120" w:after="0"/>
        <w:jc w:val="both"/>
        <w:rPr>
          <w:rFonts w:ascii="Times New Roman" w:hAnsi="Times New Roman"/>
          <w:sz w:val="20"/>
        </w:rPr>
      </w:pPr>
      <w:r>
        <w:rPr>
          <w:rFonts w:ascii="Times New Roman" w:hAnsi="Times New Roman"/>
          <w:sz w:val="20"/>
        </w:rPr>
        <w:t xml:space="preserve">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 </w:t>
      </w:r>
    </w:p>
    <w:p>
      <w:pPr>
        <w:pStyle w:val="TextBody"/>
        <w:bidi w:val="0"/>
        <w:spacing w:before="240" w:after="0"/>
        <w:jc w:val="both"/>
        <w:rPr>
          <w:rFonts w:ascii="Times New Roman" w:hAnsi="Times New Roman"/>
          <w:sz w:val="20"/>
        </w:rPr>
      </w:pPr>
      <w:r>
        <w:rPr>
          <w:rFonts w:ascii="Times New Roman" w:hAnsi="Times New Roman"/>
          <w:sz w:val="20"/>
        </w:rPr>
        <w:t xml:space="preserve">The ability to leverage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 </w:t>
      </w:r>
    </w:p>
    <w:p>
      <w:pPr>
        <w:pStyle w:val="TextBody"/>
        <w:bidi w:val="0"/>
        <w:spacing w:before="240" w:after="0"/>
        <w:jc w:val="both"/>
        <w:rPr>
          <w:rFonts w:ascii="Times New Roman" w:hAnsi="Times New Roman"/>
          <w:sz w:val="20"/>
        </w:rPr>
      </w:pPr>
      <w:r>
        <w:rPr>
          <w:rFonts w:ascii="Times New Roman" w:hAnsi="Times New Roman"/>
          <w:sz w:val="20"/>
        </w:rPr>
        <w:t xml:space="preserve">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 (ii) 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 (v) include the outcome and response data of patients who are similarly situated to the patient for whom the test was ordered; and (vi) use AI to derive analytical and clinically relevant insights and provide those to the physician and patient. See below for an illustration comparing an Intelligent Diagnostic to a standard genomic test: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6385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577850" cy="36385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 </w:t>
      </w:r>
    </w:p>
    <w:p>
      <w:pPr>
        <w:pStyle w:val="TextBody"/>
        <w:bidi w:val="0"/>
        <w:spacing w:before="240" w:after="0"/>
        <w:jc w:val="both"/>
        <w:rPr>
          <w:rFonts w:ascii="Times New Roman" w:hAnsi="Times New Roman"/>
          <w:sz w:val="20"/>
        </w:rPr>
      </w:pPr>
      <w:r>
        <w:rPr>
          <w:rFonts w:ascii="Times New Roman" w:hAnsi="Times New Roman"/>
          <w:sz w:val="20"/>
        </w:rPr>
        <w:t xml:space="preserve">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patient is male or female, old or young, or has diabetes or a heart condition. Nor does the standard test consider the medication the patient has taken or is currently taking, or the adverse events the patient has experienced. </w:t>
      </w:r>
    </w:p>
    <w:p>
      <w:pPr>
        <w:pStyle w:val="TextBody"/>
        <w:bidi w:val="0"/>
        <w:spacing w:before="240" w:after="0"/>
        <w:jc w:val="both"/>
        <w:rPr>
          <w:rFonts w:ascii="Times New Roman" w:hAnsi="Times New Roman"/>
          <w:sz w:val="20"/>
        </w:rPr>
      </w:pPr>
      <w:r>
        <w:rPr>
          <w:rFonts w:ascii="Times New Roman" w:hAnsi="Times New Roman"/>
          <w:sz w:val="20"/>
        </w:rPr>
        <w:t xml:space="preserve">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 </w:t>
      </w:r>
    </w:p>
    <w:p>
      <w:pPr>
        <w:pStyle w:val="TextBody"/>
        <w:bidi w:val="0"/>
        <w:spacing w:before="240" w:after="0"/>
        <w:jc w:val="both"/>
        <w:rPr>
          <w:rFonts w:ascii="Times New Roman" w:hAnsi="Times New Roman"/>
          <w:sz w:val="20"/>
        </w:rPr>
      </w:pPr>
      <w:r>
        <w:rPr>
          <w:rFonts w:ascii="Times New Roman" w:hAnsi="Times New Roman"/>
          <w:sz w:val="20"/>
        </w:rPr>
        <w:t xml:space="preserve">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 </w:t>
      </w:r>
    </w:p>
    <w:p>
      <w:pPr>
        <w:pStyle w:val="TextBody"/>
        <w:bidi w:val="0"/>
        <w:spacing w:before="240" w:after="0"/>
        <w:jc w:val="both"/>
        <w:rPr>
          <w:rFonts w:ascii="Times New Roman" w:hAnsi="Times New Roman"/>
          <w:sz w:val="20"/>
        </w:rPr>
      </w:pPr>
      <w:r>
        <w:rPr>
          <w:rFonts w:ascii="Times New Roman" w:hAnsi="Times New Roman"/>
          <w:sz w:val="20"/>
        </w:rPr>
        <w:t xml:space="preserve">We believe Intelligent Diagnostics and technology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 </w:t>
      </w:r>
    </w:p>
    <w:p>
      <w:pPr>
        <w:pStyle w:val="TextBody"/>
        <w:bidi w:val="0"/>
        <w:spacing w:before="360" w:after="0"/>
        <w:jc w:val="left"/>
        <w:rPr>
          <w:rFonts w:ascii="Times New Roman" w:hAnsi="Times New Roman"/>
          <w:b/>
          <w:sz w:val="20"/>
        </w:rPr>
      </w:pPr>
      <w:r>
        <w:rPr>
          <w:rFonts w:ascii="Times New Roman" w:hAnsi="Times New Roman"/>
          <w:b/>
          <w:sz w:val="20"/>
        </w:rPr>
        <w:t xml:space="preserve">The Tempus Platform </w:t>
      </w:r>
    </w:p>
    <w:p>
      <w:pPr>
        <w:pStyle w:val="TextBody"/>
        <w:bidi w:val="0"/>
        <w:spacing w:before="120" w:after="0"/>
        <w:jc w:val="both"/>
        <w:rPr>
          <w:rFonts w:ascii="Times New Roman" w:hAnsi="Times New Roman"/>
          <w:sz w:val="20"/>
        </w:rPr>
      </w:pPr>
      <w:r>
        <w:rPr>
          <w:rFonts w:ascii="Times New Roman" w:hAnsi="Times New Roman"/>
          <w:sz w:val="20"/>
        </w:rPr>
        <w:t xml:space="preserve">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64490"/>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577850" cy="36449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 </w:t>
      </w:r>
    </w:p>
    <w:p>
      <w:pPr>
        <w:pStyle w:val="TextBody"/>
        <w:bidi w:val="0"/>
        <w:spacing w:before="240" w:after="0"/>
        <w:jc w:val="both"/>
        <w:rPr>
          <w:rFonts w:ascii="Times New Roman" w:hAnsi="Times New Roman"/>
          <w:sz w:val="20"/>
        </w:rPr>
      </w:pPr>
      <w:r>
        <w:rPr>
          <w:rFonts w:ascii="Times New Roman" w:hAnsi="Times New Roman"/>
          <w:sz w:val="20"/>
        </w:rPr>
        <w:t xml:space="preserve">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infectious disease, and cardiology. Below is a timeline of our Platforms evolution, both within oncology and into different disease categories: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63855"/>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77850" cy="3638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Core Elements of our Platform </w:t>
      </w:r>
    </w:p>
    <w:p>
      <w:pPr>
        <w:pStyle w:val="TextBody"/>
        <w:bidi w:val="0"/>
        <w:spacing w:before="120" w:after="0"/>
        <w:jc w:val="both"/>
        <w:rPr>
          <w:rFonts w:ascii="Times New Roman" w:hAnsi="Times New Roman"/>
          <w:sz w:val="20"/>
        </w:rPr>
      </w:pPr>
      <w:r>
        <w:rPr>
          <w:rFonts w:ascii="Times New Roman" w:hAnsi="Times New Roman"/>
          <w:sz w:val="20"/>
        </w:rPr>
        <w:t xml:space="preserve">Our Platform comprises multiple elements that work together to grow our database, generate Intelligent Diagnostics, and integrate the data we collect into clinical practice so that physicians and researchers can make data-driven decisions. Our technology stack allows us to ingest large amounts of multimodal healthcare data, which we then structure and harmonize into a common database that powers a variety of healthcare applications. Our scaled, interconnected provider network covers approximately 40%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provide us a significant advantage. The following diagram represents the different elements of our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63855"/>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577850" cy="3638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Ingestion and Generation of Data </w:t>
      </w:r>
    </w:p>
    <w:p>
      <w:pPr>
        <w:pStyle w:val="TextBody"/>
        <w:bidi w:val="0"/>
        <w:spacing w:before="120" w:after="0"/>
        <w:jc w:val="both"/>
        <w:rPr>
          <w:rFonts w:ascii="Times New Roman" w:hAnsi="Times New Roman"/>
          <w:sz w:val="20"/>
        </w:rPr>
      </w:pPr>
      <w:r>
        <w:rPr>
          <w:rFonts w:ascii="Times New Roman" w:hAnsi="Times New Roman"/>
          <w:sz w:val="20"/>
        </w:rPr>
        <w:t xml:space="preserve">We ingest and generate healthcare data at scale through multiple methods into our Platform, including molecular, clinical, and imaging data. Between our sequencing and data collection efforts, we are connected in some way to more than 40% of all oncologists practicing in the United States, along with a growing number of patients in neuropsychology, cardiology, and infectious disease. Our methods for collecting and creating data include the following: </w:t>
      </w:r>
    </w:p>
    <w:p>
      <w:pPr>
        <w:pStyle w:val="TextBody"/>
        <w:bidi w:val="0"/>
        <w:spacing w:before="240" w:after="0"/>
        <w:jc w:val="both"/>
        <w:rPr>
          <w:rFonts w:ascii="Times New Roman" w:hAnsi="Times New Roman"/>
          <w:sz w:val="20"/>
        </w:rPr>
      </w:pPr>
      <w:r>
        <w:rPr>
          <w:rFonts w:ascii="Times New Roman" w:hAnsi="Times New Roman"/>
          <w:i/>
          <w:sz w:val="20"/>
        </w:rPr>
        <w:t xml:space="preserve">Ingesting data through our relationships and partnerships with healthcare providers. </w:t>
      </w:r>
      <w:r>
        <w:rPr>
          <w:rFonts w:ascii="Times New Roman" w:hAnsi="Times New Roman"/>
          <w:sz w:val="20"/>
        </w:rPr>
        <w:t xml:space="preserve">We have developed proprietary tools to establish approximately 200 direct data connections,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contribute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This is the fundamental trade we make: providers contribute data in exchange for use of our products, thereby making our tests more intelligent, which in return helps them to deliver better care. </w:t>
      </w:r>
    </w:p>
    <w:p>
      <w:pPr>
        <w:pStyle w:val="TextBody"/>
        <w:bidi w:val="0"/>
        <w:spacing w:before="240" w:after="0"/>
        <w:jc w:val="both"/>
        <w:rPr>
          <w:rFonts w:ascii="Times New Roman" w:hAnsi="Times New Roman"/>
          <w:sz w:val="20"/>
        </w:rPr>
      </w:pPr>
      <w:r>
        <w:rPr>
          <w:rFonts w:ascii="Times New Roman" w:hAnsi="Times New Roman"/>
          <w:i/>
          <w:sz w:val="20"/>
        </w:rPr>
        <w:t xml:space="preserve">Relationships with industry associations. </w:t>
      </w:r>
      <w:r>
        <w:rPr>
          <w:rFonts w:ascii="Times New Roman" w:hAnsi="Times New Roman"/>
          <w:sz w:val="20"/>
        </w:rPr>
        <w:t xml:space="preserve">In addition to healthcare providers, we work with numerous industry associations in the United States, such as ASCO. Under our collaboration with ASCO, we structure and distribute the oncology data ASCO collects as part of CancerLinq, which is their oncology data effort. We work with other large associations such as Quality Cancer Care Alliance, or QCCA, and National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Cancer Care Alliance, or NCCA, and have agreements in place with large integrated community practices. While our relationships in oncology are widespread, we are making inroads in other disease areas. For example, we hold a perpetual, royalty-bearing license from Geisinger to build algorithmic models and commercialize a de-identified dataset of approximately 3.2 million ECGs, across approximately 600,000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 </w:t>
      </w:r>
    </w:p>
    <w:p>
      <w:pPr>
        <w:pStyle w:val="TextBody"/>
        <w:bidi w:val="0"/>
        <w:spacing w:before="240" w:after="0"/>
        <w:jc w:val="both"/>
        <w:rPr>
          <w:rFonts w:ascii="Times New Roman" w:hAnsi="Times New Roman"/>
          <w:sz w:val="20"/>
        </w:rPr>
      </w:pPr>
      <w:r>
        <w:rPr>
          <w:rFonts w:ascii="Times New Roman" w:hAnsi="Times New Roman"/>
          <w:i/>
          <w:sz w:val="20"/>
        </w:rPr>
        <w:t xml:space="preserve">Laboratory diagnostics. </w:t>
      </w:r>
      <w:r>
        <w:rPr>
          <w:rFonts w:ascii="Times New Roman" w:hAnsi="Times New Roman"/>
          <w:sz w:val="20"/>
        </w:rPr>
        <w:t xml:space="preserve">In addition to our dedicated data pipelines, we generate data for our Platform from our two high-throughput diagnostic testing labs in Chicago and Atlanta. We intend to expand these capabilities with a new genomics lab in Raleigh that we plan to operationalize by the end of 2021.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 </w:t>
      </w:r>
    </w:p>
    <w:p>
      <w:pPr>
        <w:pStyle w:val="TextBody"/>
        <w:bidi w:val="0"/>
        <w:spacing w:before="240" w:after="0"/>
        <w:jc w:val="both"/>
        <w:rPr>
          <w:rFonts w:ascii="Times New Roman" w:hAnsi="Times New Roman"/>
          <w:sz w:val="20"/>
        </w:rPr>
      </w:pPr>
      <w:r>
        <w:rPr>
          <w:rFonts w:ascii="Times New Roman" w:hAnsi="Times New Roman"/>
          <w:sz w:val="20"/>
        </w:rPr>
        <w:t xml:space="preserve">We ingest and generate a variety of different types of data from different sources. The following represents selected data modalities that we collect and aggregate into our database.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6385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577850" cy="36385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Proprietary Data Processing </w:t>
      </w:r>
    </w:p>
    <w:p>
      <w:pPr>
        <w:pStyle w:val="TextBody"/>
        <w:bidi w:val="0"/>
        <w:spacing w:before="120" w:after="0"/>
        <w:jc w:val="both"/>
        <w:rPr>
          <w:rFonts w:ascii="Times New Roman" w:hAnsi="Times New Roman"/>
          <w:sz w:val="20"/>
        </w:rPr>
      </w:pPr>
      <w:r>
        <w:rPr>
          <w:rFonts w:ascii="Times New Roman" w:hAnsi="Times New Roman"/>
          <w:sz w:val="20"/>
        </w:rPr>
        <w:t xml:space="preserve">Once data is ingested, we apply AI and other technologies to organize millions of records into a common format that spans a variety of data types. For example, we organize clinical data from unstructured documents and structured EHR fields, and typically digitize whole-slide pathology images as part of our clinical workflow.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provided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 </w:t>
      </w:r>
    </w:p>
    <w:p>
      <w:pPr>
        <w:pStyle w:val="TextBody"/>
        <w:bidi w:val="0"/>
        <w:spacing w:before="360" w:after="0"/>
        <w:jc w:val="left"/>
        <w:rPr>
          <w:rFonts w:ascii="Times New Roman" w:hAnsi="Times New Roman"/>
          <w:i/>
          <w:sz w:val="20"/>
        </w:rPr>
      </w:pPr>
      <w:r>
        <w:rPr>
          <w:rFonts w:ascii="Times New Roman" w:hAnsi="Times New Roman"/>
          <w:i/>
          <w:sz w:val="20"/>
        </w:rPr>
        <w:t xml:space="preserve">Proprietary Multimodal Database </w:t>
      </w:r>
    </w:p>
    <w:p>
      <w:pPr>
        <w:pStyle w:val="TextBody"/>
        <w:bidi w:val="0"/>
        <w:spacing w:before="120" w:after="0"/>
        <w:jc w:val="both"/>
        <w:rPr>
          <w:rFonts w:ascii="Times New Roman" w:hAnsi="Times New Roman"/>
          <w:sz w:val="20"/>
        </w:rPr>
      </w:pPr>
      <w:r>
        <w:rPr>
          <w:rFonts w:ascii="Times New Roman" w:hAnsi="Times New Roman"/>
          <w:sz w:val="20"/>
        </w:rPr>
        <w:t xml:space="preserve">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an oncology database that is approximately fourteen times the size of The Cancer Genome Atlas, which we believe to be the largest public genomic dataset in oncology, based on the number of data points collected (and approximately 14 times the size based on petabytes of data). This represents what we consider to be one of the largest matched molecular libraries of cancer patients in the world. Our Platform, across all diseases, has ingested more than 300 million documents and contains more than 4.4 million patient records, including more than 950,000 with imaging data, more than 400,000 with matched clinical records linked with genomic information, and approximately 80,000 with full transcriptomic profiles. The breadth of our database, the quality and diversity of its data, as well as its regularly updating nature, allow us to offer a variety of AI-enabled solutions to the market. We also retain the rights to broadly commercialize the de-identified data we collect. As our database continues to grow from its current size of approximately 38 petabytes, we believe new AI applications and opportunities will emerge that are only possible with scale, driving innovations in patient treatment that were previously unattainable. The following diagram represents the growth of our database over time.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10515"/>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577850" cy="3105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June 30, 2021, our database included the following types of data, among others: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64490"/>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577850" cy="36449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 </w:t>
      </w:r>
    </w:p>
    <w:p>
      <w:pPr>
        <w:pStyle w:val="TextBody"/>
        <w:bidi w:val="0"/>
        <w:spacing w:before="360" w:after="0"/>
        <w:jc w:val="left"/>
        <w:rPr>
          <w:rFonts w:ascii="Times New Roman" w:hAnsi="Times New Roman"/>
          <w:i/>
          <w:sz w:val="20"/>
        </w:rPr>
      </w:pPr>
      <w:r>
        <w:rPr>
          <w:rFonts w:ascii="Times New Roman" w:hAnsi="Times New Roman"/>
          <w:i/>
          <w:sz w:val="20"/>
        </w:rPr>
        <w:t xml:space="preserve">Proprietary Software Tools and Solutions </w:t>
      </w:r>
    </w:p>
    <w:p>
      <w:pPr>
        <w:pStyle w:val="TextBody"/>
        <w:bidi w:val="0"/>
        <w:spacing w:before="120" w:after="0"/>
        <w:jc w:val="both"/>
        <w:rPr>
          <w:rFonts w:ascii="Times New Roman" w:hAnsi="Times New Roman"/>
          <w:sz w:val="20"/>
        </w:rPr>
      </w:pPr>
      <w:r>
        <w:rPr>
          <w:rFonts w:ascii="Times New Roman" w:hAnsi="Times New Roman"/>
          <w:sz w:val="20"/>
        </w:rPr>
        <w:t xml:space="preserve">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 </w:t>
      </w:r>
    </w:p>
    <w:p>
      <w:pPr>
        <w:pStyle w:val="TextBody"/>
        <w:bidi w:val="0"/>
        <w:spacing w:before="360" w:after="0"/>
        <w:jc w:val="left"/>
        <w:rPr>
          <w:rFonts w:ascii="Times New Roman" w:hAnsi="Times New Roman"/>
          <w:i/>
          <w:sz w:val="20"/>
        </w:rPr>
      </w:pPr>
      <w:r>
        <w:rPr>
          <w:rFonts w:ascii="Times New Roman" w:hAnsi="Times New Roman"/>
          <w:i/>
          <w:sz w:val="20"/>
        </w:rPr>
        <w:t xml:space="preserve">Customer Facing Applications </w:t>
      </w:r>
    </w:p>
    <w:p>
      <w:pPr>
        <w:pStyle w:val="TextBody"/>
        <w:bidi w:val="0"/>
        <w:spacing w:before="120" w:after="0"/>
        <w:jc w:val="both"/>
        <w:rPr>
          <w:rFonts w:ascii="Times New Roman" w:hAnsi="Times New Roman"/>
          <w:sz w:val="20"/>
        </w:rPr>
      </w:pPr>
      <w:r>
        <w:rPr>
          <w:rFonts w:ascii="Times New Roman" w:hAnsi="Times New Roman"/>
          <w:sz w:val="20"/>
        </w:rPr>
        <w:t xml:space="preserve">We have two primary software applications that serve as interfaces for different markets and allow our customers to interact with our Platform. Hub is our clinical application for physicians and other healthcare providers. Lens is our application for life sciences research. We typically enable our customers to access our software applications free of charge. However, in some cases we charge for access to Lens when a customer is interested in either a broader integration or some form of customization.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Hub </w:t>
      </w:r>
    </w:p>
    <w:p>
      <w:pPr>
        <w:pStyle w:val="TextBody"/>
        <w:bidi w:val="0"/>
        <w:spacing w:before="120" w:after="0"/>
        <w:jc w:val="both"/>
        <w:rPr>
          <w:rFonts w:ascii="Times New Roman" w:hAnsi="Times New Roman"/>
          <w:sz w:val="20"/>
        </w:rPr>
      </w:pPr>
      <w:r>
        <w:rPr>
          <w:rFonts w:ascii="Times New Roman" w:hAnsi="Times New Roman"/>
          <w:sz w:val="20"/>
        </w:rPr>
        <w:t xml:space="preserve">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 </w:t>
      </w:r>
    </w:p>
    <w:p>
      <w:pPr>
        <w:pStyle w:val="TextBody"/>
        <w:bidi w:val="0"/>
        <w:spacing w:before="240" w:after="0"/>
        <w:jc w:val="both"/>
        <w:rPr>
          <w:rFonts w:ascii="Times New Roman" w:hAnsi="Times New Roman"/>
          <w:sz w:val="20"/>
        </w:rPr>
      </w:pPr>
      <w:r>
        <w:rPr>
          <w:rFonts w:ascii="Times New Roman" w:hAnsi="Times New Roman"/>
          <w:sz w:val="20"/>
        </w:rPr>
        <w:t xml:space="preserve">Our customers experience, through Hub, typically begins with our online ordering feature, which presents providers with Tempus various ordering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 </w:t>
      </w:r>
    </w:p>
    <w:p>
      <w:pPr>
        <w:pStyle w:val="TextBody"/>
        <w:bidi w:val="0"/>
        <w:spacing w:before="240" w:after="0"/>
        <w:jc w:val="both"/>
        <w:rPr>
          <w:rFonts w:ascii="Times New Roman" w:hAnsi="Times New Roman"/>
          <w:sz w:val="20"/>
        </w:rPr>
      </w:pPr>
      <w:r>
        <w:rPr>
          <w:rFonts w:ascii="Times New Roman" w:hAnsi="Times New Roman"/>
          <w:sz w:val="20"/>
        </w:rPr>
        <w:t xml:space="preserve">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TCR and BCR profiles, immune infiltrates and neoantigens. Finally, Time on Therapy provides physicians a view into the Tempus Precision Medicine Library, which includes the treatment paths of thousands of patients who display similar molecular or phenotypic profiles to their own patients. These tools enable new patients to potentially benefit from the experience of those that came before. </w:t>
      </w:r>
    </w:p>
    <w:p>
      <w:pPr>
        <w:pStyle w:val="TextBody"/>
        <w:bidi w:val="0"/>
        <w:spacing w:before="240" w:after="0"/>
        <w:jc w:val="both"/>
        <w:rPr>
          <w:rFonts w:ascii="Times New Roman" w:hAnsi="Times New Roman"/>
          <w:sz w:val="20"/>
        </w:rPr>
      </w:pPr>
      <w:r>
        <w:rPr>
          <w:rFonts w:ascii="Times New Roman" w:hAnsi="Times New Roman"/>
          <w:sz w:val="20"/>
        </w:rPr>
        <w:t xml:space="preserve">We include below some screen shots depicting some of Hubs capabilities: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8610"/>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308610"/>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861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30861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8610"/>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308610"/>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Lens </w:t>
      </w:r>
    </w:p>
    <w:p>
      <w:pPr>
        <w:pStyle w:val="TextBody"/>
        <w:bidi w:val="0"/>
        <w:spacing w:before="120" w:after="0"/>
        <w:jc w:val="both"/>
        <w:rPr>
          <w:rFonts w:ascii="Times New Roman" w:hAnsi="Times New Roman"/>
          <w:sz w:val="20"/>
        </w:rPr>
      </w:pPr>
      <w:r>
        <w:rPr>
          <w:rFonts w:ascii="Times New Roman" w:hAnsi="Times New Roman"/>
          <w:sz w:val="20"/>
        </w:rPr>
        <w:t xml:space="preserve">Lens is our software application for life sciences research and allows researchers to quickly filter our multimodal database to identify groups of patients that meet their requirements and to perform robust analysis within the software application, such as by browsing, selecting, and analyzing cohorts of patients defined by a wide variety of clinical and molecular characteristics, analyzing the data completeness of the cohort, and performing robust analytics using our cloud-and-compute infrastructure and modeling tool set. </w:t>
      </w:r>
    </w:p>
    <w:p>
      <w:pPr>
        <w:pStyle w:val="TextBody"/>
        <w:bidi w:val="0"/>
        <w:spacing w:before="240" w:after="0"/>
        <w:jc w:val="both"/>
        <w:rPr>
          <w:rFonts w:ascii="Times New Roman" w:hAnsi="Times New Roman"/>
          <w:sz w:val="20"/>
        </w:rPr>
      </w:pPr>
      <w:r>
        <w:rPr>
          <w:rFonts w:ascii="Times New Roman" w:hAnsi="Times New Roman"/>
          <w:sz w:val="20"/>
        </w:rPr>
        <w:t xml:space="preserve">We designed Lens as our primary analytic tool to expose our multimodal dataset to two main constituencies: (i) researchers and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 In addition, our internal teams use Lens to conduct research and development activities, such as identifying desired data cohorts and performing AI model development. </w:t>
      </w:r>
    </w:p>
    <w:p>
      <w:pPr>
        <w:pStyle w:val="TextBody"/>
        <w:bidi w:val="0"/>
        <w:spacing w:before="240" w:after="0"/>
        <w:jc w:val="both"/>
        <w:rPr>
          <w:rFonts w:ascii="Times New Roman" w:hAnsi="Times New Roman"/>
          <w:sz w:val="20"/>
        </w:rPr>
      </w:pPr>
      <w:r>
        <w:rPr>
          <w:rFonts w:ascii="Times New Roman" w:hAnsi="Times New Roman"/>
          <w:sz w:val="20"/>
        </w:rPr>
        <w:t xml:space="preserve">Lens enables users to begin exploring Tempus dataset without writing a single line of code. It also facilitates a transition into increasingly complex analysis. The user experience begins with features that allow researchers to interrogate and design cohorts, but goes as far as enabling the provisioning of the underlying data into dedicated environments for more advanced and custom analysis and modeling. More advanced users can utilize a feature within Lens called Notebooks, which is a proprietary tool that allows users to run their own AI models within our cloud-and-compute environment, taking advantage of fast and streamlined access to our data and computational infrastructure, saving researchers time and money. </w:t>
      </w:r>
    </w:p>
    <w:p>
      <w:pPr>
        <w:pStyle w:val="TextBody"/>
        <w:bidi w:val="0"/>
        <w:spacing w:before="240" w:after="0"/>
        <w:jc w:val="both"/>
        <w:rPr>
          <w:rFonts w:ascii="Times New Roman" w:hAnsi="Times New Roman"/>
          <w:sz w:val="20"/>
        </w:rPr>
      </w:pPr>
      <w:r>
        <w:rPr>
          <w:rFonts w:ascii="Times New Roman" w:hAnsi="Times New Roman"/>
          <w:sz w:val="20"/>
        </w:rPr>
        <w:t xml:space="preserve">We believe Lens has the potential to redefine healthcare research as investigators can both use our tools for their computational needs and instantly download the data they need for their analysis. We are not aware of any other application in oncology, or any other major disease areas, that allows researchers to build large multimodal cohorts, utilize advanced analytics capabilities to explore the data, and download data for deeper analysis in near real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include below some screen shots depicting some of Lens capabilities: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861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861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30861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8610"/>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577850" cy="3086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Other Software Applications </w:t>
      </w:r>
    </w:p>
    <w:p>
      <w:pPr>
        <w:pStyle w:val="TextBody"/>
        <w:bidi w:val="0"/>
        <w:spacing w:before="120" w:after="0"/>
        <w:jc w:val="both"/>
        <w:rPr>
          <w:rFonts w:ascii="Times New Roman" w:hAnsi="Times New Roman"/>
          <w:sz w:val="20"/>
        </w:rPr>
      </w:pPr>
      <w:r>
        <w:rPr>
          <w:rFonts w:ascii="Times New Roman" w:hAnsi="Times New Roman"/>
          <w:sz w:val="20"/>
        </w:rPr>
        <w:t xml:space="preserve">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also have developed a mobile application in the infectious disease space that we use to deliver COVID-19 test results directly to patients. The application allows patients to connect to Tempus and contribute their data in an effort to combine clinical and molecular data for COVID-19 patients. To date, we have more than 17,000 users who have agreed to contribute data to Tempus to advance research and other valuable use cases.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Google Cloud Agreement </w:t>
      </w:r>
    </w:p>
    <w:p>
      <w:pPr>
        <w:pStyle w:val="TextBody"/>
        <w:bidi w:val="0"/>
        <w:spacing w:before="120" w:after="0"/>
        <w:jc w:val="both"/>
        <w:rPr>
          <w:rFonts w:ascii="Times New Roman" w:hAnsi="Times New Roman"/>
          <w:sz w:val="20"/>
        </w:rPr>
      </w:pPr>
      <w:r>
        <w:rPr>
          <w:rFonts w:ascii="Times New Roman" w:hAnsi="Times New Roman"/>
          <w:sz w:val="20"/>
        </w:rPr>
        <w:t xml:space="preserve">In June 2020, we signed an agreement with Google to migrate most of our cloud-based infrastructure to the Google Cloud Platform, or GCP. The Agreement with Google has two components: (1) a Master Agreement through which Google provides us with cloud services, as well as other products and services, for a multi-year period during which we committed to make escalating minimum payments with certain termination rights, along with contractual penalties for early termination and (2) a Convertible Note, the balance of which is reduced based on the amount we spend on Google cloud services. We believe our strategic arrangement with Google offers Tempus a distinct competitive advantage because we believe it provides us with attractive cloud and computing rates, along with resources and teams at Google that are aligned to advancing elements of our product roadmap. </w:t>
      </w:r>
    </w:p>
    <w:p>
      <w:pPr>
        <w:pStyle w:val="TextBody"/>
        <w:bidi w:val="0"/>
        <w:spacing w:before="360" w:after="0"/>
        <w:jc w:val="left"/>
        <w:rPr>
          <w:rFonts w:ascii="Times New Roman" w:hAnsi="Times New Roman"/>
          <w:b/>
          <w:sz w:val="20"/>
        </w:rPr>
      </w:pPr>
      <w:r>
        <w:rPr>
          <w:rFonts w:ascii="Times New Roman" w:hAnsi="Times New Roman"/>
          <w:b/>
          <w:sz w:val="20"/>
        </w:rPr>
        <w:t xml:space="preserve">Our Three Product Lines </w:t>
      </w:r>
    </w:p>
    <w:p>
      <w:pPr>
        <w:pStyle w:val="TextBody"/>
        <w:bidi w:val="0"/>
        <w:spacing w:before="120" w:after="0"/>
        <w:jc w:val="both"/>
        <w:rPr>
          <w:rFonts w:ascii="Times New Roman" w:hAnsi="Times New Roman"/>
          <w:sz w:val="20"/>
        </w:rPr>
      </w:pPr>
      <w:r>
        <w:rPr>
          <w:rFonts w:ascii="Times New Roman" w:hAnsi="Times New Roman"/>
          <w:sz w:val="20"/>
        </w:rPr>
        <w:t xml:space="preserve">Our products are organized under three product lines, with each product line designed to enable and enhance the others, thereby creating network effects in the markets in which we operate. Our Genomics product line provides a broad arrange of diagnostic testing services to healthcare providers. Our Data product line monetizes de-identified data that we collect and facilitates enrollment in clinical trials. Our Algos product line leverages our database to provide diagnostics entirely driven by data. Our three product lines and their corresponding product offerings are illustrated in the diagram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7020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577850" cy="37020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believe the interrelated nature of our three product lines is unique. Our business model allows our clients to unlock value from our data, and allows us to monetize that data (in de-identified format), in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ways across our different product lines. We believe these network effects and the compounding impact on the value of each data record in our database enhance our competitive advantages.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Genomics </w:t>
      </w:r>
    </w:p>
    <w:p>
      <w:pPr>
        <w:pStyle w:val="TextBody"/>
        <w:bidi w:val="0"/>
        <w:spacing w:before="120" w:after="0"/>
        <w:jc w:val="both"/>
        <w:rPr>
          <w:rFonts w:ascii="Times New Roman" w:hAnsi="Times New Roman"/>
          <w:sz w:val="20"/>
        </w:rPr>
      </w:pPr>
      <w:r>
        <w:rPr>
          <w:rFonts w:ascii="Times New Roman" w:hAnsi="Times New Roman"/>
          <w:sz w:val="20"/>
        </w:rPr>
        <w:t xml:space="preserve">We launched our Genomics product line to provide a comprehensive suite of Intelligent Diagnostics to healthcare providers, and to generate a steady stream of molecular data to help fuel growth in our Data and Algos product lines. As we run more tests through our laboratories, and as those tests are linked to patient records and clinical outcomes, we grow our data assets and leverage them across our other product lines. We operate two laboratories that provide NGS diagnostics, PCR profiling, and other anatomic and molecular pathology tests, and we expect to operationalize a third laboratory by the end of 2021.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clinical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 </w:t>
      </w:r>
    </w:p>
    <w:p>
      <w:pPr>
        <w:pStyle w:val="TextBody"/>
        <w:bidi w:val="0"/>
        <w:spacing w:before="240" w:after="0"/>
        <w:jc w:val="both"/>
        <w:rPr>
          <w:rFonts w:ascii="Times New Roman" w:hAnsi="Times New Roman"/>
          <w:sz w:val="20"/>
        </w:rPr>
      </w:pPr>
      <w:r>
        <w:rPr>
          <w:rFonts w:ascii="Times New Roman" w:hAnsi="Times New Roman"/>
          <w:sz w:val="20"/>
        </w:rPr>
        <w:t xml:space="preserve">We are generally paid for our Genomics services by billing insurance companies, or patients directly, who reimburse us for the tests we run, or by billing providers or pharmaceutical companies directly. The following diagram represents a summary of our test offerings: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93700"/>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577850" cy="3937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Oncology Tests </w:t>
      </w:r>
    </w:p>
    <w:p>
      <w:pPr>
        <w:pStyle w:val="TextBody"/>
        <w:bidi w:val="0"/>
        <w:spacing w:before="120" w:after="0"/>
        <w:jc w:val="both"/>
        <w:rPr>
          <w:rFonts w:ascii="Times New Roman" w:hAnsi="Times New Roman"/>
          <w:sz w:val="20"/>
        </w:rPr>
      </w:pPr>
      <w:r>
        <w:rPr>
          <w:rFonts w:ascii="Times New Roman" w:hAnsi="Times New Roman"/>
          <w:sz w:val="20"/>
        </w:rPr>
        <w:t xml:space="preserve">Our Platforms first application was in oncology, where we have built a versatile portfolio of cancer tests spanning across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which, if validated, we expect to launch commercially by the middle of 2022.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85"/>
        <w:gridCol w:w="393"/>
        <w:gridCol w:w="103"/>
        <w:gridCol w:w="868"/>
        <w:gridCol w:w="60"/>
        <w:gridCol w:w="393"/>
        <w:gridCol w:w="5203"/>
      </w:tblGrid>
      <w:tr>
        <w:trPr/>
        <w:tc>
          <w:tcPr>
            <w:tcW w:w="3185"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5203"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Lab Tests</w:t>
            </w:r>
          </w:p>
        </w:tc>
        <w:tc>
          <w:tcPr>
            <w:tcW w:w="393" w:type="dxa"/>
            <w:tcBorders/>
            <w:vAlign w:val="bottom"/>
          </w:tcPr>
          <w:p>
            <w:pPr>
              <w:pStyle w:val="TableContents"/>
              <w:bidi w:val="0"/>
              <w:spacing w:before="0" w:after="283"/>
              <w:jc w:val="left"/>
              <w:rPr/>
            </w:pPr>
            <w:r>
              <w:rPr/>
              <w:t>  </w:t>
            </w:r>
          </w:p>
        </w:tc>
        <w:tc>
          <w:tcPr>
            <w:tcW w:w="971" w:type="dxa"/>
            <w:gridSpan w:val="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Launch Year</w:t>
            </w:r>
          </w:p>
        </w:tc>
        <w:tc>
          <w:tcPr>
            <w:tcW w:w="6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520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4549" w:type="dxa"/>
            <w:gridSpan w:val="4"/>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Oncology tests</w:t>
            </w:r>
          </w:p>
        </w:tc>
        <w:tc>
          <w:tcPr>
            <w:tcW w:w="60" w:type="dxa"/>
            <w:tcBorders/>
            <w:shd w:fill="CCEEFF" w:val="clear"/>
          </w:tcPr>
          <w:p>
            <w:pPr>
              <w:pStyle w:val="TableContents"/>
              <w:bidi w:val="0"/>
              <w:spacing w:before="0" w:after="0"/>
              <w:jc w:val="left"/>
              <w:rPr/>
            </w:pPr>
            <w:r>
              <w:rPr/>
              <w:t> </w:t>
            </w:r>
          </w:p>
        </w:tc>
        <w:tc>
          <w:tcPr>
            <w:tcW w:w="393" w:type="dxa"/>
            <w:tcBorders/>
            <w:shd w:fill="CCEEFF" w:val="clear"/>
            <w:vAlign w:val="bottom"/>
          </w:tcPr>
          <w:p>
            <w:pPr>
              <w:pStyle w:val="TableContents"/>
              <w:bidi w:val="0"/>
              <w:spacing w:before="0" w:after="283"/>
              <w:jc w:val="left"/>
              <w:rPr/>
            </w:pPr>
            <w:r>
              <w:rPr/>
              <w:t>  </w:t>
            </w:r>
          </w:p>
        </w:tc>
        <w:tc>
          <w:tcPr>
            <w:tcW w:w="5203"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3185" w:type="dxa"/>
            <w:tcBorders/>
            <w:vAlign w:val="center"/>
          </w:tcPr>
          <w:p>
            <w:pPr>
              <w:pStyle w:val="TableContents"/>
              <w:bidi w:val="0"/>
              <w:spacing w:before="0" w:after="283"/>
              <w:jc w:val="left"/>
              <w:rPr>
                <w:sz w:val="4"/>
                <w:szCs w:val="4"/>
              </w:rPr>
            </w:pPr>
            <w:r>
              <w:rPr>
                <w:sz w:val="4"/>
                <w:szCs w:val="4"/>
              </w:rPr>
            </w:r>
          </w:p>
        </w:tc>
        <w:tc>
          <w:tcPr>
            <w:tcW w:w="1424" w:type="dxa"/>
            <w:gridSpan w:val="4"/>
            <w:tcBorders/>
            <w:vAlign w:val="center"/>
          </w:tcPr>
          <w:p>
            <w:pPr>
              <w:pStyle w:val="TableContents"/>
              <w:bidi w:val="0"/>
              <w:spacing w:before="0" w:after="283"/>
              <w:jc w:val="left"/>
              <w:rPr>
                <w:sz w:val="4"/>
                <w:szCs w:val="4"/>
              </w:rPr>
            </w:pPr>
            <w:r>
              <w:rPr>
                <w:sz w:val="4"/>
                <w:szCs w:val="4"/>
              </w:rPr>
            </w:r>
          </w:p>
        </w:tc>
        <w:tc>
          <w:tcPr>
            <w:tcW w:w="5596" w:type="dxa"/>
            <w:gridSpan w:val="2"/>
            <w:tcBorders/>
            <w:vAlign w:val="center"/>
          </w:tcPr>
          <w:p>
            <w:pPr>
              <w:pStyle w:val="TableContents"/>
              <w:bidi w:val="0"/>
              <w:spacing w:before="0" w:after="283"/>
              <w:jc w:val="left"/>
              <w:rPr>
                <w:sz w:val="4"/>
                <w:szCs w:val="4"/>
              </w:rPr>
            </w:pPr>
            <w:r>
              <w:rPr>
                <w:sz w:val="4"/>
                <w:szCs w:val="4"/>
              </w:rPr>
            </w:r>
          </w:p>
        </w:tc>
      </w:tr>
      <w:tr>
        <w:trPr/>
        <w:tc>
          <w:tcPr>
            <w:tcW w:w="3185" w:type="dxa"/>
            <w:tcBorders/>
          </w:tcPr>
          <w:p>
            <w:pPr>
              <w:pStyle w:val="TableContents"/>
              <w:bidi w:val="0"/>
              <w:spacing w:before="0" w:after="0"/>
              <w:jc w:val="left"/>
              <w:rPr>
                <w:rFonts w:ascii="Times New Roman" w:hAnsi="Times New Roman"/>
                <w:sz w:val="20"/>
              </w:rPr>
            </w:pPr>
            <w:r>
              <w:rPr>
                <w:rFonts w:ascii="Times New Roman" w:hAnsi="Times New Roman"/>
                <w:sz w:val="20"/>
              </w:rPr>
              <w:t>Tempus|xT</w:t>
            </w:r>
          </w:p>
        </w:tc>
        <w:tc>
          <w:tcPr>
            <w:tcW w:w="393"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868" w:type="dxa"/>
            <w:tcBorders/>
          </w:tcPr>
          <w:p>
            <w:pPr>
              <w:pStyle w:val="TableContents"/>
              <w:bidi w:val="0"/>
              <w:spacing w:before="0" w:after="283"/>
              <w:jc w:val="right"/>
              <w:rPr/>
            </w:pPr>
            <w:r>
              <w:rPr/>
              <w:t>2017</w:t>
            </w:r>
          </w:p>
        </w:tc>
        <w:tc>
          <w:tcPr>
            <w:tcW w:w="60" w:type="dxa"/>
            <w:tcBorders/>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520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   Designed to detect actionable oncologic targets by sequencing tumor tissue samples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   Typically associated with incidental germline testing for matched normal saliva or blood samples, when available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   Fourth generation test that covers 648 genes at 500x coverage spanning approximately 3.6 Mb of genomic space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   Includes full TCR, BCR, and HLA typing for immuno-oncology, or IO, signatures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   Offered with full transcriptomic profiling at 50 million paired end reads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   Detects TMB, MSI, and fusions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   The test has a 10-day quoted turnaround time.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   In our analytical validation, we demonstrated sensitivities &gt;98% for SNVs, &gt;92% for rearrangements / fusions, &gt;92% for CNVs and indels, and 99.9% for MSI.</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   Submitted pre-market approval, or PMA, to the FDA in March 2021 for a variation (xT-Onco) based in substantial part on a recent version of the xT assay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161"/>
        <w:gridCol w:w="390"/>
        <w:gridCol w:w="103"/>
        <w:gridCol w:w="873"/>
        <w:gridCol w:w="60"/>
        <w:gridCol w:w="390"/>
        <w:gridCol w:w="5228"/>
      </w:tblGrid>
      <w:tr>
        <w:trPr/>
        <w:tc>
          <w:tcPr>
            <w:tcW w:w="3161"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5228" w:type="dxa"/>
            <w:tcBorders/>
            <w:vAlign w:val="center"/>
          </w:tcPr>
          <w:p>
            <w:pPr>
              <w:pStyle w:val="TableContents"/>
              <w:bidi w:val="0"/>
              <w:spacing w:before="0" w:after="283"/>
              <w:jc w:val="left"/>
              <w:rPr>
                <w:sz w:val="4"/>
                <w:szCs w:val="4"/>
              </w:rPr>
            </w:pPr>
            <w:r>
              <w:rPr>
                <w:sz w:val="4"/>
                <w:szCs w:val="4"/>
              </w:rPr>
            </w:r>
          </w:p>
        </w:tc>
      </w:tr>
      <w:tr>
        <w:trPr/>
        <w:tc>
          <w:tcPr>
            <w:tcW w:w="31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Lab Tests</w:t>
            </w:r>
          </w:p>
        </w:tc>
        <w:tc>
          <w:tcPr>
            <w:tcW w:w="390"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Launch Year</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52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3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Tempus|xE</w:t>
            </w:r>
          </w:p>
        </w:tc>
        <w:tc>
          <w:tcPr>
            <w:tcW w:w="39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873" w:type="dxa"/>
            <w:tcBorders/>
            <w:shd w:fill="CCEEFF" w:val="clear"/>
          </w:tcPr>
          <w:p>
            <w:pPr>
              <w:pStyle w:val="TableContents"/>
              <w:bidi w:val="0"/>
              <w:spacing w:before="0" w:after="283"/>
              <w:jc w:val="left"/>
              <w:rPr/>
            </w:pPr>
            <w:r>
              <w:rPr/>
              <w:t>2018</w:t>
            </w:r>
          </w:p>
        </w:tc>
        <w:tc>
          <w:tcPr>
            <w:tcW w:w="60" w:type="dxa"/>
            <w:tcBorders/>
            <w:shd w:fill="CCEEFF" w:val="clear"/>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5228" w:type="dxa"/>
            <w:tcBorders/>
            <w:shd w:fill="CCEEFF" w:val="clear"/>
          </w:tcPr>
          <w:p>
            <w:pPr>
              <w:pStyle w:val="TableContents"/>
              <w:bidi w:val="0"/>
              <w:spacing w:before="0" w:after="0"/>
              <w:jc w:val="both"/>
              <w:rPr>
                <w:rFonts w:ascii="Times New Roman" w:hAnsi="Times New Roman"/>
                <w:sz w:val="20"/>
              </w:rPr>
            </w:pPr>
            <w:r>
              <w:rPr>
                <w:rFonts w:ascii="Times New Roman" w:hAnsi="Times New Roman"/>
                <w:sz w:val="20"/>
              </w:rPr>
              <w:t>   A whole exome cancer assay designed to identify actionable oncologic variants as well as neoantigens across the exome from tissue samples, thus enabling IO applications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   Run at 500x coverage for approximately 650 of the most significant onco-driving mutations and 250x depth of coverage for more than 19,000 genes on the panel</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   Offered with full transcriptomic profiling at 50 million paired end reads. Includes full TCR, BCR, and HLA typing for immuno-oncology, or IO, signatures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   Detects TMB, MSI, and fusions</w:t>
            </w:r>
          </w:p>
        </w:tc>
      </w:tr>
      <w:tr>
        <w:trPr>
          <w:trHeight w:val="120" w:hRule="atLeast"/>
        </w:trPr>
        <w:tc>
          <w:tcPr>
            <w:tcW w:w="3161" w:type="dxa"/>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c>
          <w:tcPr>
            <w:tcW w:w="5618" w:type="dxa"/>
            <w:gridSpan w:val="2"/>
            <w:tcBorders/>
            <w:vAlign w:val="center"/>
          </w:tcPr>
          <w:p>
            <w:pPr>
              <w:pStyle w:val="TableContents"/>
              <w:bidi w:val="0"/>
              <w:spacing w:before="0" w:after="283"/>
              <w:jc w:val="left"/>
              <w:rPr>
                <w:sz w:val="4"/>
                <w:szCs w:val="4"/>
              </w:rPr>
            </w:pPr>
            <w:r>
              <w:rPr>
                <w:sz w:val="4"/>
                <w:szCs w:val="4"/>
              </w:rPr>
            </w:r>
          </w:p>
        </w:tc>
      </w:tr>
      <w:tr>
        <w:trPr/>
        <w:tc>
          <w:tcPr>
            <w:tcW w:w="3161" w:type="dxa"/>
            <w:tcBorders/>
          </w:tcPr>
          <w:p>
            <w:pPr>
              <w:pStyle w:val="TableContents"/>
              <w:bidi w:val="0"/>
              <w:spacing w:before="0" w:after="0"/>
              <w:jc w:val="left"/>
              <w:rPr>
                <w:rFonts w:ascii="Times New Roman" w:hAnsi="Times New Roman"/>
                <w:sz w:val="20"/>
              </w:rPr>
            </w:pPr>
            <w:r>
              <w:rPr>
                <w:rFonts w:ascii="Times New Roman" w:hAnsi="Times New Roman"/>
                <w:sz w:val="20"/>
              </w:rPr>
              <w:t>Tempus|xF</w:t>
            </w:r>
          </w:p>
        </w:tc>
        <w:tc>
          <w:tcPr>
            <w:tcW w:w="39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873" w:type="dxa"/>
            <w:tcBorders/>
          </w:tcPr>
          <w:p>
            <w:pPr>
              <w:pStyle w:val="TableContents"/>
              <w:bidi w:val="0"/>
              <w:spacing w:before="0" w:after="283"/>
              <w:jc w:val="right"/>
              <w:rPr/>
            </w:pPr>
            <w:r>
              <w:rPr/>
              <w:t>2018</w:t>
            </w:r>
          </w:p>
        </w:tc>
        <w:tc>
          <w:tcPr>
            <w:tcW w:w="60" w:type="dxa"/>
            <w:tcBorders/>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5228" w:type="dxa"/>
            <w:tcBorders/>
          </w:tcPr>
          <w:p>
            <w:pPr>
              <w:pStyle w:val="TableContents"/>
              <w:bidi w:val="0"/>
              <w:spacing w:before="0" w:after="0"/>
              <w:jc w:val="both"/>
              <w:rPr>
                <w:rFonts w:ascii="Times New Roman" w:hAnsi="Times New Roman"/>
                <w:sz w:val="20"/>
              </w:rPr>
            </w:pPr>
            <w:r>
              <w:rPr>
                <w:rFonts w:ascii="Times New Roman" w:hAnsi="Times New Roman"/>
                <w:sz w:val="20"/>
              </w:rPr>
              <w:t>   Next-generation liquid biopsy assay covering 105 genes at approximately 20,000x coverage from peripheral blood samples for solid tumors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   Typically used for oncogenic and resistance mutations that can be detected in cell free DNA, or cfDNA, from a peripheral blood draw</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   Currently validating an updated version of assay which covers approximately 525 genes, including bTMB, MSI, additional fusions and CNVs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   In our analytical validation, for 0.5% VAF and 30ng of DNA, we demonstrated &gt;99.9% sensitivity for SNVs, 98.8% for indels, &gt;99.9% for CNVs, and 97.4% for rearrangements and fusions. xF also demonstrated 100% sensitivity concordance with Roche AVENIO ctDNA Expanded Kit for indels, CNVs, and rearrangements. We also demonstrated &gt;99.9% specificity for SNVs, indels, and fusions, and 96.2% specificity for CNVs</w:t>
            </w:r>
          </w:p>
        </w:tc>
      </w:tr>
      <w:tr>
        <w:trPr>
          <w:trHeight w:val="120" w:hRule="atLeast"/>
        </w:trPr>
        <w:tc>
          <w:tcPr>
            <w:tcW w:w="3161" w:type="dxa"/>
            <w:tcBorders/>
            <w:vAlign w:val="center"/>
          </w:tcPr>
          <w:p>
            <w:pPr>
              <w:pStyle w:val="TableContents"/>
              <w:bidi w:val="0"/>
              <w:spacing w:before="0" w:after="283"/>
              <w:jc w:val="left"/>
              <w:rPr>
                <w:sz w:val="4"/>
                <w:szCs w:val="4"/>
              </w:rPr>
            </w:pPr>
            <w:r>
              <w:rPr>
                <w:sz w:val="4"/>
                <w:szCs w:val="4"/>
              </w:rPr>
            </w:r>
          </w:p>
        </w:tc>
        <w:tc>
          <w:tcPr>
            <w:tcW w:w="1426" w:type="dxa"/>
            <w:gridSpan w:val="4"/>
            <w:tcBorders/>
            <w:vAlign w:val="center"/>
          </w:tcPr>
          <w:p>
            <w:pPr>
              <w:pStyle w:val="TableContents"/>
              <w:bidi w:val="0"/>
              <w:spacing w:before="0" w:after="283"/>
              <w:jc w:val="left"/>
              <w:rPr>
                <w:sz w:val="4"/>
                <w:szCs w:val="4"/>
              </w:rPr>
            </w:pPr>
            <w:r>
              <w:rPr>
                <w:sz w:val="4"/>
                <w:szCs w:val="4"/>
              </w:rPr>
            </w:r>
          </w:p>
        </w:tc>
        <w:tc>
          <w:tcPr>
            <w:tcW w:w="5618" w:type="dxa"/>
            <w:gridSpan w:val="2"/>
            <w:tcBorders/>
            <w:vAlign w:val="center"/>
          </w:tcPr>
          <w:p>
            <w:pPr>
              <w:pStyle w:val="TableContents"/>
              <w:bidi w:val="0"/>
              <w:spacing w:before="0" w:after="283"/>
              <w:jc w:val="left"/>
              <w:rPr>
                <w:sz w:val="4"/>
                <w:szCs w:val="4"/>
              </w:rPr>
            </w:pPr>
            <w:r>
              <w:rPr>
                <w:sz w:val="4"/>
                <w:szCs w:val="4"/>
              </w:rPr>
            </w:r>
          </w:p>
        </w:tc>
      </w:tr>
      <w:tr>
        <w:trPr/>
        <w:tc>
          <w:tcPr>
            <w:tcW w:w="3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Tempus|xG</w:t>
            </w:r>
          </w:p>
        </w:tc>
        <w:tc>
          <w:tcPr>
            <w:tcW w:w="39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873" w:type="dxa"/>
            <w:tcBorders/>
            <w:shd w:fill="CCEEFF" w:val="clear"/>
          </w:tcPr>
          <w:p>
            <w:pPr>
              <w:pStyle w:val="TableContents"/>
              <w:bidi w:val="0"/>
              <w:spacing w:before="0" w:after="283"/>
              <w:jc w:val="right"/>
              <w:rPr/>
            </w:pPr>
            <w:r>
              <w:rPr/>
              <w:t>2021</w:t>
            </w:r>
          </w:p>
        </w:tc>
        <w:tc>
          <w:tcPr>
            <w:tcW w:w="60" w:type="dxa"/>
            <w:tcBorders/>
            <w:shd w:fill="CCEEFF" w:val="clear"/>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5228" w:type="dxa"/>
            <w:tcBorders/>
            <w:shd w:fill="CCEEFF" w:val="clear"/>
          </w:tcPr>
          <w:p>
            <w:pPr>
              <w:pStyle w:val="TableContents"/>
              <w:bidi w:val="0"/>
              <w:spacing w:before="0" w:after="0"/>
              <w:jc w:val="both"/>
              <w:rPr>
                <w:rFonts w:ascii="Times New Roman" w:hAnsi="Times New Roman"/>
                <w:sz w:val="20"/>
              </w:rPr>
            </w:pPr>
            <w:r>
              <w:rPr>
                <w:rFonts w:ascii="Times New Roman" w:hAnsi="Times New Roman"/>
                <w:sz w:val="20"/>
              </w:rPr>
              <w:t>   52 gene inherited cancer germline panel run off whole exome platform at 75x depth of coverage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   Tests hereditary predisposition across common and well-described cancer syndromes such as breast, ovarian, prostate cancer (</w:t>
            </w:r>
            <w:r>
              <w:rPr>
                <w:rFonts w:ascii="Times New Roman" w:hAnsi="Times New Roman"/>
                <w:i/>
                <w:sz w:val="20"/>
              </w:rPr>
              <w:t>BRCA1, BRCA2</w:t>
            </w:r>
            <w:r>
              <w:rPr>
                <w:rFonts w:ascii="Times New Roman" w:hAnsi="Times New Roman"/>
                <w:sz w:val="20"/>
              </w:rPr>
              <w:t>), pancreatic cancer (</w:t>
            </w:r>
            <w:r>
              <w:rPr>
                <w:rFonts w:ascii="Times New Roman" w:hAnsi="Times New Roman"/>
                <w:i/>
                <w:sz w:val="20"/>
              </w:rPr>
              <w:t>CDKN2A, PALB2</w:t>
            </w:r>
            <w:r>
              <w:rPr>
                <w:rFonts w:ascii="Times New Roman" w:hAnsi="Times New Roman"/>
                <w:sz w:val="20"/>
              </w:rPr>
              <w:t>), colorectal cancer (</w:t>
            </w:r>
            <w:r>
              <w:rPr>
                <w:rFonts w:ascii="Times New Roman" w:hAnsi="Times New Roman"/>
                <w:i/>
                <w:sz w:val="20"/>
              </w:rPr>
              <w:t>APC, BMPR1A</w:t>
            </w:r>
            <w:r>
              <w:rPr>
                <w:rFonts w:ascii="Times New Roman" w:hAnsi="Times New Roman"/>
                <w:sz w:val="20"/>
              </w:rPr>
              <w:t>), and Lynch Syndrome (</w:t>
            </w:r>
            <w:r>
              <w:rPr>
                <w:rFonts w:ascii="Times New Roman" w:hAnsi="Times New Roman"/>
                <w:i/>
                <w:sz w:val="20"/>
              </w:rPr>
              <w:t>MLH1, MSH2, MSH6, PMS2, EPCAM</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   Typically used in patients with a personal and / or family history suggestive of hereditary predisposition to cancer and can guide future diagnostic decisions</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are also currently developing xM, a low pass whole genome + methylation for monitoring for cancer recurrence and minimal residual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67970"/>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577850" cy="26797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 </w:t>
      </w:r>
    </w:p>
    <w:p>
      <w:pPr>
        <w:pStyle w:val="TextBody"/>
        <w:bidi w:val="0"/>
        <w:spacing w:before="240" w:after="0"/>
        <w:jc w:val="both"/>
        <w:rPr>
          <w:rFonts w:ascii="Times New Roman" w:hAnsi="Times New Roman"/>
          <w:sz w:val="20"/>
        </w:rPr>
      </w:pPr>
      <w:r>
        <w:rPr>
          <w:rFonts w:ascii="Times New Roman" w:hAnsi="Times New Roman"/>
          <w:sz w:val="20"/>
        </w:rPr>
        <w:t xml:space="preserve">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104,000 in 2020, and approximately 69,000 in the first six months of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33337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577850" cy="3333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Our Neuropsychology Tests </w:t>
      </w:r>
    </w:p>
    <w:p>
      <w:pPr>
        <w:pStyle w:val="TextBody"/>
        <w:bidi w:val="0"/>
        <w:spacing w:before="120" w:after="0"/>
        <w:jc w:val="both"/>
        <w:rPr>
          <w:rFonts w:ascii="Times New Roman" w:hAnsi="Times New Roman"/>
          <w:sz w:val="20"/>
        </w:rPr>
      </w:pPr>
      <w:r>
        <w:rPr>
          <w:rFonts w:ascii="Times New Roman" w:hAnsi="Times New Roman"/>
          <w:sz w:val="20"/>
        </w:rPr>
        <w:t xml:space="preserve">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0"/>
        <w:gridCol w:w="125"/>
        <w:gridCol w:w="508"/>
        <w:gridCol w:w="125"/>
        <w:gridCol w:w="5967"/>
      </w:tblGrid>
      <w:tr>
        <w:trPr/>
        <w:tc>
          <w:tcPr>
            <w:tcW w:w="348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5967"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4113" w:type="dxa"/>
            <w:gridSpan w:val="3"/>
            <w:tcBorders/>
            <w:vAlign w:val="center"/>
          </w:tcPr>
          <w:p>
            <w:pPr>
              <w:pStyle w:val="TableContents"/>
              <w:bidi w:val="0"/>
              <w:spacing w:before="0" w:after="283"/>
              <w:jc w:val="left"/>
              <w:rPr>
                <w:sz w:val="4"/>
                <w:szCs w:val="4"/>
              </w:rPr>
            </w:pPr>
            <w:r>
              <w:rPr>
                <w:sz w:val="4"/>
                <w:szCs w:val="4"/>
              </w:rPr>
            </w:r>
          </w:p>
        </w:tc>
        <w:tc>
          <w:tcPr>
            <w:tcW w:w="6092" w:type="dxa"/>
            <w:gridSpan w:val="2"/>
            <w:tcBorders/>
            <w:vAlign w:val="center"/>
          </w:tcPr>
          <w:p>
            <w:pPr>
              <w:pStyle w:val="TableContents"/>
              <w:bidi w:val="0"/>
              <w:spacing w:before="0" w:after="283"/>
              <w:jc w:val="left"/>
              <w:rPr>
                <w:sz w:val="4"/>
                <w:szCs w:val="4"/>
              </w:rPr>
            </w:pPr>
            <w:r>
              <w:rPr>
                <w:sz w:val="4"/>
                <w:szCs w:val="4"/>
              </w:rPr>
            </w:r>
          </w:p>
        </w:tc>
      </w:tr>
      <w:tr>
        <w:trPr/>
        <w:tc>
          <w:tcPr>
            <w:tcW w:w="4113"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Neuropsychology Test</w:t>
            </w:r>
          </w:p>
        </w:tc>
        <w:tc>
          <w:tcPr>
            <w:tcW w:w="125" w:type="dxa"/>
            <w:tcBorders/>
            <w:shd w:fill="CCEEFF" w:val="clear"/>
            <w:vAlign w:val="bottom"/>
          </w:tcPr>
          <w:p>
            <w:pPr>
              <w:pStyle w:val="TableContents"/>
              <w:bidi w:val="0"/>
              <w:spacing w:before="0" w:after="283"/>
              <w:jc w:val="left"/>
              <w:rPr/>
            </w:pPr>
            <w:r>
              <w:rPr/>
              <w:t>  </w:t>
            </w:r>
          </w:p>
        </w:tc>
        <w:tc>
          <w:tcPr>
            <w:tcW w:w="5967" w:type="dxa"/>
            <w:tcBorders/>
            <w:shd w:fill="CCEEFF" w:val="clear"/>
          </w:tcPr>
          <w:p>
            <w:pPr>
              <w:pStyle w:val="TableContents"/>
              <w:bidi w:val="0"/>
              <w:spacing w:before="0" w:after="0"/>
              <w:jc w:val="left"/>
              <w:rPr/>
            </w:pPr>
            <w:r>
              <w:rPr/>
              <w:t> </w:t>
            </w:r>
          </w:p>
        </w:tc>
      </w:tr>
      <w:tr>
        <w:trPr>
          <w:trHeight w:val="120" w:hRule="atLeast"/>
        </w:trPr>
        <w:tc>
          <w:tcPr>
            <w:tcW w:w="3480" w:type="dxa"/>
            <w:tcBorders/>
            <w:vAlign w:val="center"/>
          </w:tcPr>
          <w:p>
            <w:pPr>
              <w:pStyle w:val="TableContents"/>
              <w:bidi w:val="0"/>
              <w:spacing w:before="0" w:after="283"/>
              <w:jc w:val="left"/>
              <w:rPr>
                <w:sz w:val="4"/>
                <w:szCs w:val="4"/>
              </w:rPr>
            </w:pPr>
            <w:r>
              <w:rPr>
                <w:sz w:val="4"/>
                <w:szCs w:val="4"/>
              </w:rPr>
            </w:r>
          </w:p>
        </w:tc>
        <w:tc>
          <w:tcPr>
            <w:tcW w:w="633" w:type="dxa"/>
            <w:gridSpan w:val="2"/>
            <w:tcBorders/>
            <w:vAlign w:val="center"/>
          </w:tcPr>
          <w:p>
            <w:pPr>
              <w:pStyle w:val="TableContents"/>
              <w:bidi w:val="0"/>
              <w:spacing w:before="0" w:after="283"/>
              <w:jc w:val="left"/>
              <w:rPr>
                <w:sz w:val="4"/>
                <w:szCs w:val="4"/>
              </w:rPr>
            </w:pPr>
            <w:r>
              <w:rPr>
                <w:sz w:val="4"/>
                <w:szCs w:val="4"/>
              </w:rPr>
            </w:r>
          </w:p>
        </w:tc>
        <w:tc>
          <w:tcPr>
            <w:tcW w:w="6092" w:type="dxa"/>
            <w:gridSpan w:val="2"/>
            <w:tcBorders/>
            <w:vAlign w:val="center"/>
          </w:tcPr>
          <w:p>
            <w:pPr>
              <w:pStyle w:val="TableContents"/>
              <w:bidi w:val="0"/>
              <w:spacing w:before="0" w:after="283"/>
              <w:jc w:val="left"/>
              <w:rPr>
                <w:sz w:val="4"/>
                <w:szCs w:val="4"/>
              </w:rPr>
            </w:pPr>
            <w:r>
              <w:rPr>
                <w:sz w:val="4"/>
                <w:szCs w:val="4"/>
              </w:rPr>
            </w:r>
          </w:p>
        </w:tc>
      </w:tr>
      <w:tr>
        <w:trPr/>
        <w:tc>
          <w:tcPr>
            <w:tcW w:w="3480" w:type="dxa"/>
            <w:tcBorders/>
          </w:tcPr>
          <w:p>
            <w:pPr>
              <w:pStyle w:val="TableContents"/>
              <w:bidi w:val="0"/>
              <w:spacing w:before="0" w:after="0"/>
              <w:jc w:val="left"/>
              <w:rPr>
                <w:rFonts w:ascii="Times New Roman" w:hAnsi="Times New Roman"/>
                <w:sz w:val="20"/>
              </w:rPr>
            </w:pPr>
            <w:r>
              <w:rPr>
                <w:rFonts w:ascii="Times New Roman" w:hAnsi="Times New Roman"/>
                <w:sz w:val="20"/>
              </w:rPr>
              <w:t>Tempus|nP</w:t>
            </w:r>
          </w:p>
        </w:tc>
        <w:tc>
          <w:tcPr>
            <w:tcW w:w="125" w:type="dxa"/>
            <w:tcBorders/>
            <w:vAlign w:val="bottom"/>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2019</w:t>
            </w:r>
          </w:p>
        </w:tc>
        <w:tc>
          <w:tcPr>
            <w:tcW w:w="125" w:type="dxa"/>
            <w:tcBorders/>
            <w:vAlign w:val="bottom"/>
          </w:tcPr>
          <w:p>
            <w:pPr>
              <w:pStyle w:val="TableContents"/>
              <w:bidi w:val="0"/>
              <w:spacing w:before="0" w:after="283"/>
              <w:jc w:val="left"/>
              <w:rPr/>
            </w:pPr>
            <w:r>
              <w:rPr/>
              <w:t>  </w:t>
            </w:r>
          </w:p>
        </w:tc>
        <w:tc>
          <w:tcPr>
            <w:tcW w:w="5967" w:type="dxa"/>
            <w:tcBorders/>
          </w:tcPr>
          <w:p>
            <w:pPr>
              <w:pStyle w:val="TableContents"/>
              <w:bidi w:val="0"/>
              <w:spacing w:before="0" w:after="0"/>
              <w:jc w:val="both"/>
              <w:rPr>
                <w:rFonts w:ascii="Times New Roman" w:hAnsi="Times New Roman"/>
                <w:sz w:val="20"/>
              </w:rPr>
            </w:pPr>
            <w:r>
              <w:rPr>
                <w:rFonts w:ascii="Times New Roman" w:hAnsi="Times New Roman"/>
                <w:sz w:val="20"/>
              </w:rPr>
              <w:t>   Pharmacogenomic profiling for patients with psychiatric conditions; primarily used for depression</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   Covers 13 validated genes and approximately 90 variants (e.g., CYP2D6)</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   Run off whole exome platform at 50x depth of coverage, with an average depth of coverage of approximately 1050x for clinically reported variants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   Uses matrix-assisted laser desorption ionization-time of flight (MALDI-TOF) mass spectrometry to analyze approximately 90 pharmacogenetic variants and cover the exonic regions of approximately 20,000 genes at an average coverage of 50X, with an average depth of coverage of approximately 1050x for clinically reported variants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an effort to bring AI to this field, we are not only performing pharmacogenomic profiling, we also regularly collect two additional data modalities: (i) time on therapy data from the patients EHR (or directly from the ordering physician), and (ii) patient reported outcome, or PRO, data through our TempusPRO mobile application. </w:t>
      </w:r>
    </w:p>
    <w:p>
      <w:pPr>
        <w:pStyle w:val="TextBody"/>
        <w:bidi w:val="0"/>
        <w:spacing w:before="240" w:after="0"/>
        <w:jc w:val="both"/>
        <w:rPr>
          <w:rFonts w:ascii="Times New Roman" w:hAnsi="Times New Roman"/>
          <w:sz w:val="20"/>
        </w:rPr>
      </w:pPr>
      <w:r>
        <w:rPr>
          <w:rFonts w:ascii="Times New Roman" w:hAnsi="Times New Roman"/>
          <w:sz w:val="20"/>
        </w:rPr>
        <w:t xml:space="preserve">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 including Alzheimers disease/dementia, epilepsy, ALS, multiple sclerosis, and others. </w:t>
      </w:r>
    </w:p>
    <w:p>
      <w:pPr>
        <w:pStyle w:val="TextBody"/>
        <w:bidi w:val="0"/>
        <w:spacing w:before="360" w:after="0"/>
        <w:jc w:val="left"/>
        <w:rPr>
          <w:rFonts w:ascii="Times New Roman" w:hAnsi="Times New Roman"/>
          <w:i/>
          <w:sz w:val="20"/>
        </w:rPr>
      </w:pPr>
      <w:r>
        <w:rPr>
          <w:rFonts w:ascii="Times New Roman" w:hAnsi="Times New Roman"/>
          <w:i/>
          <w:sz w:val="20"/>
        </w:rPr>
        <w:t xml:space="preserve">Our Infectious Disease Tests </w:t>
      </w:r>
    </w:p>
    <w:p>
      <w:pPr>
        <w:pStyle w:val="TextBody"/>
        <w:bidi w:val="0"/>
        <w:spacing w:before="120" w:after="0"/>
        <w:jc w:val="both"/>
        <w:rPr>
          <w:rFonts w:ascii="Times New Roman" w:hAnsi="Times New Roman"/>
          <w:sz w:val="20"/>
        </w:rPr>
      </w:pPr>
      <w:r>
        <w:rPr>
          <w:rFonts w:ascii="Times New Roman" w:hAnsi="Times New Roman"/>
          <w:sz w:val="20"/>
        </w:rPr>
        <w:t xml:space="preserve">We expanded into infectious diseases in 2020 due to the growing focus from healthcare providers and pharmaceutical companies on better understanding, diagnosing, and treating infectious diseases. Our strategy in infectious diseases is to offer a suite of tests that enable a better understanding of infectious disease, to use the data we collect while running tests to contribute to our Platform, and ultimately to make infectious disease tests intelligent over time. </w:t>
      </w:r>
    </w:p>
    <w:p>
      <w:pPr>
        <w:pStyle w:val="TextBody"/>
        <w:bidi w:val="0"/>
        <w:spacing w:before="240" w:after="0"/>
        <w:jc w:val="both"/>
        <w:rPr>
          <w:rFonts w:ascii="Times New Roman" w:hAnsi="Times New Roman"/>
          <w:sz w:val="20"/>
        </w:rPr>
      </w:pPr>
      <w:r>
        <w:rPr>
          <w:rFonts w:ascii="Times New Roman" w:hAnsi="Times New Roman"/>
          <w:sz w:val="20"/>
        </w:rPr>
        <w:t xml:space="preserve">COVID-19 heightened our collective awareness of how we might use our Platform to combat viruses and other pathogens. We believe there is a need in infectious disease for a more data-driven approach to diagnosis, therapy recommendation, and drug development. For example, there is a limited understanding of why some patients have minimal reactions to viruses and others become ill, why certain patients respond to pathogens and corresponding therapeutics differently, and why some patients have severe adverse reactions to certain drugs while others do not. Collecting sufficient data that provides a more complete picture of the pathogen could result in a better understanding of the disease and improve clinical decisions and therapeutic development. Furthermore, the growing problem of antimicrobial resistance might be addressable with data that helps facilitate a better understanding of pathogens and effective therapies. </w:t>
      </w:r>
    </w:p>
    <w:p>
      <w:pPr>
        <w:pStyle w:val="TextBody"/>
        <w:bidi w:val="0"/>
        <w:spacing w:before="240" w:after="0"/>
        <w:jc w:val="both"/>
        <w:rPr>
          <w:rFonts w:ascii="Times New Roman" w:hAnsi="Times New Roman"/>
          <w:sz w:val="20"/>
        </w:rPr>
      </w:pPr>
      <w:r>
        <w:rPr>
          <w:rFonts w:ascii="Times New Roman" w:hAnsi="Times New Roman"/>
          <w:sz w:val="20"/>
        </w:rPr>
        <w:t xml:space="preserve">We capitalized on the demand for COVID-19 testing to build our database by launching PCR and NGS tests for COVID-19. Our laboratory testing infrastructure and our relationships with a broad customer base enabled us to rapidly scale operations and deliver over two million COVID-19 clinical tests through June 30, 2021. We entered into clinical testing agreements with various clients, including pharmacies, urgent care centers, state departments of health, primary care providers, universities and schools, and corporate clients. In addition, as part of our multimodal data collection efforts, we launched a patient facing mobile application to return results to users and create a portal through which they could elect to contribute their clinical data to Tempus for research purposes. </w:t>
      </w:r>
    </w:p>
    <w:p>
      <w:pPr>
        <w:pStyle w:val="TextBody"/>
        <w:bidi w:val="0"/>
        <w:spacing w:before="240" w:after="0"/>
        <w:jc w:val="both"/>
        <w:rPr>
          <w:rFonts w:ascii="Times New Roman" w:hAnsi="Times New Roman"/>
          <w:sz w:val="20"/>
        </w:rPr>
      </w:pPr>
      <w:r>
        <w:rPr>
          <w:rFonts w:ascii="Times New Roman" w:hAnsi="Times New Roman"/>
          <w:sz w:val="20"/>
        </w:rPr>
        <w:t xml:space="preserve">As COVID-19 testing has materially decreased in the United States in light of the broadly distributed vaccines and changes in CDC guidance as to whom should be tested, we have shifted resources away from COVID-19 testing and do not expect levels of COVID-19 testing to be material to our business going forward. As such, we are focusing our efforts on other infectious diseases areas and on broader respiratory pathogen testing.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w:t>
      </w:r>
    </w:p>
    <w:p>
      <w:pPr>
        <w:pStyle w:val="TextBody"/>
        <w:bidi w:val="0"/>
        <w:spacing w:before="120" w:after="0"/>
        <w:jc w:val="both"/>
        <w:rPr>
          <w:rFonts w:ascii="Times New Roman" w:hAnsi="Times New Roman"/>
          <w:sz w:val="20"/>
        </w:rPr>
      </w:pPr>
      <w:r>
        <w:rPr>
          <w:rFonts w:ascii="Times New Roman" w:hAnsi="Times New Roman"/>
          <w:sz w:val="20"/>
        </w:rPr>
        <w:t xml:space="preserve">Our Data product line facilitates drug discovery and development for pharmaceutical and biotechnology companies through two primary products: Insights and Therapies. We also maintain a growing tumor-derived biological modeling (or organoid) laboratory, which allows us to provide modeling and screening services to our pharmaceutical and biotech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Insights </w:t>
      </w:r>
    </w:p>
    <w:p>
      <w:pPr>
        <w:pStyle w:val="TextBody"/>
        <w:bidi w:val="0"/>
        <w:spacing w:before="120" w:after="0"/>
        <w:jc w:val="both"/>
        <w:rPr>
          <w:rFonts w:ascii="Times New Roman" w:hAnsi="Times New Roman"/>
          <w:sz w:val="20"/>
        </w:rPr>
      </w:pPr>
      <w:r>
        <w:rPr>
          <w:rFonts w:ascii="Times New Roman" w:hAnsi="Times New Roman"/>
          <w:sz w:val="20"/>
        </w:rPr>
        <w:t xml:space="preserve">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 </w:t>
      </w:r>
    </w:p>
    <w:p>
      <w:pPr>
        <w:pStyle w:val="TextBody"/>
        <w:bidi w:val="0"/>
        <w:spacing w:before="240" w:after="0"/>
        <w:jc w:val="both"/>
        <w:rPr>
          <w:rFonts w:ascii="Times New Roman" w:hAnsi="Times New Roman"/>
          <w:sz w:val="20"/>
        </w:rPr>
      </w:pPr>
      <w:r>
        <w:rPr>
          <w:rFonts w:ascii="Times New Roman" w:hAnsi="Times New Roman"/>
          <w:sz w:val="20"/>
        </w:rPr>
        <w:t xml:space="preserve">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subscription agreements to access our de-identified patient database. In 2020, we worked with more than half of the 20 largest public pharmaceutical companies based on 2020 revenue and, as of June 30, 2021, we have signed contracts with a total remaining contract value of $172 million (including both our Insights and Therapies products and services). We expect to deliver a majority of this contract value over the next several years. </w:t>
      </w:r>
    </w:p>
    <w:p>
      <w:pPr>
        <w:pStyle w:val="TextBody"/>
        <w:bidi w:val="0"/>
        <w:spacing w:before="240" w:after="0"/>
        <w:jc w:val="both"/>
        <w:rPr>
          <w:rFonts w:ascii="Times New Roman" w:hAnsi="Times New Roman"/>
          <w:sz w:val="20"/>
        </w:rPr>
      </w:pPr>
      <w:r>
        <w:rPr>
          <w:rFonts w:ascii="Times New Roman" w:hAnsi="Times New Roman"/>
          <w:sz w:val="20"/>
        </w:rPr>
        <w:t xml:space="preserve">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6797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577850" cy="26797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 </w:t>
      </w:r>
    </w:p>
    <w:p>
      <w:pPr>
        <w:pStyle w:val="TextBody"/>
        <w:bidi w:val="0"/>
        <w:spacing w:before="240" w:after="0"/>
        <w:jc w:val="both"/>
        <w:rPr>
          <w:rFonts w:ascii="Times New Roman" w:hAnsi="Times New Roman"/>
          <w:sz w:val="20"/>
        </w:rPr>
      </w:pPr>
      <w:r>
        <w:rPr>
          <w:rFonts w:ascii="Times New Roman" w:hAnsi="Times New Roman"/>
          <w:sz w:val="20"/>
        </w:rPr>
        <w:t xml:space="preserve">Because many of our data profiles regularly update with clinical outcome and response data over time, the utility of a single de-identified record increases over time. As such, the files we generate by sequencing a patient,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increases over time, in a manner similar to a content company where you pay to create content and then monetize the content over time as people subscribe to access the content. </w:t>
      </w:r>
    </w:p>
    <w:p>
      <w:pPr>
        <w:pStyle w:val="TextBody"/>
        <w:bidi w:val="0"/>
        <w:spacing w:before="240" w:after="0"/>
        <w:jc w:val="both"/>
        <w:rPr>
          <w:rFonts w:ascii="Times New Roman" w:hAnsi="Times New Roman"/>
          <w:sz w:val="20"/>
        </w:rPr>
      </w:pPr>
      <w:r>
        <w:rPr>
          <w:rFonts w:ascii="Times New Roman" w:hAnsi="Times New Roman"/>
          <w:sz w:val="20"/>
        </w:rPr>
        <w:t xml:space="preserve">For example, in 2018, the first full year that Tempus operated a laboratory, we sequenced samples from approximately 7,500 patients. From that 2018 cohort of sequenced patients, through December 31, 2020, we have generated $42.3 million of combined revenue from sequencing, data licensing of de-identified data derived from those records, and clinical trials matching, which is approximately 4.7 times the revenue we received from sequencing that same cohort of patients during that period. The total 2018 cohort sequencing costs were $17.4 million, of which $9.0 million was covered by the reimbursement for the corresponding sequencing tests. We then generated $16.3 million of incremental data revenue from that cohort in 2018, finishing the year with $7.9 million in gross profit from the 2018 cohort (as the incremental costs associated with generating such revenue were </w:t>
      </w:r>
      <w:r>
        <w:rPr>
          <w:rFonts w:ascii="Times New Roman" w:hAnsi="Times New Roman"/>
          <w:i/>
          <w:sz w:val="20"/>
        </w:rPr>
        <w:t>de minimis</w:t>
      </w:r>
      <w:r>
        <w:rPr>
          <w:rFonts w:ascii="Times New Roman" w:hAnsi="Times New Roman"/>
          <w:sz w:val="20"/>
        </w:rPr>
        <w:t xml:space="preserve">) related to all patients sequenced in 2018. As more customers licensed de-identified records from the 2018 cohort in subsequent years, and as the same clients licensed the same records across different points in time, we generated additional data revenue in 2019 and 2020 from the 2018 cohort, and as of December 31, 2020 had $24.9 million in aggregate gross profit related to the 2018 cohort. We maintained a similar trend for the 2019 cohort through its first two years in existence. The total 2019 cohort sequencing costs were $39.1 million, of which $25.7 million was covered by the reimbursement for the corresponding sequencing tests. We then generated $23.3 million of incremental data revenue from that cohort in 2019, finishing the year with $9.9 million in gross profit related to all patients sequenced in the 2019 cohort. We generated additional data revenue in 2020 from the 2019 cohort, and as of December 31, 2020 had $23.1 million in aggregate gross profit related to the 2019 cohort. The growth of gross profit in the 2018-2020 cohorts is illustrated in the graphs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83845"/>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577850" cy="2838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219710"/>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577850" cy="2197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17805"/>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577850" cy="217805"/>
                    </a:xfrm>
                    <a:prstGeom prst="rect">
                      <a:avLst/>
                    </a:prstGeom>
                  </pic:spPr>
                </pic:pic>
              </a:graphicData>
            </a:graphic>
          </wp:inline>
        </w:drawing>
      </w:r>
      <w:r>
        <w:rPr/>
        <w:t xml:space="preserve"> </w:t>
      </w:r>
    </w:p>
    <w:p>
      <w:pPr>
        <w:pStyle w:val="TextBody"/>
        <w:bidi w:val="0"/>
        <w:spacing w:before="360" w:after="0"/>
        <w:jc w:val="both"/>
        <w:rPr>
          <w:rFonts w:ascii="Times New Roman" w:hAnsi="Times New Roman"/>
          <w:i/>
          <w:sz w:val="20"/>
        </w:rPr>
      </w:pPr>
      <w:r>
        <w:rPr>
          <w:rFonts w:ascii="Times New Roman" w:hAnsi="Times New Roman"/>
          <w:i/>
          <w:sz w:val="20"/>
        </w:rPr>
        <w:t xml:space="preserve">*Cumulative gross profit in the above charts is calculated as cumulative revenue less initial sequencing costs. Cost of subsequent data revenue is minimal in nature and limited to the cloud costs associated with delivering a record. </w:t>
      </w:r>
    </w:p>
    <w:p>
      <w:pPr>
        <w:pStyle w:val="TextBody"/>
        <w:bidi w:val="0"/>
        <w:spacing w:before="360" w:after="0"/>
        <w:jc w:val="left"/>
        <w:rPr>
          <w:rFonts w:ascii="Times New Roman" w:hAnsi="Times New Roman"/>
          <w:i/>
          <w:sz w:val="20"/>
        </w:rPr>
      </w:pPr>
      <w:r>
        <w:rPr>
          <w:rFonts w:ascii="Times New Roman" w:hAnsi="Times New Roman"/>
          <w:i/>
          <w:sz w:val="20"/>
        </w:rPr>
        <w:t xml:space="preserve">Therapies </w:t>
      </w:r>
    </w:p>
    <w:p>
      <w:pPr>
        <w:pStyle w:val="TextBody"/>
        <w:bidi w:val="0"/>
        <w:spacing w:before="120" w:after="0"/>
        <w:jc w:val="both"/>
        <w:rPr>
          <w:rFonts w:ascii="Times New Roman" w:hAnsi="Times New Roman"/>
          <w:sz w:val="20"/>
        </w:rPr>
      </w:pPr>
      <w:r>
        <w:rPr>
          <w:rFonts w:ascii="Times New Roman" w:hAnsi="Times New Roman"/>
          <w:sz w:val="20"/>
        </w:rPr>
        <w:t xml:space="preserve">Therapies is our second offering within our Data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 </w:t>
      </w:r>
    </w:p>
    <w:p>
      <w:pPr>
        <w:pStyle w:val="TextBody"/>
        <w:bidi w:val="0"/>
        <w:spacing w:before="240" w:after="0"/>
        <w:jc w:val="both"/>
        <w:rPr>
          <w:rFonts w:ascii="Times New Roman" w:hAnsi="Times New Roman"/>
          <w:sz w:val="20"/>
        </w:rPr>
      </w:pPr>
      <w:r>
        <w:rPr>
          <w:rFonts w:ascii="Times New Roman" w:hAnsi="Times New Roman"/>
          <w:sz w:val="20"/>
        </w:rPr>
        <w:t xml:space="preserve">Our Therapies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 </w:t>
      </w:r>
    </w:p>
    <w:p>
      <w:pPr>
        <w:pStyle w:val="TextBody"/>
        <w:bidi w:val="0"/>
        <w:spacing w:before="240" w:after="0"/>
        <w:jc w:val="both"/>
        <w:rPr>
          <w:rFonts w:ascii="Times New Roman" w:hAnsi="Times New Roman"/>
          <w:sz w:val="20"/>
        </w:rPr>
      </w:pPr>
      <w:r>
        <w:rPr>
          <w:rFonts w:ascii="Times New Roman" w:hAnsi="Times New Roman"/>
          <w:sz w:val="20"/>
        </w:rPr>
        <w:t xml:space="preserve">Our clinical trial matching product is called the TIME Trial® program, which we launched in June of 2019. Since its introduction, this program has gained significant traction and as of June 30, 2021, more than 150 provider networks and research institutions, representing more than 6,200 oncologists, have signed up to join the program. As of June 30, 2021, more than 1,500 oncologists were fully enrolled, more than 50 clinical trials were onboarded and active, and more than 5,000 patients were identified for potential enrollment into clinical trials in our network.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54330"/>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577850" cy="3543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One of the primary benefits of our Therapies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Therapies product taking 8.8 days on average between April 2020 and August 2021. A comparison of our average time from site initiation to patient consent with the industry average is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9245"/>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577850" cy="30924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Tumor Derived Biological ModelingOrganoids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our efforts to collect vast amounts of phenotypic, morphologic, and molecular data, we have built a large, biological modeling lab that allows us to test various theories in vitro through our large repository of tumor-derived organoids, or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materially, as shown in the graphic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29591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577850" cy="29591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 </w:t>
      </w:r>
    </w:p>
    <w:p>
      <w:pPr>
        <w:pStyle w:val="TextBody"/>
        <w:bidi w:val="0"/>
        <w:spacing w:before="240" w:after="0"/>
        <w:jc w:val="both"/>
        <w:rPr>
          <w:rFonts w:ascii="Times New Roman" w:hAnsi="Times New Roman"/>
          <w:sz w:val="20"/>
        </w:rPr>
      </w:pPr>
      <w:r>
        <w:rPr>
          <w:rFonts w:ascii="Times New Roman" w:hAnsi="Times New Roman"/>
          <w:sz w:val="20"/>
        </w:rPr>
        <w:t xml:space="preserve">We view biological models as another form of data. Our efforts to grow Organoids are part of our overall strategy to leverage the best of systems biology along with the best of AI to collect the requisite data needed to produce answers broadly throughout healthcare.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Algos </w:t>
      </w:r>
    </w:p>
    <w:p>
      <w:pPr>
        <w:pStyle w:val="TextBody"/>
        <w:bidi w:val="0"/>
        <w:spacing w:before="120" w:after="0"/>
        <w:jc w:val="both"/>
        <w:rPr>
          <w:rFonts w:ascii="Times New Roman" w:hAnsi="Times New Roman"/>
          <w:sz w:val="20"/>
        </w:rPr>
      </w:pPr>
      <w:r>
        <w:rPr>
          <w:rFonts w:ascii="Times New Roman" w:hAnsi="Times New Roman"/>
          <w:sz w:val="20"/>
        </w:rPr>
        <w:t>The vastness of our dataset creates an opportunity to use data to algorithmically diagnose and treat patients. Our newest product line, Algos</w:t>
      </w:r>
      <w:r>
        <w:rPr>
          <w:rFonts w:ascii="Times New Roman" w:hAnsi="Times New Roman"/>
          <w:i/>
          <w:sz w:val="20"/>
        </w:rPr>
        <w:t>, i</w:t>
      </w:r>
      <w:r>
        <w:rPr>
          <w:rFonts w:ascii="Times New Roman" w:hAnsi="Times New Roman"/>
          <w:sz w:val="20"/>
        </w:rPr>
        <w:t xml:space="preserve">s focused on developing diagnostics that are algorithmic in nature. We use data the same way legacy diagnostic companies use chemistry in the battle against disease, seeking to improve patient care by learning from all the patients who have come before, and tailoring test results based on each patients unique profile. Our Algos can be run without the need for additional chemistry or biology; they are simply 0s and 1s running on digitized data derived from a laboratory test. Algos leverage AI-driven insights to produce clinically validated and actionable information for physicians.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example diagram below represents how algorithm-based diagnostics work and the value of multimodal data as it relates to improved analytics: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469900"/>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577850" cy="46990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Algos Portfolio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robust, multimodal dataset creates an opportunity for Algos that otherwise would not be possible and allows us to build AI models at scale, clinically validate them, and deploy the resulting Algos into clinical practice. As of June 30, 2021, we have two commercialized Algos, and we have approximately 16 more in various stages of development. Some Algos will likely yield little to no reimbursement until their clinical utility is established, and some may obtain reimbursement at prevailing rates for comparable tests. Through June 30, 2021 our Algos have been ordered approximately 6,000 times and have generated approximately $100/test on average. Eventually, we would like to launch hundreds, if not thousands, of Algos. The following table represents our current Algos products, as well as our nearer term Algos in the pipeline: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27"/>
        <w:gridCol w:w="305"/>
        <w:gridCol w:w="564"/>
        <w:gridCol w:w="305"/>
        <w:gridCol w:w="5504"/>
      </w:tblGrid>
      <w:tr>
        <w:trPr/>
        <w:tc>
          <w:tcPr>
            <w:tcW w:w="3527"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5504" w:type="dxa"/>
            <w:tcBorders/>
            <w:vAlign w:val="center"/>
          </w:tcPr>
          <w:p>
            <w:pPr>
              <w:pStyle w:val="TableContents"/>
              <w:bidi w:val="0"/>
              <w:spacing w:before="0" w:after="283"/>
              <w:jc w:val="left"/>
              <w:rPr>
                <w:sz w:val="4"/>
                <w:szCs w:val="4"/>
              </w:rPr>
            </w:pPr>
            <w:r>
              <w:rPr>
                <w:sz w:val="4"/>
                <w:szCs w:val="4"/>
              </w:rPr>
            </w:r>
          </w:p>
        </w:tc>
      </w:tr>
      <w:tr>
        <w:trPr/>
        <w:tc>
          <w:tcPr>
            <w:tcW w:w="35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Algo</w:t>
            </w:r>
          </w:p>
        </w:tc>
        <w:tc>
          <w:tcPr>
            <w:tcW w:w="305" w:type="dxa"/>
            <w:tcBorders/>
            <w:vAlign w:val="bottom"/>
          </w:tcPr>
          <w:p>
            <w:pPr>
              <w:pStyle w:val="TableContents"/>
              <w:bidi w:val="0"/>
              <w:spacing w:before="0" w:after="283"/>
              <w:jc w:val="left"/>
              <w:rPr/>
            </w:pPr>
            <w:r>
              <w:rPr/>
              <w:t>  </w:t>
            </w:r>
          </w:p>
        </w:tc>
        <w:tc>
          <w:tcPr>
            <w:tcW w:w="56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Launch</w:t>
              <w:br/>
              <w:t>Year</w:t>
            </w:r>
          </w:p>
        </w:tc>
        <w:tc>
          <w:tcPr>
            <w:tcW w:w="305" w:type="dxa"/>
            <w:tcBorders/>
            <w:vAlign w:val="bottom"/>
          </w:tcPr>
          <w:p>
            <w:pPr>
              <w:pStyle w:val="TableContents"/>
              <w:bidi w:val="0"/>
              <w:spacing w:before="0" w:after="283"/>
              <w:jc w:val="left"/>
              <w:rPr/>
            </w:pPr>
            <w:r>
              <w:rPr/>
              <w:t>  </w:t>
            </w:r>
          </w:p>
        </w:tc>
        <w:tc>
          <w:tcPr>
            <w:tcW w:w="55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4396"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Oncology</w:t>
            </w:r>
          </w:p>
        </w:tc>
        <w:tc>
          <w:tcPr>
            <w:tcW w:w="305" w:type="dxa"/>
            <w:tcBorders/>
            <w:shd w:fill="CCEEFF" w:val="clear"/>
            <w:vAlign w:val="bottom"/>
          </w:tcPr>
          <w:p>
            <w:pPr>
              <w:pStyle w:val="TableContents"/>
              <w:bidi w:val="0"/>
              <w:spacing w:before="0" w:after="283"/>
              <w:jc w:val="left"/>
              <w:rPr/>
            </w:pPr>
            <w:r>
              <w:rPr/>
              <w:t>  </w:t>
            </w:r>
          </w:p>
        </w:tc>
        <w:tc>
          <w:tcPr>
            <w:tcW w:w="5504"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3527" w:type="dxa"/>
            <w:tcBorders/>
            <w:vAlign w:val="center"/>
          </w:tcPr>
          <w:p>
            <w:pPr>
              <w:pStyle w:val="TableContents"/>
              <w:bidi w:val="0"/>
              <w:spacing w:before="0" w:after="283"/>
              <w:jc w:val="left"/>
              <w:rPr>
                <w:sz w:val="4"/>
                <w:szCs w:val="4"/>
              </w:rPr>
            </w:pPr>
            <w:r>
              <w:rPr>
                <w:sz w:val="4"/>
                <w:szCs w:val="4"/>
              </w:rPr>
            </w:r>
          </w:p>
        </w:tc>
        <w:tc>
          <w:tcPr>
            <w:tcW w:w="869" w:type="dxa"/>
            <w:gridSpan w:val="2"/>
            <w:tcBorders/>
            <w:vAlign w:val="center"/>
          </w:tcPr>
          <w:p>
            <w:pPr>
              <w:pStyle w:val="TableContents"/>
              <w:bidi w:val="0"/>
              <w:spacing w:before="0" w:after="283"/>
              <w:jc w:val="left"/>
              <w:rPr>
                <w:sz w:val="4"/>
                <w:szCs w:val="4"/>
              </w:rPr>
            </w:pPr>
            <w:r>
              <w:rPr>
                <w:sz w:val="4"/>
                <w:szCs w:val="4"/>
              </w:rPr>
            </w:r>
          </w:p>
        </w:tc>
        <w:tc>
          <w:tcPr>
            <w:tcW w:w="5809" w:type="dxa"/>
            <w:gridSpan w:val="2"/>
            <w:tcBorders/>
            <w:vAlign w:val="center"/>
          </w:tcPr>
          <w:p>
            <w:pPr>
              <w:pStyle w:val="TableContents"/>
              <w:bidi w:val="0"/>
              <w:spacing w:before="0" w:after="283"/>
              <w:jc w:val="left"/>
              <w:rPr>
                <w:sz w:val="4"/>
                <w:szCs w:val="4"/>
              </w:rPr>
            </w:pPr>
            <w:r>
              <w:rPr>
                <w:sz w:val="4"/>
                <w:szCs w:val="4"/>
              </w:rPr>
            </w:r>
          </w:p>
        </w:tc>
      </w:tr>
      <w:tr>
        <w:trPr/>
        <w:tc>
          <w:tcPr>
            <w:tcW w:w="3527" w:type="dxa"/>
            <w:tcBorders/>
          </w:tcPr>
          <w:p>
            <w:pPr>
              <w:pStyle w:val="TableContents"/>
              <w:bidi w:val="0"/>
              <w:spacing w:before="0" w:after="0"/>
              <w:jc w:val="left"/>
              <w:rPr>
                <w:rFonts w:ascii="Times New Roman" w:hAnsi="Times New Roman"/>
                <w:sz w:val="20"/>
              </w:rPr>
            </w:pPr>
            <w:r>
              <w:rPr>
                <w:rFonts w:ascii="Times New Roman" w:hAnsi="Times New Roman"/>
                <w:sz w:val="20"/>
              </w:rPr>
              <w:t>Tumor Origin (TO) Test</w:t>
            </w:r>
          </w:p>
        </w:tc>
        <w:tc>
          <w:tcPr>
            <w:tcW w:w="305" w:type="dxa"/>
            <w:tcBorders/>
            <w:vAlign w:val="bottom"/>
          </w:tcPr>
          <w:p>
            <w:pPr>
              <w:pStyle w:val="TableContents"/>
              <w:bidi w:val="0"/>
              <w:spacing w:before="0" w:after="283"/>
              <w:jc w:val="left"/>
              <w:rPr/>
            </w:pPr>
            <w:r>
              <w:rPr/>
              <w:t>  </w:t>
            </w:r>
          </w:p>
        </w:tc>
        <w:tc>
          <w:tcPr>
            <w:tcW w:w="564" w:type="dxa"/>
            <w:tcBorders/>
          </w:tcPr>
          <w:p>
            <w:pPr>
              <w:pStyle w:val="TableContents"/>
              <w:bidi w:val="0"/>
              <w:spacing w:before="0" w:after="283"/>
              <w:jc w:val="left"/>
              <w:rPr/>
            </w:pPr>
            <w:r>
              <w:rPr/>
              <w:t>2021</w:t>
            </w:r>
          </w:p>
        </w:tc>
        <w:tc>
          <w:tcPr>
            <w:tcW w:w="305" w:type="dxa"/>
            <w:tcBorders/>
            <w:vAlign w:val="bottom"/>
          </w:tcPr>
          <w:p>
            <w:pPr>
              <w:pStyle w:val="TableContents"/>
              <w:bidi w:val="0"/>
              <w:spacing w:before="0" w:after="283"/>
              <w:jc w:val="left"/>
              <w:rPr/>
            </w:pPr>
            <w:r>
              <w:rPr/>
              <w:t>  </w:t>
            </w:r>
          </w:p>
        </w:tc>
        <w:tc>
          <w:tcPr>
            <w:tcW w:w="5504" w:type="dxa"/>
            <w:tcBorders/>
          </w:tcPr>
          <w:p>
            <w:pPr>
              <w:pStyle w:val="TableContents"/>
              <w:bidi w:val="0"/>
              <w:spacing w:before="0" w:after="0"/>
              <w:jc w:val="both"/>
              <w:rPr>
                <w:rFonts w:ascii="Times New Roman" w:hAnsi="Times New Roman"/>
                <w:sz w:val="20"/>
              </w:rPr>
            </w:pPr>
            <w:r>
              <w:rPr>
                <w:rFonts w:ascii="Times New Roman" w:hAnsi="Times New Roman"/>
                <w:sz w:val="20"/>
              </w:rPr>
              <w:t>   Predicts the site of origin for cancer patients whose primary tumor site is unknown using tumor RNA expression results.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   Intended use of the TO test is for cancers of unknown primary, or CUPs, and may help clinicians make more informed decisions where other clinical information like imaging and immunohistochemistry results do not provide a definitive diagnosis.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   Uses information from analysis of nucleic acids by NGS performed as part of a separately ordered genomic or transcriptomic test.</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   Built using a large internal database of more than 20,000 annotated tumors with transcriptomic molecular data. By comparing the molecular profile (transcriptome) of the patients cancer with profiles of other cancers in our database, we can help pinpoint the origin of the patients cancer, potentially helping to inform the course of therapy.</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   For the six months ended June 30, 2021 ordered on approximately 5% of our solid tumor profiles.</w:t>
            </w:r>
          </w:p>
        </w:tc>
      </w:tr>
      <w:tr>
        <w:trPr>
          <w:trHeight w:val="75" w:hRule="atLeast"/>
        </w:trPr>
        <w:tc>
          <w:tcPr>
            <w:tcW w:w="3527" w:type="dxa"/>
            <w:tcBorders/>
            <w:vAlign w:val="center"/>
          </w:tcPr>
          <w:p>
            <w:pPr>
              <w:pStyle w:val="TableContents"/>
              <w:bidi w:val="0"/>
              <w:spacing w:before="0" w:after="283"/>
              <w:jc w:val="left"/>
              <w:rPr>
                <w:sz w:val="4"/>
                <w:szCs w:val="4"/>
              </w:rPr>
            </w:pPr>
            <w:r>
              <w:rPr>
                <w:sz w:val="4"/>
                <w:szCs w:val="4"/>
              </w:rPr>
            </w:r>
          </w:p>
        </w:tc>
        <w:tc>
          <w:tcPr>
            <w:tcW w:w="869" w:type="dxa"/>
            <w:gridSpan w:val="2"/>
            <w:tcBorders/>
            <w:vAlign w:val="center"/>
          </w:tcPr>
          <w:p>
            <w:pPr>
              <w:pStyle w:val="TableContents"/>
              <w:bidi w:val="0"/>
              <w:spacing w:before="0" w:after="283"/>
              <w:jc w:val="left"/>
              <w:rPr>
                <w:sz w:val="4"/>
                <w:szCs w:val="4"/>
              </w:rPr>
            </w:pPr>
            <w:r>
              <w:rPr>
                <w:sz w:val="4"/>
                <w:szCs w:val="4"/>
              </w:rPr>
            </w:r>
          </w:p>
        </w:tc>
        <w:tc>
          <w:tcPr>
            <w:tcW w:w="5809" w:type="dxa"/>
            <w:gridSpan w:val="2"/>
            <w:tcBorders/>
            <w:vAlign w:val="center"/>
          </w:tcPr>
          <w:p>
            <w:pPr>
              <w:pStyle w:val="TableContents"/>
              <w:bidi w:val="0"/>
              <w:spacing w:before="0" w:after="283"/>
              <w:jc w:val="left"/>
              <w:rPr>
                <w:sz w:val="4"/>
                <w:szCs w:val="4"/>
              </w:rPr>
            </w:pPr>
            <w:r>
              <w:rPr>
                <w:sz w:val="4"/>
                <w:szCs w:val="4"/>
              </w:rPr>
            </w:r>
          </w:p>
        </w:tc>
      </w:tr>
      <w:tr>
        <w:trPr/>
        <w:tc>
          <w:tcPr>
            <w:tcW w:w="3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Homologous Recombination Deficiency (HRD) Test</w:t>
            </w:r>
          </w:p>
        </w:tc>
        <w:tc>
          <w:tcPr>
            <w:tcW w:w="305" w:type="dxa"/>
            <w:tcBorders/>
            <w:shd w:fill="CCEEFF" w:val="clear"/>
            <w:vAlign w:val="bottom"/>
          </w:tcPr>
          <w:p>
            <w:pPr>
              <w:pStyle w:val="TableContents"/>
              <w:bidi w:val="0"/>
              <w:spacing w:before="0" w:after="283"/>
              <w:jc w:val="left"/>
              <w:rPr/>
            </w:pPr>
            <w:r>
              <w:rPr/>
              <w:t>  </w:t>
            </w:r>
          </w:p>
        </w:tc>
        <w:tc>
          <w:tcPr>
            <w:tcW w:w="56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2020</w:t>
            </w:r>
          </w:p>
        </w:tc>
        <w:tc>
          <w:tcPr>
            <w:tcW w:w="305" w:type="dxa"/>
            <w:tcBorders/>
            <w:shd w:fill="CCEEFF" w:val="clear"/>
            <w:vAlign w:val="bottom"/>
          </w:tcPr>
          <w:p>
            <w:pPr>
              <w:pStyle w:val="TableContents"/>
              <w:bidi w:val="0"/>
              <w:spacing w:before="0" w:after="283"/>
              <w:jc w:val="left"/>
              <w:rPr/>
            </w:pPr>
            <w:r>
              <w:rPr/>
              <w:t>  </w:t>
            </w:r>
          </w:p>
        </w:tc>
        <w:tc>
          <w:tcPr>
            <w:tcW w:w="5504" w:type="dxa"/>
            <w:tcBorders/>
            <w:shd w:fill="CCEEFF" w:val="clear"/>
          </w:tcPr>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   A DNA-based algorithmic test that helps identify if a patient has HRD, providing a comprehensive view into a patients ability to repair double-stranded DNA breaks.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   HRD status can be used to identify patients who may be sensitive to PARP inhibitors and/or platinum-based chemotherapy.</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   Takes into account results from our solid tumor profiling, giving a full view into commonly mutated genes in the HR-pathway, along with a genome wide l LOH score, giving a clinician a complete view of HRD status.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   Can be ordered across all major cancer subtypes and does not require additional tissue from the patient.</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   Currently incorporating RNA into a second version of the algorithm, which is intended to improve prediction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478"/>
        <w:gridCol w:w="120"/>
        <w:gridCol w:w="942"/>
        <w:gridCol w:w="120"/>
        <w:gridCol w:w="5545"/>
      </w:tblGrid>
      <w:tr>
        <w:trPr/>
        <w:tc>
          <w:tcPr>
            <w:tcW w:w="34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45" w:type="dxa"/>
            <w:tcBorders/>
            <w:vAlign w:val="center"/>
          </w:tcPr>
          <w:p>
            <w:pPr>
              <w:pStyle w:val="TableContents"/>
              <w:bidi w:val="0"/>
              <w:spacing w:before="0" w:after="283"/>
              <w:jc w:val="left"/>
              <w:rPr>
                <w:sz w:val="4"/>
                <w:szCs w:val="4"/>
              </w:rPr>
            </w:pPr>
            <w:r>
              <w:rPr>
                <w:sz w:val="4"/>
                <w:szCs w:val="4"/>
              </w:rPr>
            </w:r>
          </w:p>
        </w:tc>
      </w:tr>
      <w:tr>
        <w:trPr/>
        <w:tc>
          <w:tcPr>
            <w:tcW w:w="34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Algo</w:t>
            </w:r>
          </w:p>
        </w:tc>
        <w:tc>
          <w:tcPr>
            <w:tcW w:w="120" w:type="dxa"/>
            <w:tcBorders/>
            <w:vAlign w:val="bottom"/>
          </w:tcPr>
          <w:p>
            <w:pPr>
              <w:pStyle w:val="TableContents"/>
              <w:bidi w:val="0"/>
              <w:spacing w:before="0" w:after="283"/>
              <w:jc w:val="left"/>
              <w:rPr/>
            </w:pPr>
            <w:r>
              <w:rPr/>
              <w:t>  </w:t>
            </w:r>
          </w:p>
        </w:tc>
        <w:tc>
          <w:tcPr>
            <w:tcW w:w="94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Launch</w:t>
              <w:br/>
              <w:t>Year</w:t>
            </w:r>
          </w:p>
        </w:tc>
        <w:tc>
          <w:tcPr>
            <w:tcW w:w="120" w:type="dxa"/>
            <w:tcBorders/>
            <w:vAlign w:val="bottom"/>
          </w:tcPr>
          <w:p>
            <w:pPr>
              <w:pStyle w:val="TableContents"/>
              <w:bidi w:val="0"/>
              <w:spacing w:before="0" w:after="283"/>
              <w:jc w:val="left"/>
              <w:rPr/>
            </w:pPr>
            <w:r>
              <w:rPr/>
              <w:t>  </w:t>
            </w:r>
          </w:p>
        </w:tc>
        <w:tc>
          <w:tcPr>
            <w:tcW w:w="55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3478"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42"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545" w:type="dxa"/>
            <w:tcBorders/>
            <w:shd w:fill="CCEEFF" w:val="clear"/>
          </w:tcPr>
          <w:p>
            <w:pPr>
              <w:pStyle w:val="TableContents"/>
              <w:bidi w:val="0"/>
              <w:spacing w:before="0" w:after="0"/>
              <w:jc w:val="both"/>
              <w:rPr>
                <w:rFonts w:ascii="Times New Roman" w:hAnsi="Times New Roman"/>
                <w:sz w:val="20"/>
              </w:rPr>
            </w:pPr>
            <w:r>
              <w:rPr>
                <w:rFonts w:ascii="Times New Roman" w:hAnsi="Times New Roman"/>
                <w:sz w:val="20"/>
              </w:rPr>
              <w:t>accuracy and increase the percentage of tumors that the algorithm can be run on.</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   For the six months ended June 30, 2021, ordered on approximately 17% of all solid tumor orders.</w:t>
            </w:r>
          </w:p>
        </w:tc>
      </w:tr>
      <w:tr>
        <w:trPr/>
        <w:tc>
          <w:tcPr>
            <w:tcW w:w="34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Algo</w:t>
            </w:r>
          </w:p>
        </w:tc>
        <w:tc>
          <w:tcPr>
            <w:tcW w:w="120" w:type="dxa"/>
            <w:tcBorders/>
            <w:vAlign w:val="bottom"/>
          </w:tcPr>
          <w:p>
            <w:pPr>
              <w:pStyle w:val="TableContents"/>
              <w:bidi w:val="0"/>
              <w:spacing w:before="0" w:after="283"/>
              <w:jc w:val="left"/>
              <w:rPr/>
            </w:pPr>
            <w:r>
              <w:rPr/>
              <w:t>  </w:t>
            </w:r>
          </w:p>
        </w:tc>
        <w:tc>
          <w:tcPr>
            <w:tcW w:w="94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Launch</w:t>
              <w:br/>
              <w:t>Year</w:t>
            </w:r>
          </w:p>
        </w:tc>
        <w:tc>
          <w:tcPr>
            <w:tcW w:w="120" w:type="dxa"/>
            <w:tcBorders/>
            <w:vAlign w:val="bottom"/>
          </w:tcPr>
          <w:p>
            <w:pPr>
              <w:pStyle w:val="TableContents"/>
              <w:bidi w:val="0"/>
              <w:spacing w:before="0" w:after="283"/>
              <w:jc w:val="left"/>
              <w:rPr/>
            </w:pPr>
            <w:r>
              <w:rPr/>
              <w:t>  </w:t>
            </w:r>
          </w:p>
        </w:tc>
        <w:tc>
          <w:tcPr>
            <w:tcW w:w="55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4540"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Cardiology</w:t>
            </w:r>
          </w:p>
        </w:tc>
        <w:tc>
          <w:tcPr>
            <w:tcW w:w="120" w:type="dxa"/>
            <w:tcBorders/>
            <w:shd w:fill="CCEEFF" w:val="clear"/>
            <w:vAlign w:val="bottom"/>
          </w:tcPr>
          <w:p>
            <w:pPr>
              <w:pStyle w:val="TableContents"/>
              <w:bidi w:val="0"/>
              <w:spacing w:before="0" w:after="283"/>
              <w:jc w:val="left"/>
              <w:rPr/>
            </w:pPr>
            <w:r>
              <w:rPr/>
              <w:t>  </w:t>
            </w:r>
          </w:p>
        </w:tc>
        <w:tc>
          <w:tcPr>
            <w:tcW w:w="5545"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3478" w:type="dxa"/>
            <w:tcBorders/>
            <w:vAlign w:val="center"/>
          </w:tcPr>
          <w:p>
            <w:pPr>
              <w:pStyle w:val="TableContents"/>
              <w:bidi w:val="0"/>
              <w:spacing w:before="0" w:after="283"/>
              <w:jc w:val="left"/>
              <w:rPr>
                <w:sz w:val="4"/>
                <w:szCs w:val="4"/>
              </w:rPr>
            </w:pPr>
            <w:r>
              <w:rPr>
                <w:sz w:val="4"/>
                <w:szCs w:val="4"/>
              </w:rPr>
            </w:r>
          </w:p>
        </w:tc>
        <w:tc>
          <w:tcPr>
            <w:tcW w:w="1062" w:type="dxa"/>
            <w:gridSpan w:val="2"/>
            <w:tcBorders/>
            <w:vAlign w:val="center"/>
          </w:tcPr>
          <w:p>
            <w:pPr>
              <w:pStyle w:val="TableContents"/>
              <w:bidi w:val="0"/>
              <w:spacing w:before="0" w:after="283"/>
              <w:jc w:val="left"/>
              <w:rPr>
                <w:sz w:val="4"/>
                <w:szCs w:val="4"/>
              </w:rPr>
            </w:pPr>
            <w:r>
              <w:rPr>
                <w:sz w:val="4"/>
                <w:szCs w:val="4"/>
              </w:rPr>
            </w:r>
          </w:p>
        </w:tc>
        <w:tc>
          <w:tcPr>
            <w:tcW w:w="5665" w:type="dxa"/>
            <w:gridSpan w:val="2"/>
            <w:tcBorders/>
            <w:vAlign w:val="center"/>
          </w:tcPr>
          <w:p>
            <w:pPr>
              <w:pStyle w:val="TableContents"/>
              <w:bidi w:val="0"/>
              <w:spacing w:before="0" w:after="283"/>
              <w:jc w:val="left"/>
              <w:rPr>
                <w:sz w:val="4"/>
                <w:szCs w:val="4"/>
              </w:rPr>
            </w:pPr>
            <w:r>
              <w:rPr>
                <w:sz w:val="4"/>
                <w:szCs w:val="4"/>
              </w:rPr>
            </w:r>
          </w:p>
        </w:tc>
      </w:tr>
      <w:tr>
        <w:trPr/>
        <w:tc>
          <w:tcPr>
            <w:tcW w:w="3478" w:type="dxa"/>
            <w:tcBorders/>
          </w:tcPr>
          <w:p>
            <w:pPr>
              <w:pStyle w:val="TableContents"/>
              <w:bidi w:val="0"/>
              <w:spacing w:before="0" w:after="0"/>
              <w:jc w:val="left"/>
              <w:rPr>
                <w:rFonts w:ascii="Times New Roman" w:hAnsi="Times New Roman"/>
                <w:sz w:val="20"/>
              </w:rPr>
            </w:pPr>
            <w:r>
              <w:rPr>
                <w:rFonts w:ascii="Times New Roman" w:hAnsi="Times New Roman"/>
                <w:sz w:val="20"/>
              </w:rPr>
              <w:t>Atrial Fibrillation Test</w:t>
            </w:r>
          </w:p>
        </w:tc>
        <w:tc>
          <w:tcPr>
            <w:tcW w:w="120" w:type="dxa"/>
            <w:tcBorders/>
            <w:vAlign w:val="bottom"/>
          </w:tcPr>
          <w:p>
            <w:pPr>
              <w:pStyle w:val="TableContents"/>
              <w:bidi w:val="0"/>
              <w:spacing w:before="0" w:after="283"/>
              <w:jc w:val="left"/>
              <w:rPr/>
            </w:pPr>
            <w:r>
              <w:rPr/>
              <w:t>  </w:t>
            </w:r>
          </w:p>
        </w:tc>
        <w:tc>
          <w:tcPr>
            <w:tcW w:w="942" w:type="dxa"/>
            <w:tcBorders/>
          </w:tcPr>
          <w:p>
            <w:pPr>
              <w:pStyle w:val="TableContents"/>
              <w:bidi w:val="0"/>
              <w:spacing w:before="0" w:after="283"/>
              <w:jc w:val="left"/>
              <w:rPr/>
            </w:pPr>
            <w:r>
              <w:rPr/>
              <w:t>2022</w:t>
              <w:br/>
              <w:t>expected</w:t>
              <w:br/>
              <w:t>launch</w:t>
            </w:r>
          </w:p>
        </w:tc>
        <w:tc>
          <w:tcPr>
            <w:tcW w:w="120" w:type="dxa"/>
            <w:tcBorders/>
            <w:vAlign w:val="bottom"/>
          </w:tcPr>
          <w:p>
            <w:pPr>
              <w:pStyle w:val="TableContents"/>
              <w:bidi w:val="0"/>
              <w:spacing w:before="0" w:after="283"/>
              <w:jc w:val="left"/>
              <w:rPr/>
            </w:pPr>
            <w:r>
              <w:rPr/>
              <w:t>  </w:t>
            </w:r>
          </w:p>
        </w:tc>
        <w:tc>
          <w:tcPr>
            <w:tcW w:w="5545" w:type="dxa"/>
            <w:tcBorders/>
          </w:tcPr>
          <w:p>
            <w:pPr>
              <w:pStyle w:val="TableContents"/>
              <w:bidi w:val="0"/>
              <w:spacing w:before="0" w:after="0"/>
              <w:jc w:val="both"/>
              <w:rPr>
                <w:rFonts w:ascii="Times New Roman" w:hAnsi="Times New Roman"/>
                <w:sz w:val="20"/>
              </w:rPr>
            </w:pPr>
            <w:r>
              <w:rPr>
                <w:rFonts w:ascii="Times New Roman" w:hAnsi="Times New Roman"/>
                <w:sz w:val="20"/>
              </w:rPr>
              <w:t>   We have developed an algorithm designed to predict AFib from a normal ECG for certain populations.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   About 3.5% of patients who receive ECGs appear not to have AFib but will develop AFib, acute coronary syndrome, or similar condition within one year. This Algo is designed to predict major cardiac trauma and stroke risk from these normal ECG results.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CHA2DS2-VASc score of </w:t>
            </w:r>
            <w:r>
              <w:rPr>
                <w:rFonts w:ascii="SYMBOL" w:hAnsi="SYMBOL"/>
                <w:sz w:val="20"/>
              </w:rPr>
              <w:t>³</w:t>
            </w:r>
            <w:r>
              <w:rPr>
                <w:rFonts w:ascii="Times New Roman" w:hAnsi="Times New Roman"/>
                <w:sz w:val="20"/>
              </w:rPr>
              <w:t>4).</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   We are also advancing Algos that are designed to predict aortic stenosis, and we are working on other disease areas within cardiology, such as low ejection fraction and familial hypercholesterolemia.</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Our Algos Collaboration with Geisinger </w:t>
      </w:r>
    </w:p>
    <w:p>
      <w:pPr>
        <w:pStyle w:val="TextBody"/>
        <w:bidi w:val="0"/>
        <w:spacing w:before="120" w:after="0"/>
        <w:jc w:val="both"/>
        <w:rPr>
          <w:rFonts w:ascii="Times New Roman" w:hAnsi="Times New Roman"/>
          <w:sz w:val="20"/>
        </w:rPr>
      </w:pPr>
      <w:r>
        <w:rPr>
          <w:rFonts w:ascii="Times New Roman" w:hAnsi="Times New Roman"/>
          <w:sz w:val="20"/>
        </w:rPr>
        <w:t xml:space="preserve">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 </w:t>
      </w:r>
    </w:p>
    <w:p>
      <w:pPr>
        <w:pStyle w:val="TextBody"/>
        <w:bidi w:val="0"/>
        <w:spacing w:before="240" w:after="0"/>
        <w:jc w:val="both"/>
        <w:rPr>
          <w:rFonts w:ascii="Times New Roman" w:hAnsi="Times New Roman"/>
          <w:sz w:val="20"/>
        </w:rPr>
      </w:pPr>
      <w:r>
        <w:rPr>
          <w:rFonts w:ascii="Times New Roman" w:hAnsi="Times New Roman"/>
          <w:sz w:val="20"/>
        </w:rPr>
        <w:t xml:space="preserve">Our first cardiology products in development are a suite of algorithms that assess an individuals risk of undiagnosed disease from an ECG. The FDA recently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CHA2DS2-VASc score of </w:t>
      </w:r>
      <w:r>
        <w:rPr>
          <w:rFonts w:ascii="SYMBOL" w:hAnsi="SYMBOL"/>
          <w:sz w:val="20"/>
        </w:rPr>
        <w:t>³</w:t>
      </w:r>
      <w:r>
        <w:rPr>
          <w:rFonts w:ascii="Times New Roman" w:hAnsi="Times New Roman"/>
          <w:sz w:val="20"/>
        </w:rPr>
        <w:t xml:space="preserve">4)). </w:t>
      </w:r>
    </w:p>
    <w:p>
      <w:pPr>
        <w:pStyle w:val="TextBody"/>
        <w:bidi w:val="0"/>
        <w:spacing w:before="240" w:after="0"/>
        <w:jc w:val="both"/>
        <w:rPr>
          <w:rFonts w:ascii="Times New Roman" w:hAnsi="Times New Roman"/>
          <w:sz w:val="20"/>
        </w:rPr>
      </w:pPr>
      <w:r>
        <w:rPr>
          <w:rFonts w:ascii="Times New Roman" w:hAnsi="Times New Roman"/>
          <w:sz w:val="20"/>
        </w:rPr>
        <w:t xml:space="preserve">Our work in cardiology has been accelerated by a strategic collaboration with a multidisciplinary cardiovascular research team at Geisinger that leverages 25 years of valuable EHR data. We hold a perpetual, royalty-bearing license from Geisinger to build algorithmic models and commercialize a de-identified dataset of approximately 3.2 million ECGs, across approximately 600,000 patients, with decades of longitudinal clinical data, including outcome and response data. </w:t>
      </w:r>
    </w:p>
    <w:p>
      <w:pPr>
        <w:pStyle w:val="TextBody"/>
        <w:bidi w:val="0"/>
        <w:spacing w:before="240" w:after="0"/>
        <w:jc w:val="both"/>
        <w:rPr>
          <w:rFonts w:ascii="Times New Roman" w:hAnsi="Times New Roman"/>
          <w:sz w:val="20"/>
        </w:rPr>
      </w:pPr>
      <w:r>
        <w:rPr>
          <w:rFonts w:ascii="Times New Roman" w:hAnsi="Times New Roman"/>
          <w:sz w:val="20"/>
        </w:rPr>
        <w:t xml:space="preserve">In parallel, we are working to build out a network of healthcare systems and clinical providers to deploy these clinical algorithms at scale. We believe we are well positioned to build such a network by leveraging the existing technical integrations in place through our current product lines in oncology and neurology.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infectious diseases, in which there is over $4 trillion of economic burden according to publicly available sources. </w:t>
      </w:r>
    </w:p>
    <w:p>
      <w:pPr>
        <w:pStyle w:val="TextBody"/>
        <w:bidi w:val="0"/>
        <w:spacing w:before="240" w:after="0"/>
        <w:jc w:val="both"/>
        <w:rPr>
          <w:rFonts w:ascii="Times New Roman" w:hAnsi="Times New Roman"/>
          <w:sz w:val="20"/>
        </w:rPr>
      </w:pPr>
      <w:r>
        <w:rPr>
          <w:rFonts w:ascii="Times New Roman" w:hAnsi="Times New Roman"/>
          <w:sz w:val="20"/>
        </w:rPr>
        <w:t xml:space="preserve">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5306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577850" cy="35306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Genomics Product Line Market Opportunity </w:t>
      </w:r>
    </w:p>
    <w:p>
      <w:pPr>
        <w:pStyle w:val="TextBody"/>
        <w:bidi w:val="0"/>
        <w:spacing w:before="120" w:after="0"/>
        <w:jc w:val="both"/>
        <w:rPr>
          <w:rFonts w:ascii="Times New Roman" w:hAnsi="Times New Roman"/>
          <w:sz w:val="20"/>
        </w:rPr>
      </w:pPr>
      <w:r>
        <w:rPr>
          <w:rFonts w:ascii="Times New Roman" w:hAnsi="Times New Roman"/>
          <w:sz w:val="20"/>
        </w:rPr>
        <w:t xml:space="preserve">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Oncology Testing Market Opportunity </w:t>
      </w:r>
    </w:p>
    <w:p>
      <w:pPr>
        <w:pStyle w:val="TextBody"/>
        <w:bidi w:val="0"/>
        <w:spacing w:before="120" w:after="0"/>
        <w:jc w:val="both"/>
        <w:rPr>
          <w:rFonts w:ascii="Times New Roman" w:hAnsi="Times New Roman"/>
          <w:sz w:val="20"/>
        </w:rPr>
      </w:pPr>
      <w:r>
        <w:rPr>
          <w:rFonts w:ascii="Times New Roman" w:hAnsi="Times New Roman"/>
          <w:sz w:val="20"/>
        </w:rPr>
        <w:t xml:space="preserve">At present, we offer three main assays in cancer, including solid tumor profiling, liquid biopsy, and inherited cancer risk screening, and expect to commercialize our fourth assay for cancer recurrence monitoring and measuring minimal residual disease in 2022. We believe our assays provide a comprehensive and holistic range of options for physicians and patients. Over time, we anticipate being able to address other emerging NGS oncology markets, such as early disease screening, as our most recent cancer recurrence and MRD assay (xM) is based on low pass whole genome plus methylation technology, an approach that other companies have used in early detection and disease monitoring. </w:t>
      </w:r>
    </w:p>
    <w:p>
      <w:pPr>
        <w:pStyle w:val="TextBody"/>
        <w:bidi w:val="0"/>
        <w:spacing w:before="240" w:after="0"/>
        <w:jc w:val="both"/>
        <w:rPr>
          <w:rFonts w:ascii="Times New Roman" w:hAnsi="Times New Roman"/>
          <w:sz w:val="20"/>
        </w:rPr>
      </w:pPr>
      <w:r>
        <w:rPr>
          <w:rFonts w:ascii="Times New Roman" w:hAnsi="Times New Roman"/>
          <w:sz w:val="20"/>
        </w:rPr>
        <w:t xml:space="preserve">We believe the oncology testing market is underpenetrated and represents an estimated $60 billion annual global market opportunity across the following testing applications on which we are focused. </w:t>
      </w:r>
    </w:p>
    <w:p>
      <w:pPr>
        <w:pStyle w:val="TextBody"/>
        <w:bidi w:val="0"/>
        <w:spacing w:before="240" w:after="0"/>
        <w:jc w:val="both"/>
        <w:rPr>
          <w:rFonts w:ascii="Times New Roman" w:hAnsi="Times New Roman"/>
          <w:sz w:val="20"/>
        </w:rPr>
      </w:pPr>
      <w:r>
        <w:rPr>
          <w:rFonts w:ascii="Times New Roman" w:hAnsi="Times New Roman"/>
          <w:i/>
          <w:sz w:val="20"/>
        </w:rPr>
        <w:t xml:space="preserve">Therapy selection: </w:t>
      </w:r>
      <w:r>
        <w:rPr>
          <w:rFonts w:ascii="Times New Roman" w:hAnsi="Times New Roman"/>
          <w:sz w:val="20"/>
        </w:rPr>
        <w:t xml:space="preserve">We address the market for therapy selection with our current tissue and liquid biopsy assay offerings and immunohistochemistry 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 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607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577850" cy="306070"/>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i/>
          <w:sz w:val="20"/>
        </w:rPr>
        <w:t>Monitoring:</w:t>
      </w:r>
      <w:r>
        <w:rPr>
          <w:rFonts w:ascii="Times New Roman" w:hAnsi="Times New Roman"/>
          <w:sz w:val="20"/>
        </w:rPr>
        <w:t xml:space="preserve"> We anticipate launching our liquid biopsy test for cancer recurrence monitoring and minimal residual disease in 2022. While this market opportunity is currently emerging, we anticipate that newly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2018.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 </w:t>
      </w:r>
    </w:p>
    <w:p>
      <w:pPr>
        <w:pStyle w:val="TextBody"/>
        <w:bidi w:val="0"/>
        <w:spacing w:before="360" w:after="0"/>
        <w:jc w:val="left"/>
        <w:rPr>
          <w:rFonts w:ascii="Times New Roman" w:hAnsi="Times New Roman"/>
          <w:i/>
          <w:sz w:val="20"/>
        </w:rPr>
      </w:pPr>
      <w:r>
        <w:rPr>
          <w:rFonts w:ascii="Times New Roman" w:hAnsi="Times New Roman"/>
          <w:i/>
          <w:sz w:val="20"/>
        </w:rPr>
        <w:t xml:space="preserve">Neuropsychology Market Opportunity </w:t>
      </w:r>
    </w:p>
    <w:p>
      <w:pPr>
        <w:pStyle w:val="TextBody"/>
        <w:bidi w:val="0"/>
        <w:spacing w:before="120" w:after="0"/>
        <w:jc w:val="both"/>
        <w:rPr>
          <w:rFonts w:ascii="Times New Roman" w:hAnsi="Times New Roman"/>
          <w:sz w:val="20"/>
        </w:rPr>
      </w:pPr>
      <w:r>
        <w:rPr>
          <w:rFonts w:ascii="Times New Roman" w:hAnsi="Times New Roman"/>
          <w:sz w:val="20"/>
        </w:rPr>
        <w:t xml:space="preserve">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16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Product Line Market Opportunity </w:t>
      </w:r>
    </w:p>
    <w:p>
      <w:pPr>
        <w:pStyle w:val="TextBody"/>
        <w:bidi w:val="0"/>
        <w:spacing w:before="120" w:after="0"/>
        <w:jc w:val="both"/>
        <w:rPr>
          <w:rFonts w:ascii="Times New Roman" w:hAnsi="Times New Roman"/>
          <w:sz w:val="20"/>
        </w:rPr>
      </w:pPr>
      <w:r>
        <w:rPr>
          <w:rFonts w:ascii="Times New Roman" w:hAnsi="Times New Roman"/>
          <w:sz w:val="20"/>
        </w:rPr>
        <w:t xml:space="preserve">Our Data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2020, an estimated $219 billion was spent on clinical development in the United States. Within this market, our Data product line addresses the following spending categories for biotechnology and pharmaceutical researchers: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trials market: $38 billion spend in 2020 according to Mordor Intelligence.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Biomarker discovery: $46 billion spend in 2021 according to Mordor Intelligence.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Real world evidence: $29 billion spend in 2020 according to our estimates based on third-party research.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Algos Product Line Market Opportunity </w:t>
      </w:r>
    </w:p>
    <w:p>
      <w:pPr>
        <w:pStyle w:val="TextBody"/>
        <w:bidi w:val="0"/>
        <w:spacing w:before="120" w:after="0"/>
        <w:jc w:val="both"/>
        <w:rPr>
          <w:rFonts w:ascii="Times New Roman" w:hAnsi="Times New Roman"/>
          <w:sz w:val="20"/>
        </w:rPr>
      </w:pPr>
      <w:r>
        <w:rPr>
          <w:rFonts w:ascii="Times New Roman" w:hAnsi="Times New Roman"/>
          <w:sz w:val="20"/>
        </w:rPr>
        <w:t xml:space="preserve">Over the longer term, we estimate that the potential market opportunity for our </w:t>
      </w:r>
      <w:r>
        <w:rPr>
          <w:rFonts w:ascii="Times New Roman" w:hAnsi="Times New Roman"/>
          <w:i/>
          <w:sz w:val="20"/>
        </w:rPr>
        <w:t>Algos</w:t>
      </w:r>
      <w:r>
        <w:rPr>
          <w:rFonts w:ascii="Times New Roman" w:hAnsi="Times New Roman"/>
          <w:sz w:val="20"/>
        </w:rPr>
        <w:t xml:space="preserve"> product line could be orders of magnitude larger than the current total combined market opportunity of our Genomics and Data product lines. Although such tests currently represent a small portion of laboratory testing volume today, we believe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 </w:t>
      </w:r>
    </w:p>
    <w:p>
      <w:pPr>
        <w:pStyle w:val="TextBody"/>
        <w:bidi w:val="0"/>
        <w:spacing w:before="360" w:after="0"/>
        <w:jc w:val="left"/>
        <w:rPr>
          <w:rFonts w:ascii="Times New Roman" w:hAnsi="Times New Roman"/>
          <w:b/>
          <w:sz w:val="20"/>
        </w:rPr>
      </w:pPr>
      <w:r>
        <w:rPr>
          <w:rFonts w:ascii="Times New Roman" w:hAnsi="Times New Roman"/>
          <w:b/>
          <w:sz w:val="20"/>
        </w:rPr>
        <w:t xml:space="preserve">Our Competitive Advantages </w:t>
      </w:r>
    </w:p>
    <w:p>
      <w:pPr>
        <w:pStyle w:val="TextBody"/>
        <w:bidi w:val="0"/>
        <w:spacing w:before="120" w:after="0"/>
        <w:jc w:val="both"/>
        <w:rPr>
          <w:rFonts w:ascii="Times New Roman" w:hAnsi="Times New Roman"/>
          <w:sz w:val="20"/>
        </w:rPr>
      </w:pPr>
      <w:r>
        <w:rPr>
          <w:rFonts w:ascii="Times New Roman" w:hAnsi="Times New Roman"/>
          <w:sz w:val="20"/>
        </w:rPr>
        <w:t xml:space="preserve">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both a technology company and a healthcare company, allowing us to harness the advantages of both to advance precision medicine. </w:t>
      </w:r>
    </w:p>
    <w:p>
      <w:pPr>
        <w:pStyle w:val="TextBody"/>
        <w:bidi w:val="0"/>
        <w:spacing w:before="120" w:after="0"/>
        <w:jc w:val="both"/>
        <w:rPr>
          <w:rFonts w:ascii="Times New Roman" w:hAnsi="Times New Roman"/>
          <w:sz w:val="20"/>
        </w:rPr>
      </w:pPr>
      <w:r>
        <w:rPr>
          <w:rFonts w:ascii="Times New Roman" w:hAnsi="Times New Roman"/>
          <w:sz w:val="20"/>
        </w:rPr>
        <w:t xml:space="preserve">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1,500 employees, including hundreds with diverse expertise in genetics, molecular and computational biology, bioinformatics, regulatory affairs, medical, product and engineering, and data science. Roughly one-third of our team is technical, with over 160 PhDs and MDs on staff. In addition, as a testament to our balanced workforce, we have roughly as many lab technicians as we have software engineers.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built a Platform that is connected to hundreds of provider networks, allowing us to amass a large repository of multimodal data that we believe is essential for bringing AI to healthcare. </w:t>
      </w:r>
    </w:p>
    <w:p>
      <w:pPr>
        <w:pStyle w:val="TextBody"/>
        <w:bidi w:val="0"/>
        <w:spacing w:before="120" w:after="0"/>
        <w:jc w:val="both"/>
        <w:rPr>
          <w:rFonts w:ascii="Times New Roman" w:hAnsi="Times New Roman"/>
          <w:sz w:val="20"/>
        </w:rPr>
      </w:pPr>
      <w:r>
        <w:rPr>
          <w:rFonts w:ascii="Times New Roman" w:hAnsi="Times New Roman"/>
          <w:sz w:val="20"/>
        </w:rPr>
        <w:t xml:space="preserve">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approximately 200 direct data connections, many of which supply us with data in near real time, across approximately 770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We have amassed an oncology database that is over 38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Petabytes in size and is approximately fourteen times the size of The Cancer Genome Atlas, the largest public genomic dataset that we know of in oncology. We also recently extended our Platform into neuropsychology, infectious disease, and cardiology. We believe each of the elements of our Platform is difficult for others to replicate.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Intelligent Diagnostics provide significant value to our customers, which has fostered broad adoption of many of our products. </w:t>
      </w:r>
    </w:p>
    <w:p>
      <w:pPr>
        <w:pStyle w:val="TextBody"/>
        <w:bidi w:val="0"/>
        <w:spacing w:before="120" w:after="0"/>
        <w:jc w:val="both"/>
        <w:rPr>
          <w:rFonts w:ascii="Times New Roman" w:hAnsi="Times New Roman"/>
          <w:sz w:val="20"/>
        </w:rPr>
      </w:pPr>
      <w:r>
        <w:rPr>
          <w:rFonts w:ascii="Times New Roman" w:hAnsi="Times New Roman"/>
          <w:sz w:val="20"/>
        </w:rPr>
        <w:t xml:space="preserve">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Therapies product offering, we also help oncologists identify patients eligible for clinical trials. Over time, we believe our Algos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model has inherent network effects that help drive adoption and improve our data advantage with each new order placed. </w:t>
      </w:r>
    </w:p>
    <w:p>
      <w:pPr>
        <w:pStyle w:val="TextBody"/>
        <w:bidi w:val="0"/>
        <w:spacing w:before="120" w:after="0"/>
        <w:jc w:val="both"/>
        <w:rPr>
          <w:rFonts w:ascii="Times New Roman" w:hAnsi="Times New Roman"/>
          <w:sz w:val="20"/>
        </w:rPr>
      </w:pPr>
      <w:r>
        <w:rPr>
          <w:rFonts w:ascii="Times New Roman" w:hAnsi="Times New Roman"/>
          <w:sz w:val="20"/>
        </w:rPr>
        <w:t xml:space="preserve">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product line, which in turn drives our Algos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Platform was built to collect, structure, harmonize and analyze large amounts of multimodal data. </w:t>
      </w:r>
    </w:p>
    <w:p>
      <w:pPr>
        <w:pStyle w:val="TextBody"/>
        <w:bidi w:val="0"/>
        <w:spacing w:before="120" w:after="0"/>
        <w:jc w:val="both"/>
        <w:rPr>
          <w:rFonts w:ascii="Times New Roman" w:hAnsi="Times New Roman"/>
          <w:sz w:val="20"/>
        </w:rPr>
      </w:pPr>
      <w:r>
        <w:rPr>
          <w:rFonts w:ascii="Times New Roman" w:hAnsi="Times New Roman"/>
          <w:sz w:val="20"/>
        </w:rPr>
        <w:t xml:space="preserve">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We are able to leverage multimodal data to deploy AI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Platform is disease agnostic and facilitates rapid expansion into different disease categories. </w:t>
      </w:r>
    </w:p>
    <w:p>
      <w:pPr>
        <w:pStyle w:val="TextBody"/>
        <w:bidi w:val="0"/>
        <w:spacing w:before="120" w:after="0"/>
        <w:jc w:val="both"/>
        <w:rPr>
          <w:rFonts w:ascii="Times New Roman" w:hAnsi="Times New Roman"/>
          <w:sz w:val="20"/>
        </w:rPr>
      </w:pPr>
      <w:r>
        <w:rPr>
          <w:rFonts w:ascii="Times New Roman" w:hAnsi="Times New Roman"/>
          <w:sz w:val="20"/>
        </w:rPr>
        <w:t xml:space="preserve">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neuropsychology in 2020 (MDD, bipolar disease, anxiety), infectious disease (COVID-19 testing) in 2020, and hope to enter cardiology in the near future (ECG-based algorithms starting with AFib and Aortic Stenosis).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size of our database and the breadth of our multimodal data capabilities position us well to be able to launch Algos at scale. </w:t>
      </w:r>
    </w:p>
    <w:p>
      <w:pPr>
        <w:pStyle w:val="TextBody"/>
        <w:bidi w:val="0"/>
        <w:spacing w:before="120" w:after="0"/>
        <w:jc w:val="both"/>
        <w:rPr>
          <w:rFonts w:ascii="Times New Roman" w:hAnsi="Times New Roman"/>
          <w:sz w:val="20"/>
        </w:rPr>
      </w:pPr>
      <w:r>
        <w:rPr>
          <w:rFonts w:ascii="Times New Roman" w:hAnsi="Times New Roman"/>
          <w:sz w:val="20"/>
        </w:rPr>
        <w:t xml:space="preserve">We believe our Algos product line represents an emerging category of diagnostics and has the potential to be highly disruptive across a broad set of disease areas. Our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Algos offering, with the goal of launching hundreds or thousands of Algos at some point in the future, representing a significant long-term opportunity that may be substantially larger than our other existing product lines. We believe our ability to launch Algos at scale is a key differentiator of our Platform. We currently offer two algorithmic tests in oncology, our TO test and our HRD test, and have ongoing development efforts in other disease areas, such as cardiology with our recent Afib algorithm that was awarded breakthrough designation by the FDA.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Many of our products and services are already widely used throughout the healthcare ecosystem. </w:t>
      </w:r>
    </w:p>
    <w:p>
      <w:pPr>
        <w:pStyle w:val="TextBody"/>
        <w:bidi w:val="0"/>
        <w:spacing w:before="120" w:after="0"/>
        <w:jc w:val="both"/>
        <w:rPr>
          <w:rFonts w:ascii="Times New Roman" w:hAnsi="Times New Roman"/>
          <w:sz w:val="20"/>
        </w:rPr>
      </w:pPr>
      <w:r>
        <w:rPr>
          <w:rFonts w:ascii="Times New Roman" w:hAnsi="Times New Roman"/>
          <w:sz w:val="20"/>
        </w:rPr>
        <w:t xml:space="preserve">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approximately 200 direct unique data connections, many of which supply us with complex multimodal data in near real time, across approximately 770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5,000 oncologists in some way. The value of our products is further evidenced by our volume of repeat ordering from oncologists. Through June 2021, the 12-month retention rate for oncologists ordering more than 5 tests was 92%. We define the 12-month retention rate as having placed an order within the previous 360 days. Between our sequencing and data collection efforts, we are connected in some way to more than 40% of all oncologists practicing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both"/>
        <w:rPr>
          <w:rFonts w:ascii="Times New Roman" w:hAnsi="Times New Roman"/>
          <w:sz w:val="20"/>
        </w:rPr>
      </w:pPr>
      <w:r>
        <w:rPr>
          <w:rFonts w:ascii="Times New Roman" w:hAnsi="Times New Roman"/>
          <w:sz w:val="20"/>
        </w:rPr>
        <w:t xml:space="preserve">Our goal is to make the promise of precision medicine a reality, and dramatically improve outcomes for those most in need through the broad adoption of AI-enabled diagnostics. Our growth strategy is to: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Grow our database and the number of providers connected to our Platform. </w:t>
      </w:r>
    </w:p>
    <w:p>
      <w:pPr>
        <w:pStyle w:val="TextBody"/>
        <w:bidi w:val="0"/>
        <w:spacing w:before="120" w:after="0"/>
        <w:jc w:val="both"/>
        <w:rPr>
          <w:rFonts w:ascii="Times New Roman" w:hAnsi="Times New Roman"/>
          <w:sz w:val="20"/>
        </w:rPr>
      </w:pPr>
      <w:r>
        <w:rPr>
          <w:rFonts w:ascii="Times New Roman" w:hAnsi="Times New Roman"/>
          <w:sz w:val="20"/>
        </w:rPr>
        <w:t xml:space="preserve">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 </w:t>
      </w:r>
    </w:p>
    <w:p>
      <w:pPr>
        <w:pStyle w:val="TextBody"/>
        <w:bidi w:val="0"/>
        <w:spacing w:before="360" w:after="0"/>
        <w:jc w:val="left"/>
        <w:rPr>
          <w:rFonts w:ascii="Times New Roman" w:hAnsi="Times New Roman"/>
          <w:b/>
          <w:i/>
          <w:sz w:val="20"/>
        </w:rPr>
      </w:pPr>
      <w:r>
        <w:rPr>
          <w:rFonts w:ascii="Times New Roman" w:hAnsi="Times New Roman"/>
          <w:b/>
          <w:i/>
          <w:sz w:val="20"/>
        </w:rPr>
        <w:t xml:space="preserve">Drive increased adoption of our Genomics product across healthcare providers. </w:t>
      </w:r>
    </w:p>
    <w:p>
      <w:pPr>
        <w:pStyle w:val="TextBody"/>
        <w:bidi w:val="0"/>
        <w:spacing w:before="120" w:after="0"/>
        <w:jc w:val="both"/>
        <w:rPr>
          <w:rFonts w:ascii="Times New Roman" w:hAnsi="Times New Roman"/>
          <w:sz w:val="20"/>
        </w:rPr>
      </w:pPr>
      <w:r>
        <w:rPr>
          <w:rFonts w:ascii="Times New Roman" w:hAnsi="Times New Roman"/>
          <w:sz w:val="20"/>
        </w:rPr>
        <w:t xml:space="preserve">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approximately 150 sales representatives focused on our Genomics offering, and intend to significantly add resources to the team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Drive increased adoption of our data licensing and clinical trial matching products with pharmaceutical and biotechnology companies.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2021, we had 33 pharmaceutical and biotechnology customers licensing data through our Insights product, including more than half of the 20 largest public pharmaceutical companies based on 2020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products and services built on our Platform easier to use, including our Lens application that enhances cloud and compute analytical capabilities for researchers. For our Therapies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Validate and deploy Algos at scale. </w:t>
      </w:r>
    </w:p>
    <w:p>
      <w:pPr>
        <w:pStyle w:val="TextBody"/>
        <w:bidi w:val="0"/>
        <w:spacing w:before="120" w:after="0"/>
        <w:jc w:val="both"/>
        <w:rPr>
          <w:rFonts w:ascii="Times New Roman" w:hAnsi="Times New Roman"/>
          <w:sz w:val="20"/>
        </w:rPr>
      </w:pPr>
      <w:r>
        <w:rPr>
          <w:rFonts w:ascii="Times New Roman" w:hAnsi="Times New Roman"/>
          <w:sz w:val="20"/>
        </w:rPr>
        <w:t xml:space="preserve">We currently have two Algos that we have commercially launched in oncology, our TO test and our HRD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Algos across multiple disease categories.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Expand our capabilities and commercial traction outside of oncology, including in neuropsychology, infectious disease, cardiology, and other disease categories. </w:t>
      </w:r>
    </w:p>
    <w:p>
      <w:pPr>
        <w:pStyle w:val="TextBody"/>
        <w:bidi w:val="0"/>
        <w:spacing w:before="120" w:after="0"/>
        <w:jc w:val="both"/>
        <w:rPr>
          <w:rFonts w:ascii="Times New Roman" w:hAnsi="Times New Roman"/>
          <w:sz w:val="20"/>
        </w:rPr>
      </w:pPr>
      <w:r>
        <w:rPr>
          <w:rFonts w:ascii="Times New Roman" w:hAnsi="Times New Roman"/>
          <w:sz w:val="20"/>
        </w:rPr>
        <w:t xml:space="preserve">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infectious diseases,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Expand internationally. </w:t>
      </w:r>
    </w:p>
    <w:p>
      <w:pPr>
        <w:pStyle w:val="TextBody"/>
        <w:bidi w:val="0"/>
        <w:spacing w:before="120" w:after="0"/>
        <w:jc w:val="both"/>
        <w:rPr>
          <w:rFonts w:ascii="Times New Roman" w:hAnsi="Times New Roman"/>
          <w:sz w:val="20"/>
        </w:rPr>
      </w:pPr>
      <w:r>
        <w:rPr>
          <w:rFonts w:ascii="Times New Roman" w:hAnsi="Times New Roman"/>
          <w:sz w:val="20"/>
        </w:rPr>
        <w:t xml:space="preserve">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Commercialization </w:t>
      </w:r>
    </w:p>
    <w:p>
      <w:pPr>
        <w:pStyle w:val="TextBody"/>
        <w:bidi w:val="0"/>
        <w:spacing w:before="120" w:after="0"/>
        <w:jc w:val="both"/>
        <w:rPr>
          <w:rFonts w:ascii="Times New Roman" w:hAnsi="Times New Roman"/>
          <w:sz w:val="20"/>
        </w:rPr>
      </w:pPr>
      <w:r>
        <w:rPr>
          <w:rFonts w:ascii="Times New Roman" w:hAnsi="Times New Roman"/>
          <w:sz w:val="20"/>
        </w:rPr>
        <w:t xml:space="preserve">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Genomics </w:t>
      </w:r>
    </w:p>
    <w:p>
      <w:pPr>
        <w:pStyle w:val="TextBody"/>
        <w:bidi w:val="0"/>
        <w:spacing w:before="120" w:after="0"/>
        <w:jc w:val="both"/>
        <w:rPr>
          <w:rFonts w:ascii="Times New Roman" w:hAnsi="Times New Roman"/>
          <w:sz w:val="20"/>
        </w:rPr>
      </w:pPr>
      <w:r>
        <w:rPr>
          <w:rFonts w:ascii="Times New Roman" w:hAnsi="Times New Roman"/>
          <w:sz w:val="20"/>
        </w:rPr>
        <w:t xml:space="preserve">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June 30, 2021, our clinical sales organization in the United States included approximately 150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 As of June 30, 2021, we had approximately 130 sales executives in the field focused on oncology and neurology, and we also have a team of 22 sales reps, who largely call on customers virtually throughout our outbound call center, focused predominantly on infectious disease. </w:t>
      </w:r>
    </w:p>
    <w:p>
      <w:pPr>
        <w:pStyle w:val="TextBody"/>
        <w:bidi w:val="0"/>
        <w:spacing w:before="240" w:after="0"/>
        <w:jc w:val="both"/>
        <w:rPr>
          <w:rFonts w:ascii="Times New Roman" w:hAnsi="Times New Roman"/>
          <w:sz w:val="20"/>
        </w:rPr>
      </w:pPr>
      <w:r>
        <w:rPr>
          <w:rFonts w:ascii="Times New Roman" w:hAnsi="Times New Roman"/>
          <w:sz w:val="20"/>
        </w:rPr>
        <w:t xml:space="preserve">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an oncologist starts using Tempus, if they order at least 5 NGS tests from us, their 12-month retention rate is 92 %. We define the 12-month retention rate as having placed at least one order in the previous 360 days. </w:t>
      </w:r>
    </w:p>
    <w:p>
      <w:pPr>
        <w:pStyle w:val="TextBody"/>
        <w:bidi w:val="0"/>
        <w:spacing w:before="240" w:after="0"/>
        <w:jc w:val="both"/>
        <w:rPr>
          <w:rFonts w:ascii="Times New Roman" w:hAnsi="Times New Roman"/>
          <w:sz w:val="20"/>
        </w:rPr>
      </w:pPr>
      <w:r>
        <w:rPr>
          <w:rFonts w:ascii="Times New Roman" w:hAnsi="Times New Roman"/>
          <w:sz w:val="20"/>
        </w:rPr>
        <w:t xml:space="preserve">In addition, we believe that interactions among treating physicians help drive adoption of our products. We are focused on key opinion leaders in the industry through direct outreach and indirect marketing efforts. As of June 30, 2021, we have either published or been acknowledged in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41 total (29 Tempus-authored) peer-reviewed articles published or accepted for publication in major journals, including publications such as </w:t>
            </w:r>
            <w:r>
              <w:rPr>
                <w:rFonts w:ascii="Times New Roman" w:hAnsi="Times New Roman"/>
                <w:i/>
                <w:sz w:val="20"/>
              </w:rPr>
              <w:t>Nature Biotechnology, Clinical Breast Cancer</w:t>
            </w:r>
            <w:r>
              <w:rPr>
                <w:rFonts w:ascii="Times New Roman" w:hAnsi="Times New Roman"/>
                <w:sz w:val="20"/>
              </w:rPr>
              <w:t xml:space="preserve">, </w:t>
            </w:r>
            <w:r>
              <w:rPr>
                <w:rFonts w:ascii="Times New Roman" w:hAnsi="Times New Roman"/>
                <w:i/>
                <w:sz w:val="20"/>
              </w:rPr>
              <w:t xml:space="preserve">Nature Medicine, </w:t>
            </w:r>
            <w:r>
              <w:rPr>
                <w:rFonts w:ascii="Times New Roman" w:hAnsi="Times New Roman"/>
                <w:sz w:val="20"/>
              </w:rPr>
              <w:t xml:space="preserve">and </w:t>
            </w:r>
            <w:r>
              <w:rPr>
                <w:rFonts w:ascii="Times New Roman" w:hAnsi="Times New Roman"/>
                <w:i/>
                <w:sz w:val="20"/>
              </w:rPr>
              <w:t>Cell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Nine additional manuscripts under consideration for publication by major journals.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63 total (49 Tempus-authored) poster presentations based on clinical and research data that have been accepted and presented at major scientific conferences.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11 speaking presentations at scientific meetings such as the ASCO, ASCO Gastrointestinal and Genitourinary Cancer Symposiums, San Antonio Breast Cancer Symposium, and the American Heart Association Scientific Sessions.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a similar strategy in neuropsychology, in which we aim to increase the commercial adoption of our nP test for depression as part of the rapidly growing market for pharmacogenomic testing, with a goal to better understand, diagnose and treat neuropsychiatric disorders. As it relates to infectious disease, we started offering COVID-19 testing through our iC test, and are in the midst of validating a pan viral respiratory pathogen test, iD, which is expected to cover a wider range of viruses such as Influenza, Respiratory Syncytial Virus, COVID-19, etc. </w:t>
      </w:r>
    </w:p>
    <w:p>
      <w:pPr>
        <w:pStyle w:val="TextBody"/>
        <w:bidi w:val="0"/>
        <w:spacing w:before="240" w:after="0"/>
        <w:jc w:val="both"/>
        <w:rPr>
          <w:rFonts w:ascii="Times New Roman" w:hAnsi="Times New Roman"/>
          <w:sz w:val="20"/>
        </w:rPr>
      </w:pPr>
      <w:r>
        <w:rPr>
          <w:rFonts w:ascii="Times New Roman" w:hAnsi="Times New Roman"/>
          <w:sz w:val="20"/>
        </w:rPr>
        <w:t xml:space="preserve">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Research Testing </w:t>
      </w:r>
    </w:p>
    <w:p>
      <w:pPr>
        <w:pStyle w:val="TextBody"/>
        <w:bidi w:val="0"/>
        <w:spacing w:before="120" w:after="0"/>
        <w:jc w:val="both"/>
        <w:rPr>
          <w:rFonts w:ascii="Times New Roman" w:hAnsi="Times New Roman"/>
          <w:sz w:val="20"/>
        </w:rPr>
      </w:pPr>
      <w:r>
        <w:rPr>
          <w:rFonts w:ascii="Times New Roman" w:hAnsi="Times New Roman"/>
          <w:sz w:val="20"/>
        </w:rPr>
        <w:t xml:space="preserve">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 </w:t>
      </w:r>
    </w:p>
    <w:p>
      <w:pPr>
        <w:pStyle w:val="TextBody"/>
        <w:bidi w:val="0"/>
        <w:spacing w:before="240" w:after="0"/>
        <w:jc w:val="both"/>
        <w:rPr>
          <w:rFonts w:ascii="Times New Roman" w:hAnsi="Times New Roman"/>
          <w:sz w:val="20"/>
        </w:rPr>
      </w:pPr>
      <w:r>
        <w:rPr>
          <w:rFonts w:ascii="Times New Roman" w:hAnsi="Times New Roman"/>
          <w:sz w:val="20"/>
        </w:rPr>
        <w:t xml:space="preserve">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our field sales force, our Data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products across the organization from early-stage research through clinical development to commercialization. Given the broad and differentiated utility of our Platform, we believe we can support our pharmaceutical and biopharmaceutical customers across many applications,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early stage research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discovery of new targets and mechanisms of acquired resistance;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clinical trial patient identification and enrollment;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Analytic services, including cloud and compute.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also expect to be able to capture other commercial opportunities from our genomic data, which can be used in combination with clinical outcomes or claims data for multiple applications, including novel target identification, label expansion, and other commercial applications. </w:t>
      </w:r>
    </w:p>
    <w:p>
      <w:pPr>
        <w:pStyle w:val="TextBody"/>
        <w:bidi w:val="0"/>
        <w:spacing w:before="240" w:after="0"/>
        <w:jc w:val="both"/>
        <w:rPr>
          <w:rFonts w:ascii="Times New Roman" w:hAnsi="Times New Roman"/>
          <w:sz w:val="20"/>
        </w:rPr>
      </w:pPr>
      <w:r>
        <w:rPr>
          <w:rFonts w:ascii="Times New Roman" w:hAnsi="Times New Roman"/>
          <w:sz w:val="20"/>
        </w:rPr>
        <w:t xml:space="preserve">As of June 30, 2021, we had approximately 20 sales executives in our Data product line development organization. We divide these individuals by both geography and strategic account to ensure consistency and coordination across our sales efforts.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Algos </w:t>
      </w:r>
    </w:p>
    <w:p>
      <w:pPr>
        <w:pStyle w:val="TextBody"/>
        <w:bidi w:val="0"/>
        <w:spacing w:before="120" w:after="0"/>
        <w:jc w:val="both"/>
        <w:rPr>
          <w:rFonts w:ascii="Times New Roman" w:hAnsi="Times New Roman"/>
          <w:sz w:val="20"/>
        </w:rPr>
      </w:pPr>
      <w:r>
        <w:rPr>
          <w:rFonts w:ascii="Times New Roman" w:hAnsi="Times New Roman"/>
          <w:sz w:val="20"/>
        </w:rPr>
        <w:t xml:space="preserve">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most instances, we bill Algos to third-party payers just like our other clinical tests. We expect reimbursement will be limited for most Algos at launch and may grow over time as we build additional evidence to support the clinical utility and benefit of each Algo. In addition, we work with pharmaceutical companies from time to time to deploy algorithms that they have developed or are interested in developing with us, typically collecting some amount of fees upfront and on a per test basis every time the algorithm is run.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both"/>
        <w:rPr>
          <w:rFonts w:ascii="Times New Roman" w:hAnsi="Times New Roman"/>
          <w:sz w:val="20"/>
        </w:rPr>
      </w:pPr>
      <w:r>
        <w:rPr>
          <w:rFonts w:ascii="Times New Roman" w:hAnsi="Times New Roman"/>
          <w:sz w:val="20"/>
        </w:rPr>
        <w:t xml:space="preserve">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 </w:t>
      </w:r>
    </w:p>
    <w:p>
      <w:pPr>
        <w:pStyle w:val="TextBody"/>
        <w:bidi w:val="0"/>
        <w:spacing w:before="240" w:after="0"/>
        <w:jc w:val="both"/>
        <w:rPr>
          <w:rFonts w:ascii="Times New Roman" w:hAnsi="Times New Roman"/>
          <w:sz w:val="20"/>
        </w:rPr>
      </w:pPr>
      <w:r>
        <w:rPr>
          <w:rFonts w:ascii="Times New Roman" w:hAnsi="Times New Roman"/>
          <w:sz w:val="20"/>
        </w:rPr>
        <w:t xml:space="preserve">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Neogenomics, and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 </w:t>
      </w:r>
    </w:p>
    <w:p>
      <w:pPr>
        <w:pStyle w:val="TextBody"/>
        <w:bidi w:val="0"/>
        <w:spacing w:before="240" w:after="0"/>
        <w:jc w:val="both"/>
        <w:rPr>
          <w:rFonts w:ascii="Times New Roman" w:hAnsi="Times New Roman"/>
          <w:sz w:val="20"/>
        </w:rPr>
      </w:pPr>
      <w:r>
        <w:rPr>
          <w:rFonts w:ascii="Times New Roman" w:hAnsi="Times New Roman"/>
          <w:sz w:val="20"/>
        </w:rPr>
        <w:t xml:space="preserve">Our Data products primarily face competition from companies that help pharmaceutical and biotechnology companies acquire data to inform drug discovery and development. Our main competitors in this area are Flatiron Health, Inc., IQVIA Holdings Inc., ConcertAI, and others. Our Data products also face competition from CROs, such as Covance, ICON, Syneos, PPD, and others, who provide data and clinical trial matching services to pharmaceutical and biotechnology companies. </w:t>
      </w:r>
    </w:p>
    <w:p>
      <w:pPr>
        <w:pStyle w:val="TextBody"/>
        <w:bidi w:val="0"/>
        <w:spacing w:before="240" w:after="0"/>
        <w:jc w:val="both"/>
        <w:rPr>
          <w:rFonts w:ascii="Times New Roman" w:hAnsi="Times New Roman"/>
          <w:sz w:val="20"/>
        </w:rPr>
      </w:pPr>
      <w:r>
        <w:rPr>
          <w:rFonts w:ascii="Times New Roman" w:hAnsi="Times New Roman"/>
          <w:sz w:val="20"/>
        </w:rPr>
        <w:t xml:space="preserve">Our Algos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 </w:t>
      </w:r>
    </w:p>
    <w:p>
      <w:pPr>
        <w:pStyle w:val="TextBody"/>
        <w:bidi w:val="0"/>
        <w:spacing w:before="240" w:after="0"/>
        <w:jc w:val="both"/>
        <w:rPr>
          <w:rFonts w:ascii="Times New Roman" w:hAnsi="Times New Roman"/>
          <w:sz w:val="20"/>
        </w:rPr>
      </w:pPr>
      <w:r>
        <w:rPr>
          <w:rFonts w:ascii="Times New Roman" w:hAnsi="Times New Roman"/>
          <w:sz w:val="20"/>
        </w:rPr>
        <w:t xml:space="preserve">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 </w:t>
      </w:r>
    </w:p>
    <w:p>
      <w:pPr>
        <w:pStyle w:val="TextBody"/>
        <w:bidi w:val="0"/>
        <w:spacing w:before="240" w:after="0"/>
        <w:jc w:val="both"/>
        <w:rPr>
          <w:rFonts w:ascii="Times New Roman" w:hAnsi="Times New Roman"/>
          <w:sz w:val="20"/>
        </w:rPr>
      </w:pPr>
      <w:r>
        <w:rPr>
          <w:rFonts w:ascii="Times New Roman" w:hAnsi="Times New Roman"/>
          <w:sz w:val="20"/>
        </w:rPr>
        <w:t xml:space="preserve">For further discussion of the risks we face relating to competition, see the section titled Risk factorsRisks Related to Our Business and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Payer coverage and reimbursement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Clinical Testing </w:t>
      </w:r>
    </w:p>
    <w:p>
      <w:pPr>
        <w:pStyle w:val="TextBody"/>
        <w:bidi w:val="0"/>
        <w:spacing w:before="120" w:after="0"/>
        <w:jc w:val="both"/>
        <w:rPr>
          <w:rFonts w:ascii="Times New Roman" w:hAnsi="Times New Roman"/>
          <w:sz w:val="20"/>
        </w:rPr>
      </w:pPr>
      <w:r>
        <w:rPr>
          <w:rFonts w:ascii="Times New Roman" w:hAnsi="Times New Roman"/>
          <w:sz w:val="20"/>
        </w:rPr>
        <w:t xml:space="preserve">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 </w:t>
      </w:r>
    </w:p>
    <w:p>
      <w:pPr>
        <w:pStyle w:val="TextBody"/>
        <w:bidi w:val="0"/>
        <w:spacing w:before="240" w:after="0"/>
        <w:jc w:val="both"/>
        <w:rPr>
          <w:rFonts w:ascii="Times New Roman" w:hAnsi="Times New Roman"/>
          <w:sz w:val="20"/>
        </w:rPr>
      </w:pPr>
      <w:r>
        <w:rPr>
          <w:rFonts w:ascii="Times New Roman" w:hAnsi="Times New Roman"/>
          <w:sz w:val="20"/>
        </w:rPr>
        <w:t xml:space="preserve">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 </w:t>
      </w:r>
    </w:p>
    <w:p>
      <w:pPr>
        <w:pStyle w:val="TextBody"/>
        <w:bidi w:val="0"/>
        <w:spacing w:before="240" w:after="0"/>
        <w:jc w:val="both"/>
        <w:rPr>
          <w:rFonts w:ascii="Times New Roman" w:hAnsi="Times New Roman"/>
          <w:sz w:val="20"/>
        </w:rPr>
      </w:pPr>
      <w:r>
        <w:rPr>
          <w:rFonts w:ascii="Times New Roman" w:hAnsi="Times New Roman"/>
          <w:sz w:val="20"/>
        </w:rPr>
        <w:t xml:space="preserve">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 </w:t>
      </w:r>
    </w:p>
    <w:p>
      <w:pPr>
        <w:pStyle w:val="TextBody"/>
        <w:bidi w:val="0"/>
        <w:spacing w:before="240" w:after="0"/>
        <w:jc w:val="both"/>
        <w:rPr>
          <w:rFonts w:ascii="Times New Roman" w:hAnsi="Times New Roman"/>
          <w:sz w:val="20"/>
        </w:rPr>
      </w:pPr>
      <w:r>
        <w:rPr>
          <w:rFonts w:ascii="Times New Roman" w:hAnsi="Times New Roman"/>
          <w:sz w:val="20"/>
        </w:rPr>
        <w:t xml:space="preserve">For the year ended December 31, 2019 and 2020, we received payment through reimbursement on approximately 50% and 48% of our clinical oncology NGS tests, respectively. We did not receive payment on approximately 50% and 52% of our clinical oncology NGS tests during the same periods, respectively. Our strategy to improve reimbursement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 to work with NGS, our local MAC in Chicago, to improve coverage, and the amount they currently pay, for tests, through a reconsideration request for our main assays (xT, xF) and through various appeals when coverage is denied.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Work with our new MAC, Palmetto, who will cover our tests when performed out of our newest lab in Raleigh, NC, to get the technical assessment of our assays approved and coverage policy in place for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Work toward FDA approval of our main solid tumor assay, xT, for which we filed a PMA in early 2021, and once approved, work with CMS to apply a national coverage determination that covers our assay.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0"/>
        <w:gridCol w:w="92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Work with commercial payers to both get in network and get our assay approved and reimbursement at a higher rate than it currently is.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At present, we have a team that is dedicated to the above, and if we are successful we would expect our reimbursement per assay to be more in line with other NGS providers who have adopted similar strategies, such as FMI and Guardant.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Algos </w:t>
      </w:r>
    </w:p>
    <w:p>
      <w:pPr>
        <w:pStyle w:val="TextBody"/>
        <w:bidi w:val="0"/>
        <w:spacing w:before="120" w:after="0"/>
        <w:jc w:val="both"/>
        <w:rPr>
          <w:rFonts w:ascii="Times New Roman" w:hAnsi="Times New Roman"/>
          <w:sz w:val="20"/>
        </w:rPr>
      </w:pPr>
      <w:r>
        <w:rPr>
          <w:rFonts w:ascii="Times New Roman" w:hAnsi="Times New Roman"/>
          <w:sz w:val="20"/>
        </w:rPr>
        <w:t xml:space="preserve">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offerings are point-of-care ordered,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 </w:t>
      </w:r>
    </w:p>
    <w:p>
      <w:pPr>
        <w:pStyle w:val="TextBody"/>
        <w:bidi w:val="0"/>
        <w:spacing w:before="240" w:after="0"/>
        <w:jc w:val="both"/>
        <w:rPr>
          <w:rFonts w:ascii="Times New Roman" w:hAnsi="Times New Roman"/>
          <w:sz w:val="20"/>
        </w:rPr>
      </w:pPr>
      <w:r>
        <w:rPr>
          <w:rFonts w:ascii="Times New Roman" w:hAnsi="Times New Roman"/>
          <w:sz w:val="20"/>
        </w:rPr>
        <w:t xml:space="preserve">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Operations </w:t>
      </w:r>
    </w:p>
    <w:p>
      <w:pPr>
        <w:pStyle w:val="TextBody"/>
        <w:bidi w:val="0"/>
        <w:spacing w:before="120" w:after="0"/>
        <w:jc w:val="both"/>
        <w:rPr>
          <w:rFonts w:ascii="Times New Roman" w:hAnsi="Times New Roman"/>
          <w:sz w:val="20"/>
        </w:rPr>
      </w:pPr>
      <w:r>
        <w:rPr>
          <w:rFonts w:ascii="Times New Roman" w:hAnsi="Times New Roman"/>
          <w:sz w:val="20"/>
        </w:rPr>
        <w:t xml:space="preserve">We currently perform our laboratory tests, including our NGS and anatomic pathology tests in our clinical laboratories in Chicago and Atlanta. We intend to expand these capabilities with a new genomics lab in Raleigh that we plan to operationalize towards the end of 2021. Our Chicago and Atlanta laboratories are CAP-accredited and CLIA-certified, and licensed in other states including New York, California, Maryland, Pennsylvania, and Rhode Island. </w:t>
      </w:r>
    </w:p>
    <w:p>
      <w:pPr>
        <w:pStyle w:val="TextBody"/>
        <w:bidi w:val="0"/>
        <w:spacing w:before="240" w:after="0"/>
        <w:jc w:val="both"/>
        <w:rPr>
          <w:rFonts w:ascii="Times New Roman" w:hAnsi="Times New Roman"/>
          <w:sz w:val="20"/>
        </w:rPr>
      </w:pPr>
      <w:r>
        <w:rPr>
          <w:rFonts w:ascii="Times New Roman" w:hAnsi="Times New Roman"/>
          <w:sz w:val="20"/>
        </w:rPr>
        <w:t xml:space="preserve">The scale our laboratories have been able to achieve in the approximately 4 1⁄2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 </w:t>
      </w:r>
    </w:p>
    <w:p>
      <w:pPr>
        <w:pStyle w:val="TextBody"/>
        <w:bidi w:val="0"/>
        <w:spacing w:before="240" w:after="0"/>
        <w:jc w:val="both"/>
        <w:rPr>
          <w:rFonts w:ascii="Times New Roman" w:hAnsi="Times New Roman"/>
          <w:sz w:val="20"/>
        </w:rPr>
      </w:pPr>
      <w:r>
        <w:rPr>
          <w:rFonts w:ascii="Times New Roman" w:hAnsi="Times New Roman"/>
          <w:sz w:val="20"/>
        </w:rPr>
        <w:t xml:space="preserve">Our investments have allowed us to continuously drive turnaround time downward, to provide results to doctors and their patients in a timeframe that we believe now meets or exceeds many of our competitors who have been operating in the NGS space for longer. As of June 30, 2021, our average turnaround time for our xT assays was 10 days, and our average turnaround time for xF was 8 days.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 As an example of this, Tempus was able to stand up our COVID testing assays in both Atlanta and Chicago, obtain EUA approvals, make necessary modifications to our laboratory information systems and provide connectivity integrations to our largest customers (who were each running thousands of tests per day for a period of time) efficiently delivering results to them with turn around times and error rates that met or exceeded industry standards, during the peak of the pandemic in 2020 and early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Quality Assurance </w:t>
      </w:r>
    </w:p>
    <w:p>
      <w:pPr>
        <w:pStyle w:val="TextBody"/>
        <w:bidi w:val="0"/>
        <w:spacing w:before="120" w:after="0"/>
        <w:jc w:val="both"/>
        <w:rPr>
          <w:rFonts w:ascii="Times New Roman" w:hAnsi="Times New Roman"/>
          <w:sz w:val="20"/>
        </w:rPr>
      </w:pPr>
      <w:r>
        <w:rPr>
          <w:rFonts w:ascii="Times New Roman" w:hAnsi="Times New Roman"/>
          <w:sz w:val="20"/>
        </w:rPr>
        <w:t xml:space="preserve">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 </w:t>
      </w:r>
    </w:p>
    <w:p>
      <w:pPr>
        <w:pStyle w:val="TextBody"/>
        <w:bidi w:val="0"/>
        <w:spacing w:before="240" w:after="0"/>
        <w:jc w:val="both"/>
        <w:rPr>
          <w:rFonts w:ascii="Times New Roman" w:hAnsi="Times New Roman"/>
          <w:sz w:val="20"/>
        </w:rPr>
      </w:pPr>
      <w:r>
        <w:rPr>
          <w:rFonts w:ascii="Times New Roman" w:hAnsi="Times New Roman"/>
          <w:sz w:val="20"/>
        </w:rPr>
        <w:t xml:space="preserve">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Supply chain </w:t>
      </w:r>
    </w:p>
    <w:p>
      <w:pPr>
        <w:pStyle w:val="TextBody"/>
        <w:bidi w:val="0"/>
        <w:spacing w:before="120" w:after="0"/>
        <w:jc w:val="both"/>
        <w:rPr>
          <w:rFonts w:ascii="Times New Roman" w:hAnsi="Times New Roman"/>
          <w:sz w:val="20"/>
        </w:rPr>
      </w:pPr>
      <w:r>
        <w:rPr>
          <w:rFonts w:ascii="Times New Roman" w:hAnsi="Times New Roman"/>
          <w:sz w:val="20"/>
        </w:rPr>
        <w:t xml:space="preserve">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 </w:t>
      </w:r>
    </w:p>
    <w:p>
      <w:pPr>
        <w:pStyle w:val="TextBody"/>
        <w:bidi w:val="0"/>
        <w:spacing w:before="240" w:after="0"/>
        <w:jc w:val="both"/>
        <w:rPr>
          <w:rFonts w:ascii="Times New Roman" w:hAnsi="Times New Roman"/>
          <w:sz w:val="20"/>
        </w:rPr>
      </w:pPr>
      <w:r>
        <w:rPr>
          <w:rFonts w:ascii="Times New Roman" w:hAnsi="Times New Roman"/>
          <w:sz w:val="20"/>
        </w:rPr>
        <w:t xml:space="preserve">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implemented COVID-19 testing in May of 2020, and have run over 2 million tests in the last twelve months ended June 30, 2021. </w:t>
      </w:r>
    </w:p>
    <w:p>
      <w:pPr>
        <w:pStyle w:val="TextBody"/>
        <w:bidi w:val="0"/>
        <w:spacing w:before="240" w:after="0"/>
        <w:jc w:val="both"/>
        <w:rPr>
          <w:rFonts w:ascii="Times New Roman" w:hAnsi="Times New Roman"/>
          <w:sz w:val="20"/>
        </w:rPr>
      </w:pPr>
      <w:r>
        <w:rPr>
          <w:rFonts w:ascii="Times New Roman" w:hAnsi="Times New Roman"/>
          <w:sz w:val="20"/>
        </w:rPr>
        <w:t xml:space="preserve">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Laboratory Workflow Applications </w:t>
      </w:r>
    </w:p>
    <w:p>
      <w:pPr>
        <w:pStyle w:val="TextBody"/>
        <w:bidi w:val="0"/>
        <w:spacing w:before="120" w:after="0"/>
        <w:jc w:val="both"/>
        <w:rPr>
          <w:rFonts w:ascii="Times New Roman" w:hAnsi="Times New Roman"/>
          <w:sz w:val="20"/>
        </w:rPr>
      </w:pPr>
      <w:r>
        <w:rPr>
          <w:rFonts w:ascii="Times New Roman" w:hAnsi="Times New Roman"/>
          <w:sz w:val="20"/>
        </w:rPr>
        <w:t xml:space="preserve">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42481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577850" cy="424815"/>
                    </a:xfrm>
                    <a:prstGeom prst="rect">
                      <a:avLst/>
                    </a:prstGeom>
                  </pic:spPr>
                </pic:pic>
              </a:graphicData>
            </a:graphic>
          </wp:inline>
        </w:drawing>
      </w:r>
      <w:r>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hAnsi="Times New Roman"/>
          <w:i/>
          <w:sz w:val="20"/>
        </w:rPr>
        <w:t xml:space="preserve">Tempus One, </w:t>
      </w:r>
      <w:r>
        <w:rPr>
          <w:rFonts w:ascii="Times New Roman" w:hAnsi="Times New Roman"/>
          <w:sz w:val="20"/>
        </w:rPr>
        <w:t>which is both a physical device and a mobile software application that relays information contained in our oncology reports and supporting database 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hAnsi="Times New Roman"/>
          <w:i/>
          <w:sz w:val="20"/>
        </w:rPr>
        <w:t>,</w:t>
      </w:r>
      <w:r>
        <w:rPr>
          <w:rFonts w:ascii="Times New Roman" w:hAnsi="Times New Roman"/>
          <w:sz w:val="20"/>
        </w:rPr>
        <w:t xml:space="preserve"> and other similar applications we develop, thereby enhancing the amount of information readily available to our ordering physicians.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Structuring Applications </w:t>
      </w:r>
    </w:p>
    <w:p>
      <w:pPr>
        <w:pStyle w:val="TextBody"/>
        <w:bidi w:val="0"/>
        <w:spacing w:before="120" w:after="0"/>
        <w:jc w:val="both"/>
        <w:rPr>
          <w:rFonts w:ascii="Times New Roman" w:hAnsi="Times New Roman"/>
          <w:sz w:val="20"/>
        </w:rPr>
      </w:pPr>
      <w:r>
        <w:rPr>
          <w:rFonts w:ascii="Times New Roman" w:hAnsi="Times New Roman"/>
          <w:sz w:val="20"/>
        </w:rPr>
        <w:t xml:space="preserve">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Security </w:t>
      </w:r>
    </w:p>
    <w:p>
      <w:pPr>
        <w:pStyle w:val="TextBody"/>
        <w:bidi w:val="0"/>
        <w:spacing w:before="120" w:after="0"/>
        <w:jc w:val="both"/>
        <w:rPr>
          <w:rFonts w:ascii="Times New Roman" w:hAnsi="Times New Roman"/>
          <w:sz w:val="20"/>
        </w:rPr>
      </w:pPr>
      <w:r>
        <w:rPr>
          <w:rFonts w:ascii="Times New Roman" w:hAnsi="Times New Roman"/>
          <w:sz w:val="20"/>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r>
        <w:rPr>
          <w:rFonts w:ascii="Times New Roman" w:hAnsi="Times New Roman"/>
          <w:b/>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both"/>
        <w:rPr>
          <w:rFonts w:ascii="Times New Roman" w:hAnsi="Times New Roman"/>
          <w:sz w:val="20"/>
        </w:rPr>
      </w:pPr>
      <w:r>
        <w:rPr>
          <w:rFonts w:ascii="Times New Roman" w:hAnsi="Times New Roman"/>
          <w:sz w:val="20"/>
        </w:rPr>
        <w:t xml:space="preserve">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 </w:t>
      </w:r>
    </w:p>
    <w:p>
      <w:pPr>
        <w:pStyle w:val="TextBody"/>
        <w:bidi w:val="0"/>
        <w:spacing w:before="240" w:after="0"/>
        <w:jc w:val="both"/>
        <w:rPr>
          <w:rFonts w:ascii="Times New Roman" w:hAnsi="Times New Roman"/>
          <w:sz w:val="20"/>
        </w:rPr>
      </w:pPr>
      <w:r>
        <w:rPr>
          <w:rFonts w:ascii="Times New Roman" w:hAnsi="Times New Roman"/>
          <w:sz w:val="20"/>
        </w:rPr>
        <w:t xml:space="preserve">As of August 18, 2021, our patent portfolio included owned and in-licensed patents and patent applications, including 16 issued or allowed U.S. patents or pending applications and 59 pending U.S. non-provisional patent applications, 35 pending U.S. provisional patent applications, 30 pending Patent Cooperation Treaty (international) patent applications, and 5 issued foreign patents and 34 pending foreign patent applications. Our issued patents are expected to begin expiring in December 2029, assuming payment of all appropriate maintenance, renewal, annuity or other governmental fees. These patents and applications generally fall into four broad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applications and patents relating to our Platform, including claims directed to product ordering processes; data processing and multimodal data analytics;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applications and patents relating to our Genomics business, including claims directed to detecting and monitoring cancer and other diseases by determining genetic variations and other biomarkers in biological samples;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applications and patents relating to our Data business, including claims directed to analysis of healthcare records and patient outcomes;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applications and patents related to our Algos business, including claims directed to machine learning diagnostics and predictions in cancer and cardiology.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term of individual patents depends upon the legal term of the patents in the countries in which they are obtained. In most countries in which we file or intend to file, including the United States, the patent term is 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 </w:t>
      </w:r>
    </w:p>
    <w:p>
      <w:pPr>
        <w:pStyle w:val="TextBody"/>
        <w:bidi w:val="0"/>
        <w:spacing w:before="240" w:after="0"/>
        <w:jc w:val="both"/>
        <w:rPr>
          <w:rFonts w:ascii="Times New Roman" w:hAnsi="Times New Roman"/>
          <w:sz w:val="20"/>
        </w:rPr>
      </w:pPr>
      <w:r>
        <w:rPr>
          <w:rFonts w:ascii="Times New Roman" w:hAnsi="Times New Roman"/>
          <w:sz w:val="20"/>
        </w:rPr>
        <w:t xml:space="preserve">The success of our business strategy also depends in part on our continued ability to protect our branded services, and we own registered trademarks on TEMPUS and product related brand names in the United States and worldwide. </w:t>
      </w:r>
    </w:p>
    <w:p>
      <w:pPr>
        <w:pStyle w:val="TextBody"/>
        <w:bidi w:val="0"/>
        <w:spacing w:before="240" w:after="0"/>
        <w:jc w:val="both"/>
        <w:rPr>
          <w:rFonts w:ascii="Times New Roman" w:hAnsi="Times New Roman"/>
          <w:sz w:val="20"/>
        </w:rPr>
      </w:pPr>
      <w:r>
        <w:rPr>
          <w:rFonts w:ascii="Times New Roman" w:hAnsi="Times New Roman"/>
          <w:sz w:val="20"/>
        </w:rPr>
        <w:t xml:space="preserve">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 </w:t>
      </w:r>
    </w:p>
    <w:p>
      <w:pPr>
        <w:pStyle w:val="TextBody"/>
        <w:bidi w:val="0"/>
        <w:spacing w:before="240" w:after="0"/>
        <w:jc w:val="both"/>
        <w:rPr>
          <w:rFonts w:ascii="Times New Roman" w:hAnsi="Times New Roman"/>
          <w:sz w:val="20"/>
        </w:rPr>
      </w:pPr>
      <w:r>
        <w:rPr>
          <w:rFonts w:ascii="Times New Roman" w:hAnsi="Times New Roman"/>
          <w:sz w:val="20"/>
        </w:rPr>
        <w:t xml:space="preserve">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Regulation of Medical Devices in the United States </w:t>
      </w:r>
    </w:p>
    <w:p>
      <w:pPr>
        <w:pStyle w:val="TextBody"/>
        <w:bidi w:val="0"/>
        <w:spacing w:before="120" w:after="0"/>
        <w:jc w:val="both"/>
        <w:rPr>
          <w:rFonts w:ascii="Times New Roman" w:hAnsi="Times New Roman"/>
          <w:sz w:val="20"/>
        </w:rPr>
      </w:pPr>
      <w:r>
        <w:rPr>
          <w:rFonts w:ascii="Times New Roman" w:hAnsi="Times New Roman"/>
          <w:sz w:val="20"/>
        </w:rPr>
        <w:t xml:space="preserve">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 </w:t>
      </w:r>
    </w:p>
    <w:p>
      <w:pPr>
        <w:pStyle w:val="TextBody"/>
        <w:bidi w:val="0"/>
        <w:spacing w:before="360" w:after="0"/>
        <w:jc w:val="left"/>
        <w:rPr>
          <w:rFonts w:ascii="Times New Roman" w:hAnsi="Times New Roman"/>
          <w:i/>
          <w:sz w:val="20"/>
        </w:rPr>
      </w:pPr>
      <w:r>
        <w:rPr>
          <w:rFonts w:ascii="Times New Roman" w:hAnsi="Times New Roman"/>
          <w:i/>
          <w:sz w:val="20"/>
        </w:rPr>
        <w:t xml:space="preserve">FDA Premarket Clearance and Approval Requirements </w:t>
      </w:r>
    </w:p>
    <w:p>
      <w:pPr>
        <w:pStyle w:val="TextBody"/>
        <w:bidi w:val="0"/>
        <w:spacing w:before="120" w:after="0"/>
        <w:jc w:val="both"/>
        <w:rPr>
          <w:rFonts w:ascii="Times New Roman" w:hAnsi="Times New Roman"/>
          <w:sz w:val="20"/>
        </w:rPr>
      </w:pPr>
      <w:r>
        <w:rPr>
          <w:rFonts w:ascii="Times New Roman" w:hAnsi="Times New Roman"/>
          <w:sz w:val="20"/>
        </w:rPr>
        <w:t xml:space="preserve">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 </w:t>
      </w:r>
    </w:p>
    <w:p>
      <w:pPr>
        <w:pStyle w:val="TextBody"/>
        <w:bidi w:val="0"/>
        <w:spacing w:before="240" w:after="0"/>
        <w:jc w:val="both"/>
        <w:rPr>
          <w:rFonts w:ascii="Times New Roman" w:hAnsi="Times New Roman"/>
          <w:sz w:val="20"/>
        </w:rPr>
      </w:pPr>
      <w:r>
        <w:rPr>
          <w:rFonts w:ascii="Times New Roman" w:hAnsi="Times New Roman"/>
          <w:sz w:val="20"/>
        </w:rPr>
        <w:t xml:space="preserve">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 </w:t>
      </w:r>
    </w:p>
    <w:p>
      <w:pPr>
        <w:pStyle w:val="TextBody"/>
        <w:bidi w:val="0"/>
        <w:spacing w:before="240" w:after="0"/>
        <w:jc w:val="both"/>
        <w:rPr>
          <w:rFonts w:ascii="Times New Roman" w:hAnsi="Times New Roman"/>
          <w:sz w:val="20"/>
        </w:rPr>
      </w:pPr>
      <w:r>
        <w:rPr>
          <w:rFonts w:ascii="Times New Roman" w:hAnsi="Times New Roman"/>
          <w:sz w:val="20"/>
        </w:rPr>
        <w:t xml:space="preserve">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 </w:t>
      </w:r>
    </w:p>
    <w:p>
      <w:pPr>
        <w:pStyle w:val="TextBody"/>
        <w:bidi w:val="0"/>
        <w:spacing w:before="360" w:after="0"/>
        <w:jc w:val="left"/>
        <w:rPr>
          <w:rFonts w:ascii="Times New Roman" w:hAnsi="Times New Roman"/>
          <w:i/>
          <w:sz w:val="20"/>
        </w:rPr>
      </w:pPr>
      <w:r>
        <w:rPr>
          <w:rFonts w:ascii="Times New Roman" w:hAnsi="Times New Roman"/>
          <w:i/>
          <w:sz w:val="20"/>
        </w:rPr>
        <w:t xml:space="preserve">Emergency Use Authorization </w:t>
      </w:r>
    </w:p>
    <w:p>
      <w:pPr>
        <w:pStyle w:val="TextBody"/>
        <w:bidi w:val="0"/>
        <w:spacing w:before="120" w:after="0"/>
        <w:jc w:val="both"/>
        <w:rPr>
          <w:rFonts w:ascii="Times New Roman" w:hAnsi="Times New Roman"/>
          <w:sz w:val="20"/>
        </w:rPr>
      </w:pPr>
      <w:r>
        <w:rPr>
          <w:rFonts w:ascii="Times New Roman" w:hAnsi="Times New Roman"/>
          <w:sz w:val="20"/>
        </w:rPr>
        <w:t xml:space="preserve">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 </w:t>
      </w:r>
    </w:p>
    <w:p>
      <w:pPr>
        <w:pStyle w:val="TextBody"/>
        <w:bidi w:val="0"/>
        <w:spacing w:before="240" w:after="0"/>
        <w:jc w:val="both"/>
        <w:rPr>
          <w:rFonts w:ascii="Times New Roman" w:hAnsi="Times New Roman"/>
          <w:sz w:val="20"/>
        </w:rPr>
      </w:pPr>
      <w:r>
        <w:rPr>
          <w:rFonts w:ascii="Times New Roman" w:hAnsi="Times New Roman"/>
          <w:sz w:val="20"/>
        </w:rPr>
        <w:t xml:space="preserve">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 </w:t>
      </w:r>
    </w:p>
    <w:p>
      <w:pPr>
        <w:pStyle w:val="TextBody"/>
        <w:bidi w:val="0"/>
        <w:spacing w:before="240" w:after="0"/>
        <w:jc w:val="both"/>
        <w:rPr>
          <w:rFonts w:ascii="Times New Roman" w:hAnsi="Times New Roman"/>
          <w:sz w:val="20"/>
        </w:rPr>
      </w:pPr>
      <w:r>
        <w:rPr>
          <w:rFonts w:ascii="Times New Roman" w:hAnsi="Times New Roman"/>
          <w:sz w:val="20"/>
        </w:rPr>
        <w:t xml:space="preserve">The FDA also may revise or revoke an EUA if the circumstances justifying its issuance no longer exist, the criteria for its issuance are no longer met, or other circumstances make a revision or revocation appropriate to protect the public health or safety.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Clinical Trials </w:t>
      </w:r>
    </w:p>
    <w:p>
      <w:pPr>
        <w:pStyle w:val="TextBody"/>
        <w:bidi w:val="0"/>
        <w:spacing w:before="120" w:after="0"/>
        <w:jc w:val="both"/>
        <w:rPr>
          <w:rFonts w:ascii="Times New Roman" w:hAnsi="Times New Roman"/>
          <w:sz w:val="20"/>
        </w:rPr>
      </w:pPr>
      <w:r>
        <w:rPr>
          <w:rFonts w:ascii="Times New Roman" w:hAnsi="Times New Roman"/>
          <w:sz w:val="20"/>
        </w:rPr>
        <w:t xml:space="preserve">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 </w:t>
      </w:r>
    </w:p>
    <w:p>
      <w:pPr>
        <w:pStyle w:val="TextBody"/>
        <w:bidi w:val="0"/>
        <w:spacing w:before="240" w:after="0"/>
        <w:jc w:val="both"/>
        <w:rPr>
          <w:rFonts w:ascii="Times New Roman" w:hAnsi="Times New Roman"/>
          <w:sz w:val="20"/>
        </w:rPr>
      </w:pPr>
      <w:r>
        <w:rPr>
          <w:rFonts w:ascii="Times New Roman" w:hAnsi="Times New Roman"/>
          <w:sz w:val="20"/>
        </w:rPr>
        <w:t xml:space="preserve">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 </w:t>
      </w:r>
    </w:p>
    <w:p>
      <w:pPr>
        <w:pStyle w:val="TextBody"/>
        <w:bidi w:val="0"/>
        <w:spacing w:before="360" w:after="0"/>
        <w:jc w:val="left"/>
        <w:rPr>
          <w:rFonts w:ascii="Times New Roman" w:hAnsi="Times New Roman"/>
          <w:i/>
          <w:sz w:val="20"/>
        </w:rPr>
      </w:pPr>
      <w:r>
        <w:rPr>
          <w:rFonts w:ascii="Times New Roman" w:hAnsi="Times New Roman"/>
          <w:i/>
          <w:sz w:val="20"/>
        </w:rPr>
        <w:t xml:space="preserve">Post-market Regulation </w:t>
      </w:r>
    </w:p>
    <w:p>
      <w:pPr>
        <w:pStyle w:val="TextBody"/>
        <w:bidi w:val="0"/>
        <w:spacing w:before="120" w:after="0"/>
        <w:jc w:val="both"/>
        <w:rPr>
          <w:rFonts w:ascii="Times New Roman" w:hAnsi="Times New Roman"/>
          <w:sz w:val="20"/>
        </w:rPr>
      </w:pPr>
      <w:r>
        <w:rPr>
          <w:rFonts w:ascii="Times New Roman" w:hAnsi="Times New Roman"/>
          <w:sz w:val="20"/>
        </w:rPr>
        <w:t xml:space="preserve">After a device is cleared or approved for marketing, numerous and pervasive regulatory requirements continue to apply. These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establishment of registration and device listing with the FDA;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QSR requirements, which require manufacturers and contract manufacturers, including any third-party manufacturers, to follow stringent design, testing, control, documentation and other quality assurance procedures during all aspects of the design and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labeling regulations and FDA prohibitions against the promotion of investigational products, or off-label uses of cleared or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requirements related to promotional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clearance or approval of product modifications to 510(k)-cleared devices that could significantly affect safety or effectiveness or that would constitute a major change in intended use of a cleared device; </w:t>
            </w:r>
          </w:p>
        </w:tc>
      </w:tr>
    </w:tbl>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FDAs recall authority, whereby the agency can order device manufacturers to recall from the market a product that is in violation of governing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post-market surveillance activities and regulations, which apply when deemed by the FDA to be necessary to protect the public health or to provide additional safety and effectiveness data for the device.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FDA has broad regulatory compliance and enforcement powers. If the FDA determines that we failed to comply with applicable regulatory requirements, it can take a variety of compliance or enforcement actions, which may result in any of the following sanctions: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untitled letters, warning letters, fines, injunctions, consent decrees and civil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unanticipated expenditures to address or defend such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customer notifications for repair, replacement, refunds;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recall, withdrawal, administrative detention or seizure;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operating restrictions or partial suspension or total shutdown of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of or delay in granting our requests for 510(k) clearance or PMA approval of new tests or modified tests;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operating restrictions, partial suspension or total shutdown of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withdrawing 510(k) clearance or PMA approvals that are already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refusal to grant export approval;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criminal prosecution.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Laboratory-Developed Tests (LDTs) </w:t>
      </w:r>
    </w:p>
    <w:p>
      <w:pPr>
        <w:pStyle w:val="TextBody"/>
        <w:bidi w:val="0"/>
        <w:spacing w:before="120" w:after="0"/>
        <w:jc w:val="both"/>
        <w:rPr>
          <w:rFonts w:ascii="Times New Roman" w:hAnsi="Times New Roman"/>
          <w:sz w:val="20"/>
        </w:rPr>
      </w:pPr>
      <w:r>
        <w:rPr>
          <w:rFonts w:ascii="Times New Roman" w:hAnsi="Times New Roman"/>
          <w:sz w:val="20"/>
        </w:rPr>
        <w:t xml:space="preserve">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 </w:t>
      </w:r>
    </w:p>
    <w:p>
      <w:pPr>
        <w:pStyle w:val="TextBody"/>
        <w:bidi w:val="0"/>
        <w:spacing w:before="240" w:after="0"/>
        <w:jc w:val="both"/>
        <w:rPr>
          <w:rFonts w:ascii="Times New Roman" w:hAnsi="Times New Roman"/>
          <w:sz w:val="20"/>
        </w:rPr>
      </w:pPr>
      <w:r>
        <w:rPr>
          <w:rFonts w:ascii="Times New Roman" w:hAnsi="Times New Roman"/>
          <w:sz w:val="20"/>
        </w:rPr>
        <w:t xml:space="preserve">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 </w:t>
      </w:r>
    </w:p>
    <w:p>
      <w:pPr>
        <w:pStyle w:val="TextBody"/>
        <w:bidi w:val="0"/>
        <w:spacing w:before="240" w:after="0"/>
        <w:jc w:val="both"/>
        <w:rPr>
          <w:rFonts w:ascii="Times New Roman" w:hAnsi="Times New Roman"/>
          <w:sz w:val="20"/>
        </w:rPr>
      </w:pPr>
      <w:r>
        <w:rPr>
          <w:rFonts w:ascii="Times New Roman" w:hAnsi="Times New Roman"/>
          <w:sz w:val="20"/>
        </w:rPr>
        <w:t xml:space="preserve">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 </w:t>
      </w:r>
    </w:p>
    <w:p>
      <w:pPr>
        <w:pStyle w:val="TextBody"/>
        <w:bidi w:val="0"/>
        <w:spacing w:before="360" w:after="0"/>
        <w:jc w:val="left"/>
        <w:rPr>
          <w:rFonts w:ascii="Times New Roman" w:hAnsi="Times New Roman"/>
          <w:b/>
          <w:sz w:val="20"/>
        </w:rPr>
      </w:pPr>
      <w:r>
        <w:rPr>
          <w:rFonts w:ascii="Times New Roman" w:hAnsi="Times New Roman"/>
          <w:b/>
          <w:sz w:val="20"/>
        </w:rPr>
        <w:t xml:space="preserve">CLIA and State Laboratory Licensing </w:t>
      </w:r>
    </w:p>
    <w:p>
      <w:pPr>
        <w:pStyle w:val="TextBody"/>
        <w:bidi w:val="0"/>
        <w:spacing w:before="120" w:after="0"/>
        <w:jc w:val="both"/>
        <w:rPr>
          <w:rFonts w:ascii="Times New Roman" w:hAnsi="Times New Roman"/>
          <w:sz w:val="20"/>
        </w:rPr>
      </w:pPr>
      <w:r>
        <w:rPr>
          <w:rFonts w:ascii="Times New Roman" w:hAnsi="Times New Roman"/>
          <w:sz w:val="20"/>
        </w:rPr>
        <w:t xml:space="preserve">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 </w:t>
      </w:r>
    </w:p>
    <w:p>
      <w:pPr>
        <w:pStyle w:val="TextBody"/>
        <w:bidi w:val="0"/>
        <w:spacing w:before="240" w:after="0"/>
        <w:jc w:val="both"/>
        <w:rPr>
          <w:rFonts w:ascii="Times New Roman" w:hAnsi="Times New Roman"/>
          <w:sz w:val="20"/>
        </w:rPr>
      </w:pPr>
      <w:r>
        <w:rPr>
          <w:rFonts w:ascii="Times New Roman" w:hAnsi="Times New Roman"/>
          <w:sz w:val="20"/>
        </w:rPr>
        <w:t xml:space="preserve">Laboratories performing high complexity testing are required to meet more stringent requirements than laboratories performing less complex tests. In addition, a laboratory that is certified as high complexity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 </w:t>
      </w:r>
    </w:p>
    <w:p>
      <w:pPr>
        <w:pStyle w:val="TextBody"/>
        <w:bidi w:val="0"/>
        <w:spacing w:before="240" w:after="0"/>
        <w:jc w:val="both"/>
        <w:rPr>
          <w:rFonts w:ascii="Times New Roman" w:hAnsi="Times New Roman"/>
          <w:sz w:val="20"/>
        </w:rPr>
      </w:pPr>
      <w:r>
        <w:rPr>
          <w:rFonts w:ascii="Times New Roman" w:hAnsi="Times New Roman"/>
          <w:sz w:val="20"/>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 </w:t>
      </w:r>
    </w:p>
    <w:p>
      <w:pPr>
        <w:pStyle w:val="TextBody"/>
        <w:bidi w:val="0"/>
        <w:spacing w:before="240" w:after="0"/>
        <w:jc w:val="both"/>
        <w:rPr>
          <w:rFonts w:ascii="Times New Roman" w:hAnsi="Times New Roman"/>
          <w:sz w:val="20"/>
        </w:rPr>
      </w:pPr>
      <w:r>
        <w:rPr>
          <w:rFonts w:ascii="Times New Roman" w:hAnsi="Times New Roman"/>
          <w:sz w:val="20"/>
        </w:rPr>
        <w:t xml:space="preserve">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apply for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Federal and State Health Care Laws </w:t>
      </w:r>
    </w:p>
    <w:p>
      <w:pPr>
        <w:pStyle w:val="TextBody"/>
        <w:bidi w:val="0"/>
        <w:spacing w:before="120" w:after="0"/>
        <w:jc w:val="left"/>
        <w:rPr>
          <w:rFonts w:ascii="Times New Roman" w:hAnsi="Times New Roman"/>
          <w:i/>
          <w:sz w:val="20"/>
        </w:rPr>
      </w:pPr>
      <w:r>
        <w:rPr>
          <w:rFonts w:ascii="Times New Roman" w:hAnsi="Times New Roman"/>
          <w:i/>
          <w:sz w:val="20"/>
        </w:rPr>
        <w:t xml:space="preserve">Federal Physician Self-Referral Prohibition </w:t>
      </w:r>
    </w:p>
    <w:p>
      <w:pPr>
        <w:pStyle w:val="TextBody"/>
        <w:bidi w:val="0"/>
        <w:spacing w:before="120" w:after="0"/>
        <w:jc w:val="both"/>
        <w:rPr>
          <w:rFonts w:ascii="Times New Roman" w:hAnsi="Times New Roman"/>
          <w:sz w:val="20"/>
        </w:rPr>
      </w:pPr>
      <w:r>
        <w:rPr>
          <w:rFonts w:ascii="Times New Roman" w:hAnsi="Times New Roman"/>
          <w:sz w:val="20"/>
        </w:rPr>
        <w:t xml:space="preserve">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 </w:t>
      </w:r>
    </w:p>
    <w:p>
      <w:pPr>
        <w:pStyle w:val="TextBody"/>
        <w:bidi w:val="0"/>
        <w:spacing w:before="360" w:after="0"/>
        <w:jc w:val="left"/>
        <w:rPr>
          <w:rFonts w:ascii="Times New Roman" w:hAnsi="Times New Roman"/>
          <w:i/>
          <w:sz w:val="20"/>
        </w:rPr>
      </w:pPr>
      <w:r>
        <w:rPr>
          <w:rFonts w:ascii="Times New Roman" w:hAnsi="Times New Roman"/>
          <w:i/>
          <w:sz w:val="20"/>
        </w:rPr>
        <w:t xml:space="preserve">Federal Anti-Kickback Law </w:t>
      </w:r>
    </w:p>
    <w:p>
      <w:pPr>
        <w:pStyle w:val="TextBody"/>
        <w:bidi w:val="0"/>
        <w:spacing w:before="120" w:after="0"/>
        <w:jc w:val="both"/>
        <w:rPr>
          <w:rFonts w:ascii="Times New Roman" w:hAnsi="Times New Roman"/>
          <w:sz w:val="20"/>
        </w:rPr>
      </w:pPr>
      <w:r>
        <w:rPr>
          <w:rFonts w:ascii="Times New Roman" w:hAnsi="Times New Roman"/>
          <w:sz w:val="20"/>
        </w:rPr>
        <w:t xml:space="preserve">The federal Anti-Kickback Statute, or AKS, makes it a felony for a person or entity, including a clinical laboratory, to knowingly and willfully offer, pay, solicit or receive any remuneration,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Other Health Care Laws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the requirements discussed above, several other health care fraud and abuse laws could have an effect on our business. </w:t>
      </w:r>
    </w:p>
    <w:p>
      <w:pPr>
        <w:pStyle w:val="TextBody"/>
        <w:bidi w:val="0"/>
        <w:spacing w:before="240" w:after="0"/>
        <w:jc w:val="both"/>
        <w:rPr>
          <w:rFonts w:ascii="Times New Roman" w:hAnsi="Times New Roman"/>
          <w:sz w:val="20"/>
        </w:rPr>
      </w:pPr>
      <w:r>
        <w:rPr>
          <w:rFonts w:ascii="Times New Roman" w:hAnsi="Times New Roman"/>
          <w:sz w:val="20"/>
        </w:rPr>
        <w:t xml:space="preserve">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 </w:t>
      </w:r>
    </w:p>
    <w:p>
      <w:pPr>
        <w:pStyle w:val="TextBody"/>
        <w:bidi w:val="0"/>
        <w:spacing w:before="240" w:after="0"/>
        <w:jc w:val="both"/>
        <w:rPr>
          <w:rFonts w:ascii="Times New Roman" w:hAnsi="Times New Roman"/>
          <w:sz w:val="20"/>
        </w:rPr>
      </w:pPr>
      <w:r>
        <w:rPr>
          <w:rFonts w:ascii="Times New Roman" w:hAnsi="Times New Roman"/>
          <w:sz w:val="20"/>
        </w:rPr>
        <w:t xml:space="preserve">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 </w:t>
      </w:r>
    </w:p>
    <w:p>
      <w:pPr>
        <w:pStyle w:val="TextBody"/>
        <w:bidi w:val="0"/>
        <w:spacing w:before="240" w:after="0"/>
        <w:jc w:val="both"/>
        <w:rPr>
          <w:rFonts w:ascii="Times New Roman" w:hAnsi="Times New Roman"/>
          <w:sz w:val="20"/>
        </w:rPr>
      </w:pPr>
      <w:r>
        <w:rPr>
          <w:rFonts w:ascii="Times New Roman" w:hAnsi="Times New Roman"/>
          <w:sz w:val="20"/>
        </w:rPr>
        <w:t xml:space="preserve">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 </w:t>
      </w:r>
    </w:p>
    <w:p>
      <w:pPr>
        <w:pStyle w:val="TextBody"/>
        <w:bidi w:val="0"/>
        <w:spacing w:before="240" w:after="0"/>
        <w:jc w:val="both"/>
        <w:rPr>
          <w:rFonts w:ascii="Times New Roman" w:hAnsi="Times New Roman"/>
          <w:sz w:val="20"/>
        </w:rPr>
      </w:pPr>
      <w:r>
        <w:rPr>
          <w:rFonts w:ascii="Times New Roman" w:hAnsi="Times New Roman"/>
          <w:sz w:val="20"/>
        </w:rPr>
        <w:t xml:space="preserve">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w:t>
      </w:r>
    </w:p>
    <w:p>
      <w:pPr>
        <w:pStyle w:val="TextBody"/>
        <w:bidi w:val="0"/>
        <w:spacing w:before="240" w:after="0"/>
        <w:jc w:val="both"/>
        <w:rPr>
          <w:rFonts w:ascii="Times New Roman" w:hAnsi="Times New Roman"/>
          <w:sz w:val="20"/>
        </w:rPr>
      </w:pPr>
      <w:r>
        <w:rPr>
          <w:rFonts w:ascii="Times New Roman" w:hAnsi="Times New Roman"/>
          <w:sz w:val="20"/>
        </w:rPr>
        <w:t xml:space="preserve">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 </w:t>
      </w:r>
    </w:p>
    <w:p>
      <w:pPr>
        <w:pStyle w:val="TextBody"/>
        <w:bidi w:val="0"/>
        <w:spacing w:before="240" w:after="0"/>
        <w:jc w:val="both"/>
        <w:rPr>
          <w:rFonts w:ascii="Times New Roman" w:hAnsi="Times New Roman"/>
          <w:sz w:val="20"/>
        </w:rPr>
      </w:pPr>
      <w:r>
        <w:rPr>
          <w:rFonts w:ascii="Times New Roman" w:hAnsi="Times New Roman"/>
          <w:sz w:val="20"/>
        </w:rPr>
        <w:t xml:space="preserve">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also will be required to report such information regarding their payments and other transfers of value to physician assistants, nurse practitioners, clinical nurse specialists, anesthesiologist assistants, certified registered nurse anesthetists and certified nurse midwives during the previous year. </w:t>
      </w:r>
    </w:p>
    <w:p>
      <w:pPr>
        <w:pStyle w:val="TextBody"/>
        <w:bidi w:val="0"/>
        <w:spacing w:before="240" w:after="0"/>
        <w:jc w:val="both"/>
        <w:rPr>
          <w:rFonts w:ascii="Times New Roman" w:hAnsi="Times New Roman"/>
          <w:sz w:val="20"/>
        </w:rPr>
      </w:pPr>
      <w:r>
        <w:rPr>
          <w:rFonts w:ascii="Times New Roman" w:hAnsi="Times New Roman"/>
          <w:sz w:val="20"/>
        </w:rPr>
        <w:t xml:space="preserve">Also, many states have laws similar to those listed above that may be broader in scope and may apply regardless of payer. </w:t>
      </w:r>
    </w:p>
    <w:p>
      <w:pPr>
        <w:pStyle w:val="TextBody"/>
        <w:bidi w:val="0"/>
        <w:spacing w:before="240" w:after="0"/>
        <w:jc w:val="both"/>
        <w:rPr>
          <w:rFonts w:ascii="Times New Roman" w:hAnsi="Times New Roman"/>
          <w:sz w:val="20"/>
        </w:rPr>
      </w:pPr>
      <w:r>
        <w:rPr>
          <w:rFonts w:ascii="Times New Roman" w:hAnsi="Times New Roman"/>
          <w:sz w:val="20"/>
        </w:rPr>
        <w:t xml:space="preserve">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oversight and reporting obligations, limitations to the sale of certain products or services, diminished profits and future earnings, and the curtailment or restructuring of our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both"/>
        <w:rPr>
          <w:rFonts w:ascii="Times New Roman" w:hAnsi="Times New Roman"/>
          <w:sz w:val="20"/>
        </w:rPr>
      </w:pPr>
      <w:r>
        <w:rPr>
          <w:rFonts w:ascii="Times New Roman" w:hAnsi="Times New Roman"/>
          <w:sz w:val="20"/>
        </w:rPr>
        <w:t xml:space="preserve">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w:t>
      </w:r>
    </w:p>
    <w:p>
      <w:pPr>
        <w:pStyle w:val="TextBody"/>
        <w:bidi w:val="0"/>
        <w:spacing w:before="240" w:after="0"/>
        <w:jc w:val="both"/>
        <w:rPr>
          <w:rFonts w:ascii="Times New Roman" w:hAnsi="Times New Roman"/>
          <w:sz w:val="20"/>
        </w:rPr>
      </w:pPr>
      <w:r>
        <w:rPr>
          <w:rFonts w:ascii="Times New Roman" w:hAnsi="Times New Roman"/>
          <w:sz w:val="20"/>
        </w:rPr>
        <w:t xml:space="preserve">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 </w:t>
      </w:r>
    </w:p>
    <w:p>
      <w:pPr>
        <w:pStyle w:val="TextBody"/>
        <w:bidi w:val="0"/>
        <w:spacing w:before="240" w:after="0"/>
        <w:jc w:val="both"/>
        <w:rPr>
          <w:rFonts w:ascii="Times New Roman" w:hAnsi="Times New Roman"/>
          <w:sz w:val="20"/>
        </w:rPr>
      </w:pPr>
      <w:r>
        <w:rPr>
          <w:rFonts w:ascii="Times New Roman" w:hAnsi="Times New Roman"/>
          <w:sz w:val="20"/>
        </w:rPr>
        <w:t xml:space="preserve">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its Consumer Data Protection Act, and Colorado passed the Colorado Privacy act, both of which differ from the CPRA and become effective in 2023. </w:t>
      </w:r>
    </w:p>
    <w:p>
      <w:pPr>
        <w:pStyle w:val="TextBody"/>
        <w:bidi w:val="0"/>
        <w:spacing w:before="240" w:after="0"/>
        <w:jc w:val="both"/>
        <w:rPr>
          <w:rFonts w:ascii="Times New Roman" w:hAnsi="Times New Roman"/>
          <w:sz w:val="20"/>
        </w:rPr>
      </w:pPr>
      <w:r>
        <w:rPr>
          <w:rFonts w:ascii="Times New Roman" w:hAnsi="Times New Roman"/>
          <w:sz w:val="20"/>
        </w:rPr>
        <w:t xml:space="preserve">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 </w:t>
      </w:r>
    </w:p>
    <w:p>
      <w:pPr>
        <w:pStyle w:val="TextBody"/>
        <w:bidi w:val="0"/>
        <w:spacing w:before="240" w:after="0"/>
        <w:jc w:val="both"/>
        <w:rPr>
          <w:rFonts w:ascii="Times New Roman" w:hAnsi="Times New Roman"/>
          <w:sz w:val="20"/>
        </w:rPr>
      </w:pPr>
      <w:r>
        <w:rPr>
          <w:rFonts w:ascii="Times New Roman" w:hAnsi="Times New Roman"/>
          <w:sz w:val="20"/>
        </w:rPr>
        <w:t xml:space="preserve">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 </w:t>
      </w:r>
    </w:p>
    <w:p>
      <w:pPr>
        <w:pStyle w:val="TextBody"/>
        <w:bidi w:val="0"/>
        <w:spacing w:before="360" w:after="0"/>
        <w:jc w:val="left"/>
        <w:rPr>
          <w:rFonts w:ascii="Times New Roman" w:hAnsi="Times New Roman"/>
          <w:b/>
          <w:sz w:val="20"/>
        </w:rPr>
      </w:pPr>
      <w:r>
        <w:rPr>
          <w:rFonts w:ascii="Times New Roman" w:hAnsi="Times New Roman"/>
          <w:b/>
          <w:sz w:val="20"/>
        </w:rPr>
        <w:t xml:space="preserve">Health Reform </w:t>
      </w:r>
    </w:p>
    <w:p>
      <w:pPr>
        <w:pStyle w:val="TextBody"/>
        <w:bidi w:val="0"/>
        <w:spacing w:before="120" w:after="0"/>
        <w:jc w:val="both"/>
        <w:rPr>
          <w:rFonts w:ascii="Times New Roman" w:hAnsi="Times New Roman"/>
          <w:sz w:val="20"/>
        </w:rPr>
      </w:pPr>
      <w:r>
        <w:rPr>
          <w:rFonts w:ascii="Times New Roman" w:hAnsi="Times New Roman"/>
          <w:sz w:val="20"/>
        </w:rPr>
        <w:t xml:space="preserve">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w:t>
      </w:r>
    </w:p>
    <w:p>
      <w:pPr>
        <w:pStyle w:val="TextBody"/>
        <w:bidi w:val="0"/>
        <w:spacing w:before="240" w:after="0"/>
        <w:jc w:val="both"/>
        <w:rPr>
          <w:rFonts w:ascii="Times New Roman" w:hAnsi="Times New Roman"/>
          <w:sz w:val="20"/>
        </w:rPr>
      </w:pPr>
      <w:r>
        <w:rPr>
          <w:rFonts w:ascii="Times New Roman" w:hAnsi="Times New Roman"/>
          <w:sz w:val="20"/>
        </w:rPr>
        <w:t xml:space="preserve">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 </w:t>
      </w:r>
    </w:p>
    <w:p>
      <w:pPr>
        <w:pStyle w:val="TextBody"/>
        <w:bidi w:val="0"/>
        <w:spacing w:before="240" w:after="0"/>
        <w:jc w:val="both"/>
        <w:rPr>
          <w:rFonts w:ascii="Times New Roman" w:hAnsi="Times New Roman"/>
          <w:sz w:val="20"/>
        </w:rPr>
      </w:pPr>
      <w:r>
        <w:rPr>
          <w:rFonts w:ascii="Times New Roman" w:hAnsi="Times New Roman"/>
          <w:sz w:val="20"/>
        </w:rPr>
        <w:t xml:space="preserve">We expect that additional state, federal, and foreign healthcare reform measures will be adopted in the future. It is also possible that additional governmental action will be taken in response to the COVID-19 pandemic. </w:t>
      </w:r>
    </w:p>
    <w:p>
      <w:pPr>
        <w:pStyle w:val="TextBody"/>
        <w:bidi w:val="0"/>
        <w:spacing w:before="360" w:after="0"/>
        <w:jc w:val="left"/>
        <w:rPr>
          <w:rFonts w:ascii="Times New Roman" w:hAnsi="Times New Roman"/>
          <w:b/>
          <w:sz w:val="20"/>
        </w:rPr>
      </w:pPr>
      <w:r>
        <w:rPr>
          <w:rFonts w:ascii="Times New Roman" w:hAnsi="Times New Roman"/>
          <w:b/>
          <w:sz w:val="20"/>
        </w:rPr>
        <w:t xml:space="preserve">Coverage and Reimbursement </w:t>
      </w:r>
    </w:p>
    <w:p>
      <w:pPr>
        <w:pStyle w:val="TextBody"/>
        <w:bidi w:val="0"/>
        <w:spacing w:before="120" w:after="0"/>
        <w:jc w:val="both"/>
        <w:rPr>
          <w:rFonts w:ascii="Times New Roman" w:hAnsi="Times New Roman"/>
          <w:sz w:val="20"/>
        </w:rPr>
      </w:pPr>
      <w:r>
        <w:rPr>
          <w:rFonts w:ascii="Times New Roman" w:hAnsi="Times New Roman"/>
          <w:sz w:val="20"/>
        </w:rPr>
        <w:t xml:space="preserve">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 </w:t>
      </w:r>
    </w:p>
    <w:p>
      <w:pPr>
        <w:pStyle w:val="TextBody"/>
        <w:bidi w:val="0"/>
        <w:spacing w:before="240" w:after="0"/>
        <w:jc w:val="both"/>
        <w:rPr>
          <w:rFonts w:ascii="Times New Roman" w:hAnsi="Times New Roman"/>
          <w:sz w:val="20"/>
        </w:rPr>
      </w:pPr>
      <w:r>
        <w:rPr>
          <w:rFonts w:ascii="Times New Roman" w:hAnsi="Times New Roman"/>
          <w:sz w:val="20"/>
        </w:rPr>
        <w:t xml:space="preserve">Although we are a participating provider with a limited number of commercial payers, certain other large, national commercial payers, including Anthem, Aetna and Humana, have issued non-coverage policies that consider tissue and liquid comprehensive genomic profile testing, including certain of our Genomics tests, as experimental or investigational. </w:t>
      </w:r>
    </w:p>
    <w:p>
      <w:pPr>
        <w:pStyle w:val="TextBody"/>
        <w:bidi w:val="0"/>
        <w:spacing w:before="240" w:after="0"/>
        <w:jc w:val="both"/>
        <w:rPr>
          <w:rFonts w:ascii="Times New Roman" w:hAnsi="Times New Roman"/>
          <w:sz w:val="20"/>
        </w:rPr>
      </w:pPr>
      <w:r>
        <w:rPr>
          <w:rFonts w:ascii="Times New Roman" w:hAnsi="Times New Roman"/>
          <w:sz w:val="20"/>
        </w:rPr>
        <w:t xml:space="preserve">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 </w:t>
      </w:r>
    </w:p>
    <w:p>
      <w:pPr>
        <w:pStyle w:val="TextBody"/>
        <w:bidi w:val="0"/>
        <w:spacing w:before="240" w:after="0"/>
        <w:jc w:val="both"/>
        <w:rPr>
          <w:rFonts w:ascii="Times New Roman" w:hAnsi="Times New Roman"/>
          <w:sz w:val="20"/>
        </w:rPr>
      </w:pPr>
      <w:r>
        <w:rPr>
          <w:rFonts w:ascii="Times New Roman" w:hAnsi="Times New Roman"/>
          <w:sz w:val="20"/>
        </w:rPr>
        <w:t xml:space="preserve">National Government Services, Inc., or the Local MAC, is the MAC that makes LCDs for tests conducted at our Chicago laboratory. The Local MAC has issued two LCDs related to genetic testing in cancer, each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currently require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the Local MAC indicated that such claims would be individually reviewed. Claims we have submitted under this code have since been summarily denied. We have begun the process of appealing these denials, but the outcome of any appeal is uncertain and the appeal process is typically slow and costly. As a result, it is impossible for us to predict when the payments for NGS oncology tests performed for Medicare beneficiaries in our Chicago laboratory after March 25, 2021 will be finally adjudicated or whether we will receive any payment for the claims we have submitted to National Government after March 25, 2021. In addition, on July 23, 2021, the Local MAC issued revised instructions for CPT coding which may be applicable to our NGS oncology tests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At present, the outcome is uncertain and it is possible that the Local MAC will deny all claims related to the NGS oncology testing we perform for Medicare beneficiaries in our Chicago laboratory, which as of June 30, 2021 represented approximately one third of our clinical testing volume. While we intend to appeal any future denials of claims that we believe are inappropriate, the outcome of any appeal process is likely to be both lengthy and costly and the result of any such process is uncertain. Our Atlanta, Georgia laboratory is not subject to any similar LCD. </w:t>
      </w:r>
    </w:p>
    <w:p>
      <w:pPr>
        <w:pStyle w:val="TextBody"/>
        <w:bidi w:val="0"/>
        <w:spacing w:before="240" w:after="0"/>
        <w:jc w:val="both"/>
        <w:rPr>
          <w:rFonts w:ascii="Times New Roman" w:hAnsi="Times New Roman"/>
          <w:sz w:val="20"/>
        </w:rPr>
      </w:pPr>
      <w:r>
        <w:rPr>
          <w:rFonts w:ascii="Times New Roman" w:hAnsi="Times New Roman"/>
          <w:sz w:val="20"/>
        </w:rPr>
        <w:t xml:space="preserve">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 </w:t>
      </w:r>
    </w:p>
    <w:p>
      <w:pPr>
        <w:pStyle w:val="TextBody"/>
        <w:bidi w:val="0"/>
        <w:spacing w:before="240" w:after="0"/>
        <w:jc w:val="both"/>
        <w:rPr>
          <w:rFonts w:ascii="Times New Roman" w:hAnsi="Times New Roman"/>
          <w:sz w:val="20"/>
        </w:rPr>
      </w:pPr>
      <w:r>
        <w:rPr>
          <w:rFonts w:ascii="Times New Roman" w:hAnsi="Times New Roman"/>
          <w:sz w:val="20"/>
        </w:rPr>
        <w:t xml:space="preserve">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w:t>
      </w:r>
    </w:p>
    <w:p>
      <w:pPr>
        <w:pStyle w:val="TextBody"/>
        <w:bidi w:val="0"/>
        <w:spacing w:before="240" w:after="0"/>
        <w:jc w:val="both"/>
        <w:rPr>
          <w:rFonts w:ascii="Times New Roman" w:hAnsi="Times New Roman"/>
          <w:sz w:val="20"/>
        </w:rPr>
      </w:pPr>
      <w:r>
        <w:rPr>
          <w:rFonts w:ascii="Times New Roman" w:hAnsi="Times New Roman"/>
          <w:sz w:val="20"/>
        </w:rPr>
        <w:t xml:space="preserve">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both"/>
        <w:rPr>
          <w:rFonts w:ascii="Times New Roman" w:hAnsi="Times New Roman"/>
          <w:sz w:val="20"/>
        </w:rPr>
      </w:pPr>
      <w:r>
        <w:rPr>
          <w:rFonts w:ascii="Times New Roman" w:hAnsi="Times New Roman"/>
          <w:sz w:val="20"/>
        </w:rPr>
        <w:t xml:space="preserve">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plan to operationalize a new genomics lab in Raleigh, North Carolina towards the end of 2021.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w:t>
      </w:r>
    </w:p>
    <w:p>
      <w:pPr>
        <w:pStyle w:val="TextBody"/>
        <w:bidi w:val="0"/>
        <w:spacing w:before="120" w:after="0"/>
        <w:jc w:val="both"/>
        <w:rPr>
          <w:rFonts w:ascii="Times New Roman" w:hAnsi="Times New Roman"/>
          <w:sz w:val="20"/>
        </w:rPr>
      </w:pPr>
      <w:r>
        <w:rPr>
          <w:rFonts w:ascii="Times New Roman" w:hAnsi="Times New Roman"/>
          <w:sz w:val="20"/>
        </w:rPr>
        <w:t xml:space="preserve">As of June 30, 2021, we had a total of 1,447 employees, of which 607 were technical and were engaged in product and engineering, and research and development. As of June 30, 2021, 786 employees were based at our headquarters in Chicago, Illinois, and 79 employees were based in Atlanta, Georgia. None of our employees are represented by a labor union or covered under a collective bargaining agreement, and we have never experienced a work stoppage. We consider our relationship with our employees to be positive. </w:t>
      </w:r>
    </w:p>
    <w:p>
      <w:pPr>
        <w:pStyle w:val="TextBody"/>
        <w:bidi w:val="0"/>
        <w:spacing w:before="240" w:after="0"/>
        <w:jc w:val="both"/>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rom221145_12"/>
      <w:bookmarkEnd w:id="14"/>
      <w:r>
        <w:rPr>
          <w:rFonts w:ascii="Times New Roman" w:hAnsi="Times New Roman"/>
          <w:b/>
          <w:sz w:val="20"/>
        </w:rPr>
        <w:t xml:space="preserve">MANAGEMENT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sets forth information, as of June 30, 2021, regarding our current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9"/>
        <w:gridCol w:w="165"/>
        <w:gridCol w:w="60"/>
        <w:gridCol w:w="265"/>
        <w:gridCol w:w="60"/>
        <w:gridCol w:w="165"/>
        <w:gridCol w:w="5801"/>
      </w:tblGrid>
      <w:tr>
        <w:trPr/>
        <w:tc>
          <w:tcPr>
            <w:tcW w:w="3689"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5801" w:type="dxa"/>
            <w:tcBorders/>
            <w:vAlign w:val="center"/>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65" w:type="dxa"/>
            <w:tcBorders/>
            <w:vAlign w:val="bottom"/>
          </w:tcPr>
          <w:p>
            <w:pPr>
              <w:pStyle w:val="TableContents"/>
              <w:bidi w:val="0"/>
              <w:spacing w:before="0" w:after="283"/>
              <w:jc w:val="left"/>
              <w:rPr/>
            </w:pPr>
            <w:r>
              <w:rPr/>
              <w:t>  </w:t>
            </w:r>
          </w:p>
        </w:tc>
        <w:tc>
          <w:tcPr>
            <w:tcW w:w="325" w:type="dxa"/>
            <w:gridSpan w:val="2"/>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Position</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26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5801" w:type="dxa"/>
            <w:tcBorders/>
            <w:shd w:fill="CCEEFF" w:val="clear"/>
          </w:tcPr>
          <w:p>
            <w:pPr>
              <w:pStyle w:val="TableContents"/>
              <w:bidi w:val="0"/>
              <w:spacing w:before="0" w:after="283"/>
              <w:jc w:val="left"/>
              <w:rPr>
                <w:sz w:val="4"/>
                <w:szCs w:val="4"/>
              </w:rPr>
            </w:pPr>
            <w:r>
              <w:rPr>
                <w:sz w:val="4"/>
                <w:szCs w:val="4"/>
              </w:rPr>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Founder and 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right"/>
              <w:rPr/>
            </w:pPr>
            <w:r>
              <w:rPr/>
              <w:t>36</w:t>
            </w:r>
          </w:p>
        </w:tc>
        <w:tc>
          <w:tcPr>
            <w:tcW w:w="60" w:type="dxa"/>
            <w:tcBorders/>
            <w:shd w:fill="CCEEFF" w:val="clear"/>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Operating Officer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Erik Phelps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50</w:t>
            </w:r>
          </w:p>
        </w:tc>
        <w:tc>
          <w:tcPr>
            <w:tcW w:w="60" w:type="dxa"/>
            <w:tcBorders/>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Administrative and Legal Officer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right"/>
              <w:rPr/>
            </w:pPr>
            <w:r>
              <w:rPr/>
              <w:t>35</w:t>
            </w:r>
          </w:p>
        </w:tc>
        <w:tc>
          <w:tcPr>
            <w:tcW w:w="60" w:type="dxa"/>
            <w:tcBorders/>
            <w:shd w:fill="CCEEFF" w:val="clear"/>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i/>
                <w:sz w:val="20"/>
              </w:rPr>
            </w:pPr>
            <w:r>
              <w:rPr>
                <w:rFonts w:ascii="Times New Roman" w:hAnsi="Times New Roman"/>
                <w:i/>
                <w:sz w:val="20"/>
              </w:rPr>
              <w:t>Non-Employee Directors: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6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5801" w:type="dxa"/>
            <w:tcBorders/>
          </w:tcPr>
          <w:p>
            <w:pPr>
              <w:pStyle w:val="TableContents"/>
              <w:bidi w:val="0"/>
              <w:spacing w:before="0" w:after="283"/>
              <w:jc w:val="left"/>
              <w:rPr>
                <w:sz w:val="4"/>
                <w:szCs w:val="4"/>
              </w:rPr>
            </w:pPr>
            <w:r>
              <w:rPr>
                <w:sz w:val="4"/>
                <w:szCs w:val="4"/>
              </w:rPr>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right"/>
              <w:rPr/>
            </w:pPr>
            <w:r>
              <w:rPr/>
              <w:t>69</w:t>
            </w:r>
          </w:p>
        </w:tc>
        <w:tc>
          <w:tcPr>
            <w:tcW w:w="60" w:type="dxa"/>
            <w:tcBorders/>
            <w:shd w:fill="CCEEFF" w:val="clear"/>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52</w:t>
            </w:r>
          </w:p>
        </w:tc>
        <w:tc>
          <w:tcPr>
            <w:tcW w:w="60" w:type="dxa"/>
            <w:tcBorders/>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right"/>
              <w:rPr/>
            </w:pPr>
            <w:r>
              <w:rPr/>
              <w:t>57</w:t>
            </w:r>
          </w:p>
        </w:tc>
        <w:tc>
          <w:tcPr>
            <w:tcW w:w="60" w:type="dxa"/>
            <w:tcBorders/>
            <w:shd w:fill="CCEEFF" w:val="clear"/>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50</w:t>
            </w:r>
          </w:p>
        </w:tc>
        <w:tc>
          <w:tcPr>
            <w:tcW w:w="60" w:type="dxa"/>
            <w:tcBorders/>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Ghenchev</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right"/>
              <w:rPr/>
            </w:pPr>
            <w:r>
              <w:rPr/>
              <w:t>38</w:t>
            </w:r>
          </w:p>
        </w:tc>
        <w:tc>
          <w:tcPr>
            <w:tcW w:w="60" w:type="dxa"/>
            <w:tcBorders/>
            <w:shd w:fill="CCEEFF" w:val="clear"/>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49</w:t>
            </w:r>
          </w:p>
        </w:tc>
        <w:tc>
          <w:tcPr>
            <w:tcW w:w="60" w:type="dxa"/>
            <w:tcBorders/>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265" w:type="dxa"/>
            <w:tcBorders/>
            <w:shd w:fill="CCEEFF" w:val="clear"/>
          </w:tcPr>
          <w:p>
            <w:pPr>
              <w:pStyle w:val="TableContents"/>
              <w:bidi w:val="0"/>
              <w:spacing w:before="0" w:after="283"/>
              <w:jc w:val="right"/>
              <w:rPr/>
            </w:pPr>
            <w:r>
              <w:rPr/>
              <w:t>65</w:t>
            </w:r>
          </w:p>
        </w:tc>
        <w:tc>
          <w:tcPr>
            <w:tcW w:w="60" w:type="dxa"/>
            <w:tcBorders/>
            <w:shd w:fill="CCEEFF" w:val="clear"/>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75" w:hRule="atLeast"/>
        </w:trPr>
        <w:tc>
          <w:tcPr>
            <w:tcW w:w="3689"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c>
          <w:tcPr>
            <w:tcW w:w="5966"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5" w:type="dxa"/>
            <w:tcBorders/>
          </w:tcPr>
          <w:p>
            <w:pPr>
              <w:pStyle w:val="TableContents"/>
              <w:bidi w:val="0"/>
              <w:spacing w:before="0" w:after="283"/>
              <w:jc w:val="right"/>
              <w:rPr/>
            </w:pPr>
            <w:r>
              <w:rPr/>
              <w:t>60</w:t>
            </w:r>
          </w:p>
        </w:tc>
        <w:tc>
          <w:tcPr>
            <w:tcW w:w="60" w:type="dxa"/>
            <w:tcBorders/>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both"/>
        <w:rPr>
          <w:rFonts w:ascii="Times New Roman" w:hAnsi="Times New Roman"/>
          <w:sz w:val="20"/>
        </w:rPr>
      </w:pPr>
      <w:r>
        <w:rPr>
          <w:rFonts w:ascii="Times New Roman" w:hAnsi="Times New Roman"/>
          <w:b/>
          <w:i/>
          <w:sz w:val="20"/>
        </w:rPr>
        <w:t>Eric Lefkofsky</w:t>
      </w:r>
      <w:r>
        <w:rPr>
          <w:rFonts w:ascii="Times New Roman" w:hAnsi="Times New Roman"/>
          <w:sz w:val="20"/>
        </w:rPr>
        <w:t xml:space="preserve"> is our Founder and has served as our Chief Executive Officer and a member of our board of directors since our inception. Before founding Tempus, Mr. Lefkofsky co-founded Groupon, Inc. in 2008, where he held various roles, including Executive Chairman (through August 2013), Chief Executive Officer (August 2013 to November 2015), and Chairman of the board of directors (November 2015 to June 2020). He continues to serve as a member of Groupons board of directors. Mr. Lefkofsky also co-founded Lightbank LLC in 2008, a private venture capital firm specializing in investments in technology companies, and has served as its managing member since inception. Mr. Lefkofsky also co-founded InnerWorkings, Inc., Mediaocean, LLC, and Echo Global Logistics,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 </w:t>
      </w:r>
    </w:p>
    <w:p>
      <w:pPr>
        <w:pStyle w:val="TextBody"/>
        <w:bidi w:val="0"/>
        <w:spacing w:before="240" w:after="0"/>
        <w:jc w:val="both"/>
        <w:rPr>
          <w:rFonts w:ascii="Times New Roman" w:hAnsi="Times New Roman"/>
          <w:sz w:val="20"/>
        </w:rPr>
      </w:pPr>
      <w:r>
        <w:rPr>
          <w:rFonts w:ascii="Times New Roman" w:hAnsi="Times New Roman"/>
          <w:b/>
          <w:i/>
          <w:sz w:val="20"/>
        </w:rPr>
        <w:t>Ryan Fukushima</w:t>
      </w:r>
      <w:r>
        <w:rPr>
          <w:rFonts w:ascii="Times New Roman" w:hAnsi="Times New Roman"/>
          <w:sz w:val="20"/>
        </w:rPr>
        <w:t xml:space="preserve"> has served as our Chief Operating Officer since September 2015. Prior to joining us, Mr. Fukushima was an Entrepreneur-in-Residence and Vice President at Lightbank LLC, a private venture capital firm specializing in investments in technology companies, from February 2014 to September 2015. Mr. Fukushima holds a B.S. from California Polytechnic University and a M.B.A. from the Ross School of Business at the University of Michigan. </w:t>
      </w:r>
    </w:p>
    <w:p>
      <w:pPr>
        <w:pStyle w:val="TextBody"/>
        <w:bidi w:val="0"/>
        <w:spacing w:before="240" w:after="0"/>
        <w:jc w:val="both"/>
        <w:rPr>
          <w:rFonts w:ascii="Times New Roman" w:hAnsi="Times New Roman"/>
          <w:sz w:val="20"/>
        </w:rPr>
      </w:pPr>
      <w:r>
        <w:rPr>
          <w:rFonts w:ascii="Times New Roman" w:hAnsi="Times New Roman"/>
          <w:b/>
          <w:i/>
          <w:sz w:val="20"/>
        </w:rPr>
        <w:t>Erik Phelps</w:t>
      </w:r>
      <w:r>
        <w:rPr>
          <w:rFonts w:ascii="Times New Roman" w:hAnsi="Times New Roman"/>
          <w:sz w:val="20"/>
        </w:rPr>
        <w:t xml:space="preserve"> has served as our Executive Vice President and Chief Administrative and Legal Officer since June 2020. Prior to this, Mr. Phelps served as our Executive Vice President and General Counsel from March 2017 to June 2020. Prior to joining us, Mr. Phelps served as the General Counsel at Epic Systems Corporation, a software company that provides electronic health records for medical groups, hospitals and healthcare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organizations, from May 2013 to March 2017. Mr. Phelps holds a B.A. from Beloit College and a J.D. from the George Washington University Law School. </w:t>
      </w:r>
    </w:p>
    <w:p>
      <w:pPr>
        <w:pStyle w:val="TextBody"/>
        <w:bidi w:val="0"/>
        <w:spacing w:before="240" w:after="0"/>
        <w:jc w:val="both"/>
        <w:rPr>
          <w:rFonts w:ascii="Times New Roman" w:hAnsi="Times New Roman"/>
          <w:sz w:val="20"/>
        </w:rPr>
      </w:pPr>
      <w:r>
        <w:rPr>
          <w:rFonts w:ascii="Times New Roman" w:hAnsi="Times New Roman"/>
          <w:b/>
          <w:i/>
          <w:sz w:val="20"/>
        </w:rPr>
        <w:t>James Rogers</w:t>
      </w:r>
      <w:r>
        <w:rPr>
          <w:rFonts w:ascii="Times New Roman" w:hAnsi="Times New Roman"/>
          <w:sz w:val="20"/>
        </w:rPr>
        <w:t xml:space="preserve"> has served as our Chief Financial Officer since April 2021. Prior to this, Mr. Rogers served as our Vice President of Finance from February 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both"/>
        <w:rPr>
          <w:rFonts w:ascii="Times New Roman" w:hAnsi="Times New Roman"/>
          <w:sz w:val="20"/>
        </w:rPr>
      </w:pPr>
      <w:r>
        <w:rPr>
          <w:rFonts w:ascii="Times New Roman" w:hAnsi="Times New Roman"/>
          <w:b/>
          <w:i/>
          <w:sz w:val="20"/>
        </w:rPr>
        <w:t xml:space="preserve">Peter J. Barris </w:t>
      </w:r>
      <w:r>
        <w:rPr>
          <w:rFonts w:ascii="Times New Roman" w:hAnsi="Times New Roman"/>
          <w:sz w:val="20"/>
        </w:rPr>
        <w:t xml:space="preserve">has served as a member of our board of directors since September 2017. Mr. Barris has also served on the boards of directors of Berkshire 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 </w:t>
      </w:r>
    </w:p>
    <w:p>
      <w:pPr>
        <w:pStyle w:val="TextBody"/>
        <w:bidi w:val="0"/>
        <w:spacing w:before="240" w:after="0"/>
        <w:jc w:val="both"/>
        <w:rPr>
          <w:rFonts w:ascii="Times New Roman" w:hAnsi="Times New Roman"/>
          <w:sz w:val="20"/>
        </w:rPr>
      </w:pPr>
      <w:r>
        <w:rPr>
          <w:rFonts w:ascii="Times New Roman" w:hAnsi="Times New Roman"/>
          <w:b/>
          <w:i/>
          <w:sz w:val="20"/>
        </w:rPr>
        <w:t xml:space="preserve">Eric D. Belcher </w:t>
      </w:r>
      <w:r>
        <w:rPr>
          <w:rFonts w:ascii="Times New Roman" w:hAnsi="Times New Roman"/>
          <w:sz w:val="20"/>
        </w:rPr>
        <w:t xml:space="preserve">has served as a member of our board of directors since January 2019. Mr. Belcher has served as the Chief Executive Officer of Market 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 </w:t>
      </w:r>
    </w:p>
    <w:p>
      <w:pPr>
        <w:pStyle w:val="TextBody"/>
        <w:bidi w:val="0"/>
        <w:spacing w:before="240" w:after="0"/>
        <w:jc w:val="both"/>
        <w:rPr>
          <w:rFonts w:ascii="Times New Roman" w:hAnsi="Times New Roman"/>
          <w:sz w:val="20"/>
        </w:rPr>
      </w:pPr>
      <w:r>
        <w:rPr>
          <w:rFonts w:ascii="Times New Roman" w:hAnsi="Times New Roman"/>
          <w:b/>
          <w:i/>
          <w:sz w:val="20"/>
        </w:rPr>
        <w:t>Jennifer A. Doudna, Ph.D.</w:t>
      </w:r>
      <w:r>
        <w:rPr>
          <w:rFonts w:ascii="Times New Roman" w:hAnsi="Times New Roman"/>
          <w:sz w:val="20"/>
        </w:rPr>
        <w:t xml:space="preserve"> has served as a member of our board of directors since April 2021. Dr. Doudna has also served on the board of directors of 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 </w:t>
      </w:r>
    </w:p>
    <w:p>
      <w:pPr>
        <w:pStyle w:val="TextBody"/>
        <w:bidi w:val="0"/>
        <w:spacing w:before="240" w:after="0"/>
        <w:jc w:val="both"/>
        <w:rPr>
          <w:rFonts w:ascii="Times New Roman" w:hAnsi="Times New Roman"/>
          <w:sz w:val="20"/>
        </w:rPr>
      </w:pPr>
      <w:r>
        <w:rPr>
          <w:rFonts w:ascii="Times New Roman" w:hAnsi="Times New Roman"/>
          <w:b/>
          <w:i/>
          <w:sz w:val="20"/>
        </w:rPr>
        <w:t>Wayne A.I. Frederick, M.D.</w:t>
      </w:r>
      <w:r>
        <w:rPr>
          <w:rFonts w:ascii="Times New Roman" w:hAnsi="Times New Roman"/>
          <w:sz w:val="20"/>
        </w:rPr>
        <w:t xml:space="preserve"> has served as a member of our board of directors since October 2020. Dr. Frederick has served on the boards of directors of several other public companies, including serving as a member of the board of directors of Insulet Corp since October 2020, Forma Therapeutics Holdings, Inc. since July 2020, and Humana Inc. since February 2020. He also serves on the boards of directors of privately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companies and charitable organizations. Dr. Frederick is the President of Howard University, having held this position since July 2014, and also serves as the Charles R. Drew Endowed Chair of Surgery at Howard 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 </w:t>
      </w:r>
    </w:p>
    <w:p>
      <w:pPr>
        <w:pStyle w:val="TextBody"/>
        <w:bidi w:val="0"/>
        <w:spacing w:before="240" w:after="0"/>
        <w:jc w:val="both"/>
        <w:rPr>
          <w:rFonts w:ascii="Times New Roman" w:hAnsi="Times New Roman"/>
          <w:sz w:val="20"/>
        </w:rPr>
      </w:pPr>
      <w:r>
        <w:rPr>
          <w:rFonts w:ascii="Times New Roman" w:hAnsi="Times New Roman"/>
          <w:b/>
          <w:i/>
          <w:sz w:val="20"/>
        </w:rPr>
        <w:t xml:space="preserve">Robert Ghenchev </w:t>
      </w:r>
      <w:r>
        <w:rPr>
          <w:rFonts w:ascii="Times New Roman" w:hAnsi="Times New Roman"/>
          <w:sz w:val="20"/>
        </w:rPr>
        <w:t xml:space="preserve">has served as a member of our board of directors since May 2019 and is currently employed as Senior Partner at Novo Holdings Equity 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 </w:t>
      </w:r>
    </w:p>
    <w:p>
      <w:pPr>
        <w:pStyle w:val="TextBody"/>
        <w:bidi w:val="0"/>
        <w:spacing w:before="240" w:after="0"/>
        <w:jc w:val="both"/>
        <w:rPr>
          <w:rFonts w:ascii="Times New Roman" w:hAnsi="Times New Roman"/>
          <w:sz w:val="20"/>
        </w:rPr>
      </w:pPr>
      <w:r>
        <w:rPr>
          <w:rFonts w:ascii="Times New Roman" w:hAnsi="Times New Roman"/>
          <w:b/>
          <w:i/>
          <w:sz w:val="20"/>
        </w:rPr>
        <w:t>Scott Gottlieb, M.D.</w:t>
      </w:r>
      <w:r>
        <w:rPr>
          <w:rFonts w:ascii="Times New Roman" w:hAnsi="Times New Roman"/>
          <w:sz w:val="20"/>
        </w:rPr>
        <w:t xml:space="preserve"> has served as a member of our board of directors since October 2019. Dr. Gottlieb has also served on the boards of directors of 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 </w:t>
      </w:r>
    </w:p>
    <w:p>
      <w:pPr>
        <w:pStyle w:val="TextBody"/>
        <w:bidi w:val="0"/>
        <w:spacing w:before="240" w:after="0"/>
        <w:jc w:val="both"/>
        <w:rPr>
          <w:rFonts w:ascii="Times New Roman" w:hAnsi="Times New Roman"/>
          <w:sz w:val="20"/>
        </w:rPr>
      </w:pPr>
      <w:r>
        <w:rPr>
          <w:rFonts w:ascii="Times New Roman" w:hAnsi="Times New Roman"/>
          <w:b/>
          <w:i/>
          <w:sz w:val="20"/>
        </w:rPr>
        <w:t>Theodore J. Leonsis</w:t>
      </w:r>
      <w:r>
        <w:rPr>
          <w:rFonts w:ascii="Times New Roman" w:hAnsi="Times New Roman"/>
          <w:sz w:val="20"/>
        </w:rPr>
        <w:t xml:space="preserve"> has served as a member of our board of directors since January 2019. In November 2011, Mr. Leonsis co-founded Revolution 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 </w:t>
      </w:r>
    </w:p>
    <w:p>
      <w:pPr>
        <w:pStyle w:val="TextBody"/>
        <w:bidi w:val="0"/>
        <w:spacing w:before="240" w:after="0"/>
        <w:jc w:val="both"/>
        <w:rPr>
          <w:rFonts w:ascii="Times New Roman" w:hAnsi="Times New Roman"/>
          <w:sz w:val="20"/>
        </w:rPr>
      </w:pPr>
      <w:r>
        <w:rPr>
          <w:rFonts w:ascii="Times New Roman" w:hAnsi="Times New Roman"/>
          <w:b/>
          <w:i/>
          <w:sz w:val="20"/>
        </w:rPr>
        <w:t>Nadja West, M.D.</w:t>
      </w:r>
      <w:r>
        <w:rPr>
          <w:rFonts w:ascii="Times New Roman" w:hAnsi="Times New Roman"/>
          <w:sz w:val="20"/>
        </w:rPr>
        <w:t xml:space="preserve"> has served as a member of our board of directors since April 2021. Dr. West has also served on the boards of directors of several other 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Our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business and affairs are managed under the direction of our board of directors. We currently have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 </w:t>
      </w:r>
    </w:p>
    <w:p>
      <w:pPr>
        <w:pStyle w:val="TextBody"/>
        <w:bidi w:val="0"/>
        <w:spacing w:before="360" w:after="0"/>
        <w:jc w:val="left"/>
        <w:rPr>
          <w:rFonts w:ascii="Times New Roman" w:hAnsi="Times New Roman"/>
          <w:b/>
          <w:sz w:val="20"/>
        </w:rPr>
      </w:pPr>
      <w:r>
        <w:rPr>
          <w:rFonts w:ascii="Times New Roman" w:hAnsi="Times New Roman"/>
          <w:b/>
          <w:sz w:val="20"/>
        </w:rPr>
        <w:t xml:space="preserve">Lead Independent Director </w:t>
      </w:r>
    </w:p>
    <w:p>
      <w:pPr>
        <w:pStyle w:val="TextBody"/>
        <w:bidi w:val="0"/>
        <w:spacing w:before="120" w:after="0"/>
        <w:jc w:val="both"/>
        <w:rPr>
          <w:rFonts w:ascii="Times New Roman" w:hAnsi="Times New Roman"/>
          <w:sz w:val="20"/>
        </w:rPr>
      </w:pPr>
      <w:r>
        <w:rPr>
          <w:rFonts w:ascii="Times New Roman" w:hAnsi="Times New Roman"/>
          <w:sz w:val="20"/>
        </w:rPr>
        <w:t xml:space="preserve">Eric Lefkofsky serves as both our Chief Executive Officer and as Chairman of our board of directors. Our corporate governance guidelines provide that one of our independent directors may serve as the lead independent director at any time that Mr. Lefkofsky or anyone else who is not an independent director is serving as the chairman of the board of directors. Our board of directors has appointed, effective upon the completion of this offering,                to serve as our lead independent director. As lead independent director,                 will preside at all meetings of the board of directors at which Mr. Lefkofsky is not present, will preside over executive sessions of our independent directors, will serve as a liaison between Mr. Lefkofksy and our independent directors, and will perform such additional duties as our board of directors may otherwise determine and delegate.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After this offering, our audit committee will consist of                 ,                  and                 . Our board of directors has determined that each of                 satisfies the independence requirements under                  listing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standards and Rule 10A-3(b)(1) of the Exchange Act. The chair of our audit committee will be                 ,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 </w:t>
      </w:r>
    </w:p>
    <w:p>
      <w:pPr>
        <w:pStyle w:val="TextBody"/>
        <w:bidi w:val="0"/>
        <w:spacing w:before="240" w:after="0"/>
        <w:jc w:val="both"/>
        <w:rPr>
          <w:rFonts w:ascii="Times New Roman" w:hAnsi="Times New Roman"/>
          <w:sz w:val="20"/>
        </w:rPr>
      </w:pPr>
      <w:r>
        <w:rPr>
          <w:rFonts w:ascii="Times New Roman" w:hAnsi="Times New Roman"/>
          <w:sz w:val="20"/>
        </w:rPr>
        <w:t xml:space="preserve">The principal duties and responsibilities of our audit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selecting a qualified firm to serve as the independent registered public accounting firm to audit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helping to ensure the independence and performance of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helping to maintain and foster an open avenue of communication between management and the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our policies on risk assessment and risk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and reviewing a report by the independent registered public accounting firm at least annually, that describes its internal quality-control procedures, any material issues with such procedures, and any steps taken to deal with such issues when required by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(or, as permitted, pre-approving) all audit and all permissible non-audit services to be performed by the independent registered public accounting firm.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audit committee will operate under a written charter, to be effective prior to the closing of this offering, that satisfies the applicable listing standards of the                 .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After this offering, our compensation committee will consist of                  and                 . The chair of our compensation committee will be                 . Our board of directors has determined that each of                  and                  is independent under                  listing standards and a non-employee director as defined in Rule 16b-3 promulgated under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The principal duties and responsibilities of our compensation committee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the retention of compensation consultants and outside service providers and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recommending to our board of directors the compensation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administering our equity and non-equity incentive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our practices and policies of employee compensation as they relate to risk management and risk-taking incentives;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evaluating succession plans for the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recommending that our board of directors approve, incentive compensation and equity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reviewing and establishing general policies relating to compensation and benefits of our employees and reviewing our overall compensation philosophy.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will operate under a written charter, to be effective prior to the closing of this offering, that satisfies the applicable listing standards of the                 .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After this offering, our nominating and corporate governance committee will consist of                  and                 . The chair of our nominating and corporate governance committee will be                 . Our board of directors has determined that each member of the nominating and corporate governance committee is independent under                 listing standards.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committees responsibilities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identifying, evaluating, and selecting, or recommending that our board of directors approve, nominees for election to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approving the retention of director search firms;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performance of our board of directors and of individual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considering and making recommendations to our board of directors regarding the composition of our board of directors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evaluating the adequacy of our corporate governance practices and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overseeing an annual evaluation of the boards performance.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nominating and corporate governance committee will operate under a written charter, to be effective prior to the closing of this offering, that satisfies the applicable listing standards of the                 .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Non-Employee Director Compensation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information regarding compensation earned by or paid to our non-employee directors for the year ended December 31, 2020: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4630"/>
        <w:gridCol w:w="683"/>
        <w:gridCol w:w="235"/>
        <w:gridCol w:w="1373"/>
        <w:gridCol w:w="60"/>
        <w:gridCol w:w="683"/>
        <w:gridCol w:w="140"/>
        <w:gridCol w:w="807"/>
        <w:gridCol w:w="63"/>
      </w:tblGrid>
      <w:tr>
        <w:trPr/>
        <w:tc>
          <w:tcPr>
            <w:tcW w:w="4630" w:type="dxa"/>
            <w:tcBorders/>
            <w:vAlign w:val="center"/>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83" w:type="dxa"/>
            <w:tcBorders/>
            <w:vAlign w:val="bottom"/>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Cash(1)</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4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68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630"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68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4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Ph.D.(2)</w:t>
            </w:r>
          </w:p>
        </w:tc>
        <w:tc>
          <w:tcPr>
            <w:tcW w:w="68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630" w:type="dxa"/>
            <w:tcBorders/>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68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18,750</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18,750</w:t>
            </w:r>
          </w:p>
        </w:tc>
        <w:tc>
          <w:tcPr>
            <w:tcW w:w="63" w:type="dxa"/>
            <w:tcBorders/>
            <w:vAlign w:val="bottom"/>
          </w:tcPr>
          <w:p>
            <w:pPr>
              <w:pStyle w:val="TableContents"/>
              <w:bidi w:val="0"/>
              <w:spacing w:before="0" w:after="283"/>
              <w:jc w:val="left"/>
              <w:rPr/>
            </w:pPr>
            <w:r>
              <w:rPr/>
              <w:t> </w:t>
            </w:r>
          </w:p>
        </w:tc>
      </w:tr>
      <w:tr>
        <w:trPr/>
        <w:tc>
          <w:tcPr>
            <w:tcW w:w="4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Ghenchev</w:t>
            </w:r>
          </w:p>
        </w:tc>
        <w:tc>
          <w:tcPr>
            <w:tcW w:w="68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630"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68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100,000</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100,000</w:t>
            </w:r>
          </w:p>
        </w:tc>
        <w:tc>
          <w:tcPr>
            <w:tcW w:w="63" w:type="dxa"/>
            <w:tcBorders/>
            <w:vAlign w:val="bottom"/>
          </w:tcPr>
          <w:p>
            <w:pPr>
              <w:pStyle w:val="TableContents"/>
              <w:bidi w:val="0"/>
              <w:spacing w:before="0" w:after="283"/>
              <w:jc w:val="left"/>
              <w:rPr/>
            </w:pPr>
            <w:r>
              <w:rPr/>
              <w:t> </w:t>
            </w:r>
          </w:p>
        </w:tc>
      </w:tr>
      <w:tr>
        <w:trPr/>
        <w:tc>
          <w:tcPr>
            <w:tcW w:w="46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68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4630"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M.D.(3)</w:t>
            </w:r>
          </w:p>
        </w:tc>
        <w:tc>
          <w:tcPr>
            <w:tcW w:w="68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During and as of the year ended December 31, 2020, none of our non-employee directors received or held stock awards under our 2015 Plan, except Mr. Barris, who, as of December 31, 2020, held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 (i) the consummation of this offering and (ii) a change in control of our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Doudna joined our board of directors in April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West joined our board of directors in April 2021. </w:t>
            </w:r>
          </w:p>
        </w:tc>
      </w:tr>
    </w:tbl>
    <w:p>
      <w:pPr>
        <w:pStyle w:val="TextBody"/>
        <w:bidi w:val="0"/>
        <w:spacing w:before="240" w:after="0"/>
        <w:jc w:val="both"/>
        <w:rPr>
          <w:rFonts w:ascii="Times New Roman" w:hAnsi="Times New Roman"/>
          <w:sz w:val="20"/>
        </w:rPr>
      </w:pPr>
      <w:r>
        <w:rPr>
          <w:rFonts w:ascii="Times New Roman" w:hAnsi="Times New Roman"/>
          <w:sz w:val="20"/>
        </w:rPr>
        <w:t xml:space="preserve">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 </w:t>
      </w:r>
    </w:p>
    <w:p>
      <w:pPr>
        <w:pStyle w:val="TextBody"/>
        <w:bidi w:val="0"/>
        <w:spacing w:before="240" w:after="0"/>
        <w:jc w:val="both"/>
        <w:rPr>
          <w:rFonts w:ascii="Times New Roman" w:hAnsi="Times New Roman"/>
          <w:sz w:val="20"/>
        </w:rPr>
      </w:pPr>
      <w:r>
        <w:rPr>
          <w:rFonts w:ascii="Times New Roman" w:hAnsi="Times New Roman"/>
          <w:sz w:val="20"/>
        </w:rPr>
        <w:t xml:space="preserve">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rom221145_13"/>
      <w:bookmarkEnd w:id="15"/>
      <w:r>
        <w:rPr>
          <w:rFonts w:ascii="Times New Roman" w:hAnsi="Times New Roman"/>
          <w:b/>
          <w:sz w:val="20"/>
        </w:rPr>
        <w:t xml:space="preserve">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Our named executive officers, consisting of our principal executive officer and the next two most highly compensated executive officers, as of December 31, 2020,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Eric Lefkofsky, Chief Executive Officer, Founder and Chairman;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Erik Phelps, Executive Vice President and Chief Administrative and Legal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Vanessa Rollings, former Chief Financial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2020 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all of the compensation awarded to or earned by or paid to our named executive officers for the year ended December 31, 2020.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32"/>
        <w:gridCol w:w="299"/>
        <w:gridCol w:w="140"/>
        <w:gridCol w:w="800"/>
        <w:gridCol w:w="60"/>
        <w:gridCol w:w="299"/>
        <w:gridCol w:w="228"/>
        <w:gridCol w:w="1316"/>
        <w:gridCol w:w="60"/>
        <w:gridCol w:w="299"/>
        <w:gridCol w:w="254"/>
        <w:gridCol w:w="1247"/>
        <w:gridCol w:w="625"/>
        <w:gridCol w:w="241"/>
        <w:gridCol w:w="140"/>
        <w:gridCol w:w="800"/>
        <w:gridCol w:w="65"/>
      </w:tblGrid>
      <w:tr>
        <w:trPr/>
        <w:tc>
          <w:tcPr>
            <w:tcW w:w="3332"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29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Awards(1)</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r>
          </w:p>
        </w:tc>
        <w:tc>
          <w:tcPr>
            <w:tcW w:w="625"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33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247" w:type="dxa"/>
            <w:tcBorders/>
            <w:shd w:fill="CCEEFF" w:val="clear"/>
            <w:vAlign w:val="bottom"/>
          </w:tcPr>
          <w:p>
            <w:pPr>
              <w:pStyle w:val="TableContents"/>
              <w:bidi w:val="0"/>
              <w:spacing w:before="0" w:after="283"/>
              <w:jc w:val="right"/>
              <w:rPr/>
            </w:pPr>
            <w:r>
              <w:rPr/>
              <w:t>525</w:t>
            </w:r>
          </w:p>
        </w:tc>
        <w:tc>
          <w:tcPr>
            <w:tcW w:w="625" w:type="dxa"/>
            <w:tcBorders/>
            <w:shd w:fill="CCEEFF" w:val="clear"/>
            <w:vAlign w:val="bottom"/>
          </w:tcPr>
          <w:p>
            <w:pPr>
              <w:pStyle w:val="TableContents"/>
              <w:bidi w:val="0"/>
              <w:spacing w:before="0" w:after="283"/>
              <w:jc w:val="left"/>
              <w:rPr/>
            </w:pPr>
            <w:r>
              <w:rPr/>
              <w:t>(2)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3332"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Executive Officer, Founder and Chairman</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332" w:type="dxa"/>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c>
          <w:tcPr>
            <w:tcW w:w="1903"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33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Phelps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546,354</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103,250</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48,681</w:t>
            </w:r>
          </w:p>
        </w:tc>
        <w:tc>
          <w:tcPr>
            <w:tcW w:w="625" w:type="dxa"/>
            <w:tcBorders/>
            <w:shd w:fill="CCEEFF" w:val="clear"/>
            <w:vAlign w:val="bottom"/>
          </w:tcPr>
          <w:p>
            <w:pPr>
              <w:pStyle w:val="TableContents"/>
              <w:bidi w:val="0"/>
              <w:spacing w:before="0" w:after="283"/>
              <w:jc w:val="left"/>
              <w:rPr/>
            </w:pPr>
            <w:r>
              <w:rPr/>
              <w:t>(2)(3)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698,285</w:t>
            </w:r>
          </w:p>
        </w:tc>
        <w:tc>
          <w:tcPr>
            <w:tcW w:w="65" w:type="dxa"/>
            <w:tcBorders/>
            <w:shd w:fill="CCEEFF" w:val="clear"/>
            <w:vAlign w:val="bottom"/>
          </w:tcPr>
          <w:p>
            <w:pPr>
              <w:pStyle w:val="TableContents"/>
              <w:bidi w:val="0"/>
              <w:spacing w:before="0" w:after="283"/>
              <w:jc w:val="left"/>
              <w:rPr/>
            </w:pPr>
            <w:r>
              <w:rPr/>
              <w:t> </w:t>
            </w:r>
          </w:p>
        </w:tc>
      </w:tr>
      <w:tr>
        <w:trPr/>
        <w:tc>
          <w:tcPr>
            <w:tcW w:w="3332" w:type="dxa"/>
            <w:tcBorders/>
          </w:tcPr>
          <w:p>
            <w:pPr>
              <w:pStyle w:val="TableContents"/>
              <w:bidi w:val="0"/>
              <w:spacing w:before="0" w:after="0"/>
              <w:jc w:val="left"/>
              <w:rPr>
                <w:rFonts w:ascii="Times New Roman" w:hAnsi="Times New Roman"/>
                <w:i/>
                <w:sz w:val="20"/>
              </w:rPr>
            </w:pPr>
            <w:r>
              <w:rPr>
                <w:rFonts w:ascii="Times New Roman" w:hAnsi="Times New Roman"/>
                <w:i/>
                <w:sz w:val="20"/>
              </w:rPr>
              <w:t>Executive Vice President and Chief Administrative and Legal Officer</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332" w:type="dxa"/>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c>
          <w:tcPr>
            <w:tcW w:w="1903" w:type="dxa"/>
            <w:gridSpan w:val="4"/>
            <w:tcBorders/>
            <w:vAlign w:val="center"/>
          </w:tcPr>
          <w:p>
            <w:pPr>
              <w:pStyle w:val="TableContents"/>
              <w:bidi w:val="0"/>
              <w:spacing w:before="0" w:after="283"/>
              <w:jc w:val="left"/>
              <w:rPr>
                <w:sz w:val="4"/>
                <w:szCs w:val="4"/>
              </w:rPr>
            </w:pPr>
            <w:r>
              <w:rPr>
                <w:sz w:val="4"/>
                <w:szCs w:val="4"/>
              </w:rPr>
            </w:r>
          </w:p>
        </w:tc>
        <w:tc>
          <w:tcPr>
            <w:tcW w:w="2425" w:type="dxa"/>
            <w:gridSpan w:val="4"/>
            <w:tcBorders/>
            <w:vAlign w:val="center"/>
          </w:tcPr>
          <w:p>
            <w:pPr>
              <w:pStyle w:val="TableContents"/>
              <w:bidi w:val="0"/>
              <w:spacing w:before="0" w:after="283"/>
              <w:jc w:val="left"/>
              <w:rPr>
                <w:sz w:val="4"/>
                <w:szCs w:val="4"/>
              </w:rPr>
            </w:pPr>
            <w:r>
              <w:rPr>
                <w:sz w:val="4"/>
                <w:szCs w:val="4"/>
              </w:rPr>
            </w:r>
          </w:p>
        </w:tc>
        <w:tc>
          <w:tcPr>
            <w:tcW w:w="1246" w:type="dxa"/>
            <w:gridSpan w:val="4"/>
            <w:tcBorders/>
            <w:vAlign w:val="center"/>
          </w:tcPr>
          <w:p>
            <w:pPr>
              <w:pStyle w:val="TableContents"/>
              <w:bidi w:val="0"/>
              <w:spacing w:before="0" w:after="283"/>
              <w:jc w:val="left"/>
              <w:rPr>
                <w:sz w:val="4"/>
                <w:szCs w:val="4"/>
              </w:rPr>
            </w:pPr>
            <w:r>
              <w:rPr>
                <w:sz w:val="4"/>
                <w:szCs w:val="4"/>
              </w:rPr>
            </w:r>
          </w:p>
        </w:tc>
      </w:tr>
      <w:tr>
        <w:trPr/>
        <w:tc>
          <w:tcPr>
            <w:tcW w:w="33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Vanessa Rollings(3)</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382,254</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103,250</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525</w:t>
            </w:r>
          </w:p>
        </w:tc>
        <w:tc>
          <w:tcPr>
            <w:tcW w:w="625" w:type="dxa"/>
            <w:tcBorders/>
            <w:shd w:fill="CCEEFF" w:val="clear"/>
            <w:vAlign w:val="bottom"/>
          </w:tcPr>
          <w:p>
            <w:pPr>
              <w:pStyle w:val="TableContents"/>
              <w:bidi w:val="0"/>
              <w:spacing w:before="0" w:after="283"/>
              <w:jc w:val="left"/>
              <w:rPr/>
            </w:pPr>
            <w:r>
              <w:rPr/>
              <w:t>(2)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486,029</w:t>
            </w:r>
          </w:p>
        </w:tc>
        <w:tc>
          <w:tcPr>
            <w:tcW w:w="65" w:type="dxa"/>
            <w:tcBorders/>
            <w:shd w:fill="CCEEFF" w:val="clear"/>
            <w:vAlign w:val="bottom"/>
          </w:tcPr>
          <w:p>
            <w:pPr>
              <w:pStyle w:val="TableContents"/>
              <w:bidi w:val="0"/>
              <w:spacing w:before="0" w:after="283"/>
              <w:jc w:val="left"/>
              <w:rPr/>
            </w:pPr>
            <w:r>
              <w:rPr/>
              <w:t> </w:t>
            </w:r>
          </w:p>
        </w:tc>
      </w:tr>
      <w:tr>
        <w:trPr/>
        <w:tc>
          <w:tcPr>
            <w:tcW w:w="3332" w:type="dxa"/>
            <w:tcBorders/>
          </w:tcPr>
          <w:p>
            <w:pPr>
              <w:pStyle w:val="TableContents"/>
              <w:bidi w:val="0"/>
              <w:spacing w:before="0" w:after="0"/>
              <w:jc w:val="left"/>
              <w:rPr>
                <w:rFonts w:ascii="Times New Roman" w:hAnsi="Times New Roman"/>
                <w:i/>
                <w:sz w:val="20"/>
              </w:rPr>
            </w:pPr>
            <w:r>
              <w:rPr>
                <w:rFonts w:ascii="Times New Roman" w:hAnsi="Times New Roman"/>
                <w:i/>
                <w:sz w:val="20"/>
              </w:rPr>
              <w:t>Former Chief Financial Officer</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3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Amounts reported represents the aggregate grant date fair value of RSUs granted to our executive officer during 2020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Amount shown includes pro-rated parking fees in the amount of $525 earned during 2020 before our office closed in March 2020 due to the COVID-19 pandemic.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Amount shown includes housing stipend in the amount of $48,126 and life insurance premiums paid in the amount of $30.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Ms. Rollings resigned as our Chief Financial Officer, effective April 15, 2021.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as of December 31, 2020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certain information about outstanding equity awards granted to our named executive officers that remain outstanding as of December 31, 2020.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79"/>
        <w:gridCol w:w="186"/>
        <w:gridCol w:w="60"/>
        <w:gridCol w:w="1762"/>
        <w:gridCol w:w="60"/>
        <w:gridCol w:w="186"/>
        <w:gridCol w:w="76"/>
        <w:gridCol w:w="2513"/>
        <w:gridCol w:w="60"/>
        <w:gridCol w:w="186"/>
        <w:gridCol w:w="100"/>
        <w:gridCol w:w="1403"/>
        <w:gridCol w:w="350"/>
        <w:gridCol w:w="129"/>
        <w:gridCol w:w="180"/>
        <w:gridCol w:w="1308"/>
        <w:gridCol w:w="67"/>
      </w:tblGrid>
      <w:tr>
        <w:trPr/>
        <w:tc>
          <w:tcPr>
            <w:tcW w:w="157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57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37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Stock Awards(1)</w:t>
            </w:r>
          </w:p>
        </w:tc>
        <w:tc>
          <w:tcPr>
            <w:tcW w:w="67" w:type="dxa"/>
            <w:tcBorders/>
            <w:vAlign w:val="bottom"/>
          </w:tcPr>
          <w:p>
            <w:pPr>
              <w:pStyle w:val="TableContents"/>
              <w:bidi w:val="0"/>
              <w:spacing w:before="0" w:after="283"/>
              <w:jc w:val="left"/>
              <w:rPr/>
            </w:pPr>
            <w:r>
              <w:rPr/>
              <w:t> </w:t>
            </w:r>
          </w:p>
        </w:tc>
      </w:tr>
      <w:tr>
        <w:trPr/>
        <w:tc>
          <w:tcPr>
            <w:tcW w:w="15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86" w:type="dxa"/>
            <w:tcBorders/>
            <w:vAlign w:val="bottom"/>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5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 Commencement</w:t>
              <w:br/>
              <w:t>Date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 Stock</w:t>
              <w:br/>
              <w:t>that Have Not</w:t>
              <w:br/>
              <w:t xml:space="preserve">Vested (#) </w:t>
            </w:r>
          </w:p>
        </w:tc>
        <w:tc>
          <w:tcPr>
            <w:tcW w:w="35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w:t>
              <w:br/>
              <w:t>of Shares or</w:t>
              <w:br/>
              <w:t>Units of Stock</w:t>
              <w:br/>
              <w:t>that Have Not</w:t>
              <w:br/>
              <w:t>Vested(2)</w:t>
            </w:r>
          </w:p>
        </w:tc>
        <w:tc>
          <w:tcPr>
            <w:tcW w:w="67" w:type="dxa"/>
            <w:tcBorders/>
            <w:vAlign w:val="bottom"/>
          </w:tcPr>
          <w:p>
            <w:pPr>
              <w:pStyle w:val="TableContents"/>
              <w:bidi w:val="0"/>
              <w:spacing w:before="0" w:after="283"/>
              <w:jc w:val="left"/>
              <w:rPr/>
            </w:pPr>
            <w:r>
              <w:rPr/>
              <w:t> </w:t>
            </w:r>
          </w:p>
        </w:tc>
      </w:tr>
      <w:tr>
        <w:trPr/>
        <w:tc>
          <w:tcPr>
            <w:tcW w:w="1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51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w:t>
            </w:r>
          </w:p>
        </w:tc>
        <w:tc>
          <w:tcPr>
            <w:tcW w:w="35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rHeight w:val="120" w:hRule="atLeast"/>
        </w:trPr>
        <w:tc>
          <w:tcPr>
            <w:tcW w:w="1579" w:type="dxa"/>
            <w:tcBorders/>
            <w:vAlign w:val="center"/>
          </w:tcPr>
          <w:p>
            <w:pPr>
              <w:pStyle w:val="TableContents"/>
              <w:bidi w:val="0"/>
              <w:spacing w:before="0" w:after="283"/>
              <w:jc w:val="left"/>
              <w:rPr>
                <w:sz w:val="4"/>
                <w:szCs w:val="4"/>
              </w:rPr>
            </w:pPr>
            <w:r>
              <w:rPr>
                <w:sz w:val="4"/>
                <w:szCs w:val="4"/>
              </w:rPr>
            </w:r>
          </w:p>
        </w:tc>
        <w:tc>
          <w:tcPr>
            <w:tcW w:w="2068" w:type="dxa"/>
            <w:gridSpan w:val="4"/>
            <w:tcBorders/>
            <w:vAlign w:val="center"/>
          </w:tcPr>
          <w:p>
            <w:pPr>
              <w:pStyle w:val="TableContents"/>
              <w:bidi w:val="0"/>
              <w:spacing w:before="0" w:after="283"/>
              <w:jc w:val="left"/>
              <w:rPr>
                <w:sz w:val="4"/>
                <w:szCs w:val="4"/>
              </w:rPr>
            </w:pPr>
            <w:r>
              <w:rPr>
                <w:sz w:val="4"/>
                <w:szCs w:val="4"/>
              </w:rPr>
            </w:r>
          </w:p>
        </w:tc>
        <w:tc>
          <w:tcPr>
            <w:tcW w:w="2835" w:type="dxa"/>
            <w:gridSpan w:val="4"/>
            <w:tcBorders/>
            <w:vAlign w:val="center"/>
          </w:tcPr>
          <w:p>
            <w:pPr>
              <w:pStyle w:val="TableContents"/>
              <w:bidi w:val="0"/>
              <w:spacing w:before="0" w:after="283"/>
              <w:jc w:val="left"/>
              <w:rPr>
                <w:sz w:val="4"/>
                <w:szCs w:val="4"/>
              </w:rPr>
            </w:pPr>
            <w:r>
              <w:rPr>
                <w:sz w:val="4"/>
                <w:szCs w:val="4"/>
              </w:rPr>
            </w:r>
          </w:p>
        </w:tc>
        <w:tc>
          <w:tcPr>
            <w:tcW w:w="2039" w:type="dxa"/>
            <w:gridSpan w:val="4"/>
            <w:tcBorders/>
            <w:vAlign w:val="center"/>
          </w:tcPr>
          <w:p>
            <w:pPr>
              <w:pStyle w:val="TableContents"/>
              <w:bidi w:val="0"/>
              <w:spacing w:before="0" w:after="283"/>
              <w:jc w:val="left"/>
              <w:rPr>
                <w:sz w:val="4"/>
                <w:szCs w:val="4"/>
              </w:rPr>
            </w:pPr>
            <w:r>
              <w:rPr>
                <w:sz w:val="4"/>
                <w:szCs w:val="4"/>
              </w:rPr>
            </w:r>
          </w:p>
        </w:tc>
        <w:tc>
          <w:tcPr>
            <w:tcW w:w="1684" w:type="dxa"/>
            <w:gridSpan w:val="4"/>
            <w:tcBorders/>
            <w:vAlign w:val="center"/>
          </w:tcPr>
          <w:p>
            <w:pPr>
              <w:pStyle w:val="TableContents"/>
              <w:bidi w:val="0"/>
              <w:spacing w:before="0" w:after="283"/>
              <w:jc w:val="left"/>
              <w:rPr>
                <w:sz w:val="4"/>
                <w:szCs w:val="4"/>
              </w:rPr>
            </w:pPr>
            <w:r>
              <w:rPr>
                <w:sz w:val="4"/>
                <w:szCs w:val="4"/>
              </w:rPr>
            </w:r>
          </w:p>
        </w:tc>
      </w:tr>
      <w:tr>
        <w:trPr/>
        <w:tc>
          <w:tcPr>
            <w:tcW w:w="1579" w:type="dxa"/>
            <w:tcBorders/>
          </w:tcPr>
          <w:p>
            <w:pPr>
              <w:pStyle w:val="TableContents"/>
              <w:bidi w:val="0"/>
              <w:spacing w:before="0" w:after="0"/>
              <w:jc w:val="left"/>
              <w:rPr>
                <w:rFonts w:ascii="Times New Roman" w:hAnsi="Times New Roman"/>
                <w:sz w:val="20"/>
              </w:rPr>
            </w:pPr>
            <w:r>
              <w:rPr>
                <w:rFonts w:ascii="Times New Roman" w:hAnsi="Times New Roman"/>
                <w:sz w:val="20"/>
              </w:rPr>
              <w:t>Erik Phelps</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May 1, 2017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513" w:type="dxa"/>
            <w:tcBorders/>
            <w:vAlign w:val="bottom"/>
          </w:tcPr>
          <w:p>
            <w:pPr>
              <w:pStyle w:val="TableContents"/>
              <w:bidi w:val="0"/>
              <w:spacing w:before="0" w:after="283"/>
              <w:jc w:val="right"/>
              <w:rPr/>
            </w:pPr>
            <w:r>
              <w:rPr/>
              <w:t>December 31, 2017</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300,000</w:t>
            </w:r>
          </w:p>
        </w:tc>
        <w:tc>
          <w:tcPr>
            <w:tcW w:w="350" w:type="dxa"/>
            <w:tcBorders/>
            <w:vAlign w:val="bottom"/>
          </w:tcPr>
          <w:p>
            <w:pPr>
              <w:pStyle w:val="TableContents"/>
              <w:bidi w:val="0"/>
              <w:spacing w:before="0" w:after="283"/>
              <w:jc w:val="left"/>
              <w:rPr/>
            </w:pPr>
            <w:r>
              <w:rPr>
                <w:b/>
              </w:rPr>
              <w:t>(3)</w:t>
            </w:r>
            <w:r>
              <w:rPr/>
              <w:t> </w:t>
            </w:r>
          </w:p>
        </w:tc>
        <w:tc>
          <w:tcPr>
            <w:tcW w:w="12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9,627,000</w:t>
            </w:r>
          </w:p>
        </w:tc>
        <w:tc>
          <w:tcPr>
            <w:tcW w:w="67" w:type="dxa"/>
            <w:tcBorders/>
            <w:vAlign w:val="bottom"/>
          </w:tcPr>
          <w:p>
            <w:pPr>
              <w:pStyle w:val="TableContents"/>
              <w:bidi w:val="0"/>
              <w:spacing w:before="0" w:after="283"/>
              <w:jc w:val="left"/>
              <w:rPr/>
            </w:pPr>
            <w:r>
              <w:rPr/>
              <w:t> </w:t>
            </w:r>
          </w:p>
        </w:tc>
      </w:tr>
      <w:tr>
        <w:trPr/>
        <w:tc>
          <w:tcPr>
            <w:tcW w:w="1579" w:type="dxa"/>
            <w:tcBorders/>
            <w:shd w:fill="CCEEFF" w:val="clear"/>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March 13, 2018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513" w:type="dxa"/>
            <w:tcBorders/>
            <w:shd w:fill="CCEEFF" w:val="clear"/>
            <w:vAlign w:val="bottom"/>
          </w:tcPr>
          <w:p>
            <w:pPr>
              <w:pStyle w:val="TableContents"/>
              <w:bidi w:val="0"/>
              <w:spacing w:before="0" w:after="283"/>
              <w:jc w:val="right"/>
              <w:rPr/>
            </w:pPr>
            <w:r>
              <w:rPr/>
              <w:t>February 24, 2018</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25,000</w:t>
            </w:r>
          </w:p>
        </w:tc>
        <w:tc>
          <w:tcPr>
            <w:tcW w:w="350" w:type="dxa"/>
            <w:tcBorders/>
            <w:shd w:fill="CCEEFF" w:val="clear"/>
            <w:vAlign w:val="bottom"/>
          </w:tcPr>
          <w:p>
            <w:pPr>
              <w:pStyle w:val="TableContents"/>
              <w:bidi w:val="0"/>
              <w:spacing w:before="0" w:after="283"/>
              <w:jc w:val="left"/>
              <w:rPr/>
            </w:pPr>
            <w:r>
              <w:rPr>
                <w:b/>
              </w:rPr>
              <w:t>(4)</w:t>
            </w:r>
            <w:r>
              <w:rPr/>
              <w:t> </w:t>
            </w:r>
          </w:p>
        </w:tc>
        <w:tc>
          <w:tcPr>
            <w:tcW w:w="12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802,250</w:t>
            </w:r>
          </w:p>
        </w:tc>
        <w:tc>
          <w:tcPr>
            <w:tcW w:w="67" w:type="dxa"/>
            <w:tcBorders/>
            <w:shd w:fill="CCEEFF" w:val="clear"/>
            <w:vAlign w:val="bottom"/>
          </w:tcPr>
          <w:p>
            <w:pPr>
              <w:pStyle w:val="TableContents"/>
              <w:bidi w:val="0"/>
              <w:spacing w:before="0" w:after="283"/>
              <w:jc w:val="left"/>
              <w:rPr/>
            </w:pPr>
            <w:r>
              <w:rPr/>
              <w:t> </w:t>
            </w:r>
          </w:p>
        </w:tc>
      </w:tr>
      <w:tr>
        <w:trPr/>
        <w:tc>
          <w:tcPr>
            <w:tcW w:w="1579"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April 17, 2019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513" w:type="dxa"/>
            <w:tcBorders/>
            <w:vAlign w:val="bottom"/>
          </w:tcPr>
          <w:p>
            <w:pPr>
              <w:pStyle w:val="TableContents"/>
              <w:bidi w:val="0"/>
              <w:spacing w:before="0" w:after="283"/>
              <w:jc w:val="right"/>
              <w:rPr/>
            </w:pPr>
            <w:r>
              <w:rPr/>
              <w:t>February 1, 2019</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10,000</w:t>
            </w:r>
          </w:p>
        </w:tc>
        <w:tc>
          <w:tcPr>
            <w:tcW w:w="350" w:type="dxa"/>
            <w:tcBorders/>
            <w:vAlign w:val="bottom"/>
          </w:tcPr>
          <w:p>
            <w:pPr>
              <w:pStyle w:val="TableContents"/>
              <w:bidi w:val="0"/>
              <w:spacing w:before="0" w:after="283"/>
              <w:jc w:val="left"/>
              <w:rPr/>
            </w:pPr>
            <w:r>
              <w:rPr>
                <w:b/>
              </w:rPr>
              <w:t>(4)</w:t>
            </w:r>
            <w:r>
              <w:rPr/>
              <w:t> </w:t>
            </w:r>
          </w:p>
        </w:tc>
        <w:tc>
          <w:tcPr>
            <w:tcW w:w="12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320,900</w:t>
            </w:r>
          </w:p>
        </w:tc>
        <w:tc>
          <w:tcPr>
            <w:tcW w:w="67" w:type="dxa"/>
            <w:tcBorders/>
            <w:vAlign w:val="bottom"/>
          </w:tcPr>
          <w:p>
            <w:pPr>
              <w:pStyle w:val="TableContents"/>
              <w:bidi w:val="0"/>
              <w:spacing w:before="0" w:after="283"/>
              <w:jc w:val="left"/>
              <w:rPr/>
            </w:pPr>
            <w:r>
              <w:rPr/>
              <w:t> </w:t>
            </w:r>
          </w:p>
        </w:tc>
      </w:tr>
      <w:tr>
        <w:trPr/>
        <w:tc>
          <w:tcPr>
            <w:tcW w:w="1579" w:type="dxa"/>
            <w:tcBorders/>
            <w:shd w:fill="CCEEFF" w:val="clear"/>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April 15, 2020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513" w:type="dxa"/>
            <w:tcBorders/>
            <w:shd w:fill="CCEEFF" w:val="clear"/>
            <w:vAlign w:val="bottom"/>
          </w:tcPr>
          <w:p>
            <w:pPr>
              <w:pStyle w:val="TableContents"/>
              <w:bidi w:val="0"/>
              <w:spacing w:before="0" w:after="283"/>
              <w:jc w:val="right"/>
              <w:rPr/>
            </w:pPr>
            <w:r>
              <w:rPr/>
              <w:t>February 1, 2020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12,500</w:t>
            </w:r>
          </w:p>
        </w:tc>
        <w:tc>
          <w:tcPr>
            <w:tcW w:w="350" w:type="dxa"/>
            <w:tcBorders/>
            <w:shd w:fill="CCEEFF" w:val="clear"/>
            <w:vAlign w:val="bottom"/>
          </w:tcPr>
          <w:p>
            <w:pPr>
              <w:pStyle w:val="TableContents"/>
              <w:bidi w:val="0"/>
              <w:spacing w:before="0" w:after="283"/>
              <w:jc w:val="left"/>
              <w:rPr/>
            </w:pPr>
            <w:r>
              <w:rPr>
                <w:b/>
              </w:rPr>
              <w:t>(4)</w:t>
            </w:r>
            <w:r>
              <w:rPr/>
              <w:t> </w:t>
            </w:r>
          </w:p>
        </w:tc>
        <w:tc>
          <w:tcPr>
            <w:tcW w:w="12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401,125</w:t>
            </w:r>
          </w:p>
        </w:tc>
        <w:tc>
          <w:tcPr>
            <w:tcW w:w="67" w:type="dxa"/>
            <w:tcBorders/>
            <w:shd w:fill="CCEEFF" w:val="clear"/>
            <w:vAlign w:val="bottom"/>
          </w:tcPr>
          <w:p>
            <w:pPr>
              <w:pStyle w:val="TableContents"/>
              <w:bidi w:val="0"/>
              <w:spacing w:before="0" w:after="283"/>
              <w:jc w:val="left"/>
              <w:rPr/>
            </w:pPr>
            <w:r>
              <w:rPr/>
              <w:t> </w:t>
            </w:r>
          </w:p>
        </w:tc>
      </w:tr>
      <w:tr>
        <w:trPr>
          <w:trHeight w:val="120" w:hRule="atLeast"/>
        </w:trPr>
        <w:tc>
          <w:tcPr>
            <w:tcW w:w="1579" w:type="dxa"/>
            <w:tcBorders/>
            <w:vAlign w:val="center"/>
          </w:tcPr>
          <w:p>
            <w:pPr>
              <w:pStyle w:val="TableContents"/>
              <w:bidi w:val="0"/>
              <w:spacing w:before="0" w:after="283"/>
              <w:jc w:val="left"/>
              <w:rPr>
                <w:sz w:val="4"/>
                <w:szCs w:val="4"/>
              </w:rPr>
            </w:pPr>
            <w:r>
              <w:rPr>
                <w:sz w:val="4"/>
                <w:szCs w:val="4"/>
              </w:rPr>
            </w:r>
          </w:p>
        </w:tc>
        <w:tc>
          <w:tcPr>
            <w:tcW w:w="2068" w:type="dxa"/>
            <w:gridSpan w:val="4"/>
            <w:tcBorders/>
            <w:vAlign w:val="center"/>
          </w:tcPr>
          <w:p>
            <w:pPr>
              <w:pStyle w:val="TableContents"/>
              <w:bidi w:val="0"/>
              <w:spacing w:before="0" w:after="283"/>
              <w:jc w:val="left"/>
              <w:rPr>
                <w:sz w:val="4"/>
                <w:szCs w:val="4"/>
              </w:rPr>
            </w:pPr>
            <w:r>
              <w:rPr>
                <w:sz w:val="4"/>
                <w:szCs w:val="4"/>
              </w:rPr>
            </w:r>
          </w:p>
        </w:tc>
        <w:tc>
          <w:tcPr>
            <w:tcW w:w="2835" w:type="dxa"/>
            <w:gridSpan w:val="4"/>
            <w:tcBorders/>
            <w:vAlign w:val="center"/>
          </w:tcPr>
          <w:p>
            <w:pPr>
              <w:pStyle w:val="TableContents"/>
              <w:bidi w:val="0"/>
              <w:spacing w:before="0" w:after="283"/>
              <w:jc w:val="left"/>
              <w:rPr>
                <w:sz w:val="4"/>
                <w:szCs w:val="4"/>
              </w:rPr>
            </w:pPr>
            <w:r>
              <w:rPr>
                <w:sz w:val="4"/>
                <w:szCs w:val="4"/>
              </w:rPr>
            </w:r>
          </w:p>
        </w:tc>
        <w:tc>
          <w:tcPr>
            <w:tcW w:w="2039" w:type="dxa"/>
            <w:gridSpan w:val="4"/>
            <w:tcBorders/>
            <w:vAlign w:val="center"/>
          </w:tcPr>
          <w:p>
            <w:pPr>
              <w:pStyle w:val="TableContents"/>
              <w:bidi w:val="0"/>
              <w:spacing w:before="0" w:after="283"/>
              <w:jc w:val="left"/>
              <w:rPr>
                <w:sz w:val="4"/>
                <w:szCs w:val="4"/>
              </w:rPr>
            </w:pPr>
            <w:r>
              <w:rPr>
                <w:sz w:val="4"/>
                <w:szCs w:val="4"/>
              </w:rPr>
            </w:r>
          </w:p>
        </w:tc>
        <w:tc>
          <w:tcPr>
            <w:tcW w:w="1684" w:type="dxa"/>
            <w:gridSpan w:val="4"/>
            <w:tcBorders/>
            <w:vAlign w:val="center"/>
          </w:tcPr>
          <w:p>
            <w:pPr>
              <w:pStyle w:val="TableContents"/>
              <w:bidi w:val="0"/>
              <w:spacing w:before="0" w:after="283"/>
              <w:jc w:val="left"/>
              <w:rPr>
                <w:sz w:val="4"/>
                <w:szCs w:val="4"/>
              </w:rPr>
            </w:pPr>
            <w:r>
              <w:rPr>
                <w:sz w:val="4"/>
                <w:szCs w:val="4"/>
              </w:rPr>
            </w:r>
          </w:p>
        </w:tc>
      </w:tr>
      <w:tr>
        <w:trPr/>
        <w:tc>
          <w:tcPr>
            <w:tcW w:w="1579" w:type="dxa"/>
            <w:tcBorders/>
          </w:tcPr>
          <w:p>
            <w:pPr>
              <w:pStyle w:val="TableContents"/>
              <w:bidi w:val="0"/>
              <w:spacing w:before="0" w:after="0"/>
              <w:jc w:val="left"/>
              <w:rPr>
                <w:rFonts w:ascii="Times New Roman" w:hAnsi="Times New Roman"/>
                <w:sz w:val="20"/>
              </w:rPr>
            </w:pPr>
            <w:r>
              <w:rPr>
                <w:rFonts w:ascii="Times New Roman" w:hAnsi="Times New Roman"/>
                <w:sz w:val="20"/>
              </w:rPr>
              <w:t>Vanessa Rollings(5)</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2" w:type="dxa"/>
            <w:tcBorders/>
            <w:vAlign w:val="bottom"/>
          </w:tcPr>
          <w:p>
            <w:pPr>
              <w:pStyle w:val="TableContents"/>
              <w:bidi w:val="0"/>
              <w:spacing w:before="0" w:after="283"/>
              <w:jc w:val="right"/>
              <w:rPr/>
            </w:pPr>
            <w:r>
              <w:rPr/>
              <w:t>October 25, 2018</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2513" w:type="dxa"/>
            <w:tcBorders/>
            <w:vAlign w:val="bottom"/>
          </w:tcPr>
          <w:p>
            <w:pPr>
              <w:pStyle w:val="TableContents"/>
              <w:bidi w:val="0"/>
              <w:spacing w:before="0" w:after="283"/>
              <w:jc w:val="right"/>
              <w:rPr/>
            </w:pPr>
            <w:r>
              <w:rPr/>
              <w:t>September 4, 2018</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275,000</w:t>
            </w:r>
          </w:p>
        </w:tc>
        <w:tc>
          <w:tcPr>
            <w:tcW w:w="350" w:type="dxa"/>
            <w:tcBorders/>
            <w:vAlign w:val="bottom"/>
          </w:tcPr>
          <w:p>
            <w:pPr>
              <w:pStyle w:val="TableContents"/>
              <w:bidi w:val="0"/>
              <w:spacing w:before="0" w:after="283"/>
              <w:jc w:val="left"/>
              <w:rPr/>
            </w:pPr>
            <w:r>
              <w:rPr>
                <w:b/>
              </w:rPr>
              <w:t>(4)</w:t>
            </w:r>
            <w:r>
              <w:rPr/>
              <w:t> </w:t>
            </w:r>
          </w:p>
        </w:tc>
        <w:tc>
          <w:tcPr>
            <w:tcW w:w="129"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8,824,750</w:t>
            </w:r>
          </w:p>
        </w:tc>
        <w:tc>
          <w:tcPr>
            <w:tcW w:w="67" w:type="dxa"/>
            <w:tcBorders/>
            <w:vAlign w:val="bottom"/>
          </w:tcPr>
          <w:p>
            <w:pPr>
              <w:pStyle w:val="TableContents"/>
              <w:bidi w:val="0"/>
              <w:spacing w:before="0" w:after="283"/>
              <w:jc w:val="left"/>
              <w:rPr/>
            </w:pPr>
            <w:r>
              <w:rPr/>
              <w:t> </w:t>
            </w:r>
          </w:p>
        </w:tc>
      </w:tr>
      <w:tr>
        <w:trPr/>
        <w:tc>
          <w:tcPr>
            <w:tcW w:w="1579" w:type="dxa"/>
            <w:tcBorders/>
            <w:shd w:fill="CCEEFF" w:val="clear"/>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2" w:type="dxa"/>
            <w:tcBorders/>
            <w:shd w:fill="CCEEFF" w:val="clear"/>
            <w:vAlign w:val="bottom"/>
          </w:tcPr>
          <w:p>
            <w:pPr>
              <w:pStyle w:val="TableContents"/>
              <w:bidi w:val="0"/>
              <w:spacing w:before="0" w:after="283"/>
              <w:jc w:val="right"/>
              <w:rPr/>
            </w:pPr>
            <w:r>
              <w:rPr/>
              <w:t>April 15, 2020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2513" w:type="dxa"/>
            <w:tcBorders/>
            <w:shd w:fill="CCEEFF" w:val="clear"/>
            <w:vAlign w:val="bottom"/>
          </w:tcPr>
          <w:p>
            <w:pPr>
              <w:pStyle w:val="TableContents"/>
              <w:bidi w:val="0"/>
              <w:spacing w:before="0" w:after="283"/>
              <w:jc w:val="right"/>
              <w:rPr/>
            </w:pPr>
            <w:r>
              <w:rPr/>
              <w:t>February 1, 2020</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12,500</w:t>
            </w:r>
          </w:p>
        </w:tc>
        <w:tc>
          <w:tcPr>
            <w:tcW w:w="350" w:type="dxa"/>
            <w:tcBorders/>
            <w:shd w:fill="CCEEFF" w:val="clear"/>
            <w:vAlign w:val="bottom"/>
          </w:tcPr>
          <w:p>
            <w:pPr>
              <w:pStyle w:val="TableContents"/>
              <w:bidi w:val="0"/>
              <w:spacing w:before="0" w:after="283"/>
              <w:jc w:val="left"/>
              <w:rPr/>
            </w:pPr>
            <w:r>
              <w:rPr>
                <w:b/>
              </w:rPr>
              <w:t>(4)</w:t>
            </w:r>
            <w:r>
              <w:rPr/>
              <w:t> </w:t>
            </w:r>
          </w:p>
        </w:tc>
        <w:tc>
          <w:tcPr>
            <w:tcW w:w="129"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401,125</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All stock awards listed in this table represent RSUs granted pursuant to our 2015 Plan, the terms of which are described below under </w:t>
            </w:r>
            <w:r>
              <w:rPr>
                <w:rFonts w:ascii="Times New Roman" w:hAnsi="Times New Roman"/>
                <w:i/>
                <w:sz w:val="20"/>
              </w:rPr>
              <w:t></w:t>
            </w:r>
            <w:r>
              <w:rPr>
                <w:rFonts w:ascii="Times New Roman" w:hAnsi="Times New Roman"/>
                <w:sz w:val="20"/>
              </w:rPr>
              <w:t>Equity Incentive Plans2015 Stock Plan</w:t>
            </w:r>
            <w:r>
              <w:rPr>
                <w:rFonts w:ascii="Times New Roman" w:hAnsi="Times New Roman"/>
                <w:i/>
                <w:sz w:val="20"/>
              </w:rPr>
              <w:t>.</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This column represents the fair market value of a share of our common stock of $32.09 as of December 31, 2020 as determined by our board of directors, multiplied by the amount shown in the column Stock Awards</w:t>
            </w:r>
            <w:r>
              <w:rPr>
                <w:rFonts w:ascii="Times New Roman" w:hAnsi="Times New Roman"/>
                <w:i/>
                <w:sz w:val="20"/>
              </w:rPr>
              <w:t></w:t>
            </w:r>
            <w:r>
              <w:rPr>
                <w:rFonts w:ascii="Times New Roman" w:hAnsi="Times New Roman"/>
                <w:sz w:val="20"/>
              </w:rPr>
              <w:t xml:space="preserve">Number of Shares or Units of Stock that Have Not Vested.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 fourth of these RSUs vest on December 31, 2017 and 1/12 of the remaining RSUs vest quarterly thereafter, provided that the recipient remains in continuous service with us through each vesting date, and subject to the earlier to occur of (i) the consummation of this offering and (ii) a change in control of our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One fourth of these RSUs vest on the one 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Ms. Rollings resigned as our Chief Financial Officer, effective April 15, 2021. Pursuant to the terms of Ms. Rollings separation agreement, which is described below, Ms. Rollings RSUs will continue to vest through September 4, 2021, such that as of September 4, 2021, 235,730 RSUs subject to the award granted on October 25, 2018 will have satisfied the service-based vesting condition, and 4,688 RSUs subject to the award granted on April 15, 2020 will have satisfied the service-based vesting condition. </w:t>
            </w:r>
          </w:p>
        </w:tc>
      </w:tr>
    </w:tbl>
    <w:p>
      <w:pPr>
        <w:pStyle w:val="TextBody"/>
        <w:bidi w:val="0"/>
        <w:spacing w:before="240" w:after="0"/>
        <w:jc w:val="both"/>
        <w:rPr>
          <w:rFonts w:ascii="Times New Roman" w:hAnsi="Times New Roman"/>
          <w:sz w:val="20"/>
        </w:rPr>
      </w:pPr>
      <w:r>
        <w:rPr>
          <w:rFonts w:ascii="Times New Roman" w:hAnsi="Times New Roman"/>
          <w:sz w:val="20"/>
        </w:rPr>
        <w:t>We may in the future, on an annual basis or otherwise, grant additional equity awards to our executive officers pursuant to our 2021 Equity Incentive Plan, as amended, or the 2021 Plan, the terms of which are described below under </w:t>
      </w:r>
      <w:r>
        <w:rPr>
          <w:rFonts w:ascii="Times New Roman" w:hAnsi="Times New Roman"/>
          <w:i/>
          <w:sz w:val="20"/>
        </w:rPr>
        <w:t></w:t>
      </w:r>
      <w:r>
        <w:rPr>
          <w:rFonts w:ascii="Times New Roman" w:hAnsi="Times New Roman"/>
          <w:sz w:val="20"/>
        </w:rPr>
        <w:t xml:space="preserve">Equity Incentive Plans2021 Equity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Arrangements </w:t>
      </w:r>
    </w:p>
    <w:p>
      <w:pPr>
        <w:pStyle w:val="TextBody"/>
        <w:bidi w:val="0"/>
        <w:spacing w:before="120" w:after="0"/>
        <w:jc w:val="both"/>
        <w:rPr>
          <w:rFonts w:ascii="Times New Roman" w:hAnsi="Times New Roman"/>
          <w:sz w:val="20"/>
        </w:rPr>
      </w:pPr>
      <w:r>
        <w:rPr>
          <w:rFonts w:ascii="Times New Roman" w:hAnsi="Times New Roman"/>
          <w:sz w:val="20"/>
        </w:rPr>
        <w:t xml:space="preserve">Prior to the completion of this offering, we will enter into revised employment agreements with each of our named executive officers setting forth the terms and conditions of such executives employment with us. The employment agreements generally will provide for at-will employment and set forth the executive officers initial base salary. Each of our named executive officers has also executed our standard form of proprietary information and inventions assignment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Eric Lefkofsky </w:t>
      </w:r>
    </w:p>
    <w:p>
      <w:pPr>
        <w:pStyle w:val="TextBody"/>
        <w:bidi w:val="0"/>
        <w:spacing w:before="120" w:after="0"/>
        <w:jc w:val="both"/>
        <w:rPr>
          <w:rFonts w:ascii="Times New Roman" w:hAnsi="Times New Roman"/>
          <w:sz w:val="20"/>
        </w:rPr>
      </w:pPr>
      <w:r>
        <w:rPr>
          <w:rFonts w:ascii="Times New Roman" w:hAnsi="Times New Roman"/>
          <w:sz w:val="20"/>
        </w:rPr>
        <w:t xml:space="preserve">Mr. Lefkofskys employment is at will and may be terminated at any time, with or without cause. We do not currently pay Mr. Lefkofsky a salary. Prior to the completion of this offering, we will enter into an employment agreement with Mr. Lefkofsky.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Erik Phelps </w:t>
      </w:r>
    </w:p>
    <w:p>
      <w:pPr>
        <w:pStyle w:val="TextBody"/>
        <w:bidi w:val="0"/>
        <w:spacing w:before="120" w:after="0"/>
        <w:jc w:val="both"/>
        <w:rPr>
          <w:rFonts w:ascii="Times New Roman" w:hAnsi="Times New Roman"/>
          <w:sz w:val="20"/>
        </w:rPr>
      </w:pPr>
      <w:r>
        <w:rPr>
          <w:rFonts w:ascii="Times New Roman" w:hAnsi="Times New Roman"/>
          <w:sz w:val="20"/>
        </w:rPr>
        <w:t xml:space="preserve">Mr. Phelpss employment is at will and may be terminated at any time, with or without cause. Prior to the completion of this offering, we will enter into an employment agreement with Mr. Phelps.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Vanessa Rollings </w:t>
      </w:r>
    </w:p>
    <w:p>
      <w:pPr>
        <w:pStyle w:val="TextBody"/>
        <w:bidi w:val="0"/>
        <w:spacing w:before="120" w:after="0"/>
        <w:jc w:val="both"/>
        <w:rPr>
          <w:rFonts w:ascii="Times New Roman" w:hAnsi="Times New Roman"/>
          <w:sz w:val="20"/>
        </w:rPr>
      </w:pPr>
      <w:r>
        <w:rPr>
          <w:rFonts w:ascii="Times New Roman" w:hAnsi="Times New Roman"/>
          <w:sz w:val="20"/>
        </w:rPr>
        <w:t xml:space="preserve">In June 2018, we entered into an offer letter with Ms. Rollings, our former Chief Financial Officer. The offer letter provided for Ms. Rollingss at-will employment, base compensation, RSU award and her ability to participate in our employee benefit plans generally. Ms. Rollingss offer letter also provided that if her employment was terminated by us without cause, Ms. Rollings would be entitled to a severance benefit equal to six months of her base salary for the then-current year and six-month additional vesting of her RSU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Separation Arrangement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Vanessa Rollings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termination of her employment, we entered into a separation and release of claims agreement with Ms. Rollings, effective March 2, 2021. Ms. Rollingss last day of employment was April 15, 2021. The separation agreement provides for Ms. Rollings to receive (i) continuation of her base salary through August 15, 2021 (effective March 2, 2021, her base salary was increased from $385,000 to $400,000), (ii) payment of the company portion of health insurance premiums through August 15, 2021 and (iii) continuation of vesting of her RSU grants through September 4, 2021. Such severance benefits superseded and replaced in their entirety all severance benefits that would otherwise apply under the terms of her offer letter dated June 2018. </w:t>
      </w:r>
    </w:p>
    <w:p>
      <w:pPr>
        <w:pStyle w:val="TextBody"/>
        <w:bidi w:val="0"/>
        <w:spacing w:before="360" w:after="0"/>
        <w:jc w:val="left"/>
        <w:rPr>
          <w:rFonts w:ascii="Times New Roman" w:hAnsi="Times New Roman"/>
          <w:b/>
          <w:sz w:val="20"/>
        </w:rPr>
      </w:pPr>
      <w:r>
        <w:rPr>
          <w:rFonts w:ascii="Times New Roman" w:hAnsi="Times New Roman"/>
          <w:b/>
          <w:sz w:val="20"/>
        </w:rPr>
        <w:t xml:space="preserve">Equity Incentive Plans </w:t>
      </w:r>
    </w:p>
    <w:p>
      <w:pPr>
        <w:pStyle w:val="TextBody"/>
        <w:bidi w:val="0"/>
        <w:spacing w:before="240" w:after="0"/>
        <w:jc w:val="left"/>
        <w:rPr>
          <w:rFonts w:ascii="Times New Roman" w:hAnsi="Times New Roman"/>
          <w:b/>
          <w:i/>
          <w:sz w:val="20"/>
        </w:rPr>
      </w:pPr>
      <w:r>
        <w:rPr>
          <w:rFonts w:ascii="Times New Roman" w:hAnsi="Times New Roman"/>
          <w:b/>
          <w:i/>
          <w:sz w:val="20"/>
        </w:rPr>
        <w:t xml:space="preserve">2021 Equity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intends to adopt the 2021 Equity Incentive Plan, or the 2021 Plan, that will become effective on the date of the underwriting agreement related to this offering. Our 2021 Plan will come into existence upon its adoption by our board of directors, but no grants will be made under our 2021 Plan prior to its effectiveness. Once our 2021 Plan becomes effective, no further grants will be made under our 2015 Plan. </w:t>
      </w:r>
    </w:p>
    <w:p>
      <w:pPr>
        <w:pStyle w:val="TextBody"/>
        <w:bidi w:val="0"/>
        <w:spacing w:before="240" w:after="0"/>
        <w:jc w:val="both"/>
        <w:rPr>
          <w:rFonts w:ascii="Times New Roman" w:hAnsi="Times New Roman"/>
          <w:sz w:val="20"/>
        </w:rPr>
      </w:pPr>
      <w:r>
        <w:rPr>
          <w:rFonts w:ascii="Times New Roman" w:hAnsi="Times New Roman"/>
          <w:i/>
          <w:sz w:val="20"/>
        </w:rPr>
        <w:t>Types of Awards</w:t>
      </w:r>
      <w:r>
        <w:rPr>
          <w:rFonts w:ascii="Times New Roman" w:hAnsi="Times New Roman"/>
          <w:sz w:val="20"/>
        </w:rPr>
        <w:t xml:space="preserve">. Our 2021 Plan provides for the grant of incentive stock options, or ISOs, nonstatutory stock options, or NSOs, stock appreciation 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 </w:t>
      </w:r>
    </w:p>
    <w:p>
      <w:pPr>
        <w:pStyle w:val="TextBody"/>
        <w:bidi w:val="0"/>
        <w:spacing w:before="240" w:after="0"/>
        <w:jc w:val="both"/>
        <w:rPr>
          <w:rFonts w:ascii="Times New Roman" w:hAnsi="Times New Roman"/>
          <w:sz w:val="20"/>
        </w:rPr>
      </w:pPr>
      <w:r>
        <w:rPr>
          <w:rFonts w:ascii="Times New Roman" w:hAnsi="Times New Roman"/>
          <w:i/>
          <w:sz w:val="20"/>
        </w:rPr>
        <w:t>Authorized Shares</w:t>
      </w:r>
      <w:r>
        <w:rPr>
          <w:rFonts w:ascii="Times New Roman" w:hAnsi="Times New Roman"/>
          <w:sz w:val="20"/>
        </w:rPr>
        <w:t xml:space="preserve">. The maximum number of shares of our Class A common stock that may be issued under our 2021 Plan is      shares of our Class A common stock, which is the sum of: (i)                  new shares, plus (ii) up to                 shares of our Class A common stock subject to awards granted under our 2015 Plan that, after the effective date of our 2021 Plan, expire or otherwise terminate without having been exercised in full or are forfeited to or repurchased by us. The number of shares of our Class A common stock reserved for issuance under our 2021 Plan will automatically increase on January 1 of each year, beginning on January 1, 2022, and continuing through and including January 1, 2031, by     %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2021 Plan is                  shares. </w:t>
      </w:r>
    </w:p>
    <w:p>
      <w:pPr>
        <w:pStyle w:val="TextBody"/>
        <w:bidi w:val="0"/>
        <w:spacing w:before="240" w:after="0"/>
        <w:jc w:val="both"/>
        <w:rPr>
          <w:rFonts w:ascii="Times New Roman" w:hAnsi="Times New Roman"/>
          <w:sz w:val="20"/>
        </w:rPr>
      </w:pPr>
      <w:r>
        <w:rPr>
          <w:rFonts w:ascii="Times New Roman" w:hAnsi="Times New Roman"/>
          <w:sz w:val="20"/>
        </w:rPr>
        <w:t xml:space="preserve">Shares issued under our 2021 Plan will be authorized but unissued or reacquired shares of Class A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 </w:t>
      </w:r>
    </w:p>
    <w:p>
      <w:pPr>
        <w:pStyle w:val="TextBody"/>
        <w:bidi w:val="0"/>
        <w:spacing w:before="240" w:after="0"/>
        <w:jc w:val="both"/>
        <w:rPr>
          <w:rFonts w:ascii="Times New Roman" w:hAnsi="Times New Roman"/>
          <w:sz w:val="20"/>
        </w:rPr>
      </w:pPr>
      <w:r>
        <w:rPr>
          <w:rFonts w:ascii="Times New Roman" w:hAnsi="Times New Roman"/>
          <w:sz w:val="20"/>
        </w:rPr>
        <w:t xml:space="preserve">The maximum number of shares of our Class A common stock subject to stock awards granted under the 2021 Plan or otherwise during any calendar year beginning in 2022 to any non-employee director, taken together with any cash fees paid by us to such non-employee director during such calendar year for service on the board of directors, will not exceed $     in total value (calculating the value of any such stock awards based on the grant date fair value of such stock awards for financial reporting purposes), or, with respect to the calendar year in which a non-employee director is first appointed or elected to our board of directors,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of directors, or a duly authorized committee of our board, may administer our 2021 Plan. Our board of 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2021 Plan. </w:t>
      </w:r>
    </w:p>
    <w:p>
      <w:pPr>
        <w:pStyle w:val="TextBody"/>
        <w:bidi w:val="0"/>
        <w:spacing w:before="240" w:after="0"/>
        <w:jc w:val="both"/>
        <w:rPr>
          <w:rFonts w:ascii="Times New Roman" w:hAnsi="Times New Roman"/>
          <w:sz w:val="20"/>
        </w:rPr>
      </w:pPr>
      <w:r>
        <w:rPr>
          <w:rFonts w:ascii="Times New Roman" w:hAnsi="Times New Roman"/>
          <w:sz w:val="20"/>
        </w:rPr>
        <w:t xml:space="preserve">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 </w:t>
      </w:r>
    </w:p>
    <w:p>
      <w:pPr>
        <w:pStyle w:val="TextBody"/>
        <w:bidi w:val="0"/>
        <w:spacing w:before="240" w:after="0"/>
        <w:jc w:val="both"/>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are granted pursuant to stock option agreements adopted by the administrator. The administrator determines the exercise price for a stock option, within the terms and conditions of the 2021 Plan, provided that the exercise price of a stock option generally cannot be less than 100% of the fair market value of our Class A common stock on the date of grant. Options granted under the 2021 Plan vest at the rate specified in the stock option agreement as specified in the stock option agreement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 </w:t>
      </w:r>
    </w:p>
    <w:p>
      <w:pPr>
        <w:pStyle w:val="TextBody"/>
        <w:bidi w:val="0"/>
        <w:spacing w:before="240" w:after="0"/>
        <w:jc w:val="both"/>
        <w:rPr>
          <w:rFonts w:ascii="Times New Roman" w:hAnsi="Times New Roman"/>
          <w:sz w:val="20"/>
        </w:rPr>
      </w:pPr>
      <w:r>
        <w:rPr>
          <w:rFonts w:ascii="Times New Roman" w:hAnsi="Times New Roman"/>
          <w:sz w:val="20"/>
        </w:rPr>
        <w:t xml:space="preserve">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 </w:t>
      </w:r>
    </w:p>
    <w:p>
      <w:pPr>
        <w:pStyle w:val="TextBody"/>
        <w:bidi w:val="0"/>
        <w:spacing w:before="240" w:after="0"/>
        <w:jc w:val="both"/>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our Class A common stock with respect to ISOs that are exercisable for the first time by an option holder during any calendar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 </w:t>
      </w:r>
    </w:p>
    <w:p>
      <w:pPr>
        <w:pStyle w:val="TextBody"/>
        <w:bidi w:val="0"/>
        <w:spacing w:before="240" w:after="0"/>
        <w:jc w:val="both"/>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Restricted stock awards are granted pursuant to restricted stock award agreements adopted by the administrator. Restricted stock 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 </w:t>
      </w:r>
    </w:p>
    <w:p>
      <w:pPr>
        <w:pStyle w:val="TextBody"/>
        <w:bidi w:val="0"/>
        <w:spacing w:before="240" w:after="0"/>
        <w:jc w:val="both"/>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Restricted stock unit awards are granted pursuant to restricted stock unit award agreements adopted by the 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 </w:t>
      </w:r>
    </w:p>
    <w:p>
      <w:pPr>
        <w:pStyle w:val="TextBody"/>
        <w:bidi w:val="0"/>
        <w:spacing w:before="240" w:after="0"/>
        <w:jc w:val="both"/>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Stock appreciation rights are granted pursuant to stock appreciation right grant agreements adopted by the administrator. The 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2021 Plan vests at the rate specified in the stock appreciation right agreement as determined by the administrator. </w:t>
      </w:r>
    </w:p>
    <w:p>
      <w:pPr>
        <w:pStyle w:val="TextBody"/>
        <w:bidi w:val="0"/>
        <w:spacing w:before="240" w:after="0"/>
        <w:jc w:val="both"/>
        <w:rPr>
          <w:rFonts w:ascii="Times New Roman" w:hAnsi="Times New Roman"/>
          <w:sz w:val="20"/>
        </w:rPr>
      </w:pPr>
      <w:r>
        <w:rPr>
          <w:rFonts w:ascii="Times New Roman" w:hAnsi="Times New Roman"/>
          <w:sz w:val="20"/>
        </w:rPr>
        <w:t xml:space="preserve">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240" w:after="0"/>
        <w:jc w:val="both"/>
        <w:rPr>
          <w:rFonts w:ascii="Times New Roman" w:hAnsi="Times New Roman"/>
          <w:sz w:val="20"/>
        </w:rPr>
      </w:pPr>
      <w:r>
        <w:rPr>
          <w:rFonts w:ascii="Times New Roman" w:hAnsi="Times New Roman"/>
          <w:i/>
          <w:sz w:val="20"/>
        </w:rPr>
        <w:t>Performance Awards</w:t>
      </w:r>
      <w:r>
        <w:rPr>
          <w:rFonts w:ascii="Times New Roman" w:hAnsi="Times New Roman"/>
          <w:sz w:val="20"/>
        </w:rPr>
        <w:t xml:space="preserve">. Our 2021 Plan permits the grant of performance-based stock and cash awards. The compensation committee can structure such 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w:t>
      </w:r>
    </w:p>
    <w:p>
      <w:pPr>
        <w:pStyle w:val="TextBody"/>
        <w:bidi w:val="0"/>
        <w:spacing w:before="240" w:after="0"/>
        <w:jc w:val="both"/>
        <w:rPr>
          <w:rFonts w:ascii="Times New Roman" w:hAnsi="Times New Roman"/>
          <w:sz w:val="20"/>
        </w:rPr>
      </w:pPr>
      <w:r>
        <w:rPr>
          <w:rFonts w:ascii="Times New Roman" w:hAnsi="Times New Roman"/>
          <w:i/>
          <w:sz w:val="20"/>
        </w:rPr>
        <w:t>Other Awards</w:t>
      </w:r>
      <w:r>
        <w:rPr>
          <w:rFonts w:ascii="Times New Roman" w:hAnsi="Times New Roman"/>
          <w:sz w:val="20"/>
        </w:rPr>
        <w:t xml:space="preserve">. The administrator may grant other awards based in whole or in part by reference to our Class A common stock. The administrator will set the number of shares under the award and all other terms and conditions of such awards. </w:t>
      </w:r>
    </w:p>
    <w:p>
      <w:pPr>
        <w:pStyle w:val="TextBody"/>
        <w:bidi w:val="0"/>
        <w:spacing w:before="240" w:after="0"/>
        <w:jc w:val="both"/>
        <w:rPr>
          <w:rFonts w:ascii="Times New Roman" w:hAnsi="Times New Roman"/>
          <w:sz w:val="20"/>
        </w:rPr>
      </w:pPr>
      <w:r>
        <w:rPr>
          <w:rFonts w:ascii="Times New Roman" w:hAnsi="Times New Roman"/>
          <w:i/>
          <w:sz w:val="20"/>
        </w:rPr>
        <w:t>Changes to Capital Structure</w:t>
      </w:r>
      <w:r>
        <w:rPr>
          <w:rFonts w:ascii="Times New Roman" w:hAnsi="Times New Roman"/>
          <w:sz w:val="20"/>
        </w:rPr>
        <w:t xml:space="preserve">. In the event there is a specified type of change in our capital structure, such as a stock split, reverse stock split or recapitalization, appropriate adjustments will be made to (1) the class and maximum number of shares reserved for issuance under the 2021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 </w:t>
      </w:r>
    </w:p>
    <w:p>
      <w:pPr>
        <w:pStyle w:val="TextBody"/>
        <w:bidi w:val="0"/>
        <w:spacing w:before="240" w:after="0"/>
        <w:jc w:val="both"/>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The following applies to stock awards under the 2021 Plan in the event of a corporate transaction, unless otherwise 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 </w:t>
      </w:r>
    </w:p>
    <w:p>
      <w:pPr>
        <w:pStyle w:val="TextBody"/>
        <w:bidi w:val="0"/>
        <w:spacing w:before="240" w:after="0"/>
        <w:jc w:val="both"/>
        <w:rPr>
          <w:rFonts w:ascii="Times New Roman" w:hAnsi="Times New Roman"/>
          <w:sz w:val="20"/>
        </w:rPr>
      </w:pPr>
      <w:r>
        <w:rPr>
          <w:rFonts w:ascii="Times New Roman" w:hAnsi="Times New Roman"/>
          <w:sz w:val="20"/>
        </w:rPr>
        <w:t xml:space="preserve">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 </w:t>
      </w:r>
    </w:p>
    <w:p>
      <w:pPr>
        <w:pStyle w:val="TextBody"/>
        <w:bidi w:val="0"/>
        <w:spacing w:before="240" w:after="0"/>
        <w:jc w:val="both"/>
        <w:rPr>
          <w:rFonts w:ascii="Times New Roman" w:hAnsi="Times New Roman"/>
          <w:sz w:val="20"/>
        </w:rPr>
      </w:pPr>
      <w:r>
        <w:rPr>
          <w:rFonts w:ascii="Times New Roman" w:hAnsi="Times New Roman"/>
          <w:sz w:val="20"/>
        </w:rPr>
        <w:t xml:space="preserve">A stock award may be subject to additional acceleration of vesting and exercisability upon or after a change in control as may be provided in an applicable award agreement or other written agreement, but in the absence of such provision, no such acceleration will occur. </w:t>
      </w:r>
    </w:p>
    <w:p>
      <w:pPr>
        <w:pStyle w:val="TextBody"/>
        <w:bidi w:val="0"/>
        <w:spacing w:before="240" w:after="0"/>
        <w:jc w:val="both"/>
        <w:rPr>
          <w:rFonts w:ascii="Times New Roman" w:hAnsi="Times New Roman"/>
          <w:sz w:val="20"/>
        </w:rPr>
      </w:pPr>
      <w:r>
        <w:rPr>
          <w:rFonts w:ascii="Times New Roman" w:hAnsi="Times New Roman"/>
          <w:i/>
          <w:sz w:val="20"/>
        </w:rPr>
        <w:t>Transferability</w:t>
      </w:r>
      <w:r>
        <w:rPr>
          <w:rFonts w:ascii="Times New Roman" w:hAnsi="Times New Roman"/>
          <w:sz w:val="20"/>
        </w:rPr>
        <w:t xml:space="preserve">. A participant may not transfer awards under our 2021 Plan other than by will, the laws of descent and distribution or as otherwise provided under our 2021 Plan. </w:t>
      </w:r>
    </w:p>
    <w:p>
      <w:pPr>
        <w:pStyle w:val="TextBody"/>
        <w:bidi w:val="0"/>
        <w:spacing w:before="240" w:after="0"/>
        <w:jc w:val="both"/>
        <w:rPr>
          <w:rFonts w:ascii="Times New Roman" w:hAnsi="Times New Roman"/>
          <w:sz w:val="20"/>
        </w:rPr>
      </w:pPr>
      <w:r>
        <w:rPr>
          <w:rFonts w:ascii="Times New Roman" w:hAnsi="Times New Roman"/>
          <w:i/>
          <w:sz w:val="20"/>
        </w:rPr>
        <w:t>Plan Amendment or Termination</w:t>
      </w:r>
      <w:r>
        <w:rPr>
          <w:rFonts w:ascii="Times New Roman" w:hAnsi="Times New Roman"/>
          <w:sz w:val="20"/>
        </w:rPr>
        <w:t xml:space="preserve">. Our board has the authority to amend, suspend or terminate our 2021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 terminated.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2015 Stock Plan </w:t>
      </w:r>
    </w:p>
    <w:p>
      <w:pPr>
        <w:pStyle w:val="TextBody"/>
        <w:bidi w:val="0"/>
        <w:spacing w:before="120" w:after="0"/>
        <w:jc w:val="both"/>
        <w:rPr>
          <w:rFonts w:ascii="Times New Roman" w:hAnsi="Times New Roman"/>
          <w:sz w:val="20"/>
        </w:rPr>
      </w:pPr>
      <w:r>
        <w:rPr>
          <w:rFonts w:ascii="Times New Roman" w:hAnsi="Times New Roman"/>
          <w:sz w:val="20"/>
        </w:rPr>
        <w:t xml:space="preserve">The 2015 Plan was adopted by our board of directors and approved by our stockholders in September 2015. Our 2015 Plan has been periodically amended, most recently in November 2020. The 2015 Plan provides for the grant of ISOs, NSOs, restricted stock awards, RSUs, and other stock-based awards. Our employees, officers, directors, consultants and advisors are eligible to receive awards under the 2015 Plan; however, ISOs may only be granted to our employees. </w:t>
      </w:r>
    </w:p>
    <w:p>
      <w:pPr>
        <w:pStyle w:val="TextBody"/>
        <w:bidi w:val="0"/>
        <w:spacing w:before="240" w:after="0"/>
        <w:jc w:val="both"/>
        <w:rPr>
          <w:rFonts w:ascii="Times New Roman" w:hAnsi="Times New Roman"/>
          <w:sz w:val="20"/>
        </w:rPr>
      </w:pPr>
      <w:r>
        <w:rPr>
          <w:rFonts w:ascii="Times New Roman" w:hAnsi="Times New Roman"/>
          <w:i/>
          <w:sz w:val="20"/>
        </w:rPr>
        <w:t>Awards</w:t>
      </w:r>
      <w:r>
        <w:rPr>
          <w:rFonts w:ascii="Times New Roman" w:hAnsi="Times New Roman"/>
          <w:sz w:val="20"/>
        </w:rPr>
        <w:t xml:space="preserve">. As of                , 2021, there were                shares of common stock issuable upon the vesting and settlement of RSUs outstanding under the 2015 Plan, there were                shares of common stock issuable upon the exercise of stock options outstanding under the 2015 Plan at an exercise price of $                per share, no options to purchase shares of our common stock had been exercised, and                shares of common stock were available for future issuance under the 2015 Plan. On and after the effective date of the 2021 Plan described above, we will grant no further stock options or other awards under the 2015 Plan. </w:t>
      </w:r>
    </w:p>
    <w:p>
      <w:pPr>
        <w:pStyle w:val="TextBody"/>
        <w:bidi w:val="0"/>
        <w:spacing w:before="240" w:after="0"/>
        <w:jc w:val="both"/>
        <w:rPr>
          <w:rFonts w:ascii="Times New Roman" w:hAnsi="Times New Roman"/>
          <w:sz w:val="20"/>
        </w:rPr>
      </w:pPr>
      <w:r>
        <w:rPr>
          <w:rFonts w:ascii="Times New Roman" w:hAnsi="Times New Roman"/>
          <w:i/>
          <w:sz w:val="20"/>
        </w:rPr>
        <w:t>Authorized Shares</w:t>
      </w:r>
      <w:r>
        <w:rPr>
          <w:rFonts w:ascii="Times New Roman" w:hAnsi="Times New Roman"/>
          <w:sz w:val="20"/>
        </w:rPr>
        <w:t xml:space="preserve">. Subject to certain adjustments as provided in the 2015 Plan, the maximum aggregate number of shares of our Class A common stock that may be issued pursuant to awards under the 2015 Plan will not exceed                shares. The maximum number of shares of Class A common stock that may be issued pursuant to the exercise of ISOs under our 2015 Plan is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 </w:t>
      </w:r>
    </w:p>
    <w:p>
      <w:pPr>
        <w:pStyle w:val="TextBody"/>
        <w:bidi w:val="0"/>
        <w:spacing w:before="240" w:after="0"/>
        <w:jc w:val="both"/>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2015 Plan is administered by our board of directors. Our board of directors has broad discretion to administer the 2015 Plan, including the power and authority to determine the eligible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 </w:t>
      </w:r>
    </w:p>
    <w:p>
      <w:pPr>
        <w:pStyle w:val="TextBody"/>
        <w:bidi w:val="0"/>
        <w:spacing w:before="240" w:after="0"/>
        <w:jc w:val="both"/>
        <w:rPr>
          <w:rFonts w:ascii="Times New Roman" w:hAnsi="Times New Roman"/>
          <w:sz w:val="20"/>
        </w:rPr>
      </w:pPr>
      <w:r>
        <w:rPr>
          <w:rFonts w:ascii="Times New Roman" w:hAnsi="Times New Roman"/>
          <w:i/>
          <w:sz w:val="20"/>
        </w:rPr>
        <w:t>Stock Options</w:t>
      </w:r>
      <w:r>
        <w:rPr>
          <w:rFonts w:ascii="Times New Roman" w:hAnsi="Times New Roman"/>
          <w:sz w:val="20"/>
        </w:rPr>
        <w:t xml:space="preserve">. ISOs and NSOs granted under the 2015 Plan are evidenced by award agreements established by our board of directors. Our board of 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 </w:t>
      </w:r>
    </w:p>
    <w:p>
      <w:pPr>
        <w:pStyle w:val="TextBody"/>
        <w:bidi w:val="0"/>
        <w:spacing w:before="240" w:after="0"/>
        <w:jc w:val="both"/>
        <w:rPr>
          <w:rFonts w:ascii="Times New Roman" w:hAnsi="Times New Roman"/>
          <w:sz w:val="20"/>
        </w:rPr>
      </w:pPr>
      <w:r>
        <w:rPr>
          <w:rFonts w:ascii="Times New Roman" w:hAnsi="Times New Roman"/>
          <w:i/>
          <w:sz w:val="20"/>
        </w:rPr>
        <w:t>Tax Limitations on ISOs</w:t>
      </w:r>
      <w:r>
        <w:rPr>
          <w:rFonts w:ascii="Times New Roman" w:hAnsi="Times New Roman"/>
          <w:sz w:val="20"/>
        </w:rPr>
        <w:t xml:space="preserve">. The aggregate fair market value, determined at the time of grant, of an award consisting of ISOs that are exercisable for the first 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 </w:t>
      </w:r>
    </w:p>
    <w:p>
      <w:pPr>
        <w:pStyle w:val="TextBody"/>
        <w:bidi w:val="0"/>
        <w:spacing w:before="240" w:after="0"/>
        <w:jc w:val="both"/>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RSAs may be granted in the form of restricted stock bonuses, which are shares of Class A common stock for which no monetary 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 </w:t>
      </w:r>
    </w:p>
    <w:p>
      <w:pPr>
        <w:pStyle w:val="TextBody"/>
        <w:bidi w:val="0"/>
        <w:spacing w:before="240" w:after="0"/>
        <w:jc w:val="both"/>
        <w:rPr>
          <w:rFonts w:ascii="Times New Roman" w:hAnsi="Times New Roman"/>
          <w:sz w:val="20"/>
        </w:rPr>
      </w:pPr>
      <w:r>
        <w:rPr>
          <w:rFonts w:ascii="Times New Roman" w:hAnsi="Times New Roman"/>
          <w:i/>
          <w:sz w:val="20"/>
        </w:rPr>
        <w:t>Restricted Stock Unit Awards</w:t>
      </w:r>
      <w:r>
        <w:rPr>
          <w:rFonts w:ascii="Times New Roman" w:hAnsi="Times New Roman"/>
          <w:sz w:val="20"/>
        </w:rPr>
        <w:t xml:space="preserve">. An RSU represents the right to receive on a future date or event a share of Class A common stock or an amount of cash in 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 </w:t>
      </w:r>
    </w:p>
    <w:p>
      <w:pPr>
        <w:pStyle w:val="TextBody"/>
        <w:bidi w:val="0"/>
        <w:spacing w:before="240" w:after="0"/>
        <w:jc w:val="both"/>
        <w:rPr>
          <w:rFonts w:ascii="Times New Roman" w:hAnsi="Times New Roman"/>
          <w:sz w:val="20"/>
        </w:rPr>
      </w:pPr>
      <w:r>
        <w:rPr>
          <w:rFonts w:ascii="Times New Roman" w:hAnsi="Times New Roman"/>
          <w:sz w:val="20"/>
        </w:rPr>
        <w:t xml:space="preserve">In general, RSU awards that have been granted under the 2015 Plan are subject to both a multi-year service-based vesting requirement and a Liquidity Event vesting requirement. The Liquidity Event requirement will be satisfied on the first to occur of: (1) a change in control (as described below) or (2) the effective date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registration statement under the Securities Act of 1933, as amended, or the Securities Act, for the sale of our Class A common stock, or the Liquidity Event Date. The RSU awards vest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RSUs will vest prior to the Liquidity Event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 </w:t>
      </w:r>
    </w:p>
    <w:p>
      <w:pPr>
        <w:pStyle w:val="TextBody"/>
        <w:bidi w:val="0"/>
        <w:spacing w:before="240" w:after="0"/>
        <w:jc w:val="both"/>
        <w:rPr>
          <w:rFonts w:ascii="Times New Roman" w:hAnsi="Times New Roman"/>
          <w:sz w:val="20"/>
        </w:rPr>
      </w:pPr>
      <w:r>
        <w:rPr>
          <w:rFonts w:ascii="Times New Roman" w:hAnsi="Times New Roman"/>
          <w:i/>
          <w:sz w:val="20"/>
        </w:rPr>
        <w:t>Transferability.</w:t>
      </w:r>
      <w:r>
        <w:rPr>
          <w:rFonts w:ascii="Times New Roman" w:hAnsi="Times New Roman"/>
          <w:sz w:val="20"/>
        </w:rPr>
        <w:t xml:space="preserve"> Awards are generally not transferable other than by will or the laws of descent and distribution. The board, in its discretion, may allow certain transfers of options as set forth in an award agreement and subject to certain securities law restrictions. </w:t>
      </w:r>
    </w:p>
    <w:p>
      <w:pPr>
        <w:pStyle w:val="TextBody"/>
        <w:bidi w:val="0"/>
        <w:spacing w:before="240" w:after="0"/>
        <w:jc w:val="both"/>
        <w:rPr>
          <w:rFonts w:ascii="Times New Roman" w:hAnsi="Times New Roman"/>
          <w:sz w:val="20"/>
        </w:rPr>
      </w:pPr>
      <w:r>
        <w:rPr>
          <w:rFonts w:ascii="Times New Roman" w:hAnsi="Times New Roman"/>
          <w:i/>
          <w:sz w:val="20"/>
        </w:rPr>
        <w:t>Adjustments</w:t>
      </w:r>
      <w:r>
        <w:rPr>
          <w:rFonts w:ascii="Times New Roman" w:hAnsi="Times New Roman"/>
          <w:sz w:val="20"/>
        </w:rPr>
        <w:t xml:space="preserve">. In the event of certain corporate events or changes in our capitalization, the board will make adjustments to one or more of the number and 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 </w:t>
      </w:r>
    </w:p>
    <w:p>
      <w:pPr>
        <w:pStyle w:val="TextBody"/>
        <w:bidi w:val="0"/>
        <w:spacing w:before="240" w:after="0"/>
        <w:jc w:val="both"/>
        <w:rPr>
          <w:rFonts w:ascii="Times New Roman" w:hAnsi="Times New Roman"/>
          <w:sz w:val="20"/>
        </w:rPr>
      </w:pPr>
      <w:r>
        <w:rPr>
          <w:rFonts w:ascii="Times New Roman" w:hAnsi="Times New Roman"/>
          <w:i/>
          <w:sz w:val="20"/>
        </w:rPr>
        <w:t>Change in Control</w:t>
      </w:r>
      <w:r>
        <w:rPr>
          <w:rFonts w:ascii="Times New Roman" w:hAnsi="Times New Roman"/>
          <w:sz w:val="20"/>
        </w:rPr>
        <w:t xml:space="preserve">. Upon a change in control, without the consent of any participant, the board may provide for any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accelerate the time of exercisability, vesting and/or settlement of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assumption or substitution of outstanding award by a surviving, continuing, successor or purchasing corporation or other business entity (or any parent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Withholding</w:t>
      </w:r>
      <w:r>
        <w:rPr>
          <w:rFonts w:ascii="Times New Roman" w:hAnsi="Times New Roman"/>
          <w:sz w:val="20"/>
        </w:rPr>
        <w:t xml:space="preserve">. We have the right to deduct from any and all payments made under the 2015 Plan, or to require the participant, through payroll withholding, 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 </w:t>
      </w:r>
    </w:p>
    <w:p>
      <w:pPr>
        <w:pStyle w:val="TextBody"/>
        <w:bidi w:val="0"/>
        <w:spacing w:before="240" w:after="0"/>
        <w:jc w:val="both"/>
        <w:rPr>
          <w:rFonts w:ascii="Times New Roman" w:hAnsi="Times New Roman"/>
          <w:sz w:val="20"/>
        </w:rPr>
      </w:pPr>
      <w:r>
        <w:rPr>
          <w:rFonts w:ascii="Times New Roman" w:hAnsi="Times New Roman"/>
          <w:i/>
          <w:sz w:val="20"/>
        </w:rPr>
        <w:t>Plan Amendment and Termination</w:t>
      </w:r>
      <w:r>
        <w:rPr>
          <w:rFonts w:ascii="Times New Roman" w:hAnsi="Times New Roman"/>
          <w:sz w:val="20"/>
        </w:rPr>
        <w:t xml:space="preserve">. The 2015 Plan will continue in effect until its termination by our board, provided that all awards under the 2015 Plan 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and Indemnification Matters </w:t>
      </w:r>
    </w:p>
    <w:p>
      <w:pPr>
        <w:pStyle w:val="TextBody"/>
        <w:bidi w:val="0"/>
        <w:spacing w:before="120" w:after="0"/>
        <w:jc w:val="both"/>
        <w:rPr>
          <w:rFonts w:ascii="Times New Roman" w:hAnsi="Times New Roman"/>
          <w:sz w:val="20"/>
        </w:rPr>
      </w:pPr>
      <w:r>
        <w:rPr>
          <w:rFonts w:ascii="Times New Roman" w:hAnsi="Times New Roman"/>
          <w:sz w:val="20"/>
        </w:rPr>
        <w:t xml:space="preserve">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breach of the directors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unlawful payments of dividends or unlawful stock repurchases or redemptions;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both"/>
        <w:rPr>
          <w:rFonts w:ascii="Times New Roman" w:hAnsi="Times New Roman"/>
          <w:sz w:val="20"/>
        </w:rPr>
      </w:pPr>
      <w:r>
        <w:rPr>
          <w:rFonts w:ascii="Times New Roman" w:hAnsi="Times New Roman"/>
          <w:sz w:val="20"/>
        </w:rPr>
        <w:t xml:space="preserve">Such limitation of liability does not apply to liabilities arising under federal securities laws and does not affect the availability of equitable remedies such as injunctive relief or rescission.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240" w:after="0"/>
        <w:jc w:val="both"/>
        <w:rPr>
          <w:rFonts w:ascii="Times New Roman" w:hAnsi="Times New Roman"/>
          <w:sz w:val="20"/>
        </w:rPr>
      </w:pPr>
      <w:r>
        <w:rPr>
          <w:rFonts w:ascii="Times New Roman" w:hAnsi="Times New Roman"/>
          <w:sz w:val="20"/>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24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Sales Plans </w:t>
      </w:r>
    </w:p>
    <w:p>
      <w:pPr>
        <w:pStyle w:val="TextBody"/>
        <w:bidi w:val="0"/>
        <w:spacing w:before="120" w:after="0"/>
        <w:jc w:val="both"/>
        <w:rPr>
          <w:rFonts w:ascii="Times New Roman" w:hAnsi="Times New Roman"/>
          <w:sz w:val="20"/>
        </w:rPr>
      </w:pPr>
      <w:r>
        <w:rPr>
          <w:rFonts w:ascii="Times New Roman" w:hAnsi="Times New Roman"/>
          <w:sz w:val="20"/>
        </w:rPr>
        <w:t xml:space="preserve">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rom221145_14"/>
      <w:bookmarkEnd w:id="16"/>
      <w:r>
        <w:rPr>
          <w:rFonts w:ascii="Times New Roman" w:hAnsi="Times New Roman"/>
          <w:b/>
          <w:sz w:val="20"/>
        </w:rPr>
        <w:t xml:space="preserve">CERTAIN RELATIONSHIPS AND RELATED PARTY TRANSACTIONS </w:t>
      </w:r>
    </w:p>
    <w:p>
      <w:pPr>
        <w:pStyle w:val="TextBody"/>
        <w:bidi w:val="0"/>
        <w:spacing w:before="240" w:after="0"/>
        <w:jc w:val="both"/>
        <w:rPr>
          <w:rFonts w:ascii="Times New Roman" w:hAnsi="Times New Roman"/>
          <w:sz w:val="20"/>
        </w:rPr>
      </w:pPr>
      <w:r>
        <w:rPr>
          <w:rFonts w:ascii="Times New Roman" w:hAnsi="Times New Roman"/>
          <w:sz w:val="20"/>
        </w:rPr>
        <w:t xml:space="preserve">Other than compensation arrangements for our directors and executive officers, which are described elsewhere in this prospectus, below we describe transactions since January 1, 2018 to which we were a party or will be a party,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amounts involved exceeded or will exceed $120,000;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of our directors, executive officers or holders of more than 5% of our capital stock at the time of such transaction, or any member of the immediate family of, or person sharing the household with,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D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March 2018, we sold 8,534,330 shares of our Series D convertible preferred stock at a price per share of $9.3739, for an aggregate purchase price of approximately $80.0 million in private placements to accredited investors. The table below sets forth the number of shares of our Series D convertible preferred stock purchased by our executive officers, directors, holders of more than 5% of our capital stock and their affiliated entities or immediate family members. Each share of Series D convertible preferred stock will automatically convert into                shares of our Class A common stock immediately prior to the closing of this offering. The holders of our Series D convertible preferred stock listed below are entitled to specified registration rights. See the section titled Description of Capital StockRegistration Rights for additional information regarding these registration rights.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4115"/>
        <w:gridCol w:w="519"/>
        <w:gridCol w:w="103"/>
        <w:gridCol w:w="1728"/>
        <w:gridCol w:w="60"/>
        <w:gridCol w:w="519"/>
        <w:gridCol w:w="140"/>
        <w:gridCol w:w="1425"/>
        <w:gridCol w:w="65"/>
      </w:tblGrid>
      <w:tr>
        <w:trPr/>
        <w:tc>
          <w:tcPr>
            <w:tcW w:w="4115"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Participants</w:t>
            </w:r>
          </w:p>
        </w:tc>
        <w:tc>
          <w:tcPr>
            <w:tcW w:w="519" w:type="dxa"/>
            <w:tcBorders/>
            <w:vAlign w:val="bottom"/>
          </w:tcPr>
          <w:p>
            <w:pPr>
              <w:pStyle w:val="TableContents"/>
              <w:bidi w:val="0"/>
              <w:spacing w:before="0" w:after="283"/>
              <w:jc w:val="left"/>
              <w:rPr/>
            </w:pPr>
            <w:r>
              <w:rPr/>
              <w:t>  </w:t>
            </w:r>
          </w:p>
        </w:tc>
        <w:tc>
          <w:tcPr>
            <w:tcW w:w="1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Series</w:t>
              <w:br/>
              <w:t>D Shares</w:t>
              <w:br/>
              <w:t>Purchased</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r>
          </w:p>
        </w:tc>
        <w:tc>
          <w:tcPr>
            <w:tcW w:w="65"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Innovation Group Investors, L.P.  2011 Series(1)</w:t>
            </w:r>
          </w:p>
        </w:tc>
        <w:tc>
          <w:tcPr>
            <w:tcW w:w="51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728" w:type="dxa"/>
            <w:tcBorders/>
            <w:shd w:fill="CCEEFF" w:val="clear"/>
            <w:vAlign w:val="bottom"/>
          </w:tcPr>
          <w:p>
            <w:pPr>
              <w:pStyle w:val="TableContents"/>
              <w:bidi w:val="0"/>
              <w:spacing w:before="0" w:after="283"/>
              <w:jc w:val="right"/>
              <w:rPr/>
            </w:pPr>
            <w:r>
              <w:rPr/>
              <w:t>533,395</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4,999,991.39</w:t>
            </w:r>
          </w:p>
        </w:tc>
        <w:tc>
          <w:tcPr>
            <w:tcW w:w="65" w:type="dxa"/>
            <w:tcBorders/>
            <w:shd w:fill="CCEEFF" w:val="clear"/>
            <w:vAlign w:val="bottom"/>
          </w:tcPr>
          <w:p>
            <w:pPr>
              <w:pStyle w:val="TableContents"/>
              <w:bidi w:val="0"/>
              <w:spacing w:before="0" w:after="283"/>
              <w:jc w:val="left"/>
              <w:rPr/>
            </w:pPr>
            <w:r>
              <w:rPr/>
              <w:t> </w:t>
            </w:r>
          </w:p>
        </w:tc>
      </w:tr>
      <w:tr>
        <w:trPr/>
        <w:tc>
          <w:tcPr>
            <w:tcW w:w="4115" w:type="dxa"/>
            <w:tcBorders/>
          </w:tcPr>
          <w:p>
            <w:pPr>
              <w:pStyle w:val="TableContents"/>
              <w:bidi w:val="0"/>
              <w:spacing w:before="0" w:after="0"/>
              <w:jc w:val="left"/>
              <w:rPr>
                <w:rFonts w:ascii="Times New Roman" w:hAnsi="Times New Roman"/>
                <w:sz w:val="20"/>
              </w:rPr>
            </w:pPr>
            <w:r>
              <w:rPr>
                <w:rFonts w:ascii="Times New Roman" w:hAnsi="Times New Roman"/>
                <w:sz w:val="20"/>
              </w:rPr>
              <w:t>New Enterprise Associates 16, L.P.(2)</w:t>
            </w:r>
          </w:p>
        </w:tc>
        <w:tc>
          <w:tcPr>
            <w:tcW w:w="519"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728" w:type="dxa"/>
            <w:tcBorders/>
            <w:vAlign w:val="bottom"/>
          </w:tcPr>
          <w:p>
            <w:pPr>
              <w:pStyle w:val="TableContents"/>
              <w:bidi w:val="0"/>
              <w:spacing w:before="0" w:after="283"/>
              <w:jc w:val="right"/>
              <w:rPr/>
            </w:pPr>
            <w:r>
              <w:rPr/>
              <w:t>1,066,791</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25" w:type="dxa"/>
            <w:tcBorders/>
            <w:vAlign w:val="bottom"/>
          </w:tcPr>
          <w:p>
            <w:pPr>
              <w:pStyle w:val="TableContents"/>
              <w:bidi w:val="0"/>
              <w:spacing w:before="0" w:after="283"/>
              <w:jc w:val="right"/>
              <w:rPr/>
            </w:pPr>
            <w:r>
              <w:rPr/>
              <w:t>9,999,992.15</w:t>
            </w:r>
          </w:p>
        </w:tc>
        <w:tc>
          <w:tcPr>
            <w:tcW w:w="65" w:type="dxa"/>
            <w:tcBorders/>
            <w:vAlign w:val="bottom"/>
          </w:tcPr>
          <w:p>
            <w:pPr>
              <w:pStyle w:val="TableContents"/>
              <w:bidi w:val="0"/>
              <w:spacing w:before="0" w:after="283"/>
              <w:jc w:val="left"/>
              <w:rPr/>
            </w:pPr>
            <w:r>
              <w:rPr/>
              <w:t> </w:t>
            </w:r>
          </w:p>
        </w:tc>
      </w:tr>
      <w:tr>
        <w:trPr/>
        <w:tc>
          <w:tcPr>
            <w:tcW w:w="4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 Series D Investments, LLC(1)</w:t>
            </w:r>
          </w:p>
        </w:tc>
        <w:tc>
          <w:tcPr>
            <w:tcW w:w="519"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728" w:type="dxa"/>
            <w:tcBorders/>
            <w:shd w:fill="CCEEFF" w:val="clear"/>
            <w:vAlign w:val="bottom"/>
          </w:tcPr>
          <w:p>
            <w:pPr>
              <w:pStyle w:val="TableContents"/>
              <w:bidi w:val="0"/>
              <w:spacing w:before="0" w:after="283"/>
              <w:jc w:val="right"/>
              <w:rPr/>
            </w:pPr>
            <w:r>
              <w:rPr/>
              <w:t>2,133,583</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bidi w:val="0"/>
              <w:spacing w:before="0" w:after="283"/>
              <w:jc w:val="right"/>
              <w:rPr/>
            </w:pPr>
            <w:r>
              <w:rPr/>
              <w:t>19,999,993.68</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Innovation Group Investors, L.P.  2011 Series and Tempus Series D Investments, LLC is controlled by Eric Lefkofsky, our Chief Executive Officer, Founder and Chairman.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Peter J. Barris, a member of our board of directors, served as a Managing General Partner at New Enterprise Associates 16, L.P., or NEA, at the time of this transaction.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E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From August 2018 through April 2019, we sold an aggregate of 6,630,905 shares of our Series E convertible preferred stock at a price per share of $16.7428, for an aggregate purchase price of approximately $111.0 million in private placements to accredited investors. During this period, we issued a total of 7,517,209 shares of our Series E convertible preferred stock, of which 886,304 shares were repurchased from Tempus Series E Investments, LLC at the original issue price per share, for an aggregate repurchase price of approximately $14.8 million, in order to accommodate the issuance and sale of shares of our Series E convertible preferred stock to additional purchasers. The table below sets forth the number of shares of our Series E convertible preferred stock purchased by our executive officers, directors, holders of more than 5% of our capital stock and their affiliated entities or immediate family members. Each share of Series E convertible preferred stock will automatically convert into                shares of our Class A common stock immediately prior to the closing of this offering. The holders of our Series E convertible preferred stock listed below are entitled to specified registration rights. See the section titled Description of Capital StockRegistration Rights for additional information regarding these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50" w:type="pct"/>
        <w:jc w:val="center"/>
        <w:tblInd w:w="0" w:type="dxa"/>
        <w:tblLayout w:type="fixed"/>
        <w:tblCellMar>
          <w:top w:w="0" w:type="dxa"/>
          <w:left w:w="0" w:type="dxa"/>
          <w:bottom w:w="0" w:type="dxa"/>
          <w:right w:w="0" w:type="dxa"/>
        </w:tblCellMar>
      </w:tblPr>
      <w:tblGrid>
        <w:gridCol w:w="3682"/>
        <w:gridCol w:w="505"/>
        <w:gridCol w:w="103"/>
        <w:gridCol w:w="1876"/>
        <w:gridCol w:w="350"/>
        <w:gridCol w:w="408"/>
        <w:gridCol w:w="140"/>
        <w:gridCol w:w="1545"/>
        <w:gridCol w:w="65"/>
      </w:tblGrid>
      <w:tr>
        <w:trPr/>
        <w:tc>
          <w:tcPr>
            <w:tcW w:w="3682"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82"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Participants</w:t>
            </w:r>
          </w:p>
        </w:tc>
        <w:tc>
          <w:tcPr>
            <w:tcW w:w="505" w:type="dxa"/>
            <w:tcBorders/>
            <w:vAlign w:val="bottom"/>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Series</w:t>
              <w:br/>
              <w:t>E Shares</w:t>
              <w:br/>
              <w:t>Purchased</w:t>
            </w:r>
          </w:p>
        </w:tc>
        <w:tc>
          <w:tcPr>
            <w:tcW w:w="35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r>
          </w:p>
        </w:tc>
        <w:tc>
          <w:tcPr>
            <w:tcW w:w="65"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Enterprise Associates 16, L.P.(1)</w:t>
            </w:r>
          </w:p>
        </w:tc>
        <w:tc>
          <w:tcPr>
            <w:tcW w:w="50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358,362</w:t>
            </w:r>
          </w:p>
        </w:tc>
        <w:tc>
          <w:tcPr>
            <w:tcW w:w="35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45" w:type="dxa"/>
            <w:tcBorders/>
            <w:shd w:fill="CCEEFF" w:val="clear"/>
            <w:vAlign w:val="bottom"/>
          </w:tcPr>
          <w:p>
            <w:pPr>
              <w:pStyle w:val="TableContents"/>
              <w:bidi w:val="0"/>
              <w:spacing w:before="0" w:after="283"/>
              <w:jc w:val="right"/>
              <w:rPr/>
            </w:pPr>
            <w:r>
              <w:rPr/>
              <w:t>5,999,983.29</w:t>
            </w:r>
          </w:p>
        </w:tc>
        <w:tc>
          <w:tcPr>
            <w:tcW w:w="65" w:type="dxa"/>
            <w:tcBorders/>
            <w:shd w:fill="CCEEFF" w:val="clear"/>
            <w:vAlign w:val="bottom"/>
          </w:tcPr>
          <w:p>
            <w:pPr>
              <w:pStyle w:val="TableContents"/>
              <w:bidi w:val="0"/>
              <w:spacing w:before="0" w:after="283"/>
              <w:jc w:val="left"/>
              <w:rPr/>
            </w:pPr>
            <w:r>
              <w:rPr/>
              <w:t> </w:t>
            </w:r>
          </w:p>
        </w:tc>
      </w:tr>
      <w:tr>
        <w:trPr/>
        <w:tc>
          <w:tcPr>
            <w:tcW w:w="3682" w:type="dxa"/>
            <w:tcBorders/>
          </w:tcPr>
          <w:p>
            <w:pPr>
              <w:pStyle w:val="TableContents"/>
              <w:bidi w:val="0"/>
              <w:spacing w:before="0" w:after="0"/>
              <w:jc w:val="left"/>
              <w:rPr>
                <w:rFonts w:ascii="Times New Roman" w:hAnsi="Times New Roman"/>
                <w:sz w:val="20"/>
              </w:rPr>
            </w:pPr>
            <w:r>
              <w:rPr>
                <w:rFonts w:ascii="Times New Roman" w:hAnsi="Times New Roman"/>
                <w:sz w:val="20"/>
              </w:rPr>
              <w:t>Revolution Growth III, LP(2)</w:t>
            </w:r>
          </w:p>
        </w:tc>
        <w:tc>
          <w:tcPr>
            <w:tcW w:w="50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right"/>
              <w:rPr/>
            </w:pPr>
            <w:r>
              <w:rPr/>
              <w:t>597,271</w:t>
            </w:r>
          </w:p>
        </w:tc>
        <w:tc>
          <w:tcPr>
            <w:tcW w:w="35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9,999,988.90</w:t>
            </w:r>
          </w:p>
        </w:tc>
        <w:tc>
          <w:tcPr>
            <w:tcW w:w="65" w:type="dxa"/>
            <w:tcBorders/>
            <w:vAlign w:val="bottom"/>
          </w:tcPr>
          <w:p>
            <w:pPr>
              <w:pStyle w:val="TableContents"/>
              <w:bidi w:val="0"/>
              <w:spacing w:before="0" w:after="283"/>
              <w:jc w:val="left"/>
              <w:rPr/>
            </w:pPr>
            <w:r>
              <w:rPr/>
              <w:t> </w:t>
            </w:r>
          </w:p>
        </w:tc>
      </w:tr>
      <w:tr>
        <w:trPr/>
        <w:tc>
          <w:tcPr>
            <w:tcW w:w="36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 Series E Investments, LLC(3)</w:t>
            </w:r>
          </w:p>
        </w:tc>
        <w:tc>
          <w:tcPr>
            <w:tcW w:w="50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1,134,816</w:t>
            </w:r>
          </w:p>
        </w:tc>
        <w:tc>
          <w:tcPr>
            <w:tcW w:w="350" w:type="dxa"/>
            <w:tcBorders/>
            <w:shd w:fill="CCEEFF" w:val="clear"/>
            <w:vAlign w:val="bottom"/>
          </w:tcPr>
          <w:p>
            <w:pPr>
              <w:pStyle w:val="TableContents"/>
              <w:bidi w:val="0"/>
              <w:spacing w:before="0" w:after="283"/>
              <w:jc w:val="left"/>
              <w:rPr/>
            </w:pPr>
            <w:r>
              <w:rPr/>
              <w:t>(4) </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18,999,997.32</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Peter J. Barris, a member of our board of directors, served as a Managing General Partner at NEA at the time of this transaction.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Theodore J. Leonsis, a member of our board of directors, is a founder and partner at Revolution Growth..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Tempus Series E Investments, LLC is controlled by Eric Lefkofsky, our Chief Executive Officer, Founder and Chairman.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Tempus Series E Investments, LLC purchased an aggregate of 1,134,816 shares of our Series E convertible preferred stock, of which 886,304 shares were repurchased by us in April 2019. See the section titled Repurchases of Equity SecuritiesRedemptions of Preferred Stock below. . As a result, Tempus Series E Investments, LLC currently owns 248,512 shares of our Series E convertible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F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From April through July 2019, we sold an aggregate of 8,077,674 shares of our Series F convertible preferred stock at a price per share of $24.7596, for an aggregate purchase price of approximately $200.0 million in private placements to accredited investors. During this period, we issued a total of 8,677,006 shares of our Series F convertible preferred stock, of which an aggregate of 599,332 shares of our Series F convertible preferred stock were repurchased from Tempus Series F Investments, LLC in May and July 2019 at the original issue price per share, for an aggregate repurchase price of approximately $14.8 million, in order to accommodate the issuance and sale of shares of our Series F convertible preferred stock to additional purchasers. The table below sets forth the number of shares of our Series F convertible preferred stock purchased by our executive officers, directors, holders of more than 5% of our capital stock and their affiliated entities or immediate family members. Each share of Series F convertible preferred stock will automatically convert into                shares of our Class A common stock in connection with the closing of this offering. The holders of our Series F convertible preferred stock listed below are entitled to specified registration rights. See the section titled Description of Capital StockRegistration Rights for additional information regarding these registration rights.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649"/>
        <w:gridCol w:w="544"/>
        <w:gridCol w:w="124"/>
        <w:gridCol w:w="1811"/>
        <w:gridCol w:w="350"/>
        <w:gridCol w:w="448"/>
        <w:gridCol w:w="140"/>
        <w:gridCol w:w="1543"/>
        <w:gridCol w:w="65"/>
      </w:tblGrid>
      <w:tr>
        <w:trPr/>
        <w:tc>
          <w:tcPr>
            <w:tcW w:w="3649"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49"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Participants</w:t>
            </w:r>
          </w:p>
        </w:tc>
        <w:tc>
          <w:tcPr>
            <w:tcW w:w="544" w:type="dxa"/>
            <w:tcBorders/>
            <w:vAlign w:val="bottom"/>
          </w:tcPr>
          <w:p>
            <w:pPr>
              <w:pStyle w:val="TableContents"/>
              <w:bidi w:val="0"/>
              <w:spacing w:before="0" w:after="283"/>
              <w:jc w:val="left"/>
              <w:rPr/>
            </w:pPr>
            <w:r>
              <w:rPr/>
              <w:t>  </w:t>
            </w:r>
          </w:p>
        </w:tc>
        <w:tc>
          <w:tcPr>
            <w:tcW w:w="1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Series</w:t>
              <w:br/>
              <w:t>F Shares</w:t>
              <w:br/>
              <w:t>Purchased</w:t>
            </w:r>
          </w:p>
        </w:tc>
        <w:tc>
          <w:tcPr>
            <w:tcW w:w="35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6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r>
          </w:p>
        </w:tc>
        <w:tc>
          <w:tcPr>
            <w:tcW w:w="65" w:type="dxa"/>
            <w:tcBorders/>
            <w:vAlign w:val="bottom"/>
          </w:tcPr>
          <w:p>
            <w:pPr>
              <w:pStyle w:val="TableContents"/>
              <w:bidi w:val="0"/>
              <w:spacing w:before="0" w:after="283"/>
              <w:jc w:val="left"/>
              <w:rPr/>
            </w:pPr>
            <w:r>
              <w:rPr/>
              <w:t> </w:t>
            </w:r>
          </w:p>
        </w:tc>
      </w:tr>
      <w:tr>
        <w:trPr/>
        <w:tc>
          <w:tcPr>
            <w:tcW w:w="3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Enterprise Associates 16, L.P.(1)</w:t>
            </w:r>
          </w:p>
        </w:tc>
        <w:tc>
          <w:tcPr>
            <w:tcW w:w="54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403,883</w:t>
            </w:r>
          </w:p>
        </w:tc>
        <w:tc>
          <w:tcPr>
            <w:tcW w:w="35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43" w:type="dxa"/>
            <w:tcBorders/>
            <w:shd w:fill="CCEEFF" w:val="clear"/>
            <w:vAlign w:val="bottom"/>
          </w:tcPr>
          <w:p>
            <w:pPr>
              <w:pStyle w:val="TableContents"/>
              <w:bidi w:val="0"/>
              <w:spacing w:before="0" w:after="283"/>
              <w:jc w:val="right"/>
              <w:rPr/>
            </w:pPr>
            <w:r>
              <w:rPr/>
              <w:t>9,999,981.53</w:t>
            </w:r>
          </w:p>
        </w:tc>
        <w:tc>
          <w:tcPr>
            <w:tcW w:w="65" w:type="dxa"/>
            <w:tcBorders/>
            <w:shd w:fill="CCEEFF" w:val="clear"/>
            <w:vAlign w:val="bottom"/>
          </w:tcPr>
          <w:p>
            <w:pPr>
              <w:pStyle w:val="TableContents"/>
              <w:bidi w:val="0"/>
              <w:spacing w:before="0" w:after="283"/>
              <w:jc w:val="left"/>
              <w:rPr/>
            </w:pPr>
            <w:r>
              <w:rPr/>
              <w:t> </w:t>
            </w:r>
          </w:p>
        </w:tc>
      </w:tr>
      <w:tr>
        <w:trPr/>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Revolution Growth III, LP(2)</w:t>
            </w:r>
          </w:p>
        </w:tc>
        <w:tc>
          <w:tcPr>
            <w:tcW w:w="54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201,941</w:t>
            </w:r>
          </w:p>
        </w:tc>
        <w:tc>
          <w:tcPr>
            <w:tcW w:w="35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43" w:type="dxa"/>
            <w:tcBorders/>
            <w:vAlign w:val="bottom"/>
          </w:tcPr>
          <w:p>
            <w:pPr>
              <w:pStyle w:val="TableContents"/>
              <w:bidi w:val="0"/>
              <w:spacing w:before="0" w:after="283"/>
              <w:jc w:val="right"/>
              <w:rPr/>
            </w:pPr>
            <w:r>
              <w:rPr/>
              <w:t>4,999,978.38</w:t>
            </w:r>
          </w:p>
        </w:tc>
        <w:tc>
          <w:tcPr>
            <w:tcW w:w="65" w:type="dxa"/>
            <w:tcBorders/>
            <w:vAlign w:val="bottom"/>
          </w:tcPr>
          <w:p>
            <w:pPr>
              <w:pStyle w:val="TableContents"/>
              <w:bidi w:val="0"/>
              <w:spacing w:before="0" w:after="283"/>
              <w:jc w:val="left"/>
              <w:rPr/>
            </w:pPr>
            <w:r>
              <w:rPr/>
              <w:t> </w:t>
            </w:r>
          </w:p>
        </w:tc>
      </w:tr>
      <w:tr>
        <w:trPr/>
        <w:tc>
          <w:tcPr>
            <w:tcW w:w="3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 Series F Investments, LLC(3)</w:t>
            </w:r>
          </w:p>
        </w:tc>
        <w:tc>
          <w:tcPr>
            <w:tcW w:w="54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599,332</w:t>
            </w:r>
          </w:p>
        </w:tc>
        <w:tc>
          <w:tcPr>
            <w:tcW w:w="350" w:type="dxa"/>
            <w:tcBorders/>
            <w:shd w:fill="CCEEFF" w:val="clear"/>
            <w:vAlign w:val="bottom"/>
          </w:tcPr>
          <w:p>
            <w:pPr>
              <w:pStyle w:val="TableContents"/>
              <w:bidi w:val="0"/>
              <w:spacing w:before="0" w:after="283"/>
              <w:jc w:val="left"/>
              <w:rPr/>
            </w:pPr>
            <w:r>
              <w:rPr/>
              <w:t>(4)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43" w:type="dxa"/>
            <w:tcBorders/>
            <w:shd w:fill="CCEEFF" w:val="clear"/>
            <w:vAlign w:val="bottom"/>
          </w:tcPr>
          <w:p>
            <w:pPr>
              <w:pStyle w:val="TableContents"/>
              <w:bidi w:val="0"/>
              <w:spacing w:before="0" w:after="283"/>
              <w:jc w:val="right"/>
              <w:rPr/>
            </w:pPr>
            <w:r>
              <w:rPr/>
              <w:t>14,839,220.59</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Peter J. Barris, a member of our board of directors, served as a Managing General Partner at NEA at the time of this transaction.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Theodore J. Leonsis, a member of our board of directors, is a founder and partner at Revolution Growth.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Tempus Series F Investments, LLC is controlled by Eric Lefkofsky, our Chief Executive Officer, Founder and Chairman.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Tempus Series F Investments, LLC purchased an aggregate of 599,332 shares of our Series F convertible preferred stock, of which 203,521 shares were repurchased by us in May 2019 and the remaining 395,811 shares were repurchased by us in July 2019. See the section titled Repurchases of Equity SecuritiesRedemptions of Preferred Stock below. As a result, Tempus Series F Investments, LLC is no longer a stockholder of our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Series G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From February through April 2020, we sold an aggregate of 2,537,290 shares of our Series G convertible preferred stock at a price per share of $38.3524, for an aggregate purchase price of approximately $97.3 million in private placements to accredited investors. During this period, we issued a total of 2,667,660 shares of our Series G convertible preferred stock, of which 130,370 shares of our Series G convertible preferred stock were repurchased from Tempus Series G Investments, LLC at the original issue price per share, for an aggregate repurchase price of approximately $5.0 million, in order to accommodate the issuance and sale of shares of our Series G convertible preferred stock to an additional purchaser. The table below sets forth the number of shares of our Series G convertible preferred stock purchased by our executive officers, directors, holders of more than 5% of our capital stock and their affiliated entities or immediate family members. Each share of Series G convertible preferred stock will automatically convert into                shares of our Class A common stock immediately prior to the closing of this offering. The holders of our Series G convertible preferred stock listed below are entitled to specified registration rights. See the section titled Description of Capital StockRegistration Rights for additional information regarding these registration rights.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649"/>
        <w:gridCol w:w="544"/>
        <w:gridCol w:w="124"/>
        <w:gridCol w:w="1811"/>
        <w:gridCol w:w="350"/>
        <w:gridCol w:w="448"/>
        <w:gridCol w:w="140"/>
        <w:gridCol w:w="1543"/>
        <w:gridCol w:w="65"/>
      </w:tblGrid>
      <w:tr>
        <w:trPr/>
        <w:tc>
          <w:tcPr>
            <w:tcW w:w="3649"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49"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Participants</w:t>
            </w:r>
          </w:p>
        </w:tc>
        <w:tc>
          <w:tcPr>
            <w:tcW w:w="544" w:type="dxa"/>
            <w:tcBorders/>
            <w:vAlign w:val="bottom"/>
          </w:tcPr>
          <w:p>
            <w:pPr>
              <w:pStyle w:val="TableContents"/>
              <w:bidi w:val="0"/>
              <w:spacing w:before="0" w:after="283"/>
              <w:jc w:val="left"/>
              <w:rPr/>
            </w:pPr>
            <w:r>
              <w:rPr/>
              <w:t>  </w:t>
            </w:r>
          </w:p>
        </w:tc>
        <w:tc>
          <w:tcPr>
            <w:tcW w:w="1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Series</w:t>
              <w:br/>
              <w:t>G Shares</w:t>
              <w:br/>
              <w:t>Purchased</w:t>
            </w:r>
          </w:p>
        </w:tc>
        <w:tc>
          <w:tcPr>
            <w:tcW w:w="35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6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r>
          </w:p>
        </w:tc>
        <w:tc>
          <w:tcPr>
            <w:tcW w:w="65" w:type="dxa"/>
            <w:tcBorders/>
            <w:vAlign w:val="bottom"/>
          </w:tcPr>
          <w:p>
            <w:pPr>
              <w:pStyle w:val="TableContents"/>
              <w:bidi w:val="0"/>
              <w:spacing w:before="0" w:after="283"/>
              <w:jc w:val="left"/>
              <w:rPr/>
            </w:pPr>
            <w:r>
              <w:rPr/>
              <w:t> </w:t>
            </w:r>
          </w:p>
        </w:tc>
      </w:tr>
      <w:tr>
        <w:trPr/>
        <w:tc>
          <w:tcPr>
            <w:tcW w:w="3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Innovation Group Investors, L.P.  2011 Series(1)</w:t>
            </w:r>
          </w:p>
        </w:tc>
        <w:tc>
          <w:tcPr>
            <w:tcW w:w="54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130,370</w:t>
            </w:r>
          </w:p>
        </w:tc>
        <w:tc>
          <w:tcPr>
            <w:tcW w:w="35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43" w:type="dxa"/>
            <w:tcBorders/>
            <w:shd w:fill="CCEEFF" w:val="clear"/>
            <w:vAlign w:val="bottom"/>
          </w:tcPr>
          <w:p>
            <w:pPr>
              <w:pStyle w:val="TableContents"/>
              <w:bidi w:val="0"/>
              <w:spacing w:before="0" w:after="283"/>
              <w:jc w:val="right"/>
              <w:rPr/>
            </w:pPr>
            <w:r>
              <w:rPr/>
              <w:t>5,000,002.38</w:t>
            </w:r>
          </w:p>
        </w:tc>
        <w:tc>
          <w:tcPr>
            <w:tcW w:w="65" w:type="dxa"/>
            <w:tcBorders/>
            <w:shd w:fill="CCEEFF" w:val="clear"/>
            <w:vAlign w:val="bottom"/>
          </w:tcPr>
          <w:p>
            <w:pPr>
              <w:pStyle w:val="TableContents"/>
              <w:bidi w:val="0"/>
              <w:spacing w:before="0" w:after="283"/>
              <w:jc w:val="left"/>
              <w:rPr/>
            </w:pPr>
            <w:r>
              <w:rPr/>
              <w:t> </w:t>
            </w:r>
          </w:p>
        </w:tc>
      </w:tr>
      <w:tr>
        <w:trPr/>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New Enterprise Associates 16, L.P.(2)</w:t>
            </w:r>
          </w:p>
        </w:tc>
        <w:tc>
          <w:tcPr>
            <w:tcW w:w="54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182,517</w:t>
            </w:r>
          </w:p>
        </w:tc>
        <w:tc>
          <w:tcPr>
            <w:tcW w:w="350"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43" w:type="dxa"/>
            <w:tcBorders/>
            <w:vAlign w:val="bottom"/>
          </w:tcPr>
          <w:p>
            <w:pPr>
              <w:pStyle w:val="TableContents"/>
              <w:bidi w:val="0"/>
              <w:spacing w:before="0" w:after="283"/>
              <w:jc w:val="right"/>
              <w:rPr/>
            </w:pPr>
            <w:r>
              <w:rPr/>
              <w:t>6,999,964.99</w:t>
            </w:r>
          </w:p>
        </w:tc>
        <w:tc>
          <w:tcPr>
            <w:tcW w:w="65" w:type="dxa"/>
            <w:tcBorders/>
            <w:vAlign w:val="bottom"/>
          </w:tcPr>
          <w:p>
            <w:pPr>
              <w:pStyle w:val="TableContents"/>
              <w:bidi w:val="0"/>
              <w:spacing w:before="0" w:after="283"/>
              <w:jc w:val="left"/>
              <w:rPr/>
            </w:pPr>
            <w:r>
              <w:rPr/>
              <w:t> </w:t>
            </w:r>
          </w:p>
        </w:tc>
      </w:tr>
      <w:tr>
        <w:trPr/>
        <w:tc>
          <w:tcPr>
            <w:tcW w:w="3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Novo Holdings A/S (3)</w:t>
            </w:r>
          </w:p>
        </w:tc>
        <w:tc>
          <w:tcPr>
            <w:tcW w:w="54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260,739</w:t>
            </w:r>
          </w:p>
        </w:tc>
        <w:tc>
          <w:tcPr>
            <w:tcW w:w="350"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43" w:type="dxa"/>
            <w:tcBorders/>
            <w:shd w:fill="CCEEFF" w:val="clear"/>
            <w:vAlign w:val="bottom"/>
          </w:tcPr>
          <w:p>
            <w:pPr>
              <w:pStyle w:val="TableContents"/>
              <w:bidi w:val="0"/>
              <w:spacing w:before="0" w:after="283"/>
              <w:jc w:val="right"/>
              <w:rPr/>
            </w:pPr>
            <w:r>
              <w:rPr/>
              <w:t>9,999,966.42</w:t>
            </w:r>
          </w:p>
        </w:tc>
        <w:tc>
          <w:tcPr>
            <w:tcW w:w="65" w:type="dxa"/>
            <w:tcBorders/>
            <w:shd w:fill="CCEEFF" w:val="clear"/>
            <w:vAlign w:val="bottom"/>
          </w:tcPr>
          <w:p>
            <w:pPr>
              <w:pStyle w:val="TableContents"/>
              <w:bidi w:val="0"/>
              <w:spacing w:before="0" w:after="283"/>
              <w:jc w:val="left"/>
              <w:rPr/>
            </w:pPr>
            <w:r>
              <w:rPr/>
              <w:t> </w:t>
            </w:r>
          </w:p>
        </w:tc>
      </w:tr>
      <w:tr>
        <w:trPr/>
        <w:tc>
          <w:tcPr>
            <w:tcW w:w="3649" w:type="dxa"/>
            <w:tcBorders/>
          </w:tcPr>
          <w:p>
            <w:pPr>
              <w:pStyle w:val="TableContents"/>
              <w:bidi w:val="0"/>
              <w:spacing w:before="0" w:after="0"/>
              <w:jc w:val="left"/>
              <w:rPr>
                <w:rFonts w:ascii="Times New Roman" w:hAnsi="Times New Roman"/>
                <w:sz w:val="20"/>
              </w:rPr>
            </w:pPr>
            <w:r>
              <w:rPr>
                <w:rFonts w:ascii="Times New Roman" w:hAnsi="Times New Roman"/>
                <w:sz w:val="20"/>
              </w:rPr>
              <w:t>Tempus Series G Investments, LLC(1)</w:t>
            </w:r>
          </w:p>
        </w:tc>
        <w:tc>
          <w:tcPr>
            <w:tcW w:w="54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451,378</w:t>
            </w:r>
          </w:p>
        </w:tc>
        <w:tc>
          <w:tcPr>
            <w:tcW w:w="350" w:type="dxa"/>
            <w:tcBorders/>
            <w:vAlign w:val="bottom"/>
          </w:tcPr>
          <w:p>
            <w:pPr>
              <w:pStyle w:val="TableContents"/>
              <w:bidi w:val="0"/>
              <w:spacing w:before="0" w:after="283"/>
              <w:jc w:val="left"/>
              <w:rPr/>
            </w:pPr>
            <w:r>
              <w:rPr/>
              <w:t>(4) </w:t>
            </w:r>
          </w:p>
        </w:tc>
        <w:tc>
          <w:tcPr>
            <w:tcW w:w="4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43" w:type="dxa"/>
            <w:tcBorders/>
            <w:vAlign w:val="bottom"/>
          </w:tcPr>
          <w:p>
            <w:pPr>
              <w:pStyle w:val="TableContents"/>
              <w:bidi w:val="0"/>
              <w:spacing w:before="0" w:after="283"/>
              <w:jc w:val="right"/>
              <w:rPr/>
            </w:pPr>
            <w:r>
              <w:rPr/>
              <w:t>17,311,429.61</w:t>
            </w:r>
          </w:p>
        </w:tc>
        <w:tc>
          <w:tcPr>
            <w:tcW w:w="65"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Innovation Group Investors, L.P.  2011 Series and Tempus Series G Investments, LLC is affiliated with and controlled by Eric Lefkofsky, our Chief Executive Officer, Founder and Chairman.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Peter J. Barris, a member of our board of directors, served as a Managing General Partner at NEA at the time of this transaction.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Robert Ghenchev, a member of our board of directors, is the Head of Novo Growth at Novo Holdings A/S.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Tempus Series G Investments, LLC purchased an aggregate of 451,378 shares of our Series G convertible preferred stock, of which 130,370 shares were repurchased by us in April 2020. See the section titled Repurchases of Equity SecuritiesRedemptions of Preferred Stock below. As a result, Tempus Series G Investments, LLC currently owns 321,008 shares of our Series G convertible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Series G-2 Convertible Preferred Stock Financing </w:t>
      </w:r>
    </w:p>
    <w:p>
      <w:pPr>
        <w:pStyle w:val="TextBody"/>
        <w:bidi w:val="0"/>
        <w:spacing w:before="120" w:after="0"/>
        <w:jc w:val="both"/>
        <w:rPr>
          <w:rFonts w:ascii="Times New Roman" w:hAnsi="Times New Roman"/>
          <w:sz w:val="20"/>
        </w:rPr>
      </w:pPr>
      <w:r>
        <w:rPr>
          <w:rFonts w:ascii="Times New Roman" w:hAnsi="Times New Roman"/>
          <w:sz w:val="20"/>
        </w:rPr>
        <w:t xml:space="preserve">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shares of our Class A common stock immediately prior to the closing of this offering. The holders of our Series G-2 convertible preferred stock listed below are entitled to specified registration rights. See the section titled Description of Capital StockRegistration Rights for additional information regarding these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4250" w:type="pct"/>
        <w:jc w:val="center"/>
        <w:tblInd w:w="0" w:type="dxa"/>
        <w:tblLayout w:type="fixed"/>
        <w:tblCellMar>
          <w:top w:w="0" w:type="dxa"/>
          <w:left w:w="0" w:type="dxa"/>
          <w:bottom w:w="0" w:type="dxa"/>
          <w:right w:w="0" w:type="dxa"/>
        </w:tblCellMar>
      </w:tblPr>
      <w:tblGrid>
        <w:gridCol w:w="3681"/>
        <w:gridCol w:w="505"/>
        <w:gridCol w:w="124"/>
        <w:gridCol w:w="1858"/>
        <w:gridCol w:w="350"/>
        <w:gridCol w:w="408"/>
        <w:gridCol w:w="140"/>
        <w:gridCol w:w="1545"/>
        <w:gridCol w:w="63"/>
      </w:tblGrid>
      <w:tr>
        <w:trPr/>
        <w:tc>
          <w:tcPr>
            <w:tcW w:w="3681"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81"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Participants</w:t>
            </w:r>
          </w:p>
        </w:tc>
        <w:tc>
          <w:tcPr>
            <w:tcW w:w="505" w:type="dxa"/>
            <w:tcBorders/>
            <w:vAlign w:val="bottom"/>
          </w:tcPr>
          <w:p>
            <w:pPr>
              <w:pStyle w:val="TableContents"/>
              <w:bidi w:val="0"/>
              <w:spacing w:before="0" w:after="283"/>
              <w:jc w:val="left"/>
              <w:rPr/>
            </w:pPr>
            <w:r>
              <w:rPr/>
              <w:t>  </w:t>
            </w:r>
          </w:p>
        </w:tc>
        <w:tc>
          <w:tcPr>
            <w:tcW w:w="1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Series</w:t>
              <w:br/>
              <w:t>G-2 Shares</w:t>
              <w:br/>
              <w:t>Purchased</w:t>
            </w:r>
          </w:p>
        </w:tc>
        <w:tc>
          <w:tcPr>
            <w:tcW w:w="35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Purchase Price</w:t>
            </w:r>
          </w:p>
        </w:tc>
        <w:tc>
          <w:tcPr>
            <w:tcW w:w="63" w:type="dxa"/>
            <w:tcBorders/>
            <w:vAlign w:val="bottom"/>
          </w:tcPr>
          <w:p>
            <w:pPr>
              <w:pStyle w:val="TableContents"/>
              <w:bidi w:val="0"/>
              <w:spacing w:before="0" w:after="283"/>
              <w:jc w:val="left"/>
              <w:rPr/>
            </w:pPr>
            <w:r>
              <w:rPr/>
              <w:t> </w:t>
            </w:r>
          </w:p>
        </w:tc>
      </w:tr>
      <w:tr>
        <w:trPr/>
        <w:tc>
          <w:tcPr>
            <w:tcW w:w="3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Novo Holdings A/S(1)</w:t>
            </w:r>
          </w:p>
        </w:tc>
        <w:tc>
          <w:tcPr>
            <w:tcW w:w="50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58" w:type="dxa"/>
            <w:tcBorders/>
            <w:shd w:fill="CCEEFF" w:val="clear"/>
            <w:vAlign w:val="bottom"/>
          </w:tcPr>
          <w:p>
            <w:pPr>
              <w:pStyle w:val="TableContents"/>
              <w:bidi w:val="0"/>
              <w:spacing w:before="0" w:after="283"/>
              <w:jc w:val="right"/>
              <w:rPr/>
            </w:pPr>
            <w:r>
              <w:rPr/>
              <w:t>261,748</w:t>
            </w:r>
          </w:p>
        </w:tc>
        <w:tc>
          <w:tcPr>
            <w:tcW w:w="35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45" w:type="dxa"/>
            <w:tcBorders/>
            <w:shd w:fill="CCEEFF" w:val="clear"/>
            <w:vAlign w:val="bottom"/>
          </w:tcPr>
          <w:p>
            <w:pPr>
              <w:pStyle w:val="TableContents"/>
              <w:bidi w:val="0"/>
              <w:spacing w:before="0" w:after="283"/>
              <w:jc w:val="right"/>
              <w:rPr/>
            </w:pPr>
            <w:r>
              <w:rPr/>
              <w:t>14,999,966.47</w:t>
            </w:r>
          </w:p>
        </w:tc>
        <w:tc>
          <w:tcPr>
            <w:tcW w:w="63" w:type="dxa"/>
            <w:tcBorders/>
            <w:shd w:fill="CCEEFF" w:val="clear"/>
            <w:vAlign w:val="bottom"/>
          </w:tcPr>
          <w:p>
            <w:pPr>
              <w:pStyle w:val="TableContents"/>
              <w:bidi w:val="0"/>
              <w:spacing w:before="0" w:after="283"/>
              <w:jc w:val="left"/>
              <w:rPr/>
            </w:pPr>
            <w:r>
              <w:rPr/>
              <w:t> </w:t>
            </w:r>
          </w:p>
        </w:tc>
      </w:tr>
      <w:tr>
        <w:trPr/>
        <w:tc>
          <w:tcPr>
            <w:tcW w:w="3681" w:type="dxa"/>
            <w:tcBorders/>
          </w:tcPr>
          <w:p>
            <w:pPr>
              <w:pStyle w:val="TableContents"/>
              <w:bidi w:val="0"/>
              <w:spacing w:before="0" w:after="0"/>
              <w:jc w:val="left"/>
              <w:rPr>
                <w:rFonts w:ascii="Times New Roman" w:hAnsi="Times New Roman"/>
                <w:sz w:val="20"/>
              </w:rPr>
            </w:pPr>
            <w:r>
              <w:rPr>
                <w:rFonts w:ascii="Times New Roman" w:hAnsi="Times New Roman"/>
                <w:sz w:val="20"/>
              </w:rPr>
              <w:t>Blue Media, LLC(2)</w:t>
            </w:r>
          </w:p>
        </w:tc>
        <w:tc>
          <w:tcPr>
            <w:tcW w:w="50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58" w:type="dxa"/>
            <w:tcBorders/>
            <w:vAlign w:val="bottom"/>
          </w:tcPr>
          <w:p>
            <w:pPr>
              <w:pStyle w:val="TableContents"/>
              <w:bidi w:val="0"/>
              <w:spacing w:before="0" w:after="283"/>
              <w:jc w:val="right"/>
              <w:rPr/>
            </w:pPr>
            <w:r>
              <w:rPr/>
              <w:t>130,876</w:t>
            </w:r>
          </w:p>
        </w:tc>
        <w:tc>
          <w:tcPr>
            <w:tcW w:w="350" w:type="dxa"/>
            <w:tcBorders/>
            <w:vAlign w:val="bottom"/>
          </w:tcPr>
          <w:p>
            <w:pPr>
              <w:pStyle w:val="TableContents"/>
              <w:bidi w:val="0"/>
              <w:spacing w:before="0" w:after="283"/>
              <w:jc w:val="left"/>
              <w:rPr/>
            </w:pPr>
            <w:r>
              <w:rPr/>
              <w:t>(3) </w:t>
            </w:r>
          </w:p>
        </w:tc>
        <w:tc>
          <w:tcPr>
            <w:tcW w:w="4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7,500,097.84</w:t>
            </w:r>
          </w:p>
        </w:tc>
        <w:tc>
          <w:tcPr>
            <w:tcW w:w="6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Robert Ghenchev, a member of our board of directors, is the Head of Novo Growth at Novo Holdings A/S.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Blue Media, LLC is controlled by Eric Lefkofsky, our Chief Executive Officer, Founder and Chairman.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Investor Rights, Voting, and Right of First Refusal and Co-Sale Agreements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 </w:t>
      </w:r>
    </w:p>
    <w:p>
      <w:pPr>
        <w:pStyle w:val="TextBody"/>
        <w:bidi w:val="0"/>
        <w:spacing w:before="240" w:after="0"/>
        <w:jc w:val="both"/>
        <w:rPr>
          <w:rFonts w:ascii="Times New Roman" w:hAnsi="Times New Roman"/>
          <w:sz w:val="20"/>
        </w:rPr>
      </w:pPr>
      <w:r>
        <w:rPr>
          <w:rFonts w:ascii="Times New Roman" w:hAnsi="Times New Roman"/>
          <w:sz w:val="20"/>
        </w:rPr>
        <w:t xml:space="preserve">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Real Property Leases </w:t>
      </w:r>
    </w:p>
    <w:p>
      <w:pPr>
        <w:pStyle w:val="TextBody"/>
        <w:bidi w:val="0"/>
        <w:spacing w:before="120" w:after="0"/>
        <w:jc w:val="both"/>
        <w:rPr>
          <w:rFonts w:ascii="Times New Roman" w:hAnsi="Times New Roman"/>
          <w:sz w:val="20"/>
        </w:rPr>
      </w:pPr>
      <w:r>
        <w:rPr>
          <w:rFonts w:ascii="Times New Roman" w:hAnsi="Times New Roman"/>
          <w:sz w:val="20"/>
        </w:rPr>
        <w:t xml:space="preserve">From 2016 to 2018, we leased an office space from Lightbank LLC, an entity affiliated with and controlled by Eric Lefkofsky, our Chief Executive Officer, Founder and Chairman. In connection with this, we incurred $0.5 million of rent and other operating expenses in 2018. </w:t>
      </w:r>
    </w:p>
    <w:p>
      <w:pPr>
        <w:pStyle w:val="TextBody"/>
        <w:bidi w:val="0"/>
        <w:spacing w:before="240" w:after="0"/>
        <w:jc w:val="both"/>
        <w:rPr>
          <w:rFonts w:ascii="Times New Roman" w:hAnsi="Times New Roman"/>
          <w:sz w:val="20"/>
        </w:rPr>
      </w:pPr>
      <w:r>
        <w:rPr>
          <w:rFonts w:ascii="Times New Roman" w:hAnsi="Times New Roman"/>
          <w:sz w:val="20"/>
        </w:rPr>
        <w:t xml:space="preserve">In January 2018, we entered into an office lease with a third-party landlord in connection with which Lightbank LLC was allowed to terminate its then-outstanding lease with the landlord. We received $1.5 million from Lightbank LLC to be amortized over the course of the lease, of which $1.0 million remains to be amortized. We currently sublease a portion of this office space to Lightbank LLC, Lefkofsky Family Foundation and 346 Investment Partners, each an entity affiliated with and controlled by Mr. Lefkofsky, on a month-to-month basis. As of June 30, 2021, we have received an aggregate of $0.3 million in sublease income from Lightbank LLC. </w:t>
      </w:r>
    </w:p>
    <w:p>
      <w:pPr>
        <w:pStyle w:val="TextBody"/>
        <w:bidi w:val="0"/>
        <w:spacing w:before="360" w:after="0"/>
        <w:jc w:val="left"/>
        <w:rPr>
          <w:rFonts w:ascii="Times New Roman" w:hAnsi="Times New Roman"/>
          <w:b/>
          <w:sz w:val="20"/>
        </w:rPr>
      </w:pPr>
      <w:r>
        <w:rPr>
          <w:rFonts w:ascii="Times New Roman" w:hAnsi="Times New Roman"/>
          <w:b/>
          <w:sz w:val="20"/>
        </w:rPr>
        <w:t xml:space="preserve">Aircraft for Business Travel </w:t>
      </w:r>
    </w:p>
    <w:p>
      <w:pPr>
        <w:pStyle w:val="TextBody"/>
        <w:bidi w:val="0"/>
        <w:spacing w:before="120" w:after="0"/>
        <w:jc w:val="both"/>
        <w:rPr>
          <w:rFonts w:ascii="Times New Roman" w:hAnsi="Times New Roman"/>
          <w:sz w:val="20"/>
        </w:rPr>
      </w:pPr>
      <w:r>
        <w:rPr>
          <w:rFonts w:ascii="Times New Roman" w:hAnsi="Times New Roman"/>
          <w:sz w:val="20"/>
        </w:rPr>
        <w:t xml:space="preserve">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June 30, 2021, we have paid an aggregate of $0.2 million to 346 Investment Partners LLC pursuant to this arrangement. </w:t>
      </w:r>
    </w:p>
    <w:p>
      <w:pPr>
        <w:pStyle w:val="TextBody"/>
        <w:bidi w:val="0"/>
        <w:spacing w:before="360" w:after="0"/>
        <w:jc w:val="left"/>
        <w:rPr>
          <w:rFonts w:ascii="Times New Roman" w:hAnsi="Times New Roman"/>
          <w:b/>
          <w:sz w:val="20"/>
        </w:rPr>
      </w:pPr>
      <w:r>
        <w:rPr>
          <w:rFonts w:ascii="Times New Roman" w:hAnsi="Times New Roman"/>
          <w:b/>
          <w:sz w:val="20"/>
        </w:rPr>
        <w:t xml:space="preserve">Agreement with Pathos </w:t>
      </w:r>
    </w:p>
    <w:p>
      <w:pPr>
        <w:pStyle w:val="TextBody"/>
        <w:bidi w:val="0"/>
        <w:spacing w:before="120" w:after="0"/>
        <w:jc w:val="both"/>
        <w:rPr>
          <w:rFonts w:ascii="Times New Roman" w:hAnsi="Times New Roman"/>
          <w:sz w:val="20"/>
        </w:rPr>
      </w:pPr>
      <w:r>
        <w:rPr>
          <w:rFonts w:ascii="Times New Roman" w:hAnsi="Times New Roman"/>
          <w:sz w:val="20"/>
        </w:rPr>
        <w:t xml:space="preserve">In August 2021, we entered into a master agreement with Pathos AI, Inc., or, Pathos, a healthcare company that Mr. Lefkofsky, our Chief Executive Officer, Founder and Chairman, co-founded. Mr. Lefkofsky currently serves as Executive Chairman and a member of Pathos board of directors. As of the date of this prospectus,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$400,000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 written notice to the other party. As of                 , 2021, we have received an aggregate of $                 in license fees from Pathos, and we have not exercised the warrant to purchase shares of Pathos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Equity Grants to Directors and Executive Officers </w:t>
      </w:r>
    </w:p>
    <w:p>
      <w:pPr>
        <w:pStyle w:val="TextBody"/>
        <w:bidi w:val="0"/>
        <w:spacing w:before="120" w:after="0"/>
        <w:jc w:val="both"/>
        <w:rPr>
          <w:rFonts w:ascii="Times New Roman" w:hAnsi="Times New Roman"/>
          <w:sz w:val="20"/>
        </w:rPr>
      </w:pPr>
      <w:r>
        <w:rPr>
          <w:rFonts w:ascii="Times New Roman" w:hAnsi="Times New Roman"/>
          <w:sz w:val="20"/>
        </w:rPr>
        <w:t xml:space="preserve">We have granted RSUs to certain of our directors and executive officers. For more information regarding the stock awards granted to our directors and named executive officers, see the sections titled ManagementNon-Employee Director Compensation and Executive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of Equity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Redemptions of RSUs </w:t>
      </w:r>
    </w:p>
    <w:p>
      <w:pPr>
        <w:pStyle w:val="TextBody"/>
        <w:bidi w:val="0"/>
        <w:spacing w:before="120" w:after="0"/>
        <w:jc w:val="both"/>
        <w:rPr>
          <w:rFonts w:ascii="Times New Roman" w:hAnsi="Times New Roman"/>
          <w:sz w:val="20"/>
        </w:rPr>
      </w:pPr>
      <w:r>
        <w:rPr>
          <w:rFonts w:ascii="Times New Roman" w:hAnsi="Times New Roman"/>
          <w:sz w:val="20"/>
        </w:rPr>
        <w:t xml:space="preserve">In September 2019, we entered into a redemption agreement with Ryan Fukushima, our Chief Operating Officer. Pursuant to the redemption agreement, we repurchased 100,000 vested RSUs from Mr. Fukushima at a purchase price of $9.64 per RSU, for an aggregate repurchase price of approximately $1.0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Redemptions of Common and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In April 2020, we repurchased an aggregate of 190,639 shares of voting common stock from the Lefkofsky Family Foundation, an organization affiliated with Eric Lefkofsky, for a total purchase price of approximately $7.3 million. </w:t>
      </w:r>
    </w:p>
    <w:p>
      <w:pPr>
        <w:pStyle w:val="TextBody"/>
        <w:bidi w:val="0"/>
        <w:spacing w:before="240" w:after="0"/>
        <w:jc w:val="both"/>
        <w:rPr>
          <w:rFonts w:ascii="Times New Roman" w:hAnsi="Times New Roman"/>
          <w:sz w:val="20"/>
        </w:rPr>
      </w:pPr>
      <w:r>
        <w:rPr>
          <w:rFonts w:ascii="Times New Roman" w:hAnsi="Times New Roman"/>
          <w:sz w:val="20"/>
        </w:rPr>
        <w:t xml:space="preserve">In addition, from April 2019 to January 2021, we repurchased an aggregate of 3,362,835 shares of various series of convertible preferred stock from entities affiliated with and controlled by Eric Lefkofsky at the original issue price for a total purchase price of approximately $51.5 million. Such repurchases were affected in order to accommodate the issuance and sale of convertible preferred stock to additional purchasers.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Acceleration of Vesting for RSUs </w:t>
      </w:r>
    </w:p>
    <w:p>
      <w:pPr>
        <w:pStyle w:val="TextBody"/>
        <w:bidi w:val="0"/>
        <w:spacing w:before="120" w:after="0"/>
        <w:jc w:val="both"/>
        <w:rPr>
          <w:rFonts w:ascii="Times New Roman" w:hAnsi="Times New Roman"/>
          <w:sz w:val="20"/>
        </w:rPr>
      </w:pPr>
      <w:r>
        <w:rPr>
          <w:rFonts w:ascii="Times New Roman" w:hAnsi="Times New Roman"/>
          <w:sz w:val="20"/>
        </w:rPr>
        <w:t xml:space="preserve">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Transactions with Related Persons </w:t>
      </w:r>
    </w:p>
    <w:p>
      <w:pPr>
        <w:pStyle w:val="TextBody"/>
        <w:bidi w:val="0"/>
        <w:spacing w:before="120" w:after="0"/>
        <w:jc w:val="both"/>
        <w:rPr>
          <w:rFonts w:ascii="Times New Roman" w:hAnsi="Times New Roman"/>
          <w:sz w:val="20"/>
        </w:rPr>
      </w:pPr>
      <w:r>
        <w:rPr>
          <w:rFonts w:ascii="Times New Roman" w:hAnsi="Times New Roman"/>
          <w:sz w:val="20"/>
        </w:rPr>
        <w:t xml:space="preserve">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rom221145_15"/>
      <w:bookmarkEnd w:id="17"/>
      <w:r>
        <w:rPr>
          <w:rFonts w:ascii="Times New Roman" w:hAnsi="Times New Roman"/>
          <w:b/>
          <w:sz w:val="20"/>
        </w:rPr>
        <w:t xml:space="preserve">PRINCIPAL AND SELLING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information with respect to the beneficial ownership of our shares as of                 , 2021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named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directors and executive officers as a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the selling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other person or entity known by us to own beneficially more than 5% of our Class A common stock and Class B common stock (by number or by voting power).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240" w:after="0"/>
        <w:jc w:val="both"/>
        <w:rPr>
          <w:rFonts w:ascii="Times New Roman" w:hAnsi="Times New Roman"/>
          <w:sz w:val="20"/>
        </w:rPr>
      </w:pPr>
      <w:r>
        <w:rPr>
          <w:rFonts w:ascii="Times New Roman" w:hAnsi="Times New Roman"/>
          <w:sz w:val="20"/>
        </w:rPr>
        <w:t xml:space="preserve">Applicable percentage ownership before this offering is based on                shares of Class A common stock and                shares of Class B common stock outstanding as of                , assuming the automatic conversion of all outstanding shares of our convertible preferred stock, other than our Series B preferred stock, into                shares of Class A common stock, including the issuance of the Additional Class A Conversion Shares, the conversion of all outstanding shares of our Series B convertible preferred stock into                shares of Class B common stock, and the automatic conversion of all outstanding shares of our nonvoting common stock into                shares of Class A common stock, each of which will occur immediately prior to the closing of this offering. See Prospectus SummaryThe Offering for a description of the Additional Class A Conversion Shares, as the number of Additional Class A Conversion Shares that will be issued depends on the initial public offering price of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Applicable percentage ownership after this offering assumes that the underwriters option to purchase additional shares to cover over-allotments, if any, from the selling stockholders is not exercised is based on (1)                shares of Class A common stock and (2)                shares of Class B common stock outstanding immediately after the closing of this offering. Applicable percentage ownership after this offering if the underwriters option to purchase additional shares to cover over-allotments, if any, from the selling stockholders is exercised in full is based on (1)                shares of Class A common stock and (2)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 2021. However, except as described above, we did not deem such shares outstanding for the purpose of computing the percentage ownership of any other person.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the address for each beneficial owner listed in the table below is c/o Tempus Labs, Inc., 600 West Chicago Avenue, Suite 510 Chicago, Illinois 60654.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6865" w:type="dxa"/>
        <w:jc w:val="center"/>
        <w:tblInd w:w="0" w:type="dxa"/>
        <w:tblLayout w:type="fixed"/>
        <w:tblCellMar>
          <w:top w:w="0" w:type="dxa"/>
          <w:left w:w="0" w:type="dxa"/>
          <w:bottom w:w="0" w:type="dxa"/>
          <w:right w:w="0" w:type="dxa"/>
        </w:tblCellMar>
      </w:tblPr>
      <w:tblGrid>
        <w:gridCol w:w="1385"/>
        <w:gridCol w:w="60"/>
        <w:gridCol w:w="355"/>
        <w:gridCol w:w="355"/>
        <w:gridCol w:w="272"/>
        <w:gridCol w:w="272"/>
        <w:gridCol w:w="129"/>
        <w:gridCol w:w="131"/>
        <w:gridCol w:w="96"/>
        <w:gridCol w:w="96"/>
        <w:gridCol w:w="355"/>
        <w:gridCol w:w="355"/>
        <w:gridCol w:w="272"/>
        <w:gridCol w:w="272"/>
        <w:gridCol w:w="129"/>
        <w:gridCol w:w="131"/>
        <w:gridCol w:w="96"/>
        <w:gridCol w:w="96"/>
        <w:gridCol w:w="509"/>
        <w:gridCol w:w="606"/>
        <w:gridCol w:w="60"/>
        <w:gridCol w:w="60"/>
        <w:gridCol w:w="355"/>
        <w:gridCol w:w="355"/>
        <w:gridCol w:w="273"/>
        <w:gridCol w:w="273"/>
        <w:gridCol w:w="128"/>
        <w:gridCol w:w="132"/>
        <w:gridCol w:w="118"/>
        <w:gridCol w:w="118"/>
        <w:gridCol w:w="355"/>
        <w:gridCol w:w="355"/>
        <w:gridCol w:w="273"/>
        <w:gridCol w:w="273"/>
        <w:gridCol w:w="128"/>
        <w:gridCol w:w="132"/>
        <w:gridCol w:w="118"/>
        <w:gridCol w:w="118"/>
        <w:gridCol w:w="522"/>
        <w:gridCol w:w="593"/>
        <w:gridCol w:w="60"/>
        <w:gridCol w:w="60"/>
        <w:gridCol w:w="617"/>
        <w:gridCol w:w="618"/>
        <w:gridCol w:w="60"/>
        <w:gridCol w:w="60"/>
        <w:gridCol w:w="355"/>
        <w:gridCol w:w="355"/>
        <w:gridCol w:w="273"/>
        <w:gridCol w:w="273"/>
        <w:gridCol w:w="128"/>
        <w:gridCol w:w="132"/>
        <w:gridCol w:w="118"/>
        <w:gridCol w:w="118"/>
        <w:gridCol w:w="355"/>
        <w:gridCol w:w="355"/>
        <w:gridCol w:w="273"/>
        <w:gridCol w:w="273"/>
        <w:gridCol w:w="128"/>
        <w:gridCol w:w="132"/>
        <w:gridCol w:w="118"/>
        <w:gridCol w:w="118"/>
        <w:gridCol w:w="522"/>
        <w:gridCol w:w="593"/>
        <w:gridCol w:w="60"/>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2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Before the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After the Offering if</w:t>
              <w:br/>
              <w:t>Underwriters Option is Not</w:t>
              <w:br/>
              <w:t>Exercised</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3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Class A</w:t>
              <w:br/>
              <w:t>Common</w:t>
              <w:br/>
              <w:t>Stock Being</w:t>
              <w:br/>
              <w:t>Offered</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1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Beneficial Ownership</w:t>
              <w:br/>
              <w:t>After the Offering if</w:t>
              <w:br/>
              <w:t>Underwriters Option is</w:t>
              <w:br/>
              <w:t>Exercised in Full</w:t>
            </w:r>
          </w:p>
        </w:tc>
        <w:tc>
          <w:tcPr>
            <w:tcW w:w="60" w:type="dxa"/>
            <w:tcBorders/>
            <w:vAlign w:val="bottom"/>
          </w:tcPr>
          <w:p>
            <w:pPr>
              <w:pStyle w:val="TableContents"/>
              <w:bidi w:val="0"/>
              <w:spacing w:before="0" w:after="283"/>
              <w:jc w:val="left"/>
              <w:rPr/>
            </w:pPr>
            <w:r>
              <w:rPr/>
              <w:t> </w:t>
            </w:r>
          </w:p>
        </w:tc>
      </w:tr>
      <w:tr>
        <w:trPr/>
        <w:tc>
          <w:tcPr>
            <w:tcW w:w="1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r>
          </w:p>
        </w:tc>
        <w:tc>
          <w:tcPr>
            <w:tcW w:w="96" w:type="dxa"/>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 Total</w:t>
              <w:br/>
              <w:t>Voting</w:t>
              <w:br/>
              <w:t>Power</w:t>
              <w:br/>
              <w:t>Before the</w:t>
              <w:br/>
              <w:t>Offering</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r>
          </w:p>
        </w:tc>
        <w:tc>
          <w:tcPr>
            <w:tcW w:w="118" w:type="dxa"/>
            <w:tcBorders/>
            <w:vAlign w:val="bottom"/>
          </w:tcPr>
          <w:p>
            <w:pPr>
              <w:pStyle w:val="TableContents"/>
              <w:bidi w:val="0"/>
              <w:spacing w:before="0" w:after="283"/>
              <w:jc w:val="left"/>
              <w:rPr/>
            </w:pPr>
            <w:r>
              <w:rPr/>
              <w:t> </w:t>
            </w:r>
          </w:p>
        </w:tc>
        <w:tc>
          <w:tcPr>
            <w:tcW w:w="118"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 Total</w:t>
              <w:br/>
              <w:t>Voting</w:t>
              <w:br/>
              <w:t>Power</w:t>
              <w:br/>
              <w:t>After the</w:t>
              <w:br/>
              <w:t>Offering</w:t>
            </w:r>
          </w:p>
        </w:tc>
        <w:tc>
          <w:tcPr>
            <w:tcW w:w="60" w:type="dxa"/>
            <w:vMerge w:val="restart"/>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23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w:t>
              <w:br/>
              <w:t>Stock</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5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w:t>
              <w:br/>
              <w:t>Stock</w:t>
            </w:r>
          </w:p>
        </w:tc>
        <w:tc>
          <w:tcPr>
            <w:tcW w:w="118" w:type="dxa"/>
            <w:tcBorders/>
            <w:vAlign w:val="bottom"/>
          </w:tcPr>
          <w:p>
            <w:pPr>
              <w:pStyle w:val="TableContents"/>
              <w:bidi w:val="0"/>
              <w:spacing w:before="0" w:after="283"/>
              <w:jc w:val="left"/>
              <w:rPr/>
            </w:pPr>
            <w:r>
              <w:rPr/>
              <w:t> </w:t>
            </w:r>
          </w:p>
        </w:tc>
        <w:tc>
          <w:tcPr>
            <w:tcW w:w="118" w:type="dxa"/>
            <w:vMerge w:val="restart"/>
            <w:tcBorders/>
            <w:vAlign w:val="bottom"/>
          </w:tcPr>
          <w:p>
            <w:pPr>
              <w:pStyle w:val="TableContents"/>
              <w:bidi w:val="0"/>
              <w:spacing w:before="0" w:after="283"/>
              <w:jc w:val="left"/>
              <w:rPr/>
            </w:pPr>
            <w:r>
              <w:rPr/>
              <w:t> </w:t>
            </w:r>
          </w:p>
        </w:tc>
        <w:tc>
          <w:tcPr>
            <w:tcW w:w="11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 of Total</w:t>
              <w:br/>
              <w:t>Voting</w:t>
              <w:br/>
              <w:t>Power</w:t>
              <w:br/>
              <w:t>After the</w:t>
              <w:br/>
              <w:t>Offering</w:t>
            </w:r>
          </w:p>
        </w:tc>
        <w:tc>
          <w:tcPr>
            <w:tcW w:w="60" w:type="dxa"/>
            <w:vMerge w:val="restart"/>
            <w:tcBorders/>
            <w:vAlign w:val="bottom"/>
          </w:tcPr>
          <w:p>
            <w:pPr>
              <w:pStyle w:val="TableContents"/>
              <w:bidi w:val="0"/>
              <w:spacing w:before="0" w:after="283"/>
              <w:jc w:val="left"/>
              <w:rPr/>
            </w:pPr>
            <w:r>
              <w:rPr/>
              <w:t> </w:t>
            </w:r>
          </w:p>
        </w:tc>
      </w:tr>
      <w:tr>
        <w:trPr/>
        <w:tc>
          <w:tcPr>
            <w:tcW w:w="13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Beneficial</w:t>
              <w:br/>
              <w:t>Owner</w:t>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2"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2"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96" w:type="dxa"/>
            <w:tcBorders/>
            <w:vAlign w:val="bottom"/>
          </w:tcPr>
          <w:p>
            <w:pPr>
              <w:pStyle w:val="TableContents"/>
              <w:bidi w:val="0"/>
              <w:spacing w:before="0" w:after="283"/>
              <w:jc w:val="left"/>
              <w:rPr/>
            </w:pPr>
            <w:r>
              <w:rPr/>
              <w:t> </w:t>
            </w:r>
          </w:p>
        </w:tc>
        <w:tc>
          <w:tcPr>
            <w:tcW w:w="96" w:type="dxa"/>
            <w:vMerge w:val="continue"/>
            <w:tcBorders/>
            <w:vAlign w:val="bottom"/>
          </w:tcPr>
          <w:p>
            <w:pPr>
              <w:pStyle w:val="Normal"/>
              <w:bidi w:val="0"/>
              <w:jc w:val="left"/>
              <w:rPr/>
            </w:pPr>
            <w:r>
              <w:rPr/>
            </w:r>
          </w:p>
        </w:tc>
        <w:tc>
          <w:tcPr>
            <w:tcW w:w="111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3"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3"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18" w:type="dxa"/>
            <w:tcBorders/>
            <w:vAlign w:val="bottom"/>
          </w:tcPr>
          <w:p>
            <w:pPr>
              <w:pStyle w:val="TableContents"/>
              <w:bidi w:val="0"/>
              <w:spacing w:before="0" w:after="283"/>
              <w:jc w:val="left"/>
              <w:rPr/>
            </w:pPr>
            <w:r>
              <w:rPr/>
              <w:t> </w:t>
            </w:r>
          </w:p>
        </w:tc>
        <w:tc>
          <w:tcPr>
            <w:tcW w:w="118" w:type="dxa"/>
            <w:vMerge w:val="continue"/>
            <w:tcBorders/>
            <w:vAlign w:val="bottom"/>
          </w:tcPr>
          <w:p>
            <w:pPr>
              <w:pStyle w:val="Normal"/>
              <w:bidi w:val="0"/>
              <w:jc w:val="left"/>
              <w:rPr/>
            </w:pPr>
            <w:r>
              <w:rPr/>
            </w:r>
          </w:p>
        </w:tc>
        <w:tc>
          <w:tcPr>
            <w:tcW w:w="111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235"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3"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3"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18" w:type="dxa"/>
            <w:tcBorders/>
            <w:vAlign w:val="bottom"/>
          </w:tcPr>
          <w:p>
            <w:pPr>
              <w:pStyle w:val="TableContents"/>
              <w:bidi w:val="0"/>
              <w:spacing w:before="0" w:after="283"/>
              <w:jc w:val="left"/>
              <w:rPr/>
            </w:pPr>
            <w:r>
              <w:rPr/>
              <w:t> </w:t>
            </w:r>
          </w:p>
        </w:tc>
        <w:tc>
          <w:tcPr>
            <w:tcW w:w="118" w:type="dxa"/>
            <w:vMerge w:val="continue"/>
            <w:tcBorders/>
            <w:vAlign w:val="bottom"/>
          </w:tcPr>
          <w:p>
            <w:pPr>
              <w:pStyle w:val="Normal"/>
              <w:bidi w:val="0"/>
              <w:jc w:val="left"/>
              <w:rPr/>
            </w:pPr>
            <w:r>
              <w:rPr/>
            </w:r>
          </w:p>
        </w:tc>
        <w:tc>
          <w:tcPr>
            <w:tcW w:w="111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13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5% Stockholders:</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0"/>
              <w:jc w:val="left"/>
              <w:rPr>
                <w:rFonts w:ascii="Times New Roman" w:hAnsi="Times New Roman"/>
                <w:sz w:val="16"/>
              </w:rPr>
            </w:pPr>
            <w:r>
              <w:rPr>
                <w:rFonts w:ascii="Times New Roman" w:hAnsi="Times New Roman"/>
                <w:sz w:val="16"/>
              </w:rPr>
              <w:t>Eric Lefkofsky(1)</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Keeks, LLC(2)</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3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0"/>
              <w:jc w:val="left"/>
              <w:rPr>
                <w:rFonts w:ascii="Times New Roman" w:hAnsi="Times New Roman"/>
                <w:b/>
                <w:sz w:val="16"/>
              </w:rPr>
            </w:pPr>
            <w:r>
              <w:rPr>
                <w:rFonts w:ascii="Times New Roman" w:hAnsi="Times New Roman"/>
                <w:b/>
                <w:sz w:val="16"/>
              </w:rPr>
              <w:t>Other Directors and Named Executive Officers:</w:t>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shd w:fill="CCEEFF" w:val="clear"/>
          </w:tcPr>
          <w:p>
            <w:pPr>
              <w:pStyle w:val="TableContents"/>
              <w:bidi w:val="0"/>
              <w:spacing w:before="0" w:after="283"/>
              <w:jc w:val="left"/>
              <w:rPr/>
            </w:pPr>
            <w:r>
              <w:rPr/>
              <w:t>Erik Phelps(3)</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tcPr>
          <w:p>
            <w:pPr>
              <w:pStyle w:val="TableContents"/>
              <w:bidi w:val="0"/>
              <w:spacing w:before="0" w:after="283"/>
              <w:jc w:val="left"/>
              <w:rPr>
                <w:sz w:val="4"/>
                <w:szCs w:val="4"/>
              </w:rPr>
            </w:pPr>
            <w:r>
              <w:rPr>
                <w:sz w:val="4"/>
                <w:szCs w:val="4"/>
              </w:rPr>
            </w:r>
          </w:p>
        </w:tc>
        <w:tc>
          <w:tcPr>
            <w:tcW w:w="60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tc>
        <w:tc>
          <w:tcPr>
            <w:tcW w:w="59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tcPr>
          <w:p>
            <w:pPr>
              <w:pStyle w:val="TableContents"/>
              <w:bidi w:val="0"/>
              <w:spacing w:before="0" w:after="283"/>
              <w:jc w:val="left"/>
              <w:rPr>
                <w:sz w:val="4"/>
                <w:szCs w:val="4"/>
              </w:rPr>
            </w:pPr>
            <w:r>
              <w:rPr>
                <w:sz w:val="4"/>
                <w:szCs w:val="4"/>
              </w:rPr>
            </w:r>
          </w:p>
        </w:tc>
        <w:tc>
          <w:tcPr>
            <w:tcW w:w="61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283"/>
              <w:jc w:val="left"/>
              <w:rPr/>
            </w:pPr>
            <w:r>
              <w:rPr/>
              <w:t>Vanessa Rollings(4)</w:t>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60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tc>
        <w:tc>
          <w:tcPr>
            <w:tcW w:w="59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tcPr>
          <w:p>
            <w:pPr>
              <w:pStyle w:val="TableContents"/>
              <w:bidi w:val="0"/>
              <w:spacing w:before="0" w:after="283"/>
              <w:jc w:val="left"/>
              <w:rPr>
                <w:sz w:val="4"/>
                <w:szCs w:val="4"/>
              </w:rPr>
            </w:pPr>
            <w:r>
              <w:rPr>
                <w:sz w:val="4"/>
                <w:szCs w:val="4"/>
              </w:rPr>
            </w:r>
          </w:p>
        </w:tc>
        <w:tc>
          <w:tcPr>
            <w:tcW w:w="61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shd w:fill="CCEEFF" w:val="clear"/>
          </w:tcPr>
          <w:p>
            <w:pPr>
              <w:pStyle w:val="TableContents"/>
              <w:bidi w:val="0"/>
              <w:spacing w:before="0" w:after="283"/>
              <w:jc w:val="left"/>
              <w:rPr/>
            </w:pPr>
            <w:r>
              <w:rPr/>
              <w:t>Peter J. Barris(5)</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tcPr>
          <w:p>
            <w:pPr>
              <w:pStyle w:val="TableContents"/>
              <w:bidi w:val="0"/>
              <w:spacing w:before="0" w:after="283"/>
              <w:jc w:val="left"/>
              <w:rPr>
                <w:sz w:val="4"/>
                <w:szCs w:val="4"/>
              </w:rPr>
            </w:pPr>
            <w:r>
              <w:rPr>
                <w:sz w:val="4"/>
                <w:szCs w:val="4"/>
              </w:rPr>
            </w:r>
          </w:p>
        </w:tc>
        <w:tc>
          <w:tcPr>
            <w:tcW w:w="60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tc>
        <w:tc>
          <w:tcPr>
            <w:tcW w:w="59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tcPr>
          <w:p>
            <w:pPr>
              <w:pStyle w:val="TableContents"/>
              <w:bidi w:val="0"/>
              <w:spacing w:before="0" w:after="283"/>
              <w:jc w:val="left"/>
              <w:rPr>
                <w:sz w:val="4"/>
                <w:szCs w:val="4"/>
              </w:rPr>
            </w:pPr>
            <w:r>
              <w:rPr>
                <w:sz w:val="4"/>
                <w:szCs w:val="4"/>
              </w:rPr>
            </w:r>
          </w:p>
        </w:tc>
        <w:tc>
          <w:tcPr>
            <w:tcW w:w="61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283"/>
              <w:jc w:val="left"/>
              <w:rPr/>
            </w:pPr>
            <w:r>
              <w:rPr/>
              <w:t>Eric D. Belcher</w:t>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60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tc>
        <w:tc>
          <w:tcPr>
            <w:tcW w:w="59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tcPr>
          <w:p>
            <w:pPr>
              <w:pStyle w:val="TableContents"/>
              <w:bidi w:val="0"/>
              <w:spacing w:before="0" w:after="283"/>
              <w:jc w:val="left"/>
              <w:rPr>
                <w:sz w:val="4"/>
                <w:szCs w:val="4"/>
              </w:rPr>
            </w:pPr>
            <w:r>
              <w:rPr>
                <w:sz w:val="4"/>
                <w:szCs w:val="4"/>
              </w:rPr>
            </w:r>
          </w:p>
        </w:tc>
        <w:tc>
          <w:tcPr>
            <w:tcW w:w="61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Jennifer A. Doudna, Ph.D.(6)</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tcPr>
          <w:p>
            <w:pPr>
              <w:pStyle w:val="TableContents"/>
              <w:bidi w:val="0"/>
              <w:spacing w:before="0" w:after="283"/>
              <w:jc w:val="left"/>
              <w:rPr>
                <w:sz w:val="4"/>
                <w:szCs w:val="4"/>
              </w:rPr>
            </w:pPr>
            <w:r>
              <w:rPr>
                <w:sz w:val="4"/>
                <w:szCs w:val="4"/>
              </w:rPr>
            </w:r>
          </w:p>
        </w:tc>
        <w:tc>
          <w:tcPr>
            <w:tcW w:w="60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tc>
        <w:tc>
          <w:tcPr>
            <w:tcW w:w="59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tcPr>
          <w:p>
            <w:pPr>
              <w:pStyle w:val="TableContents"/>
              <w:bidi w:val="0"/>
              <w:spacing w:before="0" w:after="283"/>
              <w:jc w:val="left"/>
              <w:rPr>
                <w:sz w:val="4"/>
                <w:szCs w:val="4"/>
              </w:rPr>
            </w:pPr>
            <w:r>
              <w:rPr>
                <w:sz w:val="4"/>
                <w:szCs w:val="4"/>
              </w:rPr>
            </w:r>
          </w:p>
        </w:tc>
        <w:tc>
          <w:tcPr>
            <w:tcW w:w="61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0"/>
              <w:jc w:val="left"/>
              <w:rPr>
                <w:rFonts w:ascii="Times New Roman" w:hAnsi="Times New Roman"/>
                <w:sz w:val="16"/>
              </w:rPr>
            </w:pPr>
            <w:r>
              <w:rPr>
                <w:rFonts w:ascii="Times New Roman" w:hAnsi="Times New Roman"/>
                <w:sz w:val="16"/>
              </w:rPr>
              <w:t>Wayne A.I. Frederick, M.D.(7)</w:t>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60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tc>
        <w:tc>
          <w:tcPr>
            <w:tcW w:w="59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tcPr>
          <w:p>
            <w:pPr>
              <w:pStyle w:val="TableContents"/>
              <w:bidi w:val="0"/>
              <w:spacing w:before="0" w:after="283"/>
              <w:jc w:val="left"/>
              <w:rPr>
                <w:sz w:val="4"/>
                <w:szCs w:val="4"/>
              </w:rPr>
            </w:pPr>
            <w:r>
              <w:rPr>
                <w:sz w:val="4"/>
                <w:szCs w:val="4"/>
              </w:rPr>
            </w:r>
          </w:p>
        </w:tc>
        <w:tc>
          <w:tcPr>
            <w:tcW w:w="61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shd w:fill="CCEEFF" w:val="clear"/>
          </w:tcPr>
          <w:p>
            <w:pPr>
              <w:pStyle w:val="TableContents"/>
              <w:bidi w:val="0"/>
              <w:spacing w:before="0" w:after="283"/>
              <w:jc w:val="left"/>
              <w:rPr/>
            </w:pPr>
            <w:r>
              <w:rPr/>
              <w:t>Robert Ghenchev</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tcPr>
          <w:p>
            <w:pPr>
              <w:pStyle w:val="TableContents"/>
              <w:bidi w:val="0"/>
              <w:spacing w:before="0" w:after="283"/>
              <w:jc w:val="left"/>
              <w:rPr>
                <w:sz w:val="4"/>
                <w:szCs w:val="4"/>
              </w:rPr>
            </w:pPr>
            <w:r>
              <w:rPr>
                <w:sz w:val="4"/>
                <w:szCs w:val="4"/>
              </w:rPr>
            </w:r>
          </w:p>
        </w:tc>
        <w:tc>
          <w:tcPr>
            <w:tcW w:w="60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tc>
        <w:tc>
          <w:tcPr>
            <w:tcW w:w="59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tcPr>
          <w:p>
            <w:pPr>
              <w:pStyle w:val="TableContents"/>
              <w:bidi w:val="0"/>
              <w:spacing w:before="0" w:after="283"/>
              <w:jc w:val="left"/>
              <w:rPr>
                <w:sz w:val="4"/>
                <w:szCs w:val="4"/>
              </w:rPr>
            </w:pPr>
            <w:r>
              <w:rPr>
                <w:sz w:val="4"/>
                <w:szCs w:val="4"/>
              </w:rPr>
            </w:r>
          </w:p>
        </w:tc>
        <w:tc>
          <w:tcPr>
            <w:tcW w:w="61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283"/>
              <w:jc w:val="left"/>
              <w:rPr/>
            </w:pPr>
            <w:r>
              <w:rPr/>
              <w:t>Scott Gottlieb, M.D.(8)</w:t>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60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tc>
        <w:tc>
          <w:tcPr>
            <w:tcW w:w="59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tcPr>
          <w:p>
            <w:pPr>
              <w:pStyle w:val="TableContents"/>
              <w:bidi w:val="0"/>
              <w:spacing w:before="0" w:after="283"/>
              <w:jc w:val="left"/>
              <w:rPr>
                <w:sz w:val="4"/>
                <w:szCs w:val="4"/>
              </w:rPr>
            </w:pPr>
            <w:r>
              <w:rPr>
                <w:sz w:val="4"/>
                <w:szCs w:val="4"/>
              </w:rPr>
            </w:r>
          </w:p>
        </w:tc>
        <w:tc>
          <w:tcPr>
            <w:tcW w:w="61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shd w:fill="CCEEFF" w:val="clear"/>
          </w:tcPr>
          <w:p>
            <w:pPr>
              <w:pStyle w:val="TableContents"/>
              <w:bidi w:val="0"/>
              <w:spacing w:before="0" w:after="283"/>
              <w:jc w:val="left"/>
              <w:rPr/>
            </w:pPr>
            <w:r>
              <w:rPr/>
              <w:t>Theodore J. Leonsis</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tcPr>
          <w:p>
            <w:pPr>
              <w:pStyle w:val="TableContents"/>
              <w:bidi w:val="0"/>
              <w:spacing w:before="0" w:after="283"/>
              <w:jc w:val="left"/>
              <w:rPr>
                <w:sz w:val="4"/>
                <w:szCs w:val="4"/>
              </w:rPr>
            </w:pPr>
            <w:r>
              <w:rPr>
                <w:sz w:val="4"/>
                <w:szCs w:val="4"/>
              </w:rPr>
            </w:r>
          </w:p>
        </w:tc>
        <w:tc>
          <w:tcPr>
            <w:tcW w:w="60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tc>
        <w:tc>
          <w:tcPr>
            <w:tcW w:w="59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tcPr>
          <w:p>
            <w:pPr>
              <w:pStyle w:val="TableContents"/>
              <w:bidi w:val="0"/>
              <w:spacing w:before="0" w:after="283"/>
              <w:jc w:val="left"/>
              <w:rPr>
                <w:sz w:val="4"/>
                <w:szCs w:val="4"/>
              </w:rPr>
            </w:pPr>
            <w:r>
              <w:rPr>
                <w:sz w:val="4"/>
                <w:szCs w:val="4"/>
              </w:rPr>
            </w:r>
          </w:p>
        </w:tc>
        <w:tc>
          <w:tcPr>
            <w:tcW w:w="61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283"/>
              <w:jc w:val="left"/>
              <w:rPr/>
            </w:pPr>
            <w:r>
              <w:rPr/>
              <w:t>Nadja West, M.D.(9)</w:t>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60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tc>
        <w:tc>
          <w:tcPr>
            <w:tcW w:w="59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tcPr>
          <w:p>
            <w:pPr>
              <w:pStyle w:val="TableContents"/>
              <w:bidi w:val="0"/>
              <w:spacing w:before="0" w:after="283"/>
              <w:jc w:val="left"/>
              <w:rPr>
                <w:sz w:val="4"/>
                <w:szCs w:val="4"/>
              </w:rPr>
            </w:pPr>
            <w:r>
              <w:rPr>
                <w:sz w:val="4"/>
                <w:szCs w:val="4"/>
              </w:rPr>
            </w:r>
          </w:p>
        </w:tc>
        <w:tc>
          <w:tcPr>
            <w:tcW w:w="61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rHeight w:val="120" w:hRule="atLeast"/>
        </w:trPr>
        <w:tc>
          <w:tcPr>
            <w:tcW w:w="1385" w:type="dxa"/>
            <w:tcBorders/>
            <w:vAlign w:val="center"/>
          </w:tcPr>
          <w:p>
            <w:pPr>
              <w:pStyle w:val="TableContents"/>
              <w:bidi w:val="0"/>
              <w:spacing w:before="0" w:after="283"/>
              <w:jc w:val="left"/>
              <w:rPr>
                <w:sz w:val="4"/>
                <w:szCs w:val="4"/>
              </w:rPr>
            </w:pPr>
            <w:r>
              <w:rPr>
                <w:sz w:val="4"/>
                <w:szCs w:val="4"/>
              </w:rPr>
            </w:r>
          </w:p>
        </w:tc>
        <w:tc>
          <w:tcPr>
            <w:tcW w:w="1042" w:type="dxa"/>
            <w:gridSpan w:val="4"/>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c>
          <w:tcPr>
            <w:tcW w:w="1078" w:type="dxa"/>
            <w:gridSpan w:val="4"/>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c>
          <w:tcPr>
            <w:tcW w:w="1271" w:type="dxa"/>
            <w:gridSpan w:val="4"/>
            <w:tcBorders/>
            <w:vAlign w:val="center"/>
          </w:tcPr>
          <w:p>
            <w:pPr>
              <w:pStyle w:val="TableContents"/>
              <w:bidi w:val="0"/>
              <w:spacing w:before="0" w:after="283"/>
              <w:jc w:val="left"/>
              <w:rPr>
                <w:sz w:val="4"/>
                <w:szCs w:val="4"/>
              </w:rPr>
            </w:pPr>
            <w:r>
              <w:rPr>
                <w:sz w:val="4"/>
                <w:szCs w:val="4"/>
              </w:rPr>
            </w:r>
          </w:p>
        </w:tc>
        <w:tc>
          <w:tcPr>
            <w:tcW w:w="1043"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101"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293"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043"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101" w:type="dxa"/>
            <w:gridSpan w:val="4"/>
            <w:tcBorders/>
            <w:vAlign w:val="center"/>
          </w:tcPr>
          <w:p>
            <w:pPr>
              <w:pStyle w:val="TableContents"/>
              <w:bidi w:val="0"/>
              <w:spacing w:before="0" w:after="283"/>
              <w:jc w:val="left"/>
              <w:rPr>
                <w:sz w:val="4"/>
                <w:szCs w:val="4"/>
              </w:rPr>
            </w:pPr>
            <w:r>
              <w:rPr>
                <w:sz w:val="4"/>
                <w:szCs w:val="4"/>
              </w:rPr>
            </w:r>
          </w:p>
        </w:tc>
        <w:tc>
          <w:tcPr>
            <w:tcW w:w="651" w:type="dxa"/>
            <w:gridSpan w:val="4"/>
            <w:tcBorders/>
            <w:vAlign w:val="center"/>
          </w:tcPr>
          <w:p>
            <w:pPr>
              <w:pStyle w:val="TableContents"/>
              <w:bidi w:val="0"/>
              <w:spacing w:before="0" w:after="283"/>
              <w:jc w:val="left"/>
              <w:rPr>
                <w:sz w:val="4"/>
                <w:szCs w:val="4"/>
              </w:rPr>
            </w:pPr>
            <w:r>
              <w:rPr>
                <w:sz w:val="4"/>
                <w:szCs w:val="4"/>
              </w:rPr>
            </w:r>
          </w:p>
        </w:tc>
        <w:tc>
          <w:tcPr>
            <w:tcW w:w="1293" w:type="dxa"/>
            <w:gridSpan w:val="4"/>
            <w:tcBorders/>
            <w:vAlign w:val="center"/>
          </w:tcPr>
          <w:p>
            <w:pPr>
              <w:pStyle w:val="TableContents"/>
              <w:bidi w:val="0"/>
              <w:spacing w:before="0" w:after="283"/>
              <w:jc w:val="left"/>
              <w:rPr>
                <w:sz w:val="4"/>
                <w:szCs w:val="4"/>
              </w:rPr>
            </w:pPr>
            <w:r>
              <w:rPr>
                <w:sz w:val="4"/>
                <w:szCs w:val="4"/>
              </w:rPr>
            </w:r>
          </w:p>
        </w:tc>
      </w:tr>
      <w:tr>
        <w:trPr/>
        <w:tc>
          <w:tcPr>
            <w:tcW w:w="13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All directors and executive officers as a group (12 persons)(10)</w:t>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tcPr>
          <w:p>
            <w:pPr>
              <w:pStyle w:val="TableContents"/>
              <w:bidi w:val="0"/>
              <w:spacing w:before="0" w:after="283"/>
              <w:jc w:val="left"/>
              <w:rPr>
                <w:sz w:val="4"/>
                <w:szCs w:val="4"/>
              </w:rPr>
            </w:pPr>
            <w:r>
              <w:rPr>
                <w:sz w:val="4"/>
                <w:szCs w:val="4"/>
              </w:rPr>
            </w:r>
          </w:p>
        </w:tc>
        <w:tc>
          <w:tcPr>
            <w:tcW w:w="272" w:type="dxa"/>
            <w:tcBorders/>
            <w:shd w:fill="CCEEFF" w:val="clear"/>
            <w:vAlign w:val="bottom"/>
          </w:tcPr>
          <w:p>
            <w:pPr>
              <w:pStyle w:val="TableContents"/>
              <w:bidi w:val="0"/>
              <w:spacing w:before="0" w:after="283"/>
              <w:jc w:val="left"/>
              <w:rPr/>
            </w:pPr>
            <w:r>
              <w:rPr/>
              <w:t> </w:t>
            </w:r>
          </w:p>
        </w:tc>
        <w:tc>
          <w:tcPr>
            <w:tcW w:w="129" w:type="dxa"/>
            <w:tcBorders/>
            <w:shd w:fill="CCEEFF" w:val="clear"/>
          </w:tcPr>
          <w:p>
            <w:pPr>
              <w:pStyle w:val="TableContents"/>
              <w:bidi w:val="0"/>
              <w:spacing w:before="0" w:after="283"/>
              <w:jc w:val="left"/>
              <w:rPr>
                <w:sz w:val="4"/>
                <w:szCs w:val="4"/>
              </w:rPr>
            </w:pPr>
            <w:r>
              <w:rPr>
                <w:sz w:val="4"/>
                <w:szCs w:val="4"/>
              </w:rPr>
            </w:r>
          </w:p>
        </w:tc>
        <w:tc>
          <w:tcPr>
            <w:tcW w:w="131"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509" w:type="dxa"/>
            <w:tcBorders/>
            <w:shd w:fill="CCEEFF" w:val="clear"/>
          </w:tcPr>
          <w:p>
            <w:pPr>
              <w:pStyle w:val="TableContents"/>
              <w:bidi w:val="0"/>
              <w:spacing w:before="0" w:after="283"/>
              <w:jc w:val="left"/>
              <w:rPr>
                <w:sz w:val="4"/>
                <w:szCs w:val="4"/>
              </w:rPr>
            </w:pPr>
            <w:r>
              <w:rPr>
                <w:sz w:val="4"/>
                <w:szCs w:val="4"/>
              </w:rPr>
            </w:r>
          </w:p>
        </w:tc>
        <w:tc>
          <w:tcPr>
            <w:tcW w:w="60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tc>
        <w:tc>
          <w:tcPr>
            <w:tcW w:w="59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tcPr>
          <w:p>
            <w:pPr>
              <w:pStyle w:val="TableContents"/>
              <w:bidi w:val="0"/>
              <w:spacing w:before="0" w:after="283"/>
              <w:jc w:val="left"/>
              <w:rPr>
                <w:sz w:val="4"/>
                <w:szCs w:val="4"/>
              </w:rPr>
            </w:pPr>
            <w:r>
              <w:rPr>
                <w:sz w:val="4"/>
                <w:szCs w:val="4"/>
              </w:rPr>
            </w:r>
          </w:p>
        </w:tc>
        <w:tc>
          <w:tcPr>
            <w:tcW w:w="61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355" w:type="dxa"/>
            <w:tcBorders/>
            <w:shd w:fill="CCEEFF" w:val="clear"/>
          </w:tcPr>
          <w:p>
            <w:pPr>
              <w:pStyle w:val="TableContents"/>
              <w:bidi w:val="0"/>
              <w:spacing w:before="0" w:after="283"/>
              <w:jc w:val="left"/>
              <w:rPr>
                <w:sz w:val="4"/>
                <w:szCs w:val="4"/>
              </w:rPr>
            </w:pPr>
            <w:r>
              <w:rPr>
                <w:sz w:val="4"/>
                <w:szCs w:val="4"/>
              </w:rPr>
            </w:r>
          </w:p>
        </w:tc>
        <w:tc>
          <w:tcPr>
            <w:tcW w:w="355"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28" w:type="dxa"/>
            <w:tcBorders/>
            <w:shd w:fill="CCEEFF" w:val="clear"/>
          </w:tcPr>
          <w:p>
            <w:pPr>
              <w:pStyle w:val="TableContents"/>
              <w:bidi w:val="0"/>
              <w:spacing w:before="0" w:after="283"/>
              <w:jc w:val="left"/>
              <w:rPr>
                <w:sz w:val="4"/>
                <w:szCs w:val="4"/>
              </w:rPr>
            </w:pPr>
            <w:r>
              <w:rPr>
                <w:sz w:val="4"/>
                <w:szCs w:val="4"/>
              </w:rPr>
            </w:r>
          </w:p>
        </w:tc>
        <w:tc>
          <w:tcPr>
            <w:tcW w:w="132"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522" w:type="dxa"/>
            <w:tcBorders/>
            <w:shd w:fill="CCEEFF" w:val="clea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5" w:type="dxa"/>
            <w:tcBorders/>
          </w:tcPr>
          <w:p>
            <w:pPr>
              <w:pStyle w:val="TableContents"/>
              <w:bidi w:val="0"/>
              <w:spacing w:before="0" w:after="0"/>
              <w:jc w:val="left"/>
              <w:rPr>
                <w:rFonts w:ascii="Times New Roman" w:hAnsi="Times New Roman"/>
                <w:b/>
                <w:sz w:val="16"/>
              </w:rPr>
            </w:pPr>
            <w:r>
              <w:rPr>
                <w:rFonts w:ascii="Times New Roman" w:hAnsi="Times New Roman"/>
                <w:b/>
                <w:sz w:val="16"/>
              </w:rPr>
              <w:t>Other Selling Stockholders:</w:t>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2" w:type="dxa"/>
            <w:tcBorders/>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29" w:type="dxa"/>
            <w:tcBorders/>
          </w:tcPr>
          <w:p>
            <w:pPr>
              <w:pStyle w:val="TableContents"/>
              <w:bidi w:val="0"/>
              <w:spacing w:before="0" w:after="283"/>
              <w:jc w:val="left"/>
              <w:rPr>
                <w:sz w:val="4"/>
                <w:szCs w:val="4"/>
              </w:rPr>
            </w:pPr>
            <w:r>
              <w:rPr>
                <w:sz w:val="4"/>
                <w:szCs w:val="4"/>
              </w:rPr>
            </w:r>
          </w:p>
        </w:tc>
        <w:tc>
          <w:tcPr>
            <w:tcW w:w="131" w:type="dxa"/>
            <w:tcBorders/>
          </w:tcPr>
          <w:p>
            <w:pPr>
              <w:pStyle w:val="TableContents"/>
              <w:bidi w:val="0"/>
              <w:spacing w:before="0" w:after="283"/>
              <w:jc w:val="left"/>
              <w:rPr>
                <w:sz w:val="4"/>
                <w:szCs w:val="4"/>
              </w:rPr>
            </w:pPr>
            <w:r>
              <w:rPr>
                <w:sz w:val="4"/>
                <w:szCs w:val="4"/>
              </w:rPr>
            </w:r>
          </w:p>
        </w:tc>
        <w:tc>
          <w:tcPr>
            <w:tcW w:w="9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60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tc>
        <w:tc>
          <w:tcPr>
            <w:tcW w:w="59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tcPr>
          <w:p>
            <w:pPr>
              <w:pStyle w:val="TableContents"/>
              <w:bidi w:val="0"/>
              <w:spacing w:before="0" w:after="283"/>
              <w:jc w:val="left"/>
              <w:rPr>
                <w:sz w:val="4"/>
                <w:szCs w:val="4"/>
              </w:rPr>
            </w:pPr>
            <w:r>
              <w:rPr>
                <w:sz w:val="4"/>
                <w:szCs w:val="4"/>
              </w:rPr>
            </w:r>
          </w:p>
        </w:tc>
        <w:tc>
          <w:tcPr>
            <w:tcW w:w="618"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55" w:type="dxa"/>
            <w:tcBorders/>
          </w:tcPr>
          <w:p>
            <w:pPr>
              <w:pStyle w:val="TableContents"/>
              <w:bidi w:val="0"/>
              <w:spacing w:before="0" w:after="283"/>
              <w:jc w:val="left"/>
              <w:rPr>
                <w:sz w:val="4"/>
                <w:szCs w:val="4"/>
              </w:rPr>
            </w:pPr>
            <w:r>
              <w:rPr>
                <w:sz w:val="4"/>
                <w:szCs w:val="4"/>
              </w:rPr>
            </w:r>
          </w:p>
        </w:tc>
        <w:tc>
          <w:tcPr>
            <w:tcW w:w="355" w:type="dxa"/>
            <w:tcBorders/>
          </w:tcPr>
          <w:p>
            <w:pPr>
              <w:pStyle w:val="TableContents"/>
              <w:bidi w:val="0"/>
              <w:spacing w:before="0" w:after="283"/>
              <w:jc w:val="left"/>
              <w:rPr>
                <w:sz w:val="4"/>
                <w:szCs w:val="4"/>
              </w:rPr>
            </w:pPr>
            <w:r>
              <w:rPr>
                <w:sz w:val="4"/>
                <w:szCs w:val="4"/>
              </w:rPr>
            </w:r>
          </w:p>
        </w:tc>
        <w:tc>
          <w:tcPr>
            <w:tcW w:w="273" w:type="dxa"/>
            <w:tcBorders/>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28" w:type="dxa"/>
            <w:tcBorders/>
          </w:tcPr>
          <w:p>
            <w:pPr>
              <w:pStyle w:val="TableContents"/>
              <w:bidi w:val="0"/>
              <w:spacing w:before="0" w:after="283"/>
              <w:jc w:val="left"/>
              <w:rPr>
                <w:sz w:val="4"/>
                <w:szCs w:val="4"/>
              </w:rPr>
            </w:pPr>
            <w:r>
              <w:rPr>
                <w:sz w:val="4"/>
                <w:szCs w:val="4"/>
              </w:rPr>
            </w:r>
          </w:p>
        </w:tc>
        <w:tc>
          <w:tcPr>
            <w:tcW w:w="132" w:type="dxa"/>
            <w:tcBorders/>
          </w:tcPr>
          <w:p>
            <w:pPr>
              <w:pStyle w:val="TableContents"/>
              <w:bidi w:val="0"/>
              <w:spacing w:before="0" w:after="283"/>
              <w:jc w:val="left"/>
              <w:rPr>
                <w:sz w:val="4"/>
                <w:szCs w:val="4"/>
              </w:rPr>
            </w:pPr>
            <w:r>
              <w:rPr>
                <w:sz w:val="4"/>
                <w:szCs w:val="4"/>
              </w:rPr>
            </w:r>
          </w:p>
        </w:tc>
        <w:tc>
          <w:tcPr>
            <w:tcW w:w="118"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522" w:type="dxa"/>
            <w:tcBorders/>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1"/>
        <w:gridCol w:w="9804"/>
      </w:tblGrid>
      <w:tr>
        <w:trPr/>
        <w:tc>
          <w:tcPr>
            <w:tcW w:w="401" w:type="dxa"/>
            <w:tcBorders/>
          </w:tcPr>
          <w:p>
            <w:pPr>
              <w:pStyle w:val="TableContents"/>
              <w:bidi w:val="0"/>
              <w:spacing w:before="0" w:after="283"/>
              <w:jc w:val="left"/>
              <w:rPr/>
            </w:pPr>
            <w:r>
              <w:rPr/>
              <w:t></w:t>
            </w:r>
          </w:p>
        </w:tc>
        <w:tc>
          <w:tcPr>
            <w:tcW w:w="9804"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Percentage of total voting power represents voting power with respect to all shares of our Class A and Class B common stock, as a single class. The holders of our Class B common stock are entitled to                votes per share, and holders of our Class A common stock are entitled to one vote per share. See the section titled Description of Capital StockClass A Common Stock and Class B Common Stock for additional information about the voting rights of our Class A and Class B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(a)                shares of Class A common stock held by Blue Media, LLC, (b)                shares of Class A common stock held by Gray Media, LLC, (c)                shares of Class A common stock held by Innovation Group Investors, L.P. - Series 3, (d)                shares of Class A common stock held by Innovation Group Investors, L.P. - Series 1B, (e)                shares of Class A common stock held by Lightbank Investments 1B, LLC, (f)                shares of Class A common stock held by Tempus Series A Investments, LLC, (g)                shares of Class B common stock held by Tempus Series B Investments, LLC, (h)                shares of Class A common stock held by Tempus Series B-1 Investments, LLC, (i)                shares of Class A common stock held by Tempus Series B-2 Investments, LLC, (j)                shares of Class A common stock held by Tempus Series C Investments, LLC, (k)                shares of Class A common stock held by Tempus Series D Investments, LLC, (l)                shares of Class A common stock held by Tempus Series E Investments, LLC, (m)                shares of Class A common stock held by Tempus Series F Investments, LLC, and (n)                shares of Class A common stock held by Tempus Series G Investments, LLC. Mr. Lefkofsky is the controlling shareholder of, and may be deemed to have shared voting, investment and dispositive power with respect to the shares held by, the aforementioned entities. Mr. Lefkofsky also holds                RSUs, for which the service-based vesting condition would be satisfied within 60 days of                ,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held by Keeks, LLC. To our knowledge, Kimberly Keywell is the controlling shareholder of, and may be deemed to have shared voting, investment and dispositive power with respect to the shares held by, the aforementioned entity.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issuable upon settlement of RSUs held by Mr. Phelps for which the service-based vesting condition would be satisfied within 60 days of                ,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issuable upon settlement of RSUs held by Ms. Rollings, for which the service-based vesting condition would be satisfied as of September 4, 2021 pursuant to the terms of Ms. Rollings separation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issuable upon settlement of RSUs held by Ms. Doudna for which the service-based vesting condition would be satisfied within 60 days of                ,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issuable upon settlement of RSUs held by Mr. Frederick for which the service-based vesting condition would be satisfied within 60 days of                ,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issuable upon settlement of RSUs held by Mr. Gottlieb for which the service-based vesting condition would be satisfied within 60 days of                ,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Represents                shares of Class A common stock issuable upon settlement of RSUs held by Ms. West for which the service-based vesting condition would be satisfied within 60 days of                , 2021.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both"/>
              <w:rPr>
                <w:rFonts w:ascii="Times New Roman" w:hAnsi="Times New Roman"/>
                <w:sz w:val="16"/>
              </w:rPr>
            </w:pPr>
            <w:r>
              <w:rPr>
                <w:rFonts w:ascii="Times New Roman" w:hAnsi="Times New Roman"/>
                <w:sz w:val="16"/>
              </w:rPr>
              <w:t xml:space="preserve">Consists of (a)                 shares of Class A common stock, (b)                 shares of Class B common stock and (c)                 shares of Class A common stock issuable upon the settlement of RSUs for which the service-based vesting condition would be satisfied within 60 days of                , 2021.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rom221145_16"/>
      <w:bookmarkEnd w:id="18"/>
      <w:r>
        <w:rPr>
          <w:rFonts w:ascii="Times New Roman" w:hAnsi="Times New Roman"/>
          <w:b/>
          <w:sz w:val="20"/>
        </w:rPr>
        <w:t xml:space="preserve">DESCRIPTION OF CAPITAL STOCK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on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on the closing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Upon the closing of this offering, our authorized capital stock will consist of         shares, all with a par value of $0.0001 per share, of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are designated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are designated Class B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t>        </w:t>
            </w:r>
            <w:r>
              <w:rPr>
                <w:rFonts w:ascii="Times New Roman" w:hAnsi="Times New Roman"/>
                <w:sz w:val="20"/>
              </w:rPr>
              <w:t xml:space="preserve">shares are designated preferred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As of                 , we had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pPr>
            <w:r>
              <w:rPr/>
              <w:t>            </w:t>
            </w:r>
            <w:r>
              <w:rPr>
                <w:rFonts w:ascii="Times New Roman" w:hAnsi="Times New Roman"/>
                <w:sz w:val="20"/>
              </w:rPr>
              <w:t xml:space="preserve">shares of Class A common stock, which assumes (1) the conversion of all outstanding shares of convertible preferred stock, other than Series B preferred stock, into                shares of Class A common stock, including the issuance of the Additional Class A Conversion Shares, (2) the conversion of all outstanding shares of nonvoting common stock into                shares of Class A common stock, and (3) the issuance of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later of (i) the expiration of the lock-up period in connection with this offering and (ii) March 15,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2"/>
        <w:gridCol w:w="9287"/>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pPr>
            <w:r>
              <w:rPr/>
              <w:t>        </w:t>
            </w:r>
            <w:r>
              <w:rPr>
                <w:rFonts w:ascii="Times New Roman" w:hAnsi="Times New Roman"/>
                <w:sz w:val="20"/>
              </w:rPr>
              <w:t xml:space="preserve">shares of Class B common stock, which assumes the conversion of all outstanding shares of convertible Series B preferred stock into                shares of Class B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Prospectus SummaryThe Offering for a description of the Additional Class A Conversion Shares, as the number of Additional Class A Conversion Shares that will be issued depends on the initial public offering price of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Our outstanding capital stock was held by                stockholders of record as of                 . Our board of directors is authorized, without stockholder approval except as required by the listing standards of                , to issue additional shares of our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and Class B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 xml:space="preserve">The Class A common stock is entitled to one vote per share on any matter that is submitted to a vote of our stockholders. Holders of our Class B common stock are entitled to                votes per share on any matter submitted to 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that will be in effect on the closing of this offering will not provide for cumulative voting for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Economic Rights </w:t>
      </w:r>
    </w:p>
    <w:p>
      <w:pPr>
        <w:pStyle w:val="TextBody"/>
        <w:bidi w:val="0"/>
        <w:spacing w:before="120" w:after="0"/>
        <w:jc w:val="both"/>
        <w:rPr>
          <w:rFonts w:ascii="Times New Roman" w:hAnsi="Times New Roman"/>
          <w:sz w:val="20"/>
        </w:rPr>
      </w:pPr>
      <w:r>
        <w:rPr>
          <w:rFonts w:ascii="Times New Roman" w:hAnsi="Times New Roman"/>
          <w:sz w:val="20"/>
        </w:rPr>
        <w:t xml:space="preserve">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 </w:t>
      </w:r>
    </w:p>
    <w:p>
      <w:pPr>
        <w:pStyle w:val="TextBody"/>
        <w:bidi w:val="0"/>
        <w:spacing w:before="240" w:after="0"/>
        <w:jc w:val="both"/>
        <w:rPr>
          <w:rFonts w:ascii="Times New Roman" w:hAnsi="Times New Roman"/>
          <w:sz w:val="20"/>
        </w:rPr>
      </w:pPr>
      <w:r>
        <w:rPr>
          <w:rFonts w:ascii="Times New Roman" w:hAnsi="Times New Roman"/>
          <w:i/>
          <w:sz w:val="20"/>
        </w:rPr>
        <w:t>Dividends and Distributions</w:t>
      </w:r>
      <w:r>
        <w:rPr>
          <w:rFonts w:ascii="Times New Roman" w:hAnsi="Times New Roman"/>
          <w:sz w:val="20"/>
        </w:rPr>
        <w:t xml:space="preserve">. Subject to preferences that may apply to any shares of preferred stock outstanding at the time, the holders of Class A common 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 </w:t>
      </w:r>
    </w:p>
    <w:p>
      <w:pPr>
        <w:pStyle w:val="TextBody"/>
        <w:bidi w:val="0"/>
        <w:spacing w:before="240" w:after="0"/>
        <w:jc w:val="both"/>
        <w:rPr>
          <w:rFonts w:ascii="Times New Roman" w:hAnsi="Times New Roman"/>
          <w:sz w:val="20"/>
        </w:rPr>
      </w:pPr>
      <w:r>
        <w:rPr>
          <w:rFonts w:ascii="Times New Roman" w:hAnsi="Times New Roman"/>
          <w:i/>
          <w:sz w:val="20"/>
        </w:rPr>
        <w:t>Liquidation Rights</w:t>
      </w:r>
      <w:r>
        <w:rPr>
          <w:rFonts w:ascii="Times New Roman" w:hAnsi="Times New Roman"/>
          <w:sz w:val="20"/>
        </w:rPr>
        <w:t xml:space="preserve">. On our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240" w:after="0"/>
        <w:jc w:val="both"/>
        <w:rPr>
          <w:rFonts w:ascii="Times New Roman" w:hAnsi="Times New Roman"/>
          <w:sz w:val="20"/>
        </w:rPr>
      </w:pPr>
      <w:r>
        <w:rPr>
          <w:rFonts w:ascii="Times New Roman" w:hAnsi="Times New Roman"/>
          <w:i/>
          <w:sz w:val="20"/>
        </w:rPr>
        <w:t>Change of Control Transactions</w:t>
      </w:r>
      <w:r>
        <w:rPr>
          <w:rFonts w:ascii="Times New Roman" w:hAnsi="Times New Roman"/>
          <w:sz w:val="20"/>
        </w:rPr>
        <w:t xml:space="preserve">. The holders of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sale, merger, reorganization, consolidation, or share transfer under any employment, consulting, severance, or other arrangement will be disregarded for the purposes of determining whether holders of common stock are treated equally and identically. </w:t>
      </w:r>
    </w:p>
    <w:p>
      <w:pPr>
        <w:pStyle w:val="TextBody"/>
        <w:bidi w:val="0"/>
        <w:spacing w:before="240" w:after="0"/>
        <w:jc w:val="both"/>
        <w:rPr>
          <w:rFonts w:ascii="Times New Roman" w:hAnsi="Times New Roman"/>
          <w:sz w:val="20"/>
        </w:rPr>
      </w:pPr>
      <w:r>
        <w:rPr>
          <w:rFonts w:ascii="Times New Roman" w:hAnsi="Times New Roman"/>
          <w:i/>
          <w:sz w:val="20"/>
        </w:rPr>
        <w:t>Subdivisions and Combinations</w:t>
      </w:r>
      <w:r>
        <w:rPr>
          <w:rFonts w:ascii="Times New Roman" w:hAnsi="Times New Roman"/>
          <w:sz w:val="20"/>
        </w:rPr>
        <w:t xml:space="preserve">. If we subdivide or combine in any manner outstanding shares of Class A common stock or Class B common stock, the outstanding shares of the other classes will be subdivided or combined in the same manner.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Preemptive or Similar Rights </w:t>
      </w:r>
    </w:p>
    <w:p>
      <w:pPr>
        <w:pStyle w:val="TextBody"/>
        <w:bidi w:val="0"/>
        <w:spacing w:before="120" w:after="0"/>
        <w:jc w:val="both"/>
        <w:rPr>
          <w:rFonts w:ascii="Times New Roman" w:hAnsi="Times New Roman"/>
          <w:sz w:val="20"/>
        </w:rPr>
      </w:pPr>
      <w:r>
        <w:rPr>
          <w:rFonts w:ascii="Times New Roman" w:hAnsi="Times New Roman"/>
          <w:sz w:val="20"/>
        </w:rPr>
        <w:t xml:space="preserve">Our Class A common stock and Class B common stock are not entitled to preemptive rights, and are not subject to conversion, redemption or sinking fund provisions, except for the conversion provisions with respect to the Class B common stock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both"/>
        <w:rPr>
          <w:rFonts w:ascii="Times New Roman" w:hAnsi="Times New Roman"/>
          <w:sz w:val="20"/>
        </w:rPr>
      </w:pPr>
      <w:r>
        <w:rPr>
          <w:rFonts w:ascii="Times New Roman" w:hAnsi="Times New Roman"/>
          <w:sz w:val="20"/>
        </w:rPr>
        <w:t xml:space="preserve">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on the closing of this offering. </w:t>
      </w:r>
    </w:p>
    <w:p>
      <w:pPr>
        <w:pStyle w:val="TextBody"/>
        <w:bidi w:val="0"/>
        <w:spacing w:before="240" w:after="0"/>
        <w:jc w:val="both"/>
        <w:rPr>
          <w:rFonts w:ascii="Times New Roman" w:hAnsi="Times New Roman"/>
          <w:sz w:val="20"/>
        </w:rPr>
      </w:pPr>
      <w:r>
        <w:rPr>
          <w:rFonts w:ascii="Times New Roman" w:hAnsi="Times New Roman"/>
          <w:sz w:val="20"/>
        </w:rPr>
        <w:t xml:space="preserve">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shares of our capital stock (as adjusted for stock splits, stock dividends, combinations, subdivisions, recapitalizations and the like). </w:t>
      </w:r>
    </w:p>
    <w:p>
      <w:pPr>
        <w:pStyle w:val="TextBody"/>
        <w:bidi w:val="0"/>
        <w:spacing w:before="240" w:after="0"/>
        <w:jc w:val="both"/>
        <w:rPr>
          <w:rFonts w:ascii="Times New Roman" w:hAnsi="Times New Roman"/>
          <w:sz w:val="20"/>
        </w:rPr>
      </w:pPr>
      <w:r>
        <w:rPr>
          <w:rFonts w:ascii="Times New Roman" w:hAnsi="Times New Roman"/>
          <w:sz w:val="20"/>
        </w:rPr>
        <w:t xml:space="preserve">Once transferred and converted into Class A common stock, the Class B common stock may not be reissued.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our legal counsel will opine that the shares of our Class A common stock to be issued under this offering will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Promissory Note </w:t>
      </w:r>
    </w:p>
    <w:p>
      <w:pPr>
        <w:pStyle w:val="TextBody"/>
        <w:bidi w:val="0"/>
        <w:spacing w:before="120" w:after="0"/>
        <w:jc w:val="both"/>
        <w:rPr>
          <w:rFonts w:ascii="Times New Roman" w:hAnsi="Times New Roman"/>
          <w:sz w:val="20"/>
        </w:rPr>
      </w:pPr>
      <w:r>
        <w:rPr>
          <w:rFonts w:ascii="Times New Roman" w:hAnsi="Times New Roman"/>
          <w:sz w:val="20"/>
        </w:rPr>
        <w:t xml:space="preserve">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 2021, the total amount outstanding under the Amended Note was $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As of                , there were                shares of our convertible preferred stock outstanding. Immediately prior to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immediately prior to the closing of this 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 the estimated price range set forth on the cover page of this prospectus, which we refer to as the Additional Class A Conversion Shares. See Prospectus SummaryThe Offering for additional information. </w:t>
      </w:r>
    </w:p>
    <w:p>
      <w:pPr>
        <w:pStyle w:val="TextBody"/>
        <w:bidi w:val="0"/>
        <w:spacing w:before="240" w:after="0"/>
        <w:jc w:val="both"/>
        <w:rPr>
          <w:rFonts w:ascii="Times New Roman" w:hAnsi="Times New Roman"/>
          <w:sz w:val="20"/>
        </w:rPr>
      </w:pPr>
      <w:r>
        <w:rPr>
          <w:rFonts w:ascii="Times New Roman" w:hAnsi="Times New Roman"/>
          <w:sz w:val="20"/>
        </w:rPr>
        <w:t xml:space="preserve">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 stock could have the effect of delaying, deferring, or preventing a change of control or other corporate action. On the closing of this offering, no shares of preferred stock will be outstanding. We have no present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Options </w:t>
      </w:r>
    </w:p>
    <w:p>
      <w:pPr>
        <w:pStyle w:val="TextBody"/>
        <w:bidi w:val="0"/>
        <w:spacing w:before="120" w:after="0"/>
        <w:jc w:val="both"/>
        <w:rPr>
          <w:rFonts w:ascii="Times New Roman" w:hAnsi="Times New Roman"/>
          <w:sz w:val="20"/>
        </w:rPr>
      </w:pPr>
      <w:r>
        <w:rPr>
          <w:rFonts w:ascii="Times New Roman" w:hAnsi="Times New Roman"/>
          <w:sz w:val="20"/>
        </w:rPr>
        <w:t xml:space="preserve">As of                , we had outstanding                  options under the 2015 Plan.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Units (RSUs) </w:t>
      </w:r>
    </w:p>
    <w:p>
      <w:pPr>
        <w:pStyle w:val="TextBody"/>
        <w:bidi w:val="0"/>
        <w:spacing w:before="120" w:after="0"/>
        <w:jc w:val="both"/>
        <w:rPr>
          <w:rFonts w:ascii="Times New Roman" w:hAnsi="Times New Roman"/>
          <w:sz w:val="20"/>
        </w:rPr>
      </w:pPr>
      <w:r>
        <w:rPr>
          <w:rFonts w:ascii="Times New Roman" w:hAnsi="Times New Roman"/>
          <w:sz w:val="20"/>
        </w:rPr>
        <w:t xml:space="preserve">As of                , we had outstanding                  RSUs under the 2015 Plan.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Stockholder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 </w:t>
      </w:r>
    </w:p>
    <w:p>
      <w:pPr>
        <w:pStyle w:val="TextBody"/>
        <w:bidi w:val="0"/>
        <w:spacing w:before="240" w:after="0"/>
        <w:jc w:val="both"/>
        <w:rPr>
          <w:rFonts w:ascii="Times New Roman" w:hAnsi="Times New Roman"/>
          <w:sz w:val="20"/>
        </w:rPr>
      </w:pPr>
      <w:r>
        <w:rPr>
          <w:rFonts w:ascii="Times New Roman" w:hAnsi="Times New Roman"/>
          <w:sz w:val="20"/>
        </w:rPr>
        <w:t xml:space="preserve">See Prospectus SummaryThe Offering for a description of the Additional Class A Conversion Shares, as the number of Additional Class A Conversion Shares that will be issued depends on the initial public offering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an aggregate of                shares of our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this offering, the holders of an aggregate of                shares of our Class A common stock and Class B common stock (assuming no 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S-3 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file a registration statement on Form S-3 and if the reasonably anticipated aggregate gross proceeds of the shares offered would equal or exceed $1.0 million. We will not be required to effect more than two registrations on Form S-3 within any 12-month period.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Certificate of Incorporation and Bylaws to Be in Effect on the Closing of this Offering </w:t>
      </w:r>
    </w:p>
    <w:p>
      <w:pPr>
        <w:pStyle w:val="TextBody"/>
        <w:bidi w:val="0"/>
        <w:spacing w:before="120" w:after="0"/>
        <w:jc w:val="both"/>
        <w:rPr>
          <w:rFonts w:ascii="Times New Roman" w:hAnsi="Times New Roman"/>
          <w:sz w:val="20"/>
        </w:rPr>
      </w:pPr>
      <w:r>
        <w:rPr>
          <w:rFonts w:ascii="Times New Roman" w:hAnsi="Times New Roman"/>
          <w:sz w:val="20"/>
        </w:rPr>
        <w:t xml:space="preserve">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under certain circumstances). </w:t>
      </w:r>
    </w:p>
    <w:p>
      <w:pPr>
        <w:pStyle w:val="TextBody"/>
        <w:bidi w:val="0"/>
        <w:spacing w:before="240" w:after="0"/>
        <w:jc w:val="both"/>
        <w:rPr>
          <w:rFonts w:ascii="Times New Roman" w:hAnsi="Times New Roman"/>
          <w:sz w:val="20"/>
        </w:rPr>
      </w:pPr>
      <w:r>
        <w:rPr>
          <w:rFonts w:ascii="Times New Roman" w:hAnsi="Times New Roman"/>
          <w:sz w:val="20"/>
        </w:rPr>
        <w:t xml:space="preserve">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 </w:t>
      </w:r>
    </w:p>
    <w:p>
      <w:pPr>
        <w:pStyle w:val="TextBody"/>
        <w:bidi w:val="0"/>
        <w:spacing w:before="240" w:after="0"/>
        <w:jc w:val="both"/>
        <w:rPr>
          <w:rFonts w:ascii="Times New Roman" w:hAnsi="Times New Roman"/>
          <w:sz w:val="20"/>
        </w:rPr>
      </w:pPr>
      <w:r>
        <w:rPr>
          <w:rFonts w:ascii="Times New Roman" w:hAnsi="Times New Roman"/>
          <w:sz w:val="20"/>
        </w:rPr>
        <w:t xml:space="preserve">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Section 203 of the Delaware General Corporation Law </w:t>
      </w:r>
    </w:p>
    <w:p>
      <w:pPr>
        <w:pStyle w:val="TextBody"/>
        <w:bidi w:val="0"/>
        <w:spacing w:before="120" w:after="0"/>
        <w:jc w:val="both"/>
        <w:rPr>
          <w:rFonts w:ascii="Times New Roman" w:hAnsi="Times New Roman"/>
          <w:sz w:val="20"/>
        </w:rPr>
      </w:pPr>
      <w:r>
        <w:rPr>
          <w:rFonts w:ascii="Times New Roman" w:hAnsi="Times New Roman"/>
          <w:sz w:val="20"/>
        </w:rPr>
        <w:t xml:space="preserve">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both"/>
        <w:rPr>
          <w:rFonts w:ascii="Times New Roman" w:hAnsi="Times New Roman"/>
          <w:sz w:val="20"/>
        </w:rPr>
      </w:pPr>
      <w:r>
        <w:rPr>
          <w:rFonts w:ascii="Times New Roman" w:hAnsi="Times New Roman"/>
          <w:sz w:val="20"/>
        </w:rPr>
        <w:t xml:space="preserve">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of Liability and Indemnification </w:t>
      </w:r>
    </w:p>
    <w:p>
      <w:pPr>
        <w:pStyle w:val="TextBody"/>
        <w:bidi w:val="0"/>
        <w:spacing w:before="120" w:after="0"/>
        <w:jc w:val="both"/>
        <w:rPr>
          <w:rFonts w:ascii="Times New Roman" w:hAnsi="Times New Roman"/>
          <w:sz w:val="20"/>
        </w:rPr>
      </w:pPr>
      <w:r>
        <w:rPr>
          <w:rFonts w:ascii="Times New Roman" w:hAnsi="Times New Roman"/>
          <w:sz w:val="20"/>
        </w:rPr>
        <w:t xml:space="preserve">See the section titled Executive CompensationLimitations of Liability and Indemnification Matters.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both"/>
        <w:rPr>
          <w:rFonts w:ascii="Times New Roman" w:hAnsi="Times New Roman"/>
          <w:sz w:val="20"/>
        </w:rPr>
      </w:pPr>
      <w:r>
        <w:rPr>
          <w:rFonts w:ascii="Times New Roman" w:hAnsi="Times New Roman"/>
          <w:sz w:val="20"/>
        </w:rPr>
        <w:t xml:space="preserve">Our Class A common stock is currently not listed on any securities exchange. We intend to apply to have our Class A common stock approved for listing on                  under the symbol TIME.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both"/>
        <w:rPr>
          <w:rFonts w:ascii="Times New Roman" w:hAnsi="Times New Roman"/>
          <w:sz w:val="20"/>
        </w:rPr>
      </w:pPr>
      <w:r>
        <w:rPr>
          <w:rFonts w:ascii="Times New Roman" w:hAnsi="Times New Roman"/>
          <w:sz w:val="20"/>
        </w:rPr>
        <w:t xml:space="preserve">On the closing of this offering, the transfer agent and registrar for our Class A common stock and Class B common stock will be                 . The transfer agents address is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rom221145_17"/>
      <w:bookmarkEnd w:id="19"/>
      <w:r>
        <w:rPr>
          <w:rFonts w:ascii="Times New Roman" w:hAnsi="Times New Roman"/>
          <w:b/>
          <w:sz w:val="20"/>
        </w:rPr>
        <w:t xml:space="preserve">SHARES ELIGIBLE FOR FUTURE SALE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 </w:t>
      </w:r>
    </w:p>
    <w:p>
      <w:pPr>
        <w:pStyle w:val="TextBody"/>
        <w:bidi w:val="0"/>
        <w:spacing w:before="240" w:after="0"/>
        <w:jc w:val="both"/>
        <w:rPr>
          <w:rFonts w:ascii="Times New Roman" w:hAnsi="Times New Roman"/>
          <w:sz w:val="20"/>
        </w:rPr>
      </w:pPr>
      <w:r>
        <w:rPr>
          <w:rFonts w:ascii="Times New Roman" w:hAnsi="Times New Roman"/>
          <w:sz w:val="20"/>
        </w:rPr>
        <w:t xml:space="preserve">Based on our shares outstanding as of                , on the closing of this offering, a total of                  shares of Class A common stock and                 shares of Class B common stock will be outstanding, assuming the automatic conversion of (1) all of our outstanding shares of convertible preferred stock, other than our Series B convertible preferred stock, into an aggregate of                shares of Class A common stock, including the Additional Class A Conversion Shares, (2) all of our outstanding shares of Series B convertible preferred stock into an aggregate of                shares of Class B common stock and (3) all of our outstanding shares of nonvoting common stock into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lock-up agreements described below and the provisions of Rule 144 or Regulation S under the Securities Act, as well as our insider trading policy, these restricted securities will be available for sale in the public market after the date of this prospectus.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the lock-up agreements and market standoff agreements described below and subject to the provisions of Rules 144 or 701, these restricted securities will be available for sale in the public market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2"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Earliest Date Available for Sale in the Public Market</w:t>
            </w:r>
          </w:p>
        </w:tc>
        <w:tc>
          <w:tcPr>
            <w:tcW w:w="203" w:type="dxa"/>
            <w:tcBorders/>
            <w:vAlign w:val="bottom"/>
          </w:tcPr>
          <w:p>
            <w:pPr>
              <w:pStyle w:val="TableContents"/>
              <w:bidi w:val="0"/>
              <w:spacing w:before="0" w:after="283"/>
              <w:jc w:val="left"/>
              <w:rPr/>
            </w:pPr>
            <w:r>
              <w:rPr/>
              <w:t>  </w:t>
            </w:r>
          </w:p>
        </w:tc>
        <w:tc>
          <w:tcPr>
            <w:tcW w:w="4797" w:type="dxa"/>
            <w:tcBorders>
              <w:bottom w:val="single" w:sz="2"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 of Class A Common Stock</w:t>
            </w:r>
          </w:p>
        </w:tc>
      </w:tr>
      <w:tr>
        <w:trPr/>
        <w:tc>
          <w:tcPr>
            <w:tcW w:w="5205" w:type="dxa"/>
            <w:tcBorders/>
            <w:vAlign w:val="bottom"/>
          </w:tcPr>
          <w:p>
            <w:pPr>
              <w:pStyle w:val="TableContents"/>
              <w:pBdr>
                <w:bottom w:val="single" w:sz="2" w:space="1" w:color="000000"/>
              </w:pBdr>
              <w:bidi w:val="0"/>
              <w:spacing w:before="0" w:after="0"/>
              <w:jc w:val="left"/>
              <w:rPr/>
            </w:pPr>
            <w:r>
              <w:rPr/>
              <w:t> </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both"/>
        <w:rPr>
          <w:rFonts w:ascii="Times New Roman" w:hAnsi="Times New Roman"/>
          <w:sz w:val="20"/>
        </w:rPr>
      </w:pPr>
      <w:r>
        <w:rPr>
          <w:rFonts w:ascii="Times New Roman" w:hAnsi="Times New Roman"/>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1% of the number of shares of Class A common stock then outstanding, which will equal approximately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average weekly trading volume of our Class A common stock on the                during the four calendar weeks preceding the filing of a notice on Form 144 with respect to such sale. </w:t>
            </w:r>
          </w:p>
        </w:tc>
      </w:tr>
    </w:tbl>
    <w:p>
      <w:pPr>
        <w:pStyle w:val="TextBody"/>
        <w:bidi w:val="0"/>
        <w:spacing w:before="240" w:after="0"/>
        <w:jc w:val="both"/>
        <w:rPr>
          <w:rFonts w:ascii="Times New Roman" w:hAnsi="Times New Roman"/>
          <w:sz w:val="20"/>
        </w:rPr>
      </w:pPr>
      <w:r>
        <w:rPr>
          <w:rFonts w:ascii="Times New Roman" w:hAnsi="Times New Roman"/>
          <w:sz w:val="20"/>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both"/>
        <w:rPr>
          <w:rFonts w:ascii="Times New Roman" w:hAnsi="Times New Roman"/>
          <w:sz w:val="20"/>
        </w:rPr>
      </w:pPr>
      <w:r>
        <w:rPr>
          <w:rFonts w:ascii="Times New Roman" w:hAnsi="Times New Roman"/>
          <w:sz w:val="20"/>
        </w:rPr>
        <w:t xml:space="preserve">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Form S-8 Registration Statements </w:t>
      </w:r>
    </w:p>
    <w:p>
      <w:pPr>
        <w:pStyle w:val="TextBody"/>
        <w:bidi w:val="0"/>
        <w:spacing w:before="120" w:after="0"/>
        <w:jc w:val="both"/>
        <w:rPr>
          <w:rFonts w:ascii="Times New Roman" w:hAnsi="Times New Roman"/>
          <w:sz w:val="20"/>
        </w:rPr>
      </w:pPr>
      <w:r>
        <w:rPr>
          <w:rFonts w:ascii="Times New Roman" w:hAnsi="Times New Roman"/>
          <w:sz w:val="20"/>
        </w:rPr>
        <w:t xml:space="preserve">We intend to file one or more registration statements on Form S-8 under the Securities Act with the SEC to register the offer and sale of shares of our Class A common stock that are issuable under the 2015 Plan and the 2021 Plan.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Lock-Up Arrangements </w:t>
      </w:r>
    </w:p>
    <w:p>
      <w:pPr>
        <w:pStyle w:val="TextBody"/>
        <w:bidi w:val="0"/>
        <w:spacing w:before="120" w:after="0"/>
        <w:jc w:val="both"/>
        <w:rPr>
          <w:rFonts w:ascii="Times New Roman" w:hAnsi="Times New Roman"/>
          <w:sz w:val="20"/>
        </w:rPr>
      </w:pPr>
      <w:r>
        <w:rPr>
          <w:rFonts w:ascii="Times New Roman" w:hAnsi="Times New Roman"/>
          <w:sz w:val="20"/>
        </w:rPr>
        <w:t xml:space="preserve">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days after the date of this prospectus, or the restricted period, subject to certain exceptions, we and they will not, without the prior written consent of                 ,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provided that                . These agreements are described in the section titled Underwriting.                 may release any of the securities subject to these lock-up agreements at any time, subject to applicable notice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days following the date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both"/>
        <w:rPr>
          <w:rFonts w:ascii="Times New Roman" w:hAnsi="Times New Roman"/>
          <w:sz w:val="20"/>
        </w:rPr>
      </w:pPr>
      <w:r>
        <w:rPr>
          <w:rFonts w:ascii="Times New Roman" w:hAnsi="Times New Roman"/>
          <w:sz w:val="20"/>
        </w:rPr>
        <w:t xml:space="preserve">Upon the closing of this offering, the holders of                shares of our Class A common stock and of all shares of our Class B common stock, or their transferees, will be entitled to certain rights with respect to the 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Plans </w:t>
      </w:r>
    </w:p>
    <w:p>
      <w:pPr>
        <w:pStyle w:val="TextBody"/>
        <w:bidi w:val="0"/>
        <w:spacing w:before="120" w:after="0"/>
        <w:jc w:val="both"/>
        <w:rPr>
          <w:rFonts w:ascii="Times New Roman" w:hAnsi="Times New Roman"/>
          <w:sz w:val="20"/>
        </w:rPr>
      </w:pPr>
      <w:r>
        <w:rPr>
          <w:rFonts w:ascii="Times New Roman" w:hAnsi="Times New Roman"/>
          <w:sz w:val="20"/>
        </w:rPr>
        <w:t xml:space="preserve">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rom221145_18"/>
      <w:bookmarkEnd w:id="20"/>
      <w:r>
        <w:rPr>
          <w:rFonts w:ascii="Times New Roman" w:hAnsi="Times New Roman"/>
          <w:b/>
          <w:sz w:val="20"/>
        </w:rPr>
        <w:t xml:space="preserve">MATERIAL U.S. FEDERAL INCOME TAX CONSEQUENCES OF NON-U.S. HOLDERS OF OUR </w:t>
      </w:r>
    </w:p>
    <w:p>
      <w:pPr>
        <w:pStyle w:val="TextBody"/>
        <w:bidi w:val="0"/>
        <w:spacing w:before="0" w:after="0"/>
        <w:jc w:val="center"/>
        <w:rPr>
          <w:rFonts w:ascii="Times New Roman" w:hAnsi="Times New Roman"/>
          <w:b/>
          <w:sz w:val="20"/>
        </w:rPr>
      </w:pPr>
      <w:r>
        <w:rPr>
          <w:rFonts w:ascii="Times New Roman" w:hAnsi="Times New Roman"/>
          <w:b/>
          <w:sz w:val="20"/>
        </w:rPr>
        <w:t xml:space="preserve">CLASS A 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following summary describes certain material U.S. federal income tax consequences of the acquisition, ownership, and disposition of our Class A common stock acquired in this offering by Non-U.S. Holders (as defined below).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both"/>
        <w:rPr>
          <w:rFonts w:ascii="Times New Roman" w:hAnsi="Times New Roman"/>
          <w:sz w:val="20"/>
        </w:rPr>
      </w:pPr>
      <w:r>
        <w:rPr>
          <w:rFonts w:ascii="Times New Roman" w:hAnsi="Times New Roman"/>
          <w:sz w:val="20"/>
        </w:rPr>
        <w:t xml:space="preserve">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 </w:t>
      </w:r>
    </w:p>
    <w:p>
      <w:pPr>
        <w:pStyle w:val="TextBody"/>
        <w:bidi w:val="0"/>
        <w:spacing w:before="240" w:after="0"/>
        <w:jc w:val="both"/>
        <w:rPr>
          <w:rFonts w:ascii="Times New Roman" w:hAnsi="Times New Roman"/>
          <w:sz w:val="20"/>
        </w:rPr>
      </w:pPr>
      <w:r>
        <w:rPr>
          <w:rFonts w:ascii="Times New Roman" w:hAnsi="Times New Roman"/>
          <w:sz w:val="20"/>
        </w:rPr>
        <w:t xml:space="preserve">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 </w:t>
      </w:r>
    </w:p>
    <w:p>
      <w:pPr>
        <w:pStyle w:val="TextBody"/>
        <w:bidi w:val="0"/>
        <w:spacing w:before="240" w:after="0"/>
        <w:jc w:val="both"/>
        <w:rPr>
          <w:rFonts w:ascii="Times New Roman" w:hAnsi="Times New Roman"/>
          <w:sz w:val="20"/>
        </w:rPr>
      </w:pPr>
      <w:r>
        <w:rPr>
          <w:rFonts w:ascii="Times New Roman" w:hAnsi="Times New Roman"/>
          <w:sz w:val="20"/>
        </w:rPr>
        <w:t xml:space="preserve">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Our Class A Common Stock </w:t>
      </w:r>
    </w:p>
    <w:p>
      <w:pPr>
        <w:pStyle w:val="TextBody"/>
        <w:bidi w:val="0"/>
        <w:spacing w:before="120" w:after="0"/>
        <w:jc w:val="both"/>
        <w:rPr>
          <w:rFonts w:ascii="Times New Roman" w:hAnsi="Times New Roman"/>
          <w:sz w:val="20"/>
        </w:rPr>
      </w:pPr>
      <w:r>
        <w:rPr>
          <w:rFonts w:ascii="Times New Roman" w:hAnsi="Times New Roman"/>
          <w:sz w:val="20"/>
        </w:rPr>
        <w:t xml:space="preserve">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 </w:t>
      </w:r>
    </w:p>
    <w:p>
      <w:pPr>
        <w:pStyle w:val="TextBody"/>
        <w:bidi w:val="0"/>
        <w:spacing w:before="240" w:after="0"/>
        <w:jc w:val="both"/>
        <w:rPr>
          <w:rFonts w:ascii="Times New Roman" w:hAnsi="Times New Roman"/>
          <w:sz w:val="20"/>
        </w:rPr>
      </w:pPr>
      <w:r>
        <w:rPr>
          <w:rFonts w:ascii="Times New Roman" w:hAnsi="Times New Roman"/>
          <w:sz w:val="20"/>
        </w:rPr>
        <w:t xml:space="preserve">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Requirements and Backup Withholding </w:t>
      </w:r>
    </w:p>
    <w:p>
      <w:pPr>
        <w:pStyle w:val="TextBody"/>
        <w:bidi w:val="0"/>
        <w:spacing w:before="120" w:after="0"/>
        <w:jc w:val="both"/>
        <w:rPr>
          <w:rFonts w:ascii="Times New Roman" w:hAnsi="Times New Roman"/>
          <w:sz w:val="20"/>
        </w:rPr>
      </w:pPr>
      <w:r>
        <w:rPr>
          <w:rFonts w:ascii="Times New Roman" w:hAnsi="Times New Roman"/>
          <w:sz w:val="20"/>
        </w:rPr>
        <w:t xml:space="preserve">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 </w:t>
      </w:r>
    </w:p>
    <w:p>
      <w:pPr>
        <w:pStyle w:val="TextBody"/>
        <w:bidi w:val="0"/>
        <w:spacing w:before="240" w:after="0"/>
        <w:jc w:val="both"/>
        <w:rPr>
          <w:rFonts w:ascii="Times New Roman" w:hAnsi="Times New Roman"/>
          <w:sz w:val="20"/>
        </w:rPr>
      </w:pPr>
      <w:r>
        <w:rPr>
          <w:rFonts w:ascii="Times New Roman" w:hAnsi="Times New Roman"/>
          <w:sz w:val="20"/>
        </w:rPr>
        <w:t xml:space="preserve">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 </w:t>
      </w:r>
    </w:p>
    <w:p>
      <w:pPr>
        <w:pStyle w:val="TextBody"/>
        <w:bidi w:val="0"/>
        <w:spacing w:before="240" w:after="0"/>
        <w:jc w:val="both"/>
        <w:rPr>
          <w:rFonts w:ascii="Times New Roman" w:hAnsi="Times New Roman"/>
          <w:sz w:val="20"/>
        </w:rPr>
      </w:pPr>
      <w:r>
        <w:rPr>
          <w:rFonts w:ascii="Times New Roman" w:hAnsi="Times New Roman"/>
          <w:sz w:val="20"/>
        </w:rPr>
        <w:t xml:space="preserve">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credited against the tax liability of persons subject to backup withholding,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Foreign Accounts </w:t>
      </w:r>
    </w:p>
    <w:p>
      <w:pPr>
        <w:pStyle w:val="TextBody"/>
        <w:bidi w:val="0"/>
        <w:spacing w:before="120" w:after="0"/>
        <w:jc w:val="both"/>
        <w:rPr>
          <w:rFonts w:ascii="Times New Roman" w:hAnsi="Times New Roman"/>
          <w:sz w:val="20"/>
        </w:rPr>
      </w:pPr>
      <w:r>
        <w:rPr>
          <w:rFonts w:ascii="Times New Roman" w:hAnsi="Times New Roman"/>
          <w:sz w:val="20"/>
        </w:rPr>
        <w:t xml:space="preserve">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 </w:t>
      </w:r>
    </w:p>
    <w:p>
      <w:pPr>
        <w:pStyle w:val="TextBody"/>
        <w:bidi w:val="0"/>
        <w:spacing w:before="240" w:after="0"/>
        <w:jc w:val="both"/>
        <w:rPr>
          <w:rFonts w:ascii="Times New Roman" w:hAnsi="Times New Roman"/>
          <w:sz w:val="20"/>
        </w:rPr>
      </w:pPr>
      <w:r>
        <w:rPr>
          <w:rFonts w:ascii="Times New Roman" w:hAnsi="Times New Roman"/>
          <w:sz w:val="20"/>
        </w:rPr>
        <w:t xml:space="preserve">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 </w:t>
      </w:r>
    </w:p>
    <w:p>
      <w:pPr>
        <w:pStyle w:val="TextBody"/>
        <w:bidi w:val="0"/>
        <w:spacing w:before="240" w:after="0"/>
        <w:jc w:val="both"/>
        <w:rPr>
          <w:rFonts w:ascii="Times New Roman" w:hAnsi="Times New Roman"/>
          <w:b/>
          <w:sz w:val="20"/>
        </w:rPr>
      </w:pPr>
      <w:r>
        <w:rPr>
          <w:rFonts w:ascii="Times New Roman" w:hAnsi="Times New Roman"/>
          <w:b/>
          <w:sz w:val="20"/>
        </w:rPr>
        <w:t xml:space="preserve">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rom221145_19"/>
      <w:bookmarkEnd w:id="21"/>
      <w:r>
        <w:rPr>
          <w:rFonts w:ascii="Times New Roman" w:hAnsi="Times New Roman"/>
          <w:b/>
          <w:sz w:val="20"/>
        </w:rPr>
        <w:t xml:space="preserve">UNDERWRITING </w:t>
      </w:r>
    </w:p>
    <w:p>
      <w:pPr>
        <w:pStyle w:val="TextBody"/>
        <w:bidi w:val="0"/>
        <w:spacing w:before="120" w:after="0"/>
        <w:jc w:val="both"/>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the underwriters named below, for whom Morgan Stanley &amp; Co. LLC and J.P. Morgan Securities LLC are acting as representatives, have severally agreed to purchase, and we have agreed to sell to them, severally, the number of shares of Class A common stock indicated below: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374"/>
        <w:gridCol w:w="335"/>
        <w:gridCol w:w="75"/>
        <w:gridCol w:w="1827"/>
        <w:gridCol w:w="63"/>
      </w:tblGrid>
      <w:tr>
        <w:trPr/>
        <w:tc>
          <w:tcPr>
            <w:tcW w:w="6374"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35" w:type="dxa"/>
            <w:tcBorders/>
            <w:vAlign w:val="bottom"/>
          </w:tcPr>
          <w:p>
            <w:pPr>
              <w:pStyle w:val="TableContents"/>
              <w:bidi w:val="0"/>
              <w:spacing w:before="0" w:after="283"/>
              <w:jc w:val="left"/>
              <w:rPr/>
            </w:pPr>
            <w:r>
              <w:rPr/>
              <w:t>  </w:t>
            </w:r>
          </w:p>
        </w:tc>
        <w:tc>
          <w:tcPr>
            <w:tcW w:w="1902" w:type="dxa"/>
            <w:gridSpan w:val="2"/>
            <w:tcBorders>
              <w:bottom w:val="single" w:sz="8" w:space="0" w:color="000000"/>
            </w:tcBorders>
            <w:tcMar>
              <w:bottom w:w="28" w:type="dxa"/>
            </w:tcMar>
            <w:vAlign w:val="bottom"/>
          </w:tcPr>
          <w:p>
            <w:pPr>
              <w:pStyle w:val="TableContents"/>
              <w:bidi w:val="0"/>
              <w:spacing w:before="0" w:after="283"/>
              <w:jc w:val="left"/>
              <w:rPr>
                <w:b/>
              </w:rPr>
            </w:pPr>
            <w:r>
              <w:rPr>
                <w:b/>
              </w:rPr>
              <w:t>Number of Shares</w:t>
            </w:r>
          </w:p>
        </w:tc>
        <w:tc>
          <w:tcPr>
            <w:tcW w:w="63" w:type="dxa"/>
            <w:tcBorders/>
            <w:vAlign w:val="bottom"/>
          </w:tcPr>
          <w:p>
            <w:pPr>
              <w:pStyle w:val="TableContents"/>
              <w:bidi w:val="0"/>
              <w:spacing w:before="0" w:after="283"/>
              <w:jc w:val="left"/>
              <w:rPr/>
            </w:pPr>
            <w:r>
              <w:rPr/>
              <w:t> </w:t>
            </w:r>
          </w:p>
        </w:tc>
      </w:tr>
      <w:tr>
        <w:trPr/>
        <w:tc>
          <w:tcPr>
            <w:tcW w:w="6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3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74"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3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82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Allen &amp; Company LLC</w:t>
            </w:r>
          </w:p>
        </w:tc>
        <w:tc>
          <w:tcPr>
            <w:tcW w:w="33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74"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3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82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Cowen and Company, LLC</w:t>
            </w:r>
          </w:p>
        </w:tc>
        <w:tc>
          <w:tcPr>
            <w:tcW w:w="33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82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374" w:type="dxa"/>
            <w:tcBorders/>
          </w:tcPr>
          <w:p>
            <w:pPr>
              <w:pStyle w:val="TableContents"/>
              <w:bidi w:val="0"/>
              <w:spacing w:before="0" w:after="0"/>
              <w:jc w:val="right"/>
              <w:rPr>
                <w:rFonts w:ascii="Times New Roman" w:hAnsi="Times New Roman"/>
                <w:sz w:val="20"/>
              </w:rPr>
            </w:pPr>
            <w:r>
              <w:rPr>
                <w:rFonts w:ascii="Times New Roman" w:hAnsi="Times New Roman"/>
                <w:sz w:val="20"/>
              </w:rPr>
              <w:t>Total:</w:t>
            </w:r>
          </w:p>
        </w:tc>
        <w:tc>
          <w:tcPr>
            <w:tcW w:w="33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27"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37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82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initially propose to offer part of the shares of Class A common stock directly to the public at the offering price listed on the cover page of 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The selling stockholders identified in this prospectus have granted to the underwriters an option, exercisable for 30 days from the date of this prospectus, to 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 additional                shares of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605"/>
        <w:gridCol w:w="307"/>
        <w:gridCol w:w="140"/>
        <w:gridCol w:w="540"/>
        <w:gridCol w:w="60"/>
        <w:gridCol w:w="307"/>
        <w:gridCol w:w="180"/>
        <w:gridCol w:w="727"/>
        <w:gridCol w:w="60"/>
        <w:gridCol w:w="307"/>
        <w:gridCol w:w="180"/>
        <w:gridCol w:w="726"/>
        <w:gridCol w:w="66"/>
      </w:tblGrid>
      <w:tr>
        <w:trPr/>
        <w:tc>
          <w:tcPr>
            <w:tcW w:w="6605"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60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1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6605"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w:t>
              <w:br/>
              <w:t>Exercise</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w:t>
              <w:br/>
              <w:t>Exercise</w:t>
            </w:r>
          </w:p>
        </w:tc>
        <w:tc>
          <w:tcPr>
            <w:tcW w:w="66" w:type="dxa"/>
            <w:tcBorders/>
            <w:vAlign w:val="bottom"/>
          </w:tcPr>
          <w:p>
            <w:pPr>
              <w:pStyle w:val="TableContents"/>
              <w:bidi w:val="0"/>
              <w:spacing w:before="0" w:after="283"/>
              <w:jc w:val="left"/>
              <w:rPr/>
            </w:pPr>
            <w:r>
              <w:rPr/>
              <w:t> </w:t>
            </w:r>
          </w:p>
        </w:tc>
      </w:tr>
      <w:tr>
        <w:trPr/>
        <w:tc>
          <w:tcPr>
            <w:tcW w:w="6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6605"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to be paid by:</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7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6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6605" w:type="dxa"/>
            <w:tcBorders/>
          </w:tcPr>
          <w:p>
            <w:pPr>
              <w:pStyle w:val="TableContents"/>
              <w:bidi w:val="0"/>
              <w:spacing w:before="0" w:after="0"/>
              <w:jc w:val="left"/>
              <w:rPr>
                <w:rFonts w:ascii="Times New Roman" w:hAnsi="Times New Roman"/>
                <w:sz w:val="20"/>
              </w:rPr>
            </w:pPr>
            <w:r>
              <w:rPr>
                <w:rFonts w:ascii="Times New Roman" w:hAnsi="Times New Roman"/>
                <w:sz w:val="20"/>
              </w:rPr>
              <w:t>The selling stockholders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6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6605" w:type="dxa"/>
            <w:tcBorders/>
          </w:tcPr>
          <w:p>
            <w:pPr>
              <w:pStyle w:val="TableContents"/>
              <w:bidi w:val="0"/>
              <w:spacing w:before="0" w:after="0"/>
              <w:jc w:val="left"/>
              <w:rPr>
                <w:rFonts w:ascii="Times New Roman" w:hAnsi="Times New Roman"/>
                <w:sz w:val="20"/>
              </w:rPr>
            </w:pPr>
            <w:r>
              <w:rPr>
                <w:rFonts w:ascii="Times New Roman" w:hAnsi="Times New Roman"/>
                <w:sz w:val="20"/>
              </w:rPr>
              <w:t>Proceeds, before expenses, to selling stockholders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                million. We have agreed to reimburse the underwriters for expenses relating to clearance of this offering with the Financial Industry Regulatory Authority up to $                . </w:t>
      </w:r>
    </w:p>
    <w:p>
      <w:pPr>
        <w:pStyle w:val="TextBody"/>
        <w:bidi w:val="0"/>
        <w:spacing w:before="240" w:after="0"/>
        <w:jc w:val="both"/>
        <w:rPr>
          <w:rFonts w:ascii="Times New Roman" w:hAnsi="Times New Roman"/>
          <w:sz w:val="20"/>
        </w:rPr>
      </w:pPr>
      <w:r>
        <w:rPr>
          <w:rFonts w:ascii="Times New Roman" w:hAnsi="Times New Roman"/>
          <w:sz w:val="20"/>
        </w:rPr>
        <w:t xml:space="preserve">The underwriters have informed us that they do not intend sales to discretionary accounts to exceed 5% of the total number of shares of Class A common stock offered by them. We intend to apply to list our Class A common stock on the                under the trading symbol TIME. </w:t>
      </w:r>
    </w:p>
    <w:p>
      <w:pPr>
        <w:pStyle w:val="TextBody"/>
        <w:bidi w:val="0"/>
        <w:spacing w:before="240" w:after="0"/>
        <w:jc w:val="both"/>
        <w:rPr>
          <w:rFonts w:ascii="Times New Roman" w:hAnsi="Times New Roman"/>
          <w:sz w:val="20"/>
        </w:rPr>
      </w:pPr>
      <w:r>
        <w:rPr>
          <w:rFonts w:ascii="Times New Roman" w:hAnsi="Times New Roman"/>
          <w:sz w:val="20"/>
        </w:rPr>
        <w:t xml:space="preserve">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th day after the date of this prospectus, referred to as the restricted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file any registration statement with the Securities and Exchange Commission, or the SEC, relating to the offering of any shares of common stock or any securities convertible into or exercisable or exchangeable for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w:t>
            </w:r>
          </w:p>
        </w:tc>
      </w:tr>
    </w:tbl>
    <w:p>
      <w:pPr>
        <w:pStyle w:val="TextBody"/>
        <w:bidi w:val="0"/>
        <w:spacing w:before="240" w:after="0"/>
        <w:jc w:val="both"/>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restrictions described in the immediately preceding paragraph do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sale of shares to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issuance by the company of shares of common stock upon the exercise of an option or a warrant or the conversion of a security outstanding on the date of this prospectus of which the underwriters have been advised in writing;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transactions by any person other than us relating to shares of common stock or other securities acquired in open market transactions after the completion of the offering of the shares; provided that no filing under Section 16(a) of the Exchange Act is required or voluntarily made in connection with subsequent sales of the common stock or other securities acquired in such open market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establishment of a trading plan on behalf of a shareholder, officer or director of the company pursuant to Rule 10b5-1 under the Exchange Act for the transfer of shares of common stock, provided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that (i) such plan does not provide for the transfer of common stock during the restricted period and (ii) to the extent a public announcement or filing under the Exchange Act, if any, is required of or voluntarily made by or on behalf of the company regarding the establishment of such plan, such announcement or filing shall include a statement to the effect that no transfer of common stock may be made under such plan during the restricted period.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Morgan Stanley &amp; Co. LLC and J.P. Morgan Securities LLC, in their joint discretion, may release the common stock and other securities subject to the lock-up agreements described above in whole or in part at any time, subject to applicable notice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 </w:t>
      </w:r>
    </w:p>
    <w:p>
      <w:pPr>
        <w:pStyle w:val="TextBody"/>
        <w:bidi w:val="0"/>
        <w:spacing w:before="240" w:after="0"/>
        <w:jc w:val="both"/>
        <w:rPr>
          <w:rFonts w:ascii="Times New Roman" w:hAnsi="Times New Roman"/>
          <w:sz w:val="20"/>
        </w:rPr>
      </w:pPr>
      <w:r>
        <w:rPr>
          <w:rFonts w:ascii="Times New Roman" w:hAnsi="Times New Roman"/>
          <w:sz w:val="20"/>
        </w:rPr>
        <w:t xml:space="preserve">We, the selling stockholders and the underwriters have agreed to indemnify each other against certain liabilities, including liabilities under the Securities Act. </w:t>
      </w:r>
    </w:p>
    <w:p>
      <w:pPr>
        <w:pStyle w:val="TextBody"/>
        <w:bidi w:val="0"/>
        <w:spacing w:before="240" w:after="0"/>
        <w:jc w:val="both"/>
        <w:rPr>
          <w:rFonts w:ascii="Times New Roman" w:hAnsi="Times New Roman"/>
          <w:sz w:val="20"/>
        </w:rPr>
      </w:pPr>
      <w:r>
        <w:rPr>
          <w:rFonts w:ascii="Times New Roman" w:hAnsi="Times New Roman"/>
          <w:sz w:val="20"/>
        </w:rPr>
        <w:t xml:space="preserve">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both"/>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Pricing of the Offering </w:t>
      </w:r>
    </w:p>
    <w:p>
      <w:pPr>
        <w:pStyle w:val="TextBody"/>
        <w:bidi w:val="0"/>
        <w:spacing w:before="120" w:after="0"/>
        <w:jc w:val="both"/>
        <w:rPr>
          <w:rFonts w:ascii="Times New Roman" w:hAnsi="Times New Roman"/>
          <w:sz w:val="20"/>
        </w:rPr>
      </w:pPr>
      <w:r>
        <w:rPr>
          <w:rFonts w:ascii="Times New Roman" w:hAnsi="Times New Roman"/>
          <w:sz w:val="20"/>
        </w:rPr>
        <w:t xml:space="preserve">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both"/>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in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204"/>
        <w:gridCol w:w="9288"/>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in the Prospectus Regulation), subject to obtaining the prior consent of the representatives;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both"/>
        <w:rPr>
          <w:rFonts w:ascii="Times New Roman" w:hAnsi="Times New Roman"/>
          <w:sz w:val="20"/>
        </w:rPr>
      </w:pPr>
      <w:r>
        <w:rPr>
          <w:rFonts w:ascii="Times New Roman" w:hAnsi="Times New Roman"/>
          <w:sz w:val="20"/>
        </w:rPr>
        <w:t xml:space="preserve">In relation to the United Kingdom, no securities have been offered or will be offered pursuant to this offering to the public in the United Kingdom prior to the publication of a prospectus in relation to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204"/>
        <w:gridCol w:w="9289"/>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right"/>
              <w:rPr/>
            </w:pPr>
            <w:r>
              <w:rPr/>
              <w:t>(a)</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any legal entity which is a qualified investor as defined in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4"/>
        <w:gridCol w:w="9288"/>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fewer than 150 natural or legal persons (other than qualified investors as defined in Article 2 of the UK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203"/>
        <w:gridCol w:w="9289"/>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(c)</w:t>
            </w:r>
          </w:p>
        </w:tc>
        <w:tc>
          <w:tcPr>
            <w:tcW w:w="203"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or the FMSA,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provided that no such offer of shares shall require the issuer or any underwriter to publish a prospectus pursuant to section 85 of the FSMA or supplement a prospectus pursuant to Article 23 of the UK Prospectus Regulation. </w:t>
      </w:r>
    </w:p>
    <w:p>
      <w:pPr>
        <w:pStyle w:val="TextBody"/>
        <w:bidi w:val="0"/>
        <w:spacing w:before="240" w:after="0"/>
        <w:jc w:val="both"/>
        <w:rPr>
          <w:rFonts w:ascii="Times New Roman" w:hAnsi="Times New Roman"/>
          <w:sz w:val="20"/>
        </w:rPr>
      </w:pPr>
      <w:r>
        <w:rPr>
          <w:rFonts w:ascii="Times New Roman" w:hAnsi="Times New Roman"/>
          <w:sz w:val="20"/>
        </w:rPr>
        <w:t xml:space="preserve">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both"/>
        <w:rPr>
          <w:rFonts w:ascii="Times New Roman" w:hAnsi="Times New Roman"/>
          <w:sz w:val="20"/>
        </w:rPr>
      </w:pPr>
      <w:r>
        <w:rPr>
          <w:rFonts w:ascii="Times New Roman" w:hAnsi="Times New Roman"/>
          <w:sz w:val="20"/>
        </w:rPr>
        <w:t xml:space="preserve">Each underwriter has represented and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203"/>
        <w:gridCol w:w="9291"/>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right"/>
              <w:rPr/>
            </w:pPr>
            <w:r>
              <w:rPr/>
              <w:t>(a)</w:t>
            </w:r>
          </w:p>
        </w:tc>
        <w:tc>
          <w:tcPr>
            <w:tcW w:w="203"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204"/>
        <w:gridCol w:w="9289"/>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right"/>
              <w:rPr/>
            </w:pPr>
            <w:r>
              <w:rPr/>
              <w:t>(b)</w:t>
            </w:r>
          </w:p>
        </w:tc>
        <w:tc>
          <w:tcPr>
            <w:tcW w:w="204"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has complied and will comply with all applicable provisions of the FSMA with respect to anything done by it in relation to the shares of our Class A common stock in, from or otherwise involving the United Kingdom.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both"/>
        <w:rPr>
          <w:rFonts w:ascii="Times New Roman" w:hAnsi="Times New Roman"/>
          <w:sz w:val="20"/>
        </w:rPr>
      </w:pPr>
      <w:r>
        <w:rPr>
          <w:rFonts w:ascii="Times New Roman" w:hAnsi="Times New Roman"/>
          <w:sz w:val="20"/>
        </w:rPr>
        <w:t xml:space="preserve">The shares of Class A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 </w:t>
      </w:r>
    </w:p>
    <w:p>
      <w:pPr>
        <w:pStyle w:val="TextBody"/>
        <w:bidi w:val="0"/>
        <w:spacing w:before="240" w:after="0"/>
        <w:jc w:val="both"/>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both"/>
        <w:rPr>
          <w:rFonts w:ascii="Times New Roman" w:hAnsi="Times New Roman"/>
          <w:sz w:val="20"/>
        </w:rPr>
      </w:pPr>
      <w:r>
        <w:rPr>
          <w:rFonts w:ascii="Times New Roman" w:hAnsi="Times New Roman"/>
          <w:sz w:val="20"/>
        </w:rPr>
        <w:t xml:space="preserve">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 </w:t>
      </w:r>
    </w:p>
    <w:p>
      <w:pPr>
        <w:pStyle w:val="TextBody"/>
        <w:bidi w:val="0"/>
        <w:spacing w:before="360" w:after="0"/>
        <w:jc w:val="left"/>
        <w:rPr>
          <w:rFonts w:ascii="Times New Roman" w:hAnsi="Times New Roman"/>
          <w:i/>
          <w:sz w:val="20"/>
        </w:rPr>
      </w:pPr>
      <w:r>
        <w:rPr>
          <w:rFonts w:ascii="Times New Roman" w:hAnsi="Times New Roman"/>
          <w:i/>
          <w:sz w:val="20"/>
        </w:rPr>
        <w:t xml:space="preserve">For Qualified Institutional Investors (QII)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 </w:t>
      </w:r>
    </w:p>
    <w:p>
      <w:pPr>
        <w:pStyle w:val="TextBody"/>
        <w:bidi w:val="0"/>
        <w:spacing w:before="360" w:after="0"/>
        <w:jc w:val="left"/>
        <w:rPr>
          <w:rFonts w:ascii="Times New Roman" w:hAnsi="Times New Roman"/>
          <w:i/>
          <w:sz w:val="20"/>
        </w:rPr>
      </w:pPr>
      <w:r>
        <w:rPr>
          <w:rFonts w:ascii="Times New Roman" w:hAnsi="Times New Roman"/>
          <w:i/>
          <w:sz w:val="20"/>
        </w:rPr>
        <w:t xml:space="preserve">For Non-QII Investors </w:t>
      </w:r>
    </w:p>
    <w:p>
      <w:pPr>
        <w:pStyle w:val="TextBody"/>
        <w:bidi w:val="0"/>
        <w:spacing w:before="120" w:after="0"/>
        <w:jc w:val="both"/>
        <w:rPr>
          <w:rFonts w:ascii="Times New Roman" w:hAnsi="Times New Roman"/>
          <w:sz w:val="20"/>
        </w:rPr>
      </w:pPr>
      <w:r>
        <w:rPr>
          <w:rFonts w:ascii="Times New Roman" w:hAnsi="Times New Roman"/>
          <w:sz w:val="20"/>
        </w:rPr>
        <w:t xml:space="preserve">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both"/>
        <w:rPr>
          <w:rFonts w:ascii="Times New Roman" w:hAnsi="Times New Roman"/>
          <w:sz w:val="20"/>
        </w:rPr>
      </w:pPr>
      <w:r>
        <w:rPr>
          <w:rFonts w:ascii="Times New Roman" w:hAnsi="Times New Roman"/>
          <w:sz w:val="20"/>
        </w:rPr>
        <w:t xml:space="preserve">Shares of our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both"/>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both"/>
        <w:rPr>
          <w:rFonts w:ascii="Times New Roman" w:hAnsi="Times New Roman"/>
          <w:sz w:val="20"/>
        </w:rPr>
      </w:pPr>
      <w:r>
        <w:rPr>
          <w:rFonts w:ascii="Times New Roman" w:hAnsi="Times New Roman"/>
          <w:sz w:val="20"/>
        </w:rPr>
        <w:t xml:space="preserve">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0"/>
        <w:jc w:val="both"/>
        <w:rPr>
          <w:rFonts w:ascii="Times New Roman" w:hAnsi="Times New Roman"/>
          <w:sz w:val="20"/>
        </w:rPr>
      </w:pPr>
      <w:r>
        <w:rPr>
          <w:rFonts w:ascii="Times New Roman" w:hAnsi="Times New Roman"/>
          <w:sz w:val="20"/>
        </w:rPr>
        <w:t xml:space="preserve">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0"/>
        <w:jc w:val="both"/>
        <w:rPr>
          <w:rFonts w:ascii="Times New Roman" w:hAnsi="Times New Roman"/>
          <w:sz w:val="20"/>
        </w:rPr>
      </w:pPr>
      <w:r>
        <w:rPr>
          <w:rFonts w:ascii="Times New Roman" w:hAnsi="Times New Roman"/>
          <w:sz w:val="20"/>
        </w:rPr>
        <w:t xml:space="preserve">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rom221145_20"/>
      <w:bookmarkEnd w:id="22"/>
      <w:r>
        <w:rPr>
          <w:rFonts w:ascii="Times New Roman" w:hAnsi="Times New Roman"/>
          <w:b/>
          <w:sz w:val="20"/>
        </w:rPr>
        <w:t xml:space="preserve">LEGAL MATTERS </w:t>
      </w:r>
    </w:p>
    <w:p>
      <w:pPr>
        <w:pStyle w:val="TextBody"/>
        <w:bidi w:val="0"/>
        <w:spacing w:before="120" w:after="0"/>
        <w:jc w:val="both"/>
        <w:rPr>
          <w:rFonts w:ascii="Times New Roman" w:hAnsi="Times New Roman"/>
          <w:sz w:val="20"/>
        </w:rPr>
      </w:pPr>
      <w:r>
        <w:rPr>
          <w:rFonts w:ascii="Times New Roman" w:hAnsi="Times New Roman"/>
          <w:sz w:val="20"/>
        </w:rPr>
        <w:t xml:space="preserve">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 </w:t>
      </w:r>
    </w:p>
    <w:p>
      <w:pPr>
        <w:pStyle w:val="TextBody"/>
        <w:bidi w:val="0"/>
        <w:spacing w:before="480" w:after="0"/>
        <w:jc w:val="center"/>
        <w:rPr>
          <w:rFonts w:ascii="Times New Roman" w:hAnsi="Times New Roman"/>
          <w:b/>
          <w:sz w:val="20"/>
        </w:rPr>
      </w:pPr>
      <w:bookmarkStart w:id="23" w:name="rom221145_21"/>
      <w:bookmarkEnd w:id="23"/>
      <w:r>
        <w:rPr>
          <w:rFonts w:ascii="Times New Roman" w:hAnsi="Times New Roman"/>
          <w:b/>
          <w:sz w:val="20"/>
        </w:rPr>
        <w:t xml:space="preserve">EXPERTS </w:t>
      </w:r>
    </w:p>
    <w:p>
      <w:pPr>
        <w:pStyle w:val="TextBody"/>
        <w:bidi w:val="0"/>
        <w:spacing w:before="120" w:after="0"/>
        <w:jc w:val="both"/>
        <w:rPr>
          <w:rFonts w:ascii="Times New Roman" w:hAnsi="Times New Roman"/>
          <w:sz w:val="20"/>
        </w:rPr>
      </w:pPr>
      <w:r>
        <w:rPr>
          <w:rFonts w:ascii="Times New Roman" w:hAnsi="Times New Roman"/>
          <w:sz w:val="20"/>
        </w:rPr>
        <w:t xml:space="preserve">The financial statements as of December 31, 2020 and 2019,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rom221145_22"/>
      <w:bookmarkEnd w:id="24"/>
      <w:r>
        <w:rPr>
          <w:rFonts w:ascii="Times New Roman" w:hAnsi="Times New Roman"/>
          <w:b/>
          <w:sz w:val="20"/>
        </w:rPr>
        <w:t xml:space="preserve">WHERE YOU CAN FIND ADDITIONAL INFORMATION </w:t>
      </w:r>
    </w:p>
    <w:p>
      <w:pPr>
        <w:pStyle w:val="TextBody"/>
        <w:bidi w:val="0"/>
        <w:spacing w:before="120" w:after="0"/>
        <w:jc w:val="both"/>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 </w:t>
      </w:r>
    </w:p>
    <w:p>
      <w:pPr>
        <w:pStyle w:val="TextBody"/>
        <w:bidi w:val="0"/>
        <w:spacing w:before="240" w:after="0"/>
        <w:jc w:val="both"/>
        <w:rPr>
          <w:rFonts w:ascii="Times New Roman" w:hAnsi="Times New Roman"/>
          <w:sz w:val="20"/>
        </w:rPr>
      </w:pPr>
      <w:r>
        <w:rPr>
          <w:rFonts w:ascii="Times New Roman" w:hAnsi="Times New Roman"/>
          <w:sz w:val="20"/>
        </w:rPr>
        <w:t xml:space="preserve">On the closing of this offering, we will be subject to the information reporting requirements of the Exchange Act, and we will file reports, proxy statements, and other information with the SEC. These reports, proxy statements, and other information will be available at www.sec.gov. </w:t>
      </w:r>
    </w:p>
    <w:p>
      <w:pPr>
        <w:pStyle w:val="TextBody"/>
        <w:bidi w:val="0"/>
        <w:spacing w:before="240" w:after="0"/>
        <w:jc w:val="both"/>
        <w:rPr>
          <w:rFonts w:ascii="Times New Roman" w:hAnsi="Times New Roman"/>
          <w:sz w:val="20"/>
        </w:rPr>
      </w:pPr>
      <w:r>
        <w:rPr>
          <w:rFonts w:ascii="Times New Roman" w:hAnsi="Times New Roman"/>
          <w:sz w:val="20"/>
        </w:rPr>
        <w:t xml:space="preserve">We also maintain a website at www.tempus.com. Information contained in, or accessible through, our website is not a part of this prospectus, and the inclusion of our website address in this prospectus is only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bookmarkStart w:id="25" w:name="rom221145_23"/>
      <w:bookmarkEnd w:id="25"/>
      <w:r>
        <w:rPr>
          <w:rFonts w:ascii="Times New Roman" w:hAnsi="Times New Roman"/>
          <w:b/>
          <w:sz w:val="20"/>
        </w:rPr>
        <w:t xml:space="preserve">Financial Statements </w:t>
      </w:r>
    </w:p>
    <w:p>
      <w:pPr>
        <w:pStyle w:val="TextBody"/>
        <w:bidi w:val="0"/>
        <w:spacing w:before="0" w:after="0"/>
        <w:jc w:val="center"/>
        <w:rPr>
          <w:rFonts w:ascii="Times New Roman" w:hAnsi="Times New Roman"/>
          <w:b/>
          <w:sz w:val="20"/>
        </w:rPr>
      </w:pPr>
      <w:bookmarkStart w:id="26" w:name="toc1"/>
      <w:bookmarkEnd w:id="2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13"/>
        <w:gridCol w:w="226"/>
        <w:gridCol w:w="60"/>
        <w:gridCol w:w="943"/>
        <w:gridCol w:w="63"/>
      </w:tblGrid>
      <w:tr>
        <w:trPr/>
        <w:tc>
          <w:tcPr>
            <w:tcW w:w="891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913" w:type="dxa"/>
            <w:tcBorders/>
            <w:vAlign w:val="bottom"/>
          </w:tcPr>
          <w:p>
            <w:pPr>
              <w:pStyle w:val="TableContents"/>
              <w:bidi w:val="0"/>
              <w:spacing w:before="0" w:after="0"/>
              <w:jc w:val="left"/>
              <w:rPr/>
            </w:pPr>
            <w:hyperlink w:anchor="fin221145_1">
              <w:r>
                <w:rPr>
                  <w:rStyle w:val="InternetLink"/>
                  <w:rFonts w:ascii="Times New Roman" w:hAnsi="Times New Roman"/>
                  <w:sz w:val="20"/>
                </w:rPr>
                <w:t xml:space="preserve">Report of Independent Registered Public Accounting Firm </w:t>
              </w:r>
            </w:hyperlink>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89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8913" w:type="dxa"/>
            <w:tcBorders/>
            <w:vAlign w:val="bottom"/>
          </w:tcPr>
          <w:p>
            <w:pPr>
              <w:pStyle w:val="TableContents"/>
              <w:bidi w:val="0"/>
              <w:spacing w:before="0" w:after="0"/>
              <w:jc w:val="left"/>
              <w:rPr/>
            </w:pPr>
            <w:hyperlink w:anchor="fin221145_2">
              <w:r>
                <w:rPr>
                  <w:rStyle w:val="InternetLink"/>
                  <w:rFonts w:ascii="Times New Roman" w:hAnsi="Times New Roman"/>
                  <w:sz w:val="20"/>
                </w:rPr>
                <w:t>Consolidated Balance Sheets</w:t>
              </w:r>
            </w:hyperlink>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8913" w:type="dxa"/>
            <w:tcBorders/>
            <w:vAlign w:val="bottom"/>
          </w:tcPr>
          <w:p>
            <w:pPr>
              <w:pStyle w:val="TableContents"/>
              <w:bidi w:val="0"/>
              <w:spacing w:before="0" w:after="0"/>
              <w:jc w:val="left"/>
              <w:rPr/>
            </w:pPr>
            <w:hyperlink w:anchor="fin221145_3">
              <w:r>
                <w:rPr>
                  <w:rStyle w:val="InternetLink"/>
                  <w:rFonts w:ascii="Times New Roman" w:hAnsi="Times New Roman"/>
                  <w:sz w:val="20"/>
                </w:rPr>
                <w:t>Consolidated Statements of Operations and Comprehensive Loss</w:t>
              </w:r>
            </w:hyperlink>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8913" w:type="dxa"/>
            <w:tcBorders/>
            <w:vAlign w:val="bottom"/>
          </w:tcPr>
          <w:p>
            <w:pPr>
              <w:pStyle w:val="TableContents"/>
              <w:bidi w:val="0"/>
              <w:spacing w:before="0" w:after="0"/>
              <w:jc w:val="left"/>
              <w:rPr/>
            </w:pPr>
            <w:hyperlink w:anchor="fin221145_4">
              <w:r>
                <w:rPr>
                  <w:rStyle w:val="InternetLink"/>
                  <w:rFonts w:ascii="Times New Roman" w:hAnsi="Times New Roman"/>
                  <w:sz w:val="20"/>
                </w:rPr>
                <w:t>Consolidated Statements of Cash Flows</w:t>
              </w:r>
            </w:hyperlink>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8913" w:type="dxa"/>
            <w:tcBorders/>
            <w:vAlign w:val="bottom"/>
          </w:tcPr>
          <w:p>
            <w:pPr>
              <w:pStyle w:val="TableContents"/>
              <w:bidi w:val="0"/>
              <w:spacing w:before="0" w:after="0"/>
              <w:jc w:val="left"/>
              <w:rPr/>
            </w:pPr>
            <w:hyperlink w:anchor="fin221145_5">
              <w:r>
                <w:rPr>
                  <w:rStyle w:val="InternetLink"/>
                  <w:rFonts w:ascii="Times New Roman" w:hAnsi="Times New Roman"/>
                  <w:sz w:val="20"/>
                </w:rPr>
                <w:t xml:space="preserve">Consolidated Statements of Redeemable Convertible Preferred Stock, Common Stock and Stockholders Deficit </w:t>
              </w:r>
            </w:hyperlink>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F-8</w:t>
            </w:r>
          </w:p>
        </w:tc>
        <w:tc>
          <w:tcPr>
            <w:tcW w:w="63" w:type="dxa"/>
            <w:tcBorders/>
            <w:vAlign w:val="bottom"/>
          </w:tcPr>
          <w:p>
            <w:pPr>
              <w:pStyle w:val="TableContents"/>
              <w:bidi w:val="0"/>
              <w:spacing w:before="0" w:after="283"/>
              <w:jc w:val="left"/>
              <w:rPr/>
            </w:pPr>
            <w:r>
              <w:rPr/>
              <w:t> </w:t>
            </w:r>
          </w:p>
        </w:tc>
      </w:tr>
      <w:tr>
        <w:trPr/>
        <w:tc>
          <w:tcPr>
            <w:tcW w:w="8913" w:type="dxa"/>
            <w:tcBorders/>
            <w:vAlign w:val="bottom"/>
          </w:tcPr>
          <w:p>
            <w:pPr>
              <w:pStyle w:val="TableContents"/>
              <w:bidi w:val="0"/>
              <w:spacing w:before="0" w:after="0"/>
              <w:jc w:val="left"/>
              <w:rPr/>
            </w:pPr>
            <w:hyperlink w:anchor="fin221145_6">
              <w:r>
                <w:rPr>
                  <w:rStyle w:val="InternetLink"/>
                  <w:rFonts w:ascii="Times New Roman" w:hAnsi="Times New Roman"/>
                  <w:sz w:val="20"/>
                </w:rPr>
                <w:t>Notes to Consolidated Financial Statements</w:t>
              </w:r>
            </w:hyperlink>
          </w:p>
        </w:tc>
        <w:tc>
          <w:tcPr>
            <w:tcW w:w="2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F-10F-38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fin221145_1"/>
      <w:bookmarkEnd w:id="27"/>
      <w:r>
        <w:rPr>
          <w:rFonts w:ascii="Times New Roman" w:hAnsi="Times New Roman"/>
          <w:b/>
          <w:sz w:val="20"/>
        </w:rPr>
        <w:t xml:space="preserve">Report of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To the Board of Directors and Stockholders of Tempus Labs,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Opinion on the Financial Statements </w:t>
      </w:r>
    </w:p>
    <w:p>
      <w:pPr>
        <w:pStyle w:val="TextBody"/>
        <w:bidi w:val="0"/>
        <w:spacing w:before="120" w:after="0"/>
        <w:jc w:val="both"/>
        <w:rPr>
          <w:rFonts w:ascii="Times New Roman" w:hAnsi="Times New Roman"/>
          <w:sz w:val="20"/>
        </w:rPr>
      </w:pPr>
      <w:r>
        <w:rPr>
          <w:rFonts w:ascii="Times New Roman" w:hAnsi="Times New Roman"/>
          <w:sz w:val="20"/>
        </w:rPr>
        <w:t xml:space="preserve">We have audited the accompanying consolidated balance sheets of Tempus Labs, Inc. and its subsidiaries (the Company) as of December 31, 2020 and 2019,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both"/>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both"/>
        <w:rPr>
          <w:rFonts w:ascii="Times New Roman" w:hAnsi="Times New Roman"/>
          <w:sz w:val="20"/>
        </w:rPr>
      </w:pPr>
      <w:r>
        <w:rPr>
          <w:rFonts w:ascii="Times New Roman" w:hAnsi="Times New Roman"/>
          <w:sz w:val="20"/>
        </w:rPr>
        <w:t xml:space="preserve">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w:t>
      </w:r>
    </w:p>
    <w:p>
      <w:pPr>
        <w:pStyle w:val="TextBody"/>
        <w:bidi w:val="0"/>
        <w:spacing w:before="240" w:after="0"/>
        <w:jc w:val="both"/>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both"/>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both"/>
        <w:rPr>
          <w:rFonts w:ascii="Times New Roman" w:hAnsi="Times New Roman"/>
          <w:sz w:val="20"/>
        </w:rPr>
      </w:pPr>
      <w:r>
        <w:rPr>
          <w:rFonts w:ascii="Times New Roman" w:hAnsi="Times New Roman"/>
          <w:sz w:val="20"/>
        </w:rPr>
        <w:t xml:space="preserve">Chicago, Illinois </w:t>
      </w:r>
    </w:p>
    <w:p>
      <w:pPr>
        <w:pStyle w:val="TextBody"/>
        <w:bidi w:val="0"/>
        <w:spacing w:before="0" w:after="0"/>
        <w:jc w:val="both"/>
        <w:rPr>
          <w:rFonts w:ascii="Times New Roman" w:hAnsi="Times New Roman"/>
          <w:sz w:val="20"/>
        </w:rPr>
      </w:pPr>
      <w:r>
        <w:rPr>
          <w:rFonts w:ascii="Times New Roman" w:hAnsi="Times New Roman"/>
          <w:sz w:val="20"/>
        </w:rPr>
        <w:t xml:space="preserve">September 1, 2021 </w:t>
      </w:r>
    </w:p>
    <w:p>
      <w:pPr>
        <w:pStyle w:val="TextBody"/>
        <w:bidi w:val="0"/>
        <w:spacing w:before="240" w:after="0"/>
        <w:jc w:val="both"/>
        <w:rPr>
          <w:rFonts w:ascii="Times New Roman" w:hAnsi="Times New Roman"/>
          <w:sz w:val="20"/>
        </w:rPr>
      </w:pPr>
      <w:r>
        <w:rPr>
          <w:rFonts w:ascii="Times New Roman" w:hAnsi="Times New Roman"/>
          <w:sz w:val="20"/>
        </w:rPr>
        <w:t xml:space="preserve">We have served as the Companys auditor since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bookmarkStart w:id="28" w:name="fin221145_2"/>
      <w:bookmarkEnd w:id="28"/>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68"/>
        <w:gridCol w:w="332"/>
        <w:gridCol w:w="211"/>
        <w:gridCol w:w="1233"/>
        <w:gridCol w:w="60"/>
        <w:gridCol w:w="332"/>
        <w:gridCol w:w="211"/>
        <w:gridCol w:w="1233"/>
        <w:gridCol w:w="60"/>
        <w:gridCol w:w="332"/>
        <w:gridCol w:w="168"/>
        <w:gridCol w:w="997"/>
        <w:gridCol w:w="68"/>
      </w:tblGrid>
      <w:tr>
        <w:trPr/>
        <w:tc>
          <w:tcPr>
            <w:tcW w:w="496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96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2019</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2021</w:t>
            </w:r>
          </w:p>
        </w:tc>
        <w:tc>
          <w:tcPr>
            <w:tcW w:w="68" w:type="dxa"/>
            <w:tcBorders/>
            <w:vAlign w:val="bottom"/>
          </w:tcPr>
          <w:p>
            <w:pPr>
              <w:pStyle w:val="TableContents"/>
              <w:bidi w:val="0"/>
              <w:spacing w:before="0" w:after="283"/>
              <w:jc w:val="left"/>
              <w:rPr/>
            </w:pPr>
            <w:r>
              <w:rPr/>
              <w:t> </w:t>
            </w:r>
          </w:p>
        </w:tc>
      </w:tr>
      <w:tr>
        <w:trPr/>
        <w:tc>
          <w:tcPr>
            <w:tcW w:w="496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165" w:type="dxa"/>
            <w:gridSpan w:val="2"/>
            <w:tcBorders/>
            <w:vAlign w:val="bottom"/>
          </w:tcPr>
          <w:p>
            <w:pPr>
              <w:pStyle w:val="TableContents"/>
              <w:bidi w:val="0"/>
              <w:spacing w:before="0" w:after="283"/>
              <w:jc w:val="center"/>
              <w:rPr>
                <w:b/>
              </w:rPr>
            </w:pPr>
            <w:r>
              <w:rPr>
                <w:b/>
              </w:rPr>
              <w:t>(unaudited)</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227,599</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513,436</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422,398</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allowances of $0, $478 and $478 at December 31, 2019 and 2020 and June 30, 2021, respectively</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31,888</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87,259</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46,212</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8,279</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37,557</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27,704</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8,466</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11,478</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9,263</w:t>
            </w:r>
          </w:p>
        </w:tc>
        <w:tc>
          <w:tcPr>
            <w:tcW w:w="68" w:type="dxa"/>
            <w:tcBorders/>
            <w:vAlign w:val="bottom"/>
          </w:tcPr>
          <w:p>
            <w:pPr>
              <w:pStyle w:val="TableContents"/>
              <w:bidi w:val="0"/>
              <w:spacing w:before="0" w:after="283"/>
              <w:jc w:val="left"/>
              <w:rPr/>
            </w:pPr>
            <w:r>
              <w:rPr/>
              <w:t> </w:t>
            </w:r>
          </w:p>
        </w:tc>
      </w:tr>
      <w:tr>
        <w:trPr/>
        <w:tc>
          <w:tcPr>
            <w:tcW w:w="496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276,232</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649,730</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505,577</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36,065</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38,435</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35,215</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15,986</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15,992</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15,986</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41,330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44,459</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39,472</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and other assets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2,522</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7,156</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501</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780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780</w:t>
            </w:r>
          </w:p>
        </w:tc>
        <w:tc>
          <w:tcPr>
            <w:tcW w:w="68" w:type="dxa"/>
            <w:tcBorders/>
            <w:vAlign w:val="bottom"/>
          </w:tcPr>
          <w:p>
            <w:pPr>
              <w:pStyle w:val="TableContents"/>
              <w:bidi w:val="0"/>
              <w:spacing w:before="0" w:after="283"/>
              <w:jc w:val="left"/>
              <w:rPr/>
            </w:pPr>
            <w:r>
              <w:rPr/>
              <w:t> </w:t>
            </w:r>
          </w:p>
        </w:tc>
      </w:tr>
      <w:tr>
        <w:trPr/>
        <w:tc>
          <w:tcPr>
            <w:tcW w:w="496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370,171</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751,918</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604,186</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120" w:hRule="atLeast"/>
        </w:trPr>
        <w:tc>
          <w:tcPr>
            <w:tcW w:w="4968" w:type="dxa"/>
            <w:tcBorders/>
            <w:vAlign w:val="center"/>
          </w:tcPr>
          <w:p>
            <w:pPr>
              <w:pStyle w:val="TableContents"/>
              <w:bidi w:val="0"/>
              <w:spacing w:before="0" w:after="283"/>
              <w:jc w:val="left"/>
              <w:rPr>
                <w:sz w:val="4"/>
                <w:szCs w:val="4"/>
              </w:rPr>
            </w:pPr>
            <w:r>
              <w:rPr>
                <w:sz w:val="4"/>
                <w:szCs w:val="4"/>
              </w:rPr>
            </w:r>
          </w:p>
        </w:tc>
        <w:tc>
          <w:tcPr>
            <w:tcW w:w="1836" w:type="dxa"/>
            <w:gridSpan w:val="4"/>
            <w:tcBorders/>
            <w:vAlign w:val="center"/>
          </w:tcPr>
          <w:p>
            <w:pPr>
              <w:pStyle w:val="TableContents"/>
              <w:bidi w:val="0"/>
              <w:spacing w:before="0" w:after="283"/>
              <w:jc w:val="left"/>
              <w:rPr>
                <w:sz w:val="4"/>
                <w:szCs w:val="4"/>
              </w:rPr>
            </w:pPr>
            <w:r>
              <w:rPr>
                <w:sz w:val="4"/>
                <w:szCs w:val="4"/>
              </w:rPr>
            </w:r>
          </w:p>
        </w:tc>
        <w:tc>
          <w:tcPr>
            <w:tcW w:w="1836"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r>
      <w:tr>
        <w:trPr/>
        <w:tc>
          <w:tcPr>
            <w:tcW w:w="496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redeemable preferred stock, and Stockholders deficit</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13,415</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53,571</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25,278</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7,704</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28,165</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49,261</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5,570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6,965</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5,917</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accrued data licensing fees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9,000</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9,000</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9,000</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deferred rent</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1,268</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1,320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1,282</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accrued dividends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5,625</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5,625</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2,813</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capital lease obligations</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1,151</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723</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498</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4,000</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43,733</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109,369</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98,049</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lease obligations, less current maturities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1,441</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724</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518</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3,380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10,271</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6,920</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Minimum accrued data licensing fees, less current maturities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14,917</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19,554</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15,388</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250,000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246,581</w:t>
            </w:r>
          </w:p>
        </w:tc>
        <w:tc>
          <w:tcPr>
            <w:tcW w:w="68" w:type="dxa"/>
            <w:tcBorders/>
            <w:vAlign w:val="bottom"/>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rent, less current portion</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12,954</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13,594</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13,617</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4,000</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2,234</w:t>
            </w:r>
          </w:p>
        </w:tc>
        <w:tc>
          <w:tcPr>
            <w:tcW w:w="60"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2,157</w:t>
            </w:r>
          </w:p>
        </w:tc>
        <w:tc>
          <w:tcPr>
            <w:tcW w:w="68" w:type="dxa"/>
            <w:tcBorders/>
            <w:vAlign w:val="bottom"/>
          </w:tcPr>
          <w:p>
            <w:pPr>
              <w:pStyle w:val="TableContents"/>
              <w:bidi w:val="0"/>
              <w:spacing w:before="0" w:after="283"/>
              <w:jc w:val="left"/>
              <w:rPr/>
            </w:pPr>
            <w:r>
              <w:rPr/>
              <w:t> </w:t>
            </w:r>
          </w:p>
        </w:tc>
      </w:tr>
      <w:tr>
        <w:trPr/>
        <w:tc>
          <w:tcPr>
            <w:tcW w:w="496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9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80,425</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3" w:type="dxa"/>
            <w:tcBorders/>
            <w:shd w:fill="CCEEFF" w:val="clear"/>
            <w:vAlign w:val="bottom"/>
          </w:tcPr>
          <w:p>
            <w:pPr>
              <w:pStyle w:val="TableContents"/>
              <w:bidi w:val="0"/>
              <w:spacing w:before="0" w:after="283"/>
              <w:jc w:val="right"/>
              <w:rPr/>
            </w:pPr>
            <w:r>
              <w:rPr/>
              <w:t>405,746</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7" w:type="dxa"/>
            <w:tcBorders/>
            <w:shd w:fill="CCEEFF" w:val="clear"/>
            <w:vAlign w:val="bottom"/>
          </w:tcPr>
          <w:p>
            <w:pPr>
              <w:pStyle w:val="TableContents"/>
              <w:bidi w:val="0"/>
              <w:spacing w:before="0" w:after="283"/>
              <w:jc w:val="right"/>
              <w:rPr/>
            </w:pPr>
            <w:r>
              <w:rPr/>
              <w:t>383,230</w:t>
            </w:r>
          </w:p>
        </w:tc>
        <w:tc>
          <w:tcPr>
            <w:tcW w:w="68" w:type="dxa"/>
            <w:tcBorders/>
            <w:shd w:fill="CCEEFF" w:val="clear"/>
            <w:vAlign w:val="bottom"/>
          </w:tcPr>
          <w:p>
            <w:pPr>
              <w:pStyle w:val="TableContents"/>
              <w:bidi w:val="0"/>
              <w:spacing w:before="0" w:after="283"/>
              <w:jc w:val="left"/>
              <w:rPr/>
            </w:pPr>
            <w:r>
              <w:rPr/>
              <w:t> </w:t>
            </w:r>
          </w:p>
        </w:tc>
      </w:tr>
      <w:tr>
        <w:trPr/>
        <w:tc>
          <w:tcPr>
            <w:tcW w:w="496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rHeight w:val="120" w:hRule="atLeast"/>
        </w:trPr>
        <w:tc>
          <w:tcPr>
            <w:tcW w:w="4968" w:type="dxa"/>
            <w:tcBorders/>
            <w:vAlign w:val="center"/>
          </w:tcPr>
          <w:p>
            <w:pPr>
              <w:pStyle w:val="TableContents"/>
              <w:bidi w:val="0"/>
              <w:spacing w:before="0" w:after="283"/>
              <w:jc w:val="left"/>
              <w:rPr>
                <w:sz w:val="4"/>
                <w:szCs w:val="4"/>
              </w:rPr>
            </w:pPr>
            <w:r>
              <w:rPr>
                <w:sz w:val="4"/>
                <w:szCs w:val="4"/>
              </w:rPr>
            </w:r>
          </w:p>
        </w:tc>
        <w:tc>
          <w:tcPr>
            <w:tcW w:w="1836" w:type="dxa"/>
            <w:gridSpan w:val="4"/>
            <w:tcBorders/>
            <w:vAlign w:val="center"/>
          </w:tcPr>
          <w:p>
            <w:pPr>
              <w:pStyle w:val="TableContents"/>
              <w:bidi w:val="0"/>
              <w:spacing w:before="0" w:after="283"/>
              <w:jc w:val="left"/>
              <w:rPr>
                <w:sz w:val="4"/>
                <w:szCs w:val="4"/>
              </w:rPr>
            </w:pPr>
            <w:r>
              <w:rPr>
                <w:sz w:val="4"/>
                <w:szCs w:val="4"/>
              </w:rPr>
            </w:r>
          </w:p>
        </w:tc>
        <w:tc>
          <w:tcPr>
            <w:tcW w:w="1836" w:type="dxa"/>
            <w:gridSpan w:val="4"/>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r>
      <w:tr>
        <w:trPr/>
        <w:tc>
          <w:tcPr>
            <w:tcW w:w="4968"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6)</w:t>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9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redeemable preferred stock, $0.001 par value, 55,088,384, 64,760,746 and 64,760,746 shares authorized at December 31, 2019 and 2020 and June 30, 2021, respectively; 55,088,384, 60,921,767 and 61,078,813 shares issued and outstanding at December 31, 2019 and 2020 and June 30, 2021, respectively; aggregate liquidation preference of $554,286, $871,530 and $894,480 at December 31, 2019 and 2020 and June 30, 2021 respectively.</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544,161</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859,156</w:t>
            </w:r>
          </w:p>
        </w:tc>
        <w:tc>
          <w:tcPr>
            <w:tcW w:w="60"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883,805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028"/>
        <w:gridCol w:w="268"/>
        <w:gridCol w:w="197"/>
        <w:gridCol w:w="1223"/>
        <w:gridCol w:w="155"/>
        <w:gridCol w:w="226"/>
        <w:gridCol w:w="197"/>
        <w:gridCol w:w="1223"/>
        <w:gridCol w:w="155"/>
        <w:gridCol w:w="226"/>
        <w:gridCol w:w="155"/>
        <w:gridCol w:w="990"/>
        <w:gridCol w:w="162"/>
      </w:tblGrid>
      <w:tr>
        <w:trPr/>
        <w:tc>
          <w:tcPr>
            <w:tcW w:w="5028"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028"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2021</w:t>
            </w:r>
          </w:p>
        </w:tc>
        <w:tc>
          <w:tcPr>
            <w:tcW w:w="162" w:type="dxa"/>
            <w:tcBorders/>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center"/>
              <w:rPr>
                <w:b/>
              </w:rPr>
            </w:pPr>
            <w:r>
              <w:rPr>
                <w:b/>
              </w:rPr>
              <w:t>(unaudited)</w:t>
            </w:r>
          </w:p>
        </w:tc>
        <w:tc>
          <w:tcPr>
            <w:tcW w:w="162" w:type="dxa"/>
            <w:tcBorders/>
            <w:vAlign w:val="bottom"/>
          </w:tcPr>
          <w:p>
            <w:pPr>
              <w:pStyle w:val="TableContents"/>
              <w:bidi w:val="0"/>
              <w:spacing w:before="0" w:after="283"/>
              <w:jc w:val="left"/>
              <w:rPr/>
            </w:pPr>
            <w:r>
              <w:rPr/>
              <w:t> </w:t>
            </w:r>
          </w:p>
        </w:tc>
      </w:tr>
      <w:tr>
        <w:trPr>
          <w:trHeight w:val="120" w:hRule="atLeast"/>
        </w:trPr>
        <w:tc>
          <w:tcPr>
            <w:tcW w:w="5028" w:type="dxa"/>
            <w:tcBorders/>
            <w:vAlign w:val="center"/>
          </w:tcPr>
          <w:p>
            <w:pPr>
              <w:pStyle w:val="TableContents"/>
              <w:bidi w:val="0"/>
              <w:spacing w:before="0" w:after="283"/>
              <w:jc w:val="left"/>
              <w:rPr>
                <w:sz w:val="4"/>
                <w:szCs w:val="4"/>
              </w:rPr>
            </w:pPr>
            <w:r>
              <w:rPr>
                <w:sz w:val="4"/>
                <w:szCs w:val="4"/>
              </w:rPr>
            </w:r>
          </w:p>
        </w:tc>
        <w:tc>
          <w:tcPr>
            <w:tcW w:w="1843" w:type="dxa"/>
            <w:gridSpan w:val="4"/>
            <w:tcBorders/>
            <w:vAlign w:val="center"/>
          </w:tcPr>
          <w:p>
            <w:pPr>
              <w:pStyle w:val="TableContents"/>
              <w:bidi w:val="0"/>
              <w:spacing w:before="0" w:after="283"/>
              <w:jc w:val="left"/>
              <w:rPr>
                <w:sz w:val="4"/>
                <w:szCs w:val="4"/>
              </w:rPr>
            </w:pPr>
            <w:r>
              <w:rPr>
                <w:sz w:val="4"/>
                <w:szCs w:val="4"/>
              </w:rPr>
            </w:r>
          </w:p>
        </w:tc>
        <w:tc>
          <w:tcPr>
            <w:tcW w:w="1801"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0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26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2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Voting Common Stock, $0.001 par value, 167,035,011, 187,075,184 and 187,075,184 shares authorized at December 31, 2019 and 2020 and June 30, 2021, respectively; 58,558,600, 58,367,961 and 58,367,961 shares issued and outstanding at December 31, 2019 and 2020 and June 30, 2021.</w:t>
            </w:r>
          </w:p>
        </w:tc>
        <w:tc>
          <w:tcPr>
            <w:tcW w:w="2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$0.001 par value, 54,446,627 and 63,946,620 and 63,946,620 shares authorized at December 31, 2019 and 2020 and June 30, 2021, respectively; 4,595,000, 4,595,000 and 4,612,450 shares issued and outstanding at December 31, 2019 and 2020 and June 30, 2021, respectively.</w:t>
            </w:r>
          </w:p>
        </w:tc>
        <w:tc>
          <w:tcPr>
            <w:tcW w:w="26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0</w:t>
            </w:r>
          </w:p>
        </w:tc>
        <w:tc>
          <w:tcPr>
            <w:tcW w:w="162" w:type="dxa"/>
            <w:tcBorders/>
            <w:shd w:fill="CCEEFF" w:val="clear"/>
            <w:vAlign w:val="bottom"/>
          </w:tcPr>
          <w:p>
            <w:pPr>
              <w:pStyle w:val="TableContents"/>
              <w:bidi w:val="0"/>
              <w:spacing w:before="0" w:after="283"/>
              <w:jc w:val="left"/>
              <w:rPr/>
            </w:pPr>
            <w:r>
              <w:rPr/>
              <w:t> </w:t>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3,431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0</w:t>
            </w:r>
          </w:p>
        </w:tc>
        <w:tc>
          <w:tcPr>
            <w:tcW w:w="162" w:type="dxa"/>
            <w:tcBorders/>
            <w:vAlign w:val="bottom"/>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6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9</w:t>
            </w:r>
          </w:p>
        </w:tc>
        <w:tc>
          <w:tcPr>
            <w:tcW w:w="162" w:type="dxa"/>
            <w:tcBorders/>
            <w:shd w:fill="CCEEFF" w:val="clear"/>
            <w:vAlign w:val="bottom"/>
          </w:tcPr>
          <w:p>
            <w:pPr>
              <w:pStyle w:val="TableContents"/>
              <w:bidi w:val="0"/>
              <w:spacing w:before="0" w:after="283"/>
              <w:jc w:val="left"/>
              <w:rPr/>
            </w:pPr>
            <w:r>
              <w:rPr/>
              <w:t> </w:t>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(257,853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(512,989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(662,864</w:t>
            </w:r>
          </w:p>
        </w:tc>
        <w:tc>
          <w:tcPr>
            <w:tcW w:w="162" w:type="dxa"/>
            <w:tcBorders/>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268"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(254,415</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3" w:type="dxa"/>
            <w:tcBorders/>
            <w:shd w:fill="CCEEFF" w:val="clear"/>
            <w:vAlign w:val="bottom"/>
          </w:tcPr>
          <w:p>
            <w:pPr>
              <w:pStyle w:val="TableContents"/>
              <w:bidi w:val="0"/>
              <w:spacing w:before="0" w:after="283"/>
              <w:jc w:val="right"/>
              <w:rPr/>
            </w:pPr>
            <w:r>
              <w:rPr/>
              <w:t>(512,984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(662,849</w:t>
            </w:r>
          </w:p>
        </w:tc>
        <w:tc>
          <w:tcPr>
            <w:tcW w:w="162" w:type="dxa"/>
            <w:tcBorders/>
            <w:shd w:fill="CCEEFF" w:val="clear"/>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02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Convertible redeemable preferred stock, and Stockholders deficit</w:t>
            </w:r>
          </w:p>
        </w:tc>
        <w:tc>
          <w:tcPr>
            <w:tcW w:w="2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370,171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23" w:type="dxa"/>
            <w:tcBorders/>
            <w:vAlign w:val="bottom"/>
          </w:tcPr>
          <w:p>
            <w:pPr>
              <w:pStyle w:val="TableContents"/>
              <w:bidi w:val="0"/>
              <w:spacing w:before="0" w:after="283"/>
              <w:jc w:val="right"/>
              <w:rPr/>
            </w:pPr>
            <w:r>
              <w:rPr/>
              <w:t>751,918</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604,186</w:t>
            </w:r>
          </w:p>
        </w:tc>
        <w:tc>
          <w:tcPr>
            <w:tcW w:w="162" w:type="dxa"/>
            <w:tcBorders/>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bookmarkStart w:id="29" w:name="fin221145_3"/>
      <w:bookmarkEnd w:id="29"/>
      <w:r>
        <w:rPr>
          <w:rFonts w:ascii="Times New Roman" w:hAnsi="Times New Roman"/>
          <w:b/>
          <w:sz w:val="20"/>
        </w:rPr>
        <w:t xml:space="preserve">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8"/>
        <w:gridCol w:w="185"/>
        <w:gridCol w:w="195"/>
        <w:gridCol w:w="1258"/>
        <w:gridCol w:w="155"/>
        <w:gridCol w:w="140"/>
        <w:gridCol w:w="195"/>
        <w:gridCol w:w="1258"/>
        <w:gridCol w:w="155"/>
        <w:gridCol w:w="140"/>
        <w:gridCol w:w="140"/>
        <w:gridCol w:w="901"/>
        <w:gridCol w:w="155"/>
        <w:gridCol w:w="140"/>
        <w:gridCol w:w="140"/>
        <w:gridCol w:w="901"/>
        <w:gridCol w:w="159"/>
      </w:tblGrid>
      <w:tr>
        <w:trPr/>
        <w:tc>
          <w:tcPr>
            <w:tcW w:w="3988"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8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2021</w:t>
            </w:r>
          </w:p>
        </w:tc>
        <w:tc>
          <w:tcPr>
            <w:tcW w:w="159"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5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77" w:type="dxa"/>
            <w:gridSpan w:val="6"/>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Genomics</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27,890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151,911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t>26,145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t>112,900</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Data and other</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34,167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36,093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10,274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19,195</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Total net revenue</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62,057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188,004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36,419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132,095</w:t>
            </w:r>
          </w:p>
        </w:tc>
        <w:tc>
          <w:tcPr>
            <w:tcW w:w="159" w:type="dxa"/>
            <w:tcBorders/>
            <w:vAlign w:val="bottom"/>
          </w:tcPr>
          <w:p>
            <w:pPr>
              <w:pStyle w:val="TableContents"/>
              <w:bidi w:val="0"/>
              <w:spacing w:before="0" w:after="283"/>
              <w:jc w:val="left"/>
              <w:rPr/>
            </w:pPr>
            <w:r>
              <w:rPr/>
              <w:t> </w:t>
            </w:r>
          </w:p>
        </w:tc>
      </w:tr>
      <w:tr>
        <w:trPr>
          <w:trHeight w:val="120" w:hRule="atLeast"/>
        </w:trPr>
        <w:tc>
          <w:tcPr>
            <w:tcW w:w="3988" w:type="dxa"/>
            <w:tcBorders/>
            <w:vAlign w:val="center"/>
          </w:tcPr>
          <w:p>
            <w:pPr>
              <w:pStyle w:val="TableContents"/>
              <w:bidi w:val="0"/>
              <w:spacing w:before="0" w:after="283"/>
              <w:jc w:val="left"/>
              <w:rPr>
                <w:sz w:val="4"/>
                <w:szCs w:val="4"/>
              </w:rPr>
            </w:pPr>
            <w:r>
              <w:rPr>
                <w:sz w:val="4"/>
                <w:szCs w:val="4"/>
              </w:rPr>
            </w:r>
          </w:p>
        </w:tc>
        <w:tc>
          <w:tcPr>
            <w:tcW w:w="1793"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39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and operating expenses</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revenues, genomics</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39,685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152,198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34,058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97,503</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 data and other</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6,330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7,092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2,889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4,917</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25,608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45,861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20,895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32,293</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31,253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45,415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20,625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27,791</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78,962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130,892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57,058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93,899</w:t>
            </w:r>
          </w:p>
        </w:tc>
        <w:tc>
          <w:tcPr>
            <w:tcW w:w="159"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 and operating expenses</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181,838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381,458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135,525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256,403</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(119,781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(193,454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(99,106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(124,308</w:t>
            </w:r>
          </w:p>
        </w:tc>
        <w:tc>
          <w:tcPr>
            <w:tcW w:w="159"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3988" w:type="dxa"/>
            <w:tcBorders/>
            <w:vAlign w:val="center"/>
          </w:tcPr>
          <w:p>
            <w:pPr>
              <w:pStyle w:val="TableContents"/>
              <w:bidi w:val="0"/>
              <w:spacing w:before="0" w:after="283"/>
              <w:jc w:val="left"/>
              <w:rPr>
                <w:sz w:val="4"/>
                <w:szCs w:val="4"/>
              </w:rPr>
            </w:pPr>
            <w:r>
              <w:rPr>
                <w:sz w:val="4"/>
                <w:szCs w:val="4"/>
              </w:rPr>
            </w:r>
          </w:p>
        </w:tc>
        <w:tc>
          <w:tcPr>
            <w:tcW w:w="1793"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4,860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1,495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919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356</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(18,929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(7,562</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(466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(7</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(114,951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(211,354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(98,202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(131,521</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(losses) from equity method investments</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1,500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(348</w:t>
            </w:r>
          </w:p>
        </w:tc>
        <w:tc>
          <w:tcPr>
            <w:tcW w:w="159"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(114,951</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(209,854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(98,202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(131,869</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convertible preferred stock to redemption value</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(7,303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(7,381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(3,203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(106</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on Series A, B, B-1, B-2, C, D, E, F and G preferred shares</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(23,640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(34,420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(16,625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(18,461</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Cumulative Undeclared Dividends on Series C preferred shares</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(2,250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(2,250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(1,125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(1,125</w:t>
            </w:r>
          </w:p>
        </w:tc>
        <w:tc>
          <w:tcPr>
            <w:tcW w:w="159"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available to common shareholders, basic and diluted</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(148,144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(253,905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(119,155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(151,561</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shareholders, basic and diluted</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(4.05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t>(1.90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t>(2.41</w:t>
            </w:r>
          </w:p>
        </w:tc>
        <w:tc>
          <w:tcPr>
            <w:tcW w:w="159" w:type="dxa"/>
            <w:tcBorders/>
            <w:vAlign w:val="bottom"/>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used to compute net loss per share, basic and diluted</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61,347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62,706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62,726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62,969</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3988" w:type="dxa"/>
            <w:tcBorders/>
            <w:vAlign w:val="center"/>
          </w:tcPr>
          <w:p>
            <w:pPr>
              <w:pStyle w:val="TableContents"/>
              <w:bidi w:val="0"/>
              <w:spacing w:before="0" w:after="283"/>
              <w:jc w:val="left"/>
              <w:rPr>
                <w:sz w:val="4"/>
                <w:szCs w:val="4"/>
              </w:rPr>
            </w:pPr>
            <w:r>
              <w:rPr>
                <w:sz w:val="4"/>
                <w:szCs w:val="4"/>
              </w:rPr>
            </w:r>
          </w:p>
        </w:tc>
        <w:tc>
          <w:tcPr>
            <w:tcW w:w="1793"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c>
          <w:tcPr>
            <w:tcW w:w="1336"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3988" w:type="dxa"/>
            <w:tcBorders/>
          </w:tcPr>
          <w:p>
            <w:pPr>
              <w:pStyle w:val="TableContents"/>
              <w:bidi w:val="0"/>
              <w:spacing w:before="0" w:after="0"/>
              <w:jc w:val="left"/>
              <w:rPr>
                <w:rFonts w:ascii="Times New Roman" w:hAnsi="Times New Roman"/>
                <w:b/>
                <w:sz w:val="20"/>
              </w:rPr>
            </w:pPr>
            <w:r>
              <w:rPr>
                <w:rFonts w:ascii="Times New Roman" w:hAnsi="Times New Roman"/>
                <w:b/>
                <w:sz w:val="20"/>
              </w:rPr>
              <w:t>Comprehensive (Loss) Income</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(114,951</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(209,854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(98,202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(131,869</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10</w:t>
            </w:r>
          </w:p>
        </w:tc>
        <w:tc>
          <w:tcPr>
            <w:tcW w:w="159" w:type="dxa"/>
            <w:tcBorders/>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8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(114,950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58" w:type="dxa"/>
            <w:tcBorders/>
            <w:shd w:fill="CCEEFF" w:val="clear"/>
            <w:vAlign w:val="bottom"/>
          </w:tcPr>
          <w:p>
            <w:pPr>
              <w:pStyle w:val="TableContents"/>
              <w:bidi w:val="0"/>
              <w:spacing w:before="0" w:after="283"/>
              <w:jc w:val="right"/>
              <w:rPr/>
            </w:pPr>
            <w:r>
              <w:rPr/>
              <w:t>(209,856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(98,213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(131,859</w:t>
            </w:r>
          </w:p>
        </w:tc>
        <w:tc>
          <w:tcPr>
            <w:tcW w:w="159" w:type="dxa"/>
            <w:tcBorders/>
            <w:shd w:fill="CCEEFF" w:val="clear"/>
            <w:vAlign w:val="bottom"/>
          </w:tcPr>
          <w:p>
            <w:pPr>
              <w:pStyle w:val="TableContents"/>
              <w:bidi w:val="0"/>
              <w:spacing w:before="0" w:after="283"/>
              <w:jc w:val="left"/>
              <w:rPr/>
            </w:pPr>
            <w:r>
              <w:rPr/>
              <w:t>) </w:t>
            </w:r>
          </w:p>
        </w:tc>
      </w:tr>
      <w:tr>
        <w:trPr/>
        <w:tc>
          <w:tcPr>
            <w:tcW w:w="3988"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bookmarkStart w:id="30" w:name="fin221145_4"/>
      <w:bookmarkEnd w:id="30"/>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32"/>
        <w:gridCol w:w="204"/>
        <w:gridCol w:w="140"/>
        <w:gridCol w:w="875"/>
        <w:gridCol w:w="162"/>
        <w:gridCol w:w="167"/>
        <w:gridCol w:w="140"/>
        <w:gridCol w:w="875"/>
        <w:gridCol w:w="162"/>
        <w:gridCol w:w="167"/>
        <w:gridCol w:w="140"/>
        <w:gridCol w:w="828"/>
        <w:gridCol w:w="162"/>
        <w:gridCol w:w="167"/>
        <w:gridCol w:w="140"/>
        <w:gridCol w:w="875"/>
        <w:gridCol w:w="169"/>
      </w:tblGrid>
      <w:tr>
        <w:trPr/>
        <w:tc>
          <w:tcPr>
            <w:tcW w:w="483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83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9"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9"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12" w:type="dxa"/>
            <w:gridSpan w:val="6"/>
            <w:tcBorders/>
            <w:vAlign w:val="bottom"/>
          </w:tcPr>
          <w:p>
            <w:pPr>
              <w:pStyle w:val="TableContents"/>
              <w:bidi w:val="0"/>
              <w:spacing w:before="0" w:after="283"/>
              <w:jc w:val="center"/>
              <w:rPr>
                <w:b/>
              </w:rPr>
            </w:pPr>
            <w:r>
              <w:rPr>
                <w:b/>
              </w:rPr>
              <w:t>(unaudited)</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(114,951</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(209,854</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(98,202</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(131,869</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15,020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23,052</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11,274</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12,178</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bad debt expense</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478</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 expense</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529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199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559</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equity-method investments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(1,500</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348</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promissory notes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8,889</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Minimum accretion expense</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211</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535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255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274</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assets and liabilities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(13,367</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(55,844</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9,313</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41,053</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(3,468</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(29,278</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(17,144</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9,853</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(6,833</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(3,012</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(986</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2,215</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and other assets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(3,610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(14,077</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(14,090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975</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rent</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526</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3,477</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1,395</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(984</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(1,048</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38,132</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32</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(31,712</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Accrued data licensing fees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(3,162</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4,103</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6,853</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(4,500</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&amp; other</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9,084</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30,021</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4,287</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21,119</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(117,111</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(206,562</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(98,667</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(80,570</w:t>
            </w:r>
          </w:p>
        </w:tc>
        <w:tc>
          <w:tcPr>
            <w:tcW w:w="169"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rHeight w:val="120" w:hRule="atLeast"/>
        </w:trPr>
        <w:tc>
          <w:tcPr>
            <w:tcW w:w="4832" w:type="dxa"/>
            <w:tcBorders/>
            <w:vAlign w:val="center"/>
          </w:tcPr>
          <w:p>
            <w:pPr>
              <w:pStyle w:val="TableContents"/>
              <w:bidi w:val="0"/>
              <w:spacing w:before="0" w:after="283"/>
              <w:jc w:val="left"/>
              <w:rPr>
                <w:sz w:val="4"/>
                <w:szCs w:val="4"/>
              </w:rPr>
            </w:pPr>
            <w:r>
              <w:rPr>
                <w:sz w:val="4"/>
                <w:szCs w:val="4"/>
              </w:rPr>
            </w:r>
          </w:p>
        </w:tc>
        <w:tc>
          <w:tcPr>
            <w:tcW w:w="1381" w:type="dxa"/>
            <w:gridSpan w:val="4"/>
            <w:tcBorders/>
            <w:vAlign w:val="center"/>
          </w:tcPr>
          <w:p>
            <w:pPr>
              <w:pStyle w:val="TableContents"/>
              <w:bidi w:val="0"/>
              <w:spacing w:before="0" w:after="283"/>
              <w:jc w:val="left"/>
              <w:rPr>
                <w:sz w:val="4"/>
                <w:szCs w:val="4"/>
              </w:rPr>
            </w:pPr>
            <w:r>
              <w:rPr>
                <w:sz w:val="4"/>
                <w:szCs w:val="4"/>
              </w:rPr>
            </w:r>
          </w:p>
        </w:tc>
        <w:tc>
          <w:tcPr>
            <w:tcW w:w="1344"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c>
          <w:tcPr>
            <w:tcW w:w="1351" w:type="dxa"/>
            <w:gridSpan w:val="4"/>
            <w:tcBorders/>
            <w:vAlign w:val="center"/>
          </w:tcPr>
          <w:p>
            <w:pPr>
              <w:pStyle w:val="TableContents"/>
              <w:bidi w:val="0"/>
              <w:spacing w:before="0" w:after="283"/>
              <w:jc w:val="left"/>
              <w:rPr>
                <w:sz w:val="4"/>
                <w:szCs w:val="4"/>
              </w:rPr>
            </w:pPr>
            <w:r>
              <w:rPr>
                <w:sz w:val="4"/>
                <w:szCs w:val="4"/>
              </w:rPr>
            </w:r>
          </w:p>
        </w:tc>
      </w:tr>
      <w:tr>
        <w:trPr/>
        <w:tc>
          <w:tcPr>
            <w:tcW w:w="48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(17,035</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(13,416</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(7,202</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(3,970</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in unconsolidated subsidiary</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(5,957</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a business, net of cash (Note 3)</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(25,994</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9"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(43,029</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(13,416</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(7,202</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(9,927</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rHeight w:val="120" w:hRule="atLeast"/>
        </w:trPr>
        <w:tc>
          <w:tcPr>
            <w:tcW w:w="4832" w:type="dxa"/>
            <w:tcBorders/>
            <w:vAlign w:val="center"/>
          </w:tcPr>
          <w:p>
            <w:pPr>
              <w:pStyle w:val="TableContents"/>
              <w:bidi w:val="0"/>
              <w:spacing w:before="0" w:after="283"/>
              <w:jc w:val="left"/>
              <w:rPr>
                <w:sz w:val="4"/>
                <w:szCs w:val="4"/>
              </w:rPr>
            </w:pPr>
            <w:r>
              <w:rPr>
                <w:sz w:val="4"/>
                <w:szCs w:val="4"/>
              </w:rPr>
            </w:r>
          </w:p>
        </w:tc>
        <w:tc>
          <w:tcPr>
            <w:tcW w:w="1381" w:type="dxa"/>
            <w:gridSpan w:val="4"/>
            <w:tcBorders/>
            <w:vAlign w:val="center"/>
          </w:tcPr>
          <w:p>
            <w:pPr>
              <w:pStyle w:val="TableContents"/>
              <w:bidi w:val="0"/>
              <w:spacing w:before="0" w:after="283"/>
              <w:jc w:val="left"/>
              <w:rPr>
                <w:sz w:val="4"/>
                <w:szCs w:val="4"/>
              </w:rPr>
            </w:pPr>
            <w:r>
              <w:rPr>
                <w:sz w:val="4"/>
                <w:szCs w:val="4"/>
              </w:rPr>
            </w:r>
          </w:p>
        </w:tc>
        <w:tc>
          <w:tcPr>
            <w:tcW w:w="1344"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c>
          <w:tcPr>
            <w:tcW w:w="1351" w:type="dxa"/>
            <w:gridSpan w:val="4"/>
            <w:tcBorders/>
            <w:vAlign w:val="center"/>
          </w:tcPr>
          <w:p>
            <w:pPr>
              <w:pStyle w:val="TableContents"/>
              <w:bidi w:val="0"/>
              <w:spacing w:before="0" w:after="283"/>
              <w:jc w:val="left"/>
              <w:rPr>
                <w:sz w:val="4"/>
                <w:szCs w:val="4"/>
              </w:rPr>
            </w:pPr>
            <w:r>
              <w:rPr>
                <w:sz w:val="4"/>
                <w:szCs w:val="4"/>
              </w:rPr>
            </w:r>
          </w:p>
        </w:tc>
      </w:tr>
      <w:tr>
        <w:trPr/>
        <w:tc>
          <w:tcPr>
            <w:tcW w:w="4832"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F Preferred Stock, net of offering costs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192,697</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G Preferred Stock, net of offering costs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94,108</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94,108</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Series G-2 Preferred Stock, net of offering costs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95,823</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8,894</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Issuance (Redemption) of Common Shares</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10,200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(7,311</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(7,311</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(5,286</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(5,625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(5,625</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(5,625</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convertible promissory note</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330,000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330,000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9"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capital lease obligation</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(919</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(888</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(453</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(444</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(3,380</w:t>
            </w:r>
          </w:p>
        </w:tc>
        <w:tc>
          <w:tcPr>
            <w:tcW w:w="169"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196,692</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506,107</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410,719</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(555</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Effect of foreign exchange rates on cash</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(8</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(13</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14</w:t>
            </w:r>
          </w:p>
        </w:tc>
        <w:tc>
          <w:tcPr>
            <w:tcW w:w="169"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in Cash and Cash Equivalents and Restricted Cash</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36,544</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286,116</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304,860</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(91,038</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beginning of year</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191,556</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228,100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228,100</w:t>
            </w:r>
          </w:p>
        </w:tc>
        <w:tc>
          <w:tcPr>
            <w:tcW w:w="16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514,216</w:t>
            </w:r>
          </w:p>
        </w:tc>
        <w:tc>
          <w:tcPr>
            <w:tcW w:w="169"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end of year</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228,100</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514,216</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532,960</w:t>
            </w:r>
          </w:p>
        </w:tc>
        <w:tc>
          <w:tcPr>
            <w:tcW w:w="16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423,178</w:t>
            </w:r>
          </w:p>
        </w:tc>
        <w:tc>
          <w:tcPr>
            <w:tcW w:w="169" w:type="dxa"/>
            <w:tcBorders/>
            <w:shd w:fill="CCEEFF" w:val="clear"/>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351"/>
        <w:gridCol w:w="210"/>
        <w:gridCol w:w="140"/>
        <w:gridCol w:w="802"/>
        <w:gridCol w:w="60"/>
        <w:gridCol w:w="210"/>
        <w:gridCol w:w="140"/>
        <w:gridCol w:w="802"/>
        <w:gridCol w:w="60"/>
        <w:gridCol w:w="210"/>
        <w:gridCol w:w="140"/>
        <w:gridCol w:w="802"/>
        <w:gridCol w:w="60"/>
        <w:gridCol w:w="210"/>
        <w:gridCol w:w="140"/>
        <w:gridCol w:w="802"/>
        <w:gridCol w:w="66"/>
      </w:tblGrid>
      <w:tr>
        <w:trPr/>
        <w:tc>
          <w:tcPr>
            <w:tcW w:w="5351"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35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66"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4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4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54" w:type="dxa"/>
            <w:gridSpan w:val="6"/>
            <w:tcBorders/>
            <w:vAlign w:val="bottom"/>
          </w:tcPr>
          <w:p>
            <w:pPr>
              <w:pStyle w:val="TableContents"/>
              <w:bidi w:val="0"/>
              <w:spacing w:before="0" w:after="283"/>
              <w:jc w:val="center"/>
              <w:rPr>
                <w:b/>
              </w:rPr>
            </w:pPr>
            <w:r>
              <w:rPr>
                <w:b/>
              </w:rPr>
              <w:t>(unaudited)</w:t>
            </w:r>
          </w:p>
        </w:tc>
        <w:tc>
          <w:tcPr>
            <w:tcW w:w="66" w:type="dxa"/>
            <w:tcBorders/>
            <w:vAlign w:val="bottom"/>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are Comprised of:</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227,599</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513,436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532,181</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422,398</w:t>
            </w:r>
          </w:p>
        </w:tc>
        <w:tc>
          <w:tcPr>
            <w:tcW w:w="66" w:type="dxa"/>
            <w:tcBorders/>
            <w:vAlign w:val="bottom"/>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and cash equivalents</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501</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780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779</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780</w:t>
            </w:r>
          </w:p>
        </w:tc>
        <w:tc>
          <w:tcPr>
            <w:tcW w:w="66" w:type="dxa"/>
            <w:tcBorders/>
            <w:shd w:fill="CCEEFF" w:val="clear"/>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228,100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514,216</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532,960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423,178</w:t>
            </w:r>
          </w:p>
        </w:tc>
        <w:tc>
          <w:tcPr>
            <w:tcW w:w="66"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120" w:hRule="atLeast"/>
        </w:trPr>
        <w:tc>
          <w:tcPr>
            <w:tcW w:w="5351"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18" w:type="dxa"/>
            <w:gridSpan w:val="4"/>
            <w:tcBorders/>
            <w:vAlign w:val="center"/>
          </w:tcPr>
          <w:p>
            <w:pPr>
              <w:pStyle w:val="TableContents"/>
              <w:bidi w:val="0"/>
              <w:spacing w:before="0" w:after="283"/>
              <w:jc w:val="left"/>
              <w:rPr>
                <w:sz w:val="4"/>
                <w:szCs w:val="4"/>
              </w:rPr>
            </w:pPr>
            <w:r>
              <w:rPr>
                <w:sz w:val="4"/>
                <w:szCs w:val="4"/>
              </w:rPr>
            </w:r>
          </w:p>
        </w:tc>
      </w:tr>
      <w:tr>
        <w:trPr/>
        <w:tc>
          <w:tcPr>
            <w:tcW w:w="53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Cash paid during the year for interest</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2,053</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42</w:t>
            </w:r>
          </w:p>
        </w:tc>
        <w:tc>
          <w:tcPr>
            <w:tcW w:w="66"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13</w:t>
            </w:r>
          </w:p>
        </w:tc>
        <w:tc>
          <w:tcPr>
            <w:tcW w:w="66" w:type="dxa"/>
            <w:tcBorders/>
            <w:shd w:fill="CCEEFF" w:val="clear"/>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rHeight w:val="120" w:hRule="atLeast"/>
        </w:trPr>
        <w:tc>
          <w:tcPr>
            <w:tcW w:w="5351"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18" w:type="dxa"/>
            <w:gridSpan w:val="4"/>
            <w:tcBorders/>
            <w:vAlign w:val="center"/>
          </w:tcPr>
          <w:p>
            <w:pPr>
              <w:pStyle w:val="TableContents"/>
              <w:bidi w:val="0"/>
              <w:spacing w:before="0" w:after="283"/>
              <w:jc w:val="left"/>
              <w:rPr>
                <w:sz w:val="4"/>
                <w:szCs w:val="4"/>
              </w:rPr>
            </w:pPr>
            <w:r>
              <w:rPr>
                <w:sz w:val="4"/>
                <w:szCs w:val="4"/>
              </w:rPr>
            </w:r>
          </w:p>
        </w:tc>
      </w:tr>
      <w:tr>
        <w:trPr/>
        <w:tc>
          <w:tcPr>
            <w:tcW w:w="535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convertible preferred stock to redemption value</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7,303</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7,381</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3,203</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106</w:t>
            </w:r>
          </w:p>
        </w:tc>
        <w:tc>
          <w:tcPr>
            <w:tcW w:w="66" w:type="dxa"/>
            <w:tcBorders/>
            <w:shd w:fill="CCEEFF" w:val="clear"/>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Series G-2 issuance cost included in accounts payable</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4,000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 obtained through tenant improvement allowance and related deferred rent liability</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10,876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11,532</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11,532</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12,183</w:t>
            </w:r>
          </w:p>
        </w:tc>
        <w:tc>
          <w:tcPr>
            <w:tcW w:w="66" w:type="dxa"/>
            <w:tcBorders/>
            <w:shd w:fill="CCEEFF" w:val="clear"/>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payable</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5,625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5,625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2,813</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2,813</w:t>
            </w:r>
          </w:p>
        </w:tc>
        <w:tc>
          <w:tcPr>
            <w:tcW w:w="66" w:type="dxa"/>
            <w:tcBorders/>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Extinguishment of debt through conversion of convertible promissory note to Series G-2 preferred stock</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80,000</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w:t>
            </w:r>
          </w:p>
        </w:tc>
        <w:tc>
          <w:tcPr>
            <w:tcW w:w="66" w:type="dxa"/>
            <w:tcBorders/>
            <w:shd w:fill="CCEEFF" w:val="clear"/>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351"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accrued but not paid</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3,014</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2,032</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837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369</w:t>
            </w:r>
          </w:p>
        </w:tc>
        <w:tc>
          <w:tcPr>
            <w:tcW w:w="66" w:type="dxa"/>
            <w:tcBorders/>
            <w:vAlign w:val="bottom"/>
          </w:tcPr>
          <w:p>
            <w:pPr>
              <w:pStyle w:val="TableContents"/>
              <w:bidi w:val="0"/>
              <w:spacing w:before="0" w:after="283"/>
              <w:jc w:val="left"/>
              <w:rPr/>
            </w:pPr>
            <w:r>
              <w:rPr/>
              <w:t> </w:t>
            </w:r>
          </w:p>
        </w:tc>
      </w:tr>
      <w:tr>
        <w:trPr/>
        <w:tc>
          <w:tcPr>
            <w:tcW w:w="5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 of convertible promissory note</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3,419</w:t>
            </w:r>
          </w:p>
        </w:tc>
        <w:tc>
          <w:tcPr>
            <w:tcW w:w="66" w:type="dxa"/>
            <w:tcBorders/>
            <w:shd w:fill="CCEEFF" w:val="clear"/>
            <w:vAlign w:val="bottom"/>
          </w:tcPr>
          <w:p>
            <w:pPr>
              <w:pStyle w:val="TableContents"/>
              <w:bidi w:val="0"/>
              <w:spacing w:before="0" w:after="283"/>
              <w:jc w:val="left"/>
              <w:rPr/>
            </w:pPr>
            <w:r>
              <w:rPr/>
              <w:t> </w:t>
            </w:r>
          </w:p>
        </w:tc>
      </w:tr>
      <w:tr>
        <w:trPr/>
        <w:tc>
          <w:tcPr>
            <w:tcW w:w="535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bookmarkStart w:id="31" w:name="fin221145_5"/>
      <w:bookmarkEnd w:id="31"/>
      <w:r>
        <w:rPr>
          <w:rFonts w:ascii="Times New Roman" w:hAnsi="Times New Roman"/>
          <w:b/>
          <w:sz w:val="20"/>
        </w:rPr>
        <w:t xml:space="preserve">CONSOLIDATED STATEMENTS OF REDEEMABLE CONVERTIBLE </w:t>
      </w:r>
    </w:p>
    <w:p>
      <w:pPr>
        <w:pStyle w:val="TextBody"/>
        <w:bidi w:val="0"/>
        <w:spacing w:before="0" w:after="0"/>
        <w:jc w:val="center"/>
        <w:rPr>
          <w:rFonts w:ascii="Times New Roman" w:hAnsi="Times New Roman"/>
          <w:b/>
          <w:sz w:val="20"/>
        </w:rPr>
      </w:pPr>
      <w:r>
        <w:rPr>
          <w:rFonts w:ascii="Times New Roman" w:hAnsi="Times New Roman"/>
          <w:b/>
          <w:sz w:val="20"/>
        </w:rPr>
        <w:t xml:space="preserve">PREFERRED STOCK, COMMON STOCK AND STOCKHOLDERS DEFICIT </w:t>
      </w:r>
    </w:p>
    <w:p>
      <w:pPr>
        <w:pStyle w:val="TextBody"/>
        <w:bidi w:val="0"/>
        <w:spacing w:before="0" w:after="0"/>
        <w:jc w:val="center"/>
        <w:rPr>
          <w:rFonts w:ascii="Times New Roman" w:hAnsi="Times New Roman"/>
          <w:b/>
          <w:sz w:val="20"/>
        </w:rPr>
      </w:pPr>
      <w:r>
        <w:rPr>
          <w:rFonts w:ascii="Times New Roman" w:hAnsi="Times New Roman"/>
          <w:b/>
          <w:sz w:val="20"/>
        </w:rPr>
        <w:t>(in thousands, except share and per share amounts)</w:t>
      </w:r>
    </w:p>
    <w:p>
      <w:pPr>
        <w:pStyle w:val="TextBody"/>
        <w:bidi w:val="0"/>
        <w:spacing w:before="0" w:after="0"/>
        <w:jc w:val="left"/>
        <w:rPr/>
      </w:pPr>
      <w:r>
        <w:rPr/>
        <w:t> </w:t>
      </w:r>
    </w:p>
    <w:tbl>
      <w:tblPr>
        <w:tblW w:w="14535" w:type="dxa"/>
        <w:jc w:val="center"/>
        <w:tblInd w:w="0" w:type="dxa"/>
        <w:tblLayout w:type="fixed"/>
        <w:tblCellMar>
          <w:top w:w="0" w:type="dxa"/>
          <w:left w:w="0" w:type="dxa"/>
          <w:bottom w:w="0" w:type="dxa"/>
          <w:right w:w="0" w:type="dxa"/>
        </w:tblCellMar>
      </w:tblPr>
      <w:tblGrid>
        <w:gridCol w:w="1085"/>
        <w:gridCol w:w="60"/>
        <w:gridCol w:w="60"/>
        <w:gridCol w:w="1100"/>
        <w:gridCol w:w="60"/>
        <w:gridCol w:w="60"/>
        <w:gridCol w:w="140"/>
        <w:gridCol w:w="800"/>
        <w:gridCol w:w="60"/>
        <w:gridCol w:w="60"/>
        <w:gridCol w:w="60"/>
        <w:gridCol w:w="60"/>
        <w:gridCol w:w="60"/>
        <w:gridCol w:w="60"/>
        <w:gridCol w:w="60"/>
        <w:gridCol w:w="1100"/>
        <w:gridCol w:w="155"/>
        <w:gridCol w:w="60"/>
        <w:gridCol w:w="339"/>
        <w:gridCol w:w="521"/>
        <w:gridCol w:w="155"/>
        <w:gridCol w:w="60"/>
        <w:gridCol w:w="60"/>
        <w:gridCol w:w="980"/>
        <w:gridCol w:w="60"/>
        <w:gridCol w:w="60"/>
        <w:gridCol w:w="430"/>
        <w:gridCol w:w="430"/>
        <w:gridCol w:w="60"/>
        <w:gridCol w:w="60"/>
        <w:gridCol w:w="187"/>
        <w:gridCol w:w="913"/>
        <w:gridCol w:w="155"/>
        <w:gridCol w:w="60"/>
        <w:gridCol w:w="188"/>
        <w:gridCol w:w="1182"/>
        <w:gridCol w:w="155"/>
        <w:gridCol w:w="60"/>
        <w:gridCol w:w="634"/>
        <w:gridCol w:w="976"/>
        <w:gridCol w:w="155"/>
        <w:gridCol w:w="60"/>
        <w:gridCol w:w="184"/>
        <w:gridCol w:w="1156"/>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w:t>
              <w:br/>
              <w:t>Convertible</w:t>
              <w:br/>
              <w:t>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br/>
              <w:t>Voting</w:t>
              <w:br/>
              <w:t>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br/>
              <w:t>Non-voting</w:t>
              <w:b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(Loss) Income</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gridSpan w:val="2"/>
            <w:tcBorders/>
            <w:vAlign w:val="bottom"/>
          </w:tcPr>
          <w:p>
            <w:pPr>
              <w:pStyle w:val="TableContents"/>
              <w:bidi w:val="0"/>
              <w:spacing w:before="0" w:after="283"/>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January 1, 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47,010,710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326,146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57,500,000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w:t>
            </w:r>
          </w:p>
        </w:tc>
        <w:tc>
          <w:tcPr>
            <w:tcW w:w="521"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4,595,000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(119,262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(119,251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F Preferred Stock, net of stock issuance costs of $7,303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192,697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 compensation related to RSU</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3,421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3,421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1,058,600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10,200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10,200</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Accretion of convertible preferred stock to redemption value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7,303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(7,303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(7,303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Reclassification of Cash Settled RSUs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(2,892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(2,892</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Foreign currency translation adjustment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Dividends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(23,640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(23,640</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(114,951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(114,951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6"/>
              </w:rPr>
            </w:pPr>
            <w:r>
              <w:rPr>
                <w:rFonts w:ascii="Times New Roman" w:hAnsi="Times New Roman"/>
                <w:b/>
                <w:sz w:val="16"/>
              </w:rPr>
              <w:t>Balance at December 31, 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55,088,384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544,161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58,558,600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w:t>
            </w:r>
          </w:p>
        </w:tc>
        <w:tc>
          <w:tcPr>
            <w:tcW w:w="521"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4,595,000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3,431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(257,853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(254,415</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double" w:sz="6" w:space="1" w:color="000000"/>
              </w:pBdr>
              <w:bidi w:val="0"/>
              <w:spacing w:before="0" w:after="0"/>
              <w:jc w:val="left"/>
              <w:rPr/>
            </w:pPr>
            <w:r>
              <w:rPr/>
              <w:t> </w:t>
            </w:r>
          </w:p>
        </w:tc>
        <w:tc>
          <w:tcPr>
            <w:tcW w:w="5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G Preferred Stock, net of stock issuance costs of $3,203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2,537,290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94,108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G-2 Preferred Stock, net of stock issuance costs of $4,177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3,296,093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184,711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 compensation related to RSU</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399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Accretion of convertible preferred stock to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7,381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(3,830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(3,551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(7,381</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Redemption of Common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(190,639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(7,311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(7,311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(34,420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(34,420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(209,854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(209,854</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single" w:sz="2" w:space="1" w:color="000000"/>
              </w:pBdr>
              <w:bidi w:val="0"/>
              <w:spacing w:before="0" w:after="0"/>
              <w:jc w:val="left"/>
              <w:rPr/>
            </w:pPr>
            <w:r>
              <w:rPr/>
              <w:t> </w:t>
            </w:r>
          </w:p>
        </w:tc>
        <w:tc>
          <w:tcPr>
            <w:tcW w:w="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9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60,921,767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859,156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58,367,961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w:t>
            </w:r>
          </w:p>
        </w:tc>
        <w:tc>
          <w:tcPr>
            <w:tcW w:w="521"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4,595,000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(512,989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(512,984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pBdr>
                <w:top w:val="double" w:sz="6" w:space="1" w:color="000000"/>
              </w:pBdr>
              <w:bidi w:val="0"/>
              <w:spacing w:before="0" w:after="0"/>
              <w:jc w:val="left"/>
              <w:rPr/>
            </w:pPr>
            <w:r>
              <w:rPr/>
              <w:t> </w:t>
            </w:r>
          </w:p>
        </w:tc>
        <w:tc>
          <w:tcPr>
            <w:tcW w:w="52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9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4030" w:type="dxa"/>
        <w:jc w:val="center"/>
        <w:tblInd w:w="0" w:type="dxa"/>
        <w:tblLayout w:type="fixed"/>
        <w:tblCellMar>
          <w:top w:w="0" w:type="dxa"/>
          <w:left w:w="0" w:type="dxa"/>
          <w:bottom w:w="0" w:type="dxa"/>
          <w:right w:w="0" w:type="dxa"/>
        </w:tblCellMar>
      </w:tblPr>
      <w:tblGrid>
        <w:gridCol w:w="1010"/>
        <w:gridCol w:w="60"/>
        <w:gridCol w:w="60"/>
        <w:gridCol w:w="1100"/>
        <w:gridCol w:w="60"/>
        <w:gridCol w:w="60"/>
        <w:gridCol w:w="140"/>
        <w:gridCol w:w="800"/>
        <w:gridCol w:w="60"/>
        <w:gridCol w:w="60"/>
        <w:gridCol w:w="60"/>
        <w:gridCol w:w="1100"/>
        <w:gridCol w:w="155"/>
        <w:gridCol w:w="60"/>
        <w:gridCol w:w="430"/>
        <w:gridCol w:w="430"/>
        <w:gridCol w:w="60"/>
        <w:gridCol w:w="60"/>
        <w:gridCol w:w="60"/>
        <w:gridCol w:w="980"/>
        <w:gridCol w:w="60"/>
        <w:gridCol w:w="60"/>
        <w:gridCol w:w="430"/>
        <w:gridCol w:w="430"/>
        <w:gridCol w:w="60"/>
        <w:gridCol w:w="60"/>
        <w:gridCol w:w="198"/>
        <w:gridCol w:w="902"/>
        <w:gridCol w:w="155"/>
        <w:gridCol w:w="60"/>
        <w:gridCol w:w="188"/>
        <w:gridCol w:w="1182"/>
        <w:gridCol w:w="155"/>
        <w:gridCol w:w="60"/>
        <w:gridCol w:w="563"/>
        <w:gridCol w:w="1047"/>
        <w:gridCol w:w="60"/>
        <w:gridCol w:w="60"/>
        <w:gridCol w:w="184"/>
        <w:gridCol w:w="1156"/>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pPr>
            <w:r>
              <w:rPr>
                <w:b/>
              </w:rPr>
              <w:t>Redeemable</w:t>
            </w:r>
            <w:r>
              <w:rPr/>
              <w:br/>
            </w:r>
            <w:r>
              <w:rPr>
                <w:b/>
              </w:rPr>
              <w:t>Convertible</w:t>
              <w:br/>
              <w:t>Preferred</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Voting</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Non-voting</w:t>
              <w:b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br/>
              <w:t>Other</w:t>
              <w:br/>
              <w:t>Comprehensive</w:t>
            </w:r>
            <w:r>
              <w:rPr/>
              <w:br/>
            </w:r>
            <w:r>
              <w:rPr>
                <w:b/>
              </w:rPr>
              <w:t>(Loss) Income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55,088,384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544,161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58,558,600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4,595,000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3,431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(257,853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(254,415</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G Preferred Stock, net of stock issuance costs of $3,203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2,537,290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94,108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Stock compensation related to RSU</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199</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Accretion of convertible preferred stock to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(3,203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(3,203</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Redemption of Common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(190,639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(421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(7,311</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13,812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(16,625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(16,625</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(98,202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(98,202</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June 30, 2020 (unaudited)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57,625,674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655,284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58,367,961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4,595,000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(379,570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(379,547</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4030" w:type="dxa"/>
        <w:jc w:val="center"/>
        <w:tblInd w:w="0" w:type="dxa"/>
        <w:tblLayout w:type="fixed"/>
        <w:tblCellMar>
          <w:top w:w="0" w:type="dxa"/>
          <w:left w:w="0" w:type="dxa"/>
          <w:bottom w:w="0" w:type="dxa"/>
          <w:right w:w="0" w:type="dxa"/>
        </w:tblCellMar>
      </w:tblPr>
      <w:tblGrid>
        <w:gridCol w:w="1010"/>
        <w:gridCol w:w="60"/>
        <w:gridCol w:w="60"/>
        <w:gridCol w:w="1100"/>
        <w:gridCol w:w="60"/>
        <w:gridCol w:w="60"/>
        <w:gridCol w:w="140"/>
        <w:gridCol w:w="800"/>
        <w:gridCol w:w="60"/>
        <w:gridCol w:w="60"/>
        <w:gridCol w:w="60"/>
        <w:gridCol w:w="1100"/>
        <w:gridCol w:w="60"/>
        <w:gridCol w:w="60"/>
        <w:gridCol w:w="430"/>
        <w:gridCol w:w="430"/>
        <w:gridCol w:w="60"/>
        <w:gridCol w:w="60"/>
        <w:gridCol w:w="60"/>
        <w:gridCol w:w="980"/>
        <w:gridCol w:w="60"/>
        <w:gridCol w:w="60"/>
        <w:gridCol w:w="430"/>
        <w:gridCol w:w="430"/>
        <w:gridCol w:w="60"/>
        <w:gridCol w:w="60"/>
        <w:gridCol w:w="258"/>
        <w:gridCol w:w="842"/>
        <w:gridCol w:w="155"/>
        <w:gridCol w:w="60"/>
        <w:gridCol w:w="188"/>
        <w:gridCol w:w="1182"/>
        <w:gridCol w:w="155"/>
        <w:gridCol w:w="60"/>
        <w:gridCol w:w="563"/>
        <w:gridCol w:w="1047"/>
        <w:gridCol w:w="155"/>
        <w:gridCol w:w="60"/>
        <w:gridCol w:w="184"/>
        <w:gridCol w:w="1156"/>
        <w:gridCol w:w="155"/>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w:t>
              <w:br/>
              <w:t>Convertible</w:t>
              <w:br/>
              <w:t>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Voting</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Non-voting</w:t>
              <w:b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 Income</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b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December 31,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60,921,767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859,156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58,367,961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4,595,000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(512,989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(512,984</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G-2 Preferred Stock, net of stock issuance costs of $106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157,046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Accretion of convertible preferred stock to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Stock compensation related to RSU</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559</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Settlement of Common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Foreign currency translation 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Dividends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15,649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(453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(18,006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(18,459</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(131,869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(131,869</w:t>
            </w:r>
          </w:p>
        </w:tc>
        <w:tc>
          <w:tcPr>
            <w:tcW w:w="155"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Balance at June 30, 2021 (unaudited)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61,078,813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883,805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58,367,961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4,612,450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(662,864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(662,849</w:t>
            </w:r>
          </w:p>
        </w:tc>
        <w:tc>
          <w:tcPr>
            <w:tcW w:w="155"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8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bookmarkStart w:id="32" w:name="fin221145_6"/>
      <w:bookmarkEnd w:id="32"/>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DESCRIPTION OF BUSINESS </w:t>
            </w:r>
          </w:p>
        </w:tc>
      </w:tr>
    </w:tbl>
    <w:p>
      <w:pPr>
        <w:pStyle w:val="TextBody"/>
        <w:bidi w:val="0"/>
        <w:spacing w:before="120" w:after="0"/>
        <w:jc w:val="both"/>
        <w:rPr>
          <w:rFonts w:ascii="Times New Roman" w:hAnsi="Times New Roman"/>
          <w:b/>
          <w:sz w:val="20"/>
        </w:rPr>
      </w:pPr>
      <w:r>
        <w:rPr>
          <w:rFonts w:ascii="Times New Roman" w:hAnsi="Times New Roman"/>
          <w:b/>
          <w:sz w:val="20"/>
        </w:rPr>
        <w:t xml:space="preserve">Company Information </w:t>
      </w:r>
    </w:p>
    <w:p>
      <w:pPr>
        <w:pStyle w:val="TextBody"/>
        <w:bidi w:val="0"/>
        <w:spacing w:before="120" w:after="0"/>
        <w:jc w:val="both"/>
        <w:rPr>
          <w:rFonts w:ascii="Times New Roman" w:hAnsi="Times New Roman"/>
          <w:sz w:val="20"/>
        </w:rPr>
      </w:pPr>
      <w:r>
        <w:rPr>
          <w:rFonts w:ascii="Times New Roman" w:hAnsi="Times New Roman"/>
          <w:sz w:val="20"/>
        </w:rPr>
        <w:t xml:space="preserve">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derives revenue from selling comprehensive genetic testing to physicians and large academic research institutions, licensing data to third parties, and matching patients to clinical trials. </w:t>
      </w:r>
    </w:p>
    <w:p>
      <w:pPr>
        <w:pStyle w:val="TextBody"/>
        <w:bidi w:val="0"/>
        <w:spacing w:before="240" w:after="0"/>
        <w:jc w:val="both"/>
        <w:rPr>
          <w:rFonts w:ascii="Times New Roman" w:hAnsi="Times New Roman"/>
          <w:sz w:val="20"/>
        </w:rPr>
      </w:pPr>
      <w:r>
        <w:rPr>
          <w:rFonts w:ascii="Times New Roman" w:hAnsi="Times New Roman"/>
          <w:sz w:val="20"/>
        </w:rPr>
        <w:t xml:space="preserve">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Principles of Consolidation and Basis of Presentation </w:t>
      </w:r>
    </w:p>
    <w:p>
      <w:pPr>
        <w:pStyle w:val="TextBody"/>
        <w:bidi w:val="0"/>
        <w:spacing w:before="120" w:after="0"/>
        <w:jc w:val="both"/>
        <w:rPr>
          <w:rFonts w:ascii="Times New Roman" w:hAnsi="Times New Roman"/>
          <w:sz w:val="20"/>
        </w:rPr>
      </w:pPr>
      <w:r>
        <w:rPr>
          <w:rFonts w:ascii="Times New Roman" w:hAnsi="Times New Roman"/>
          <w:sz w:val="20"/>
        </w:rPr>
        <w:t xml:space="preserve">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w:t>
      </w:r>
    </w:p>
    <w:p>
      <w:pPr>
        <w:pStyle w:val="TextBody"/>
        <w:bidi w:val="0"/>
        <w:spacing w:before="360" w:after="0"/>
        <w:jc w:val="both"/>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both"/>
        <w:rPr>
          <w:rFonts w:ascii="Times New Roman" w:hAnsi="Times New Roman"/>
          <w:sz w:val="20"/>
        </w:rPr>
      </w:pPr>
      <w:r>
        <w:rPr>
          <w:rFonts w:ascii="Times New Roman" w:hAnsi="Times New Roman"/>
          <w:sz w:val="20"/>
        </w:rPr>
        <w:t xml:space="preserve">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both"/>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both"/>
        <w:rPr>
          <w:rFonts w:ascii="Times New Roman" w:hAnsi="Times New Roman"/>
          <w:b/>
          <w:sz w:val="20"/>
        </w:rPr>
      </w:pPr>
      <w:r>
        <w:rPr>
          <w:rFonts w:ascii="Times New Roman" w:hAnsi="Times New Roman"/>
          <w:b/>
          <w:sz w:val="20"/>
        </w:rPr>
        <w:t xml:space="preserve">Unaudited Interim Consolidated Financial Information </w:t>
      </w:r>
    </w:p>
    <w:p>
      <w:pPr>
        <w:pStyle w:val="TextBody"/>
        <w:bidi w:val="0"/>
        <w:spacing w:before="120" w:after="0"/>
        <w:jc w:val="both"/>
        <w:rPr>
          <w:rFonts w:ascii="Times New Roman" w:hAnsi="Times New Roman"/>
          <w:sz w:val="20"/>
        </w:rPr>
      </w:pPr>
      <w:r>
        <w:rPr>
          <w:rFonts w:ascii="Times New Roman" w:hAnsi="Times New Roman"/>
          <w:sz w:val="20"/>
        </w:rPr>
        <w:t xml:space="preserve">The accompanying interim consolidated balance sheet as of June 30, 2021, the consolidated statements of operations, comprehensive income (loss), redeemable convertible preferred stock, common stock and stockholders deficit, and cash flows for the six months ended June 30, 2020 and 2021, and the related footnote disclosures are unaudited. These unaudited interim consolidated financial statements have been prepared in accordance with GAAP. In managements opinion, the unaudited interim consolidated financial statements include all adjustments necessary to state fairly the Companys financial position as of June 30, 2021 and its results of operations and cash flows for the six months ended June 30, 2020 and 2021. The financial data and the other information disclosed in the notes to these consolidated financial statements related to the six month periods are unaudited. The results of operations for the six months ended June 30, 2021 are not necessarily indicative of the results expected for the year ending December 31, 2021 or any other future period. </w:t>
      </w:r>
    </w:p>
    <w:p>
      <w:pPr>
        <w:pStyle w:val="TextBody"/>
        <w:bidi w:val="0"/>
        <w:spacing w:before="360" w:after="0"/>
        <w:jc w:val="both"/>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both"/>
        <w:rPr>
          <w:rFonts w:ascii="Times New Roman" w:hAnsi="Times New Roman"/>
          <w:sz w:val="20"/>
        </w:rPr>
      </w:pPr>
      <w:r>
        <w:rPr>
          <w:rFonts w:ascii="Times New Roman" w:hAnsi="Times New Roman"/>
          <w:sz w:val="20"/>
        </w:rPr>
        <w:t xml:space="preserve">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contingent liabilities and the useful lives of property, equipment and intangible assets. Actual results could differ from those estimates. </w:t>
      </w:r>
    </w:p>
    <w:p>
      <w:pPr>
        <w:pStyle w:val="TextBody"/>
        <w:bidi w:val="0"/>
        <w:spacing w:before="360" w:after="0"/>
        <w:jc w:val="both"/>
        <w:rPr>
          <w:rFonts w:ascii="Times New Roman" w:hAnsi="Times New Roman"/>
          <w:b/>
          <w:sz w:val="20"/>
        </w:rPr>
      </w:pPr>
      <w:r>
        <w:rPr>
          <w:rFonts w:ascii="Times New Roman" w:hAnsi="Times New Roman"/>
          <w:b/>
          <w:sz w:val="20"/>
        </w:rPr>
        <w:t xml:space="preserve">Cash, Cash Equivalents and Restricted Cash </w:t>
      </w:r>
    </w:p>
    <w:p>
      <w:pPr>
        <w:pStyle w:val="TextBody"/>
        <w:bidi w:val="0"/>
        <w:spacing w:before="120" w:after="0"/>
        <w:jc w:val="both"/>
        <w:rPr>
          <w:rFonts w:ascii="Times New Roman" w:hAnsi="Times New Roman"/>
          <w:sz w:val="20"/>
        </w:rPr>
      </w:pPr>
      <w:r>
        <w:rPr>
          <w:rFonts w:ascii="Times New Roman" w:hAnsi="Times New Roman"/>
          <w:sz w:val="20"/>
        </w:rPr>
        <w:t xml:space="preserve">The Company considers all highly-liquid investments with an original maturity of three months or less from the date of purchase to be cash equivalents. Cash equivalents are stated at fair value. Restricted cash primarily represents amounts that the Company is unable to access for operational purposes pursuant to a letter of credit with a financial institution in connection with an equipment lease. The Company had $0.5 million and $0.8 million of restricted cash as of December 31, 2019 and 2020, respectively. The Company had $0.8 million of restricted cash as of June 30, 2021. </w:t>
      </w:r>
    </w:p>
    <w:p>
      <w:pPr>
        <w:pStyle w:val="TextBody"/>
        <w:bidi w:val="0"/>
        <w:spacing w:before="360" w:after="0"/>
        <w:jc w:val="both"/>
        <w:rPr>
          <w:rFonts w:ascii="Times New Roman" w:hAnsi="Times New Roman"/>
          <w:b/>
          <w:sz w:val="20"/>
        </w:rPr>
      </w:pPr>
      <w:r>
        <w:rPr>
          <w:rFonts w:ascii="Times New Roman" w:hAnsi="Times New Roman"/>
          <w:b/>
          <w:sz w:val="20"/>
        </w:rPr>
        <w:t xml:space="preserve">Accounts Receivable and Allowances </w:t>
      </w:r>
    </w:p>
    <w:p>
      <w:pPr>
        <w:pStyle w:val="TextBody"/>
        <w:bidi w:val="0"/>
        <w:spacing w:before="120" w:after="0"/>
        <w:jc w:val="both"/>
        <w:rPr>
          <w:rFonts w:ascii="Times New Roman" w:hAnsi="Times New Roman"/>
          <w:sz w:val="20"/>
        </w:rPr>
      </w:pPr>
      <w:r>
        <w:rPr>
          <w:rFonts w:ascii="Times New Roman" w:hAnsi="Times New Roman"/>
          <w:sz w:val="20"/>
        </w:rPr>
        <w:t xml:space="preserve">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The allowance for doubtful accounts is based on historical loss experience and any specific risks identified in collection matters. An allowance for doubtful accounts was not material as of December 31, 2019 and 2020, and as of June 30,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both"/>
        <w:rPr>
          <w:rFonts w:ascii="Times New Roman" w:hAnsi="Times New Roman"/>
          <w:sz w:val="20"/>
        </w:rPr>
      </w:pPr>
      <w:r>
        <w:rPr>
          <w:rFonts w:ascii="Times New Roman" w:hAnsi="Times New Roman"/>
          <w:sz w:val="20"/>
        </w:rPr>
        <w:t xml:space="preserve">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 As of December 31, 2019, two customers accounted for approximately 14.8% and 17.7% of the Companys total revenue and 19.4% and 12.6% of the Companys accounts receivable, respectively. One additional customer did not account for more than 10% of the Companys total revenue; however, accounted for 12.5% of accounts receivable. </w:t>
      </w:r>
    </w:p>
    <w:p>
      <w:pPr>
        <w:pStyle w:val="TextBody"/>
        <w:bidi w:val="0"/>
        <w:spacing w:before="240" w:after="0"/>
        <w:jc w:val="both"/>
        <w:rPr>
          <w:rFonts w:ascii="Times New Roman" w:hAnsi="Times New Roman"/>
          <w:sz w:val="20"/>
        </w:rPr>
      </w:pPr>
      <w:r>
        <w:rPr>
          <w:rFonts w:ascii="Times New Roman" w:hAnsi="Times New Roman"/>
          <w:sz w:val="20"/>
        </w:rPr>
        <w:t xml:space="preserve">Revenue from one customer accounted for approximately 16.6% of the Companys revenues for the year ended December 31, 2020. The amount due from this customer is approximately $14.8 million or 17.0% of accounts receivable as of December 31, 2020. </w:t>
      </w:r>
    </w:p>
    <w:p>
      <w:pPr>
        <w:pStyle w:val="TextBody"/>
        <w:bidi w:val="0"/>
        <w:spacing w:before="360" w:after="0"/>
        <w:jc w:val="both"/>
        <w:rPr>
          <w:rFonts w:ascii="Times New Roman" w:hAnsi="Times New Roman"/>
          <w:b/>
          <w:sz w:val="20"/>
        </w:rPr>
      </w:pPr>
      <w:r>
        <w:rPr>
          <w:rFonts w:ascii="Times New Roman" w:hAnsi="Times New Roman"/>
          <w:b/>
          <w:sz w:val="20"/>
        </w:rPr>
        <w:t xml:space="preserve">Inventories </w:t>
      </w:r>
    </w:p>
    <w:p>
      <w:pPr>
        <w:pStyle w:val="TextBody"/>
        <w:bidi w:val="0"/>
        <w:spacing w:before="120" w:after="0"/>
        <w:jc w:val="both"/>
        <w:rPr>
          <w:rFonts w:ascii="Times New Roman" w:hAnsi="Times New Roman"/>
          <w:sz w:val="20"/>
        </w:rPr>
      </w:pPr>
      <w:r>
        <w:rPr>
          <w:rFonts w:ascii="Times New Roman" w:hAnsi="Times New Roman"/>
          <w:sz w:val="20"/>
        </w:rPr>
        <w:t xml:space="preserve">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As of December 31, 2019, the Company had approximately $7.9 million of inventory and $0.4 million of inventory in process in the labs. As of December 31, 2020, the Company had approximately $37.0 million of inventory and $0.6 million of inventory in process in the labs. As of June 30, 2021, the Company had approximately $26.6 million of inventory and $1.1 million of inventory in process in the labs. </w:t>
      </w:r>
    </w:p>
    <w:p>
      <w:pPr>
        <w:pStyle w:val="TextBody"/>
        <w:bidi w:val="0"/>
        <w:spacing w:before="240" w:after="0"/>
        <w:jc w:val="both"/>
        <w:rPr>
          <w:rFonts w:ascii="Times New Roman" w:hAnsi="Times New Roman"/>
          <w:sz w:val="20"/>
        </w:rPr>
      </w:pPr>
      <w:r>
        <w:rPr>
          <w:rFonts w:ascii="Times New Roman" w:hAnsi="Times New Roman"/>
          <w:sz w:val="20"/>
        </w:rPr>
        <w:t xml:space="preserve">The Company relies on a sole supplier for certain laboratory materials and equipment. Purchases from this supplier accounted for approximately 14% and 23% of total vendor payments for the year ended December 31, 2019 and 2020, respectively, and approximately 10% and 9% of total vendor payments for the six months ended June 30, 2020 and 2021, respectively. Amounts due to this vendor approximated $4.1 million and $5.3 million at December 31, 2019 and 2020 respectively, and approximated $2.5 million at June 30, 2021. </w:t>
      </w:r>
    </w:p>
    <w:p>
      <w:pPr>
        <w:pStyle w:val="TextBody"/>
        <w:bidi w:val="0"/>
        <w:spacing w:before="360" w:after="0"/>
        <w:jc w:val="both"/>
        <w:rPr>
          <w:rFonts w:ascii="Times New Roman" w:hAnsi="Times New Roman"/>
          <w:b/>
          <w:sz w:val="20"/>
        </w:rPr>
      </w:pPr>
      <w:r>
        <w:rPr>
          <w:rFonts w:ascii="Times New Roman" w:hAnsi="Times New Roman"/>
          <w:b/>
          <w:sz w:val="20"/>
        </w:rPr>
        <w:t xml:space="preserve">Prepaid expenses and Other Current Assets </w:t>
      </w:r>
    </w:p>
    <w:p>
      <w:pPr>
        <w:pStyle w:val="TextBody"/>
        <w:bidi w:val="0"/>
        <w:spacing w:before="120" w:after="0"/>
        <w:jc w:val="both"/>
        <w:rPr>
          <w:rFonts w:ascii="Times New Roman" w:hAnsi="Times New Roman"/>
          <w:sz w:val="20"/>
        </w:rPr>
      </w:pPr>
      <w:r>
        <w:rPr>
          <w:rFonts w:ascii="Times New Roman" w:hAnsi="Times New Roman"/>
          <w:sz w:val="20"/>
        </w:rPr>
        <w:t xml:space="preserve">Prepaid assets are recorded when paid and consistent primarily of prepayments for insurance, medical, software subscriptions, cloud storage service, and other receivables. Prepaid expenses are amortized into expense over the related service period. The Company had $8.5 million, $11.5 million and $9.3 million at December 31, 2019 and 2020, and June 30, 2021, respectively. </w:t>
      </w:r>
    </w:p>
    <w:p>
      <w:pPr>
        <w:pStyle w:val="TextBody"/>
        <w:bidi w:val="0"/>
        <w:spacing w:before="360" w:after="0"/>
        <w:jc w:val="both"/>
        <w:rPr>
          <w:rFonts w:ascii="Times New Roman" w:hAnsi="Times New Roman"/>
          <w:b/>
          <w:sz w:val="20"/>
        </w:rPr>
      </w:pPr>
      <w:r>
        <w:rPr>
          <w:rFonts w:ascii="Times New Roman" w:hAnsi="Times New Roman"/>
          <w:b/>
          <w:sz w:val="20"/>
        </w:rPr>
        <w:t xml:space="preserve">Long-Lived Assets </w:t>
      </w:r>
    </w:p>
    <w:p>
      <w:pPr>
        <w:pStyle w:val="TextBody"/>
        <w:bidi w:val="0"/>
        <w:spacing w:before="120" w:after="0"/>
        <w:jc w:val="both"/>
        <w:rPr>
          <w:rFonts w:ascii="Times New Roman" w:hAnsi="Times New Roman"/>
          <w:i/>
          <w:sz w:val="20"/>
        </w:rPr>
      </w:pPr>
      <w:r>
        <w:rPr>
          <w:rFonts w:ascii="Times New Roman" w:hAnsi="Times New Roman"/>
          <w:i/>
          <w:sz w:val="20"/>
        </w:rPr>
        <w:t xml:space="preserve">Property and Equipment and Intangibles </w:t>
      </w:r>
    </w:p>
    <w:p>
      <w:pPr>
        <w:pStyle w:val="TextBody"/>
        <w:bidi w:val="0"/>
        <w:spacing w:before="120" w:after="0"/>
        <w:jc w:val="both"/>
        <w:rPr>
          <w:rFonts w:ascii="Times New Roman" w:hAnsi="Times New Roman"/>
          <w:sz w:val="20"/>
        </w:rPr>
      </w:pPr>
      <w:r>
        <w:rPr>
          <w:rFonts w:ascii="Times New Roman" w:hAnsi="Times New Roman"/>
          <w:sz w:val="20"/>
        </w:rPr>
        <w:t xml:space="preserve">Property and equipment are stated at cost and assets under capital leases are stated at the lesser of the present value of minimum lease payments or their fair market value. Depreciation is recognized using the straight-line method over the estimated useful lives of the related assets. Generally, the useful lives are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 </w:t>
      </w:r>
    </w:p>
    <w:p>
      <w:pPr>
        <w:pStyle w:val="TextBody"/>
        <w:bidi w:val="0"/>
        <w:spacing w:before="360" w:after="0"/>
        <w:jc w:val="both"/>
        <w:rPr>
          <w:rFonts w:ascii="Times New Roman" w:hAnsi="Times New Roman"/>
          <w:i/>
          <w:sz w:val="20"/>
        </w:rPr>
      </w:pPr>
      <w:r>
        <w:rPr>
          <w:rFonts w:ascii="Times New Roman" w:hAnsi="Times New Roman"/>
          <w:i/>
          <w:sz w:val="20"/>
        </w:rPr>
        <w:t xml:space="preserve">Impairment of Long-Lived Assets </w:t>
      </w:r>
    </w:p>
    <w:p>
      <w:pPr>
        <w:pStyle w:val="TextBody"/>
        <w:bidi w:val="0"/>
        <w:spacing w:before="120" w:after="0"/>
        <w:jc w:val="both"/>
        <w:rPr>
          <w:rFonts w:ascii="Times New Roman" w:hAnsi="Times New Roman"/>
          <w:sz w:val="20"/>
        </w:rPr>
      </w:pPr>
      <w:r>
        <w:rPr>
          <w:rFonts w:ascii="Times New Roman" w:hAnsi="Times New Roman"/>
          <w:sz w:val="20"/>
        </w:rPr>
        <w:t xml:space="preserve">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2019, and 2020, nor during the six months ended during June 30, 2020 and 2021. </w:t>
      </w:r>
    </w:p>
    <w:p>
      <w:pPr>
        <w:pStyle w:val="TextBody"/>
        <w:bidi w:val="0"/>
        <w:spacing w:before="360" w:after="0"/>
        <w:jc w:val="both"/>
        <w:rPr>
          <w:rFonts w:ascii="Times New Roman" w:hAnsi="Times New Roman"/>
          <w:b/>
          <w:sz w:val="20"/>
        </w:rPr>
      </w:pPr>
      <w:r>
        <w:rPr>
          <w:rFonts w:ascii="Times New Roman" w:hAnsi="Times New Roman"/>
          <w:b/>
          <w:sz w:val="20"/>
        </w:rPr>
        <w:t xml:space="preserve">Goodwill </w:t>
      </w:r>
    </w:p>
    <w:p>
      <w:pPr>
        <w:pStyle w:val="TextBody"/>
        <w:bidi w:val="0"/>
        <w:spacing w:before="120" w:after="0"/>
        <w:jc w:val="both"/>
        <w:rPr>
          <w:rFonts w:ascii="Times New Roman" w:hAnsi="Times New Roman"/>
          <w:sz w:val="20"/>
        </w:rPr>
      </w:pPr>
      <w:r>
        <w:rPr>
          <w:rFonts w:ascii="Times New Roman" w:hAnsi="Times New Roman"/>
          <w:sz w:val="20"/>
        </w:rPr>
        <w:t xml:space="preserve">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 </w:t>
      </w:r>
    </w:p>
    <w:p>
      <w:pPr>
        <w:pStyle w:val="TextBody"/>
        <w:bidi w:val="0"/>
        <w:spacing w:before="240" w:after="0"/>
        <w:jc w:val="both"/>
        <w:rPr>
          <w:rFonts w:ascii="Times New Roman" w:hAnsi="Times New Roman"/>
          <w:sz w:val="20"/>
        </w:rPr>
      </w:pPr>
      <w:r>
        <w:rPr>
          <w:rFonts w:ascii="Times New Roman" w:hAnsi="Times New Roman"/>
          <w:sz w:val="20"/>
        </w:rPr>
        <w:t xml:space="preserve">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Goodwill of $15.6 million was recorded in connection with the acquisition of AKESOgen in December 2019 and the Company recorded no impairment loss during the year ended December 31, 2020, or the six months ended June 30, 2021. </w:t>
      </w:r>
    </w:p>
    <w:p>
      <w:pPr>
        <w:pStyle w:val="TextBody"/>
        <w:bidi w:val="0"/>
        <w:spacing w:before="360" w:after="0"/>
        <w:jc w:val="both"/>
        <w:rPr>
          <w:rFonts w:ascii="Times New Roman" w:hAnsi="Times New Roman"/>
          <w:b/>
          <w:sz w:val="20"/>
        </w:rPr>
      </w:pPr>
      <w:r>
        <w:rPr>
          <w:rFonts w:ascii="Times New Roman" w:hAnsi="Times New Roman"/>
          <w:b/>
          <w:sz w:val="20"/>
        </w:rPr>
        <w:t xml:space="preserve">Convertible Note </w:t>
      </w:r>
    </w:p>
    <w:p>
      <w:pPr>
        <w:pStyle w:val="TextBody"/>
        <w:bidi w:val="0"/>
        <w:spacing w:before="120" w:after="0"/>
        <w:jc w:val="both"/>
        <w:rPr>
          <w:rFonts w:ascii="Times New Roman" w:hAnsi="Times New Roman"/>
          <w:sz w:val="20"/>
        </w:rPr>
      </w:pPr>
      <w:r>
        <w:rPr>
          <w:rFonts w:ascii="Times New Roman" w:hAnsi="Times New Roman"/>
          <w:sz w:val="20"/>
        </w:rPr>
        <w:t xml:space="preserve">The Companys outstanding promissory note (see Note10) is accounted for in accordance with ASC 470-20.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Revenue Recognition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 derives revenue from selling lab services (Genomics) to physicians, academic research institutions, and other parties. The Company also derives revenue from the commercialization of data generated in the lab (Data and other) through the licensing of de-identified datasets to third parties and from matching patients to clinical trials enrolled in its clinical trial network. The majority of the Companys revenue is generated in North America. </w:t>
      </w:r>
    </w:p>
    <w:p>
      <w:pPr>
        <w:pStyle w:val="TextBody"/>
        <w:bidi w:val="0"/>
        <w:spacing w:before="240" w:after="0"/>
        <w:jc w:val="both"/>
        <w:rPr>
          <w:rFonts w:ascii="Times New Roman" w:hAnsi="Times New Roman"/>
          <w:sz w:val="20"/>
        </w:rPr>
      </w:pPr>
      <w:r>
        <w:rPr>
          <w:rFonts w:ascii="Times New Roman" w:hAnsi="Times New Roman"/>
          <w:sz w:val="20"/>
        </w:rPr>
        <w:t xml:space="preserve">The Company accounts for revenue in accordance with ASC Topic 606, </w:t>
      </w:r>
      <w:r>
        <w:rPr>
          <w:rFonts w:ascii="Times New Roman" w:hAnsi="Times New Roman"/>
          <w:i/>
          <w:sz w:val="20"/>
        </w:rPr>
        <w:t>Revenue From Contracts With Customers</w:t>
      </w:r>
      <w:r>
        <w:rPr>
          <w:rFonts w:ascii="Times New Roman" w:hAnsi="Times New Roman"/>
          <w:sz w:val="20"/>
        </w:rPr>
        <w:t xml:space="preserve">. The Company commences revenue recognition when control of these products is transferred to customers in an amount that reflects the consideration the Company expects to be entitled to in exchange for such products. This principle is achieved by applying the five-step approach. </w:t>
      </w:r>
    </w:p>
    <w:p>
      <w:pPr>
        <w:pStyle w:val="TextBody"/>
        <w:bidi w:val="0"/>
        <w:spacing w:before="240" w:after="0"/>
        <w:jc w:val="both"/>
        <w:rPr>
          <w:rFonts w:ascii="Times New Roman" w:hAnsi="Times New Roman"/>
          <w:sz w:val="20"/>
        </w:rPr>
      </w:pPr>
      <w:r>
        <w:rPr>
          <w:rFonts w:ascii="Times New Roman" w:hAnsi="Times New Roman"/>
          <w:sz w:val="20"/>
        </w:rPr>
        <w:t xml:space="preserve">(i) 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 </w:t>
      </w:r>
    </w:p>
    <w:p>
      <w:pPr>
        <w:pStyle w:val="TextBody"/>
        <w:bidi w:val="0"/>
        <w:spacing w:before="360" w:after="0"/>
        <w:jc w:val="both"/>
        <w:rPr>
          <w:rFonts w:ascii="Times New Roman" w:hAnsi="Times New Roman"/>
          <w:i/>
          <w:sz w:val="20"/>
        </w:rPr>
      </w:pPr>
      <w:r>
        <w:rPr>
          <w:rFonts w:ascii="Times New Roman" w:hAnsi="Times New Roman"/>
          <w:i/>
          <w:sz w:val="20"/>
        </w:rPr>
        <w:t xml:space="preserve">Disaggregation of Revenue </w:t>
      </w:r>
    </w:p>
    <w:p>
      <w:pPr>
        <w:pStyle w:val="TextBody"/>
        <w:bidi w:val="0"/>
        <w:spacing w:before="120" w:after="0"/>
        <w:jc w:val="both"/>
        <w:rPr>
          <w:rFonts w:ascii="Times New Roman" w:hAnsi="Times New Roman"/>
          <w:sz w:val="20"/>
        </w:rPr>
      </w:pPr>
      <w:r>
        <w:rPr>
          <w:rFonts w:ascii="Times New Roman" w:hAnsi="Times New Roman"/>
          <w:sz w:val="20"/>
        </w:rPr>
        <w:t xml:space="preserve">The Company provides disaggregation of revenue based on Genomics and Data on the consolidated statements of operations and comprehensive loss, as it believes these best depict how the nature, amount, timing and uncertainty of revenue and cash flows are affected by economic factors. </w:t>
      </w:r>
    </w:p>
    <w:p>
      <w:pPr>
        <w:pStyle w:val="TextBody"/>
        <w:bidi w:val="0"/>
        <w:spacing w:before="360" w:after="0"/>
        <w:jc w:val="both"/>
        <w:rPr>
          <w:rFonts w:ascii="Times New Roman" w:hAnsi="Times New Roman"/>
          <w:i/>
          <w:sz w:val="20"/>
        </w:rPr>
      </w:pPr>
      <w:r>
        <w:rPr>
          <w:rFonts w:ascii="Times New Roman" w:hAnsi="Times New Roman"/>
          <w:i/>
          <w:sz w:val="20"/>
        </w:rPr>
        <w:t xml:space="preserve">Genomics </w:t>
      </w:r>
    </w:p>
    <w:p>
      <w:pPr>
        <w:pStyle w:val="TextBody"/>
        <w:bidi w:val="0"/>
        <w:spacing w:before="120" w:after="0"/>
        <w:jc w:val="both"/>
        <w:rPr>
          <w:rFonts w:ascii="Times New Roman" w:hAnsi="Times New Roman"/>
          <w:sz w:val="20"/>
        </w:rPr>
      </w:pPr>
      <w:r>
        <w:rPr>
          <w:rFonts w:ascii="Times New Roman" w:hAnsi="Times New Roman"/>
          <w:sz w:val="20"/>
        </w:rPr>
        <w:t xml:space="preserve">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$27.9 million and $151.9 million for the years ended December 31, 2019 and 2020, respectively. The Company recognized Genomics revenue of $26.1 million and $112.9 million for the six months ended June 30, 2020 and 2021, respectively. </w:t>
      </w:r>
    </w:p>
    <w:p>
      <w:pPr>
        <w:pStyle w:val="TextBody"/>
        <w:bidi w:val="0"/>
        <w:spacing w:before="240" w:after="0"/>
        <w:jc w:val="both"/>
        <w:rPr>
          <w:rFonts w:ascii="Times New Roman" w:hAnsi="Times New Roman"/>
          <w:sz w:val="20"/>
        </w:rPr>
      </w:pPr>
      <w:r>
        <w:rPr>
          <w:rFonts w:ascii="Times New Roman" w:hAnsi="Times New Roman"/>
          <w:sz w:val="20"/>
        </w:rPr>
        <w:t xml:space="preserve">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$25.4 million and $104.1 million for the years ended December 31, 2019 and 2020, respectively. The Company recognized revenue for clinical orders of $22.8 million and $90.8 million for the six months ended June 30, 2020 and 2021, respectively. </w:t>
      </w:r>
    </w:p>
    <w:p>
      <w:pPr>
        <w:pStyle w:val="TextBody"/>
        <w:bidi w:val="0"/>
        <w:spacing w:before="240" w:after="0"/>
        <w:jc w:val="both"/>
        <w:rPr>
          <w:rFonts w:ascii="Times New Roman" w:hAnsi="Times New Roman"/>
          <w:sz w:val="20"/>
        </w:rPr>
      </w:pPr>
      <w:r>
        <w:rPr>
          <w:rFonts w:ascii="Times New Roman" w:hAnsi="Times New Roman"/>
          <w:sz w:val="20"/>
        </w:rPr>
        <w:t xml:space="preserve">For direct bill orders from research institutions, pharmaceutical companies, or other third parties, the Company determines the transaction prices based on established contractual rates with the customer, net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applicable discounts. Payment is typically due between 30 and 60 days following the date of invoice. The Company recognized Genomics revenue for direct bill orders of $2.5 million and $48.0 million for the years ended December 31, 2019 and 2020, respectively. The Company recognized Genomics revenue for direct bill orders of $3.3 million and $22.1 million for the six months ended June 30, 2020 and 2021, respectively. </w:t>
      </w:r>
    </w:p>
    <w:p>
      <w:pPr>
        <w:pStyle w:val="TextBody"/>
        <w:bidi w:val="0"/>
        <w:spacing w:before="360" w:after="0"/>
        <w:jc w:val="both"/>
        <w:rPr>
          <w:rFonts w:ascii="Times New Roman" w:hAnsi="Times New Roman"/>
          <w:i/>
          <w:sz w:val="20"/>
        </w:rPr>
      </w:pPr>
      <w:r>
        <w:rPr>
          <w:rFonts w:ascii="Times New Roman" w:hAnsi="Times New Roman"/>
          <w:i/>
          <w:sz w:val="20"/>
        </w:rPr>
        <w:t xml:space="preserve">Data and other </w:t>
      </w:r>
    </w:p>
    <w:p>
      <w:pPr>
        <w:pStyle w:val="TextBody"/>
        <w:bidi w:val="0"/>
        <w:spacing w:before="120" w:after="0"/>
        <w:jc w:val="both"/>
        <w:rPr>
          <w:rFonts w:ascii="Times New Roman" w:hAnsi="Times New Roman"/>
          <w:sz w:val="20"/>
        </w:rPr>
      </w:pPr>
      <w:r>
        <w:rPr>
          <w:rFonts w:ascii="Times New Roman" w:hAnsi="Times New Roman"/>
          <w:sz w:val="20"/>
        </w:rPr>
        <w:t xml:space="preserve">The Company generally recognizes revenue for its Data and other product offering when it has met its performance obligation under the terms of the agreement with the customer. For the Data and other product offering, the sole performance obligation is generally the delivery of the de-identified licensed data, the delivery of a notification of a matched patient for a clinical trial, or the enrollment of a patient in a clinical trial. The Company determines the transaction price based on established contractual rates with the customer, net of any applicable discounts. Payment is generally due 60-90 days after the date of service. The Company recognized Data and other revenue from pharmaceutical companies, non-for-profits, and researchers of $34.2 million and $36.1 million for the years ended December 31, 2019 and 2020, respectively, and $10.3 million and $19.2 million for the six months ended June 30, 2020 and 2021, respectively. </w:t>
      </w:r>
    </w:p>
    <w:p>
      <w:pPr>
        <w:pStyle w:val="TextBody"/>
        <w:bidi w:val="0"/>
        <w:spacing w:before="360" w:after="0"/>
        <w:jc w:val="both"/>
        <w:rPr>
          <w:rFonts w:ascii="Times New Roman" w:hAnsi="Times New Roman"/>
          <w:i/>
          <w:sz w:val="20"/>
        </w:rPr>
      </w:pPr>
      <w:r>
        <w:rPr>
          <w:rFonts w:ascii="Times New Roman" w:hAnsi="Times New Roman"/>
          <w:i/>
          <w:sz w:val="20"/>
        </w:rPr>
        <w:t xml:space="preserve">Contract Assets </w:t>
      </w:r>
    </w:p>
    <w:p>
      <w:pPr>
        <w:pStyle w:val="TextBody"/>
        <w:bidi w:val="0"/>
        <w:spacing w:before="120" w:after="0"/>
        <w:jc w:val="both"/>
        <w:rPr>
          <w:rFonts w:ascii="Times New Roman" w:hAnsi="Times New Roman"/>
          <w:sz w:val="20"/>
        </w:rPr>
      </w:pPr>
      <w:r>
        <w:rPr>
          <w:rFonts w:ascii="Times New Roman" w:hAnsi="Times New Roman"/>
          <w:sz w:val="20"/>
        </w:rPr>
        <w:t xml:space="preserve">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2019 and 2020 and June 30, 2021 included contract assets of $5.5 million, $39.6 million, and $17.0 million respectively. </w:t>
      </w:r>
    </w:p>
    <w:p>
      <w:pPr>
        <w:pStyle w:val="TextBody"/>
        <w:bidi w:val="0"/>
        <w:spacing w:before="360" w:after="0"/>
        <w:jc w:val="both"/>
        <w:rPr>
          <w:rFonts w:ascii="Times New Roman" w:hAnsi="Times New Roman"/>
          <w:i/>
          <w:sz w:val="20"/>
        </w:rPr>
      </w:pPr>
      <w:r>
        <w:rPr>
          <w:rFonts w:ascii="Times New Roman" w:hAnsi="Times New Roman"/>
          <w:i/>
          <w:sz w:val="20"/>
        </w:rPr>
        <w:t xml:space="preserve">Deferred Revenue </w:t>
      </w:r>
    </w:p>
    <w:p>
      <w:pPr>
        <w:pStyle w:val="TextBody"/>
        <w:bidi w:val="0"/>
        <w:spacing w:before="120" w:after="0"/>
        <w:jc w:val="both"/>
        <w:rPr>
          <w:rFonts w:ascii="Times New Roman" w:hAnsi="Times New Roman"/>
          <w:sz w:val="20"/>
        </w:rPr>
      </w:pPr>
      <w:r>
        <w:rPr>
          <w:rFonts w:ascii="Times New Roman" w:hAnsi="Times New Roman"/>
          <w:sz w:val="20"/>
        </w:rPr>
        <w:t xml:space="preserve">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product offering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As of December 31, 2020 and June 30, 2021, all deferred revenue recorded is expected to be recognized in the next twelve months. </w:t>
      </w:r>
    </w:p>
    <w:p>
      <w:pPr>
        <w:pStyle w:val="TextBody"/>
        <w:bidi w:val="0"/>
        <w:spacing w:before="360" w:after="0"/>
        <w:jc w:val="both"/>
        <w:rPr>
          <w:rFonts w:ascii="Times New Roman" w:hAnsi="Times New Roman"/>
          <w:b/>
          <w:sz w:val="20"/>
        </w:rPr>
      </w:pPr>
      <w:r>
        <w:rPr>
          <w:rFonts w:ascii="Times New Roman" w:hAnsi="Times New Roman"/>
          <w:b/>
          <w:sz w:val="20"/>
        </w:rPr>
        <w:t xml:space="preserve">Cost of Revenue, Genomics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for Genomics consists of personnel lab expenses, including salaries, bonuses, employee benefits, amortization of intangible assets, cost of laboratory supplies and consumables administration fees associated with COVID-19 testing, depreciation of laboratory equipment, shipping costs, third-party laboratory costs, and certain allocated overhead expenses. Costs associated with performing the Companys tests are recorded as the tests are processed regardless of whether revenue was recognized with respect to that test. </w:t>
      </w:r>
    </w:p>
    <w:p>
      <w:pPr>
        <w:pStyle w:val="TextBody"/>
        <w:bidi w:val="0"/>
        <w:spacing w:before="360" w:after="0"/>
        <w:jc w:val="both"/>
        <w:rPr>
          <w:rFonts w:ascii="Times New Roman" w:hAnsi="Times New Roman"/>
          <w:b/>
          <w:sz w:val="20"/>
        </w:rPr>
      </w:pPr>
      <w:r>
        <w:rPr>
          <w:rFonts w:ascii="Times New Roman" w:hAnsi="Times New Roman"/>
          <w:b/>
          <w:sz w:val="20"/>
        </w:rPr>
        <w:t xml:space="preserve">Cost of Revenue, Data and other </w:t>
      </w:r>
    </w:p>
    <w:p>
      <w:pPr>
        <w:pStyle w:val="TextBody"/>
        <w:bidi w:val="0"/>
        <w:spacing w:before="120" w:after="0"/>
        <w:jc w:val="both"/>
        <w:rPr>
          <w:rFonts w:ascii="Times New Roman" w:hAnsi="Times New Roman"/>
          <w:sz w:val="20"/>
        </w:rPr>
      </w:pPr>
      <w:r>
        <w:rPr>
          <w:rFonts w:ascii="Times New Roman" w:hAnsi="Times New Roman"/>
          <w:sz w:val="20"/>
        </w:rPr>
        <w:t xml:space="preserve">Cost of revenue for Data and other includes data acquisition and royalty fees, and personnel costs related to our delivery of our data services and platform, and certain allocated overhead expenses. Costs associated with performing data services are recorded as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both"/>
        <w:rPr>
          <w:rFonts w:ascii="Times New Roman" w:hAnsi="Times New Roman"/>
          <w:sz w:val="20"/>
        </w:rPr>
      </w:pPr>
      <w:r>
        <w:rPr>
          <w:rFonts w:ascii="Times New Roman" w:hAnsi="Times New Roman"/>
          <w:sz w:val="20"/>
        </w:rPr>
        <w:t>Research and development expenses include costs incurred to develop new assays and algorithms, and include salaries and benefits, amortization of intangible assets, inventory costs, overhead costs, validation costs, contract services and other related costs</w:t>
      </w:r>
      <w:r>
        <w:rPr>
          <w:rFonts w:ascii="Times New Roman" w:hAnsi="Times New Roman"/>
          <w:b/>
          <w:sz w:val="20"/>
        </w:rPr>
        <w:t>.</w:t>
      </w:r>
      <w:r>
        <w:rPr>
          <w:rFonts w:ascii="Times New Roman" w:hAnsi="Times New Roman"/>
          <w:sz w:val="20"/>
        </w:rPr>
        <w:t xml:space="preserve"> Research and development costs are expensed as incurred. </w:t>
      </w:r>
    </w:p>
    <w:p>
      <w:pPr>
        <w:pStyle w:val="TextBody"/>
        <w:bidi w:val="0"/>
        <w:spacing w:before="360" w:after="0"/>
        <w:jc w:val="both"/>
        <w:rPr>
          <w:rFonts w:ascii="Times New Roman" w:hAnsi="Times New Roman"/>
          <w:b/>
          <w:sz w:val="20"/>
        </w:rPr>
      </w:pPr>
      <w:r>
        <w:rPr>
          <w:rFonts w:ascii="Times New Roman" w:hAnsi="Times New Roman"/>
          <w:b/>
          <w:sz w:val="20"/>
        </w:rPr>
        <w:t xml:space="preserve">Technology </w:t>
      </w:r>
    </w:p>
    <w:p>
      <w:pPr>
        <w:pStyle w:val="TextBody"/>
        <w:bidi w:val="0"/>
        <w:spacing w:before="120" w:after="0"/>
        <w:jc w:val="both"/>
        <w:rPr>
          <w:rFonts w:ascii="Times New Roman" w:hAnsi="Times New Roman"/>
          <w:sz w:val="20"/>
        </w:rPr>
      </w:pPr>
      <w:r>
        <w:rPr>
          <w:rFonts w:ascii="Times New Roman" w:hAnsi="Times New Roman"/>
          <w:sz w:val="20"/>
        </w:rPr>
        <w:t>Technology expenses are comprised of costs incurred to develop new algorithms and platforms and include salaries and benefits, contract services and other related costs</w:t>
      </w:r>
      <w:r>
        <w:rPr>
          <w:rFonts w:ascii="Times New Roman" w:hAnsi="Times New Roman"/>
          <w:b/>
          <w:sz w:val="20"/>
        </w:rPr>
        <w:t>.</w:t>
      </w:r>
      <w:r>
        <w:rPr>
          <w:rFonts w:ascii="Times New Roman" w:hAnsi="Times New Roman"/>
          <w:sz w:val="20"/>
        </w:rPr>
        <w:t xml:space="preserve"> Technology costs are expensed as incurred. </w:t>
      </w:r>
    </w:p>
    <w:p>
      <w:pPr>
        <w:pStyle w:val="TextBody"/>
        <w:bidi w:val="0"/>
        <w:spacing w:before="360" w:after="0"/>
        <w:jc w:val="both"/>
        <w:rPr>
          <w:rFonts w:ascii="Times New Roman" w:hAnsi="Times New Roman"/>
          <w:b/>
          <w:sz w:val="20"/>
        </w:rPr>
      </w:pPr>
      <w:r>
        <w:rPr>
          <w:rFonts w:ascii="Times New Roman" w:hAnsi="Times New Roman"/>
          <w:b/>
          <w:sz w:val="20"/>
        </w:rPr>
        <w:t xml:space="preserve">401(k) Plan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2019 and 2020 and the six months ended June 30, 2020 and 2021, the Company did not match any employee contributions. </w:t>
      </w:r>
    </w:p>
    <w:p>
      <w:pPr>
        <w:pStyle w:val="TextBody"/>
        <w:bidi w:val="0"/>
        <w:spacing w:before="360" w:after="0"/>
        <w:jc w:val="both"/>
        <w:rPr>
          <w:rFonts w:ascii="Times New Roman" w:hAnsi="Times New Roman"/>
          <w:b/>
          <w:sz w:val="20"/>
        </w:rPr>
      </w:pPr>
      <w:r>
        <w:rPr>
          <w:rFonts w:ascii="Times New Roman" w:hAnsi="Times New Roman"/>
          <w:b/>
          <w:sz w:val="20"/>
        </w:rPr>
        <w:t xml:space="preserve">Income Taxes </w:t>
      </w:r>
    </w:p>
    <w:p>
      <w:pPr>
        <w:pStyle w:val="TextBody"/>
        <w:bidi w:val="0"/>
        <w:spacing w:before="120" w:after="0"/>
        <w:jc w:val="both"/>
        <w:rPr>
          <w:rFonts w:ascii="Times New Roman" w:hAnsi="Times New Roman"/>
          <w:sz w:val="20"/>
        </w:rPr>
      </w:pPr>
      <w:r>
        <w:rPr>
          <w:rFonts w:ascii="Times New Roman" w:hAnsi="Times New Roman"/>
          <w:sz w:val="20"/>
        </w:rPr>
        <w:t xml:space="preserve">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 </w:t>
      </w:r>
    </w:p>
    <w:p>
      <w:pPr>
        <w:pStyle w:val="TextBody"/>
        <w:bidi w:val="0"/>
        <w:spacing w:before="240" w:after="0"/>
        <w:jc w:val="both"/>
        <w:rPr>
          <w:rFonts w:ascii="Times New Roman" w:hAnsi="Times New Roman"/>
          <w:sz w:val="20"/>
        </w:rPr>
      </w:pPr>
      <w:r>
        <w:rPr>
          <w:rFonts w:ascii="Times New Roman" w:hAnsi="Times New Roman"/>
          <w:sz w:val="20"/>
        </w:rPr>
        <w:t xml:space="preserve">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 </w:t>
      </w:r>
    </w:p>
    <w:p>
      <w:pPr>
        <w:pStyle w:val="TextBody"/>
        <w:bidi w:val="0"/>
        <w:spacing w:before="240" w:after="0"/>
        <w:jc w:val="both"/>
        <w:rPr>
          <w:rFonts w:ascii="Times New Roman" w:hAnsi="Times New Roman"/>
          <w:sz w:val="20"/>
        </w:rPr>
      </w:pPr>
      <w:r>
        <w:rPr>
          <w:rFonts w:ascii="Times New Roman" w:hAnsi="Times New Roman"/>
          <w:sz w:val="20"/>
        </w:rPr>
        <w:t xml:space="preserve">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2020, the Company had federal and state net operating loss (NOL) carry forwards of approximately $380.9 and $262.4 million, respectively, which may be available to offset future taxable income. The NOLs will begin to expire in 2037.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concluded that as of December 31, 2019 and 2020, and June 30, 2021, there are no uncertain positions taken or expected to be taken that would require recognition of a liability in the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subject to routine audits by taxing jurisdictions. As of December 31, 2020, the Company was not under audit in any jurisdiction. As of June 30, 2021, the Company was not under audit in any jurisdiction. </w:t>
      </w:r>
    </w:p>
    <w:p>
      <w:pPr>
        <w:pStyle w:val="TextBody"/>
        <w:bidi w:val="0"/>
        <w:spacing w:before="360" w:after="0"/>
        <w:jc w:val="both"/>
        <w:rPr>
          <w:rFonts w:ascii="Times New Roman" w:hAnsi="Times New Roman"/>
          <w:b/>
          <w:sz w:val="20"/>
        </w:rPr>
      </w:pPr>
      <w:r>
        <w:rPr>
          <w:rFonts w:ascii="Times New Roman" w:hAnsi="Times New Roman"/>
          <w:b/>
          <w:sz w:val="20"/>
        </w:rPr>
        <w:t xml:space="preserve">Net Loss Per Share Attributable to Common Stockholders </w:t>
      </w:r>
    </w:p>
    <w:p>
      <w:pPr>
        <w:pStyle w:val="TextBody"/>
        <w:bidi w:val="0"/>
        <w:spacing w:before="120" w:after="0"/>
        <w:jc w:val="both"/>
        <w:rPr>
          <w:rFonts w:ascii="Times New Roman" w:hAnsi="Times New Roman"/>
          <w:sz w:val="20"/>
        </w:rPr>
      </w:pPr>
      <w:r>
        <w:rPr>
          <w:rFonts w:ascii="Times New Roman" w:hAnsi="Times New Roman"/>
          <w:sz w:val="20"/>
        </w:rPr>
        <w:t xml:space="preserve">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 </w:t>
      </w:r>
    </w:p>
    <w:p>
      <w:pPr>
        <w:pStyle w:val="TextBody"/>
        <w:bidi w:val="0"/>
        <w:spacing w:before="360" w:after="0"/>
        <w:jc w:val="both"/>
        <w:rPr>
          <w:rFonts w:ascii="Times New Roman" w:hAnsi="Times New Roman"/>
          <w:b/>
          <w:sz w:val="20"/>
        </w:rPr>
      </w:pPr>
      <w:r>
        <w:rPr>
          <w:rFonts w:ascii="Times New Roman" w:hAnsi="Times New Roman"/>
          <w:b/>
          <w:sz w:val="20"/>
        </w:rPr>
        <w:t xml:space="preserve">Deferred Offering Costs </w:t>
      </w:r>
    </w:p>
    <w:p>
      <w:pPr>
        <w:pStyle w:val="TextBody"/>
        <w:bidi w:val="0"/>
        <w:spacing w:before="120" w:after="0"/>
        <w:jc w:val="both"/>
        <w:rPr>
          <w:rFonts w:ascii="Times New Roman" w:hAnsi="Times New Roman"/>
          <w:sz w:val="20"/>
        </w:rPr>
      </w:pPr>
      <w:r>
        <w:rPr>
          <w:rFonts w:ascii="Times New Roman" w:hAnsi="Times New Roman"/>
          <w:sz w:val="20"/>
        </w:rPr>
        <w:t xml:space="preserve">Deferred offering costs consist primarily of accounting, legal, and other fees related to the Companys proposed IPO. The deferred offering costs will be recorded against IPO proceeds upon the consummation of the IPO. If the IPO is abandoned, deferred offering costs will be expensed in the period the IPO is abandoned. There were no deferred offering costs as of December 31, 2019 or 2020 or for the six months ended June 30, 2021. </w:t>
      </w:r>
    </w:p>
    <w:p>
      <w:pPr>
        <w:pStyle w:val="TextBody"/>
        <w:bidi w:val="0"/>
        <w:spacing w:before="360" w:after="0"/>
        <w:jc w:val="both"/>
        <w:rPr>
          <w:rFonts w:ascii="Times New Roman" w:hAnsi="Times New Roman"/>
          <w:b/>
          <w:sz w:val="20"/>
        </w:rPr>
      </w:pPr>
      <w:r>
        <w:rPr>
          <w:rFonts w:ascii="Times New Roman" w:hAnsi="Times New Roman"/>
          <w:b/>
          <w:sz w:val="20"/>
        </w:rPr>
        <w:t xml:space="preserve">Stock-Based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9 for further information on stock-based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Fair Value Measurements </w:t>
      </w:r>
    </w:p>
    <w:p>
      <w:pPr>
        <w:pStyle w:val="TextBody"/>
        <w:bidi w:val="0"/>
        <w:spacing w:before="120" w:after="0"/>
        <w:jc w:val="both"/>
        <w:rPr>
          <w:rFonts w:ascii="Times New Roman" w:hAnsi="Times New Roman"/>
          <w:sz w:val="20"/>
        </w:rPr>
      </w:pPr>
      <w:r>
        <w:rPr>
          <w:rFonts w:ascii="Times New Roman" w:hAnsi="Times New Roman"/>
          <w:sz w:val="20"/>
        </w:rPr>
        <w:t xml:space="preserve">Fair value is defined under GAAP as the price that would be received to sell an asset or paid to transfer a liability in an orderly transaction between market participants at the measurement date. Fair value is a market-based measurement that is determined based on assumptions that market participants would use in pricing an asset or a liability. </w:t>
      </w:r>
    </w:p>
    <w:p>
      <w:pPr>
        <w:pStyle w:val="TextBody"/>
        <w:bidi w:val="0"/>
        <w:spacing w:before="240" w:after="0"/>
        <w:jc w:val="both"/>
        <w:rPr>
          <w:rFonts w:ascii="Times New Roman" w:hAnsi="Times New Roman"/>
          <w:sz w:val="20"/>
        </w:rPr>
      </w:pPr>
      <w:r>
        <w:rPr>
          <w:rFonts w:ascii="Times New Roman" w:hAnsi="Times New Roman"/>
          <w:sz w:val="20"/>
        </w:rPr>
        <w:t xml:space="preserve">To increase the comparability of fair value measures, the following hierarchy prioritizes the inputs in valuation methodologies used to measure fair value: </w:t>
      </w:r>
    </w:p>
    <w:p>
      <w:pPr>
        <w:pStyle w:val="TextBody"/>
        <w:bidi w:val="0"/>
        <w:spacing w:before="240" w:after="0"/>
        <w:jc w:val="both"/>
        <w:rPr>
          <w:rFonts w:ascii="Times New Roman" w:hAnsi="Times New Roman"/>
          <w:sz w:val="20"/>
        </w:rPr>
      </w:pPr>
      <w:r>
        <w:rPr>
          <w:rFonts w:ascii="Times New Roman" w:hAnsi="Times New Roman"/>
          <w:i/>
          <w:sz w:val="20"/>
        </w:rPr>
        <w:t>Level 1</w:t>
      </w:r>
      <w:r>
        <w:rPr>
          <w:rFonts w:ascii="Times New Roman" w:hAnsi="Times New Roman"/>
          <w:sz w:val="20"/>
        </w:rPr>
        <w:t xml:space="preserve">Measurements that reflect quoted prices (unadjusted) for identical assets or liabilities in active markets. </w:t>
      </w:r>
    </w:p>
    <w:p>
      <w:pPr>
        <w:pStyle w:val="TextBody"/>
        <w:bidi w:val="0"/>
        <w:spacing w:before="240" w:after="0"/>
        <w:jc w:val="both"/>
        <w:rPr>
          <w:rFonts w:ascii="Times New Roman" w:hAnsi="Times New Roman"/>
          <w:sz w:val="20"/>
        </w:rPr>
      </w:pPr>
      <w:r>
        <w:rPr>
          <w:rFonts w:ascii="Times New Roman" w:hAnsi="Times New Roman"/>
          <w:i/>
          <w:sz w:val="20"/>
        </w:rPr>
        <w:t>Level 2</w:t>
      </w:r>
      <w:r>
        <w:rPr>
          <w:rFonts w:ascii="Times New Roman" w:hAnsi="Times New Roman"/>
          <w:sz w:val="20"/>
        </w:rPr>
        <w:t xml:space="preserve">Measurements that include other inputs that are directly or indirectly observable in the marketplace. </w:t>
      </w:r>
    </w:p>
    <w:p>
      <w:pPr>
        <w:pStyle w:val="TextBody"/>
        <w:bidi w:val="0"/>
        <w:spacing w:before="240" w:after="0"/>
        <w:jc w:val="both"/>
        <w:rPr>
          <w:rFonts w:ascii="Times New Roman" w:hAnsi="Times New Roman"/>
          <w:sz w:val="20"/>
        </w:rPr>
      </w:pPr>
      <w:r>
        <w:rPr>
          <w:rFonts w:ascii="Times New Roman" w:hAnsi="Times New Roman"/>
          <w:i/>
          <w:sz w:val="20"/>
        </w:rPr>
        <w:t>Level 3</w:t>
      </w:r>
      <w:r>
        <w:rPr>
          <w:rFonts w:ascii="Times New Roman" w:hAnsi="Times New Roman"/>
          <w:sz w:val="20"/>
        </w:rPr>
        <w:t xml:space="preserve">Measurements derived from valuation techniques in which one or more significant inputs or significant value drivers are unobservable. </w:t>
      </w:r>
    </w:p>
    <w:p>
      <w:pPr>
        <w:pStyle w:val="TextBody"/>
        <w:bidi w:val="0"/>
        <w:spacing w:before="240" w:after="0"/>
        <w:jc w:val="both"/>
        <w:rPr>
          <w:rFonts w:ascii="Times New Roman" w:hAnsi="Times New Roman"/>
          <w:sz w:val="20"/>
        </w:rPr>
      </w:pPr>
      <w:r>
        <w:rPr>
          <w:rFonts w:ascii="Times New Roman" w:hAnsi="Times New Roman"/>
          <w:sz w:val="20"/>
        </w:rPr>
        <w:t xml:space="preserve">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13. </w:t>
      </w:r>
    </w:p>
    <w:p>
      <w:pPr>
        <w:pStyle w:val="TextBody"/>
        <w:bidi w:val="0"/>
        <w:spacing w:before="240" w:after="0"/>
        <w:jc w:val="both"/>
        <w:rPr>
          <w:rFonts w:ascii="Times New Roman" w:hAnsi="Times New Roman"/>
          <w:sz w:val="20"/>
        </w:rPr>
      </w:pPr>
      <w:r>
        <w:rPr>
          <w:rFonts w:ascii="Times New Roman" w:hAnsi="Times New Roman"/>
          <w:sz w:val="20"/>
        </w:rPr>
        <w:t xml:space="preserve">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 </w:t>
      </w:r>
    </w:p>
    <w:p>
      <w:pPr>
        <w:pStyle w:val="TextBody"/>
        <w:bidi w:val="0"/>
        <w:spacing w:before="360" w:after="0"/>
        <w:jc w:val="both"/>
        <w:rPr>
          <w:rFonts w:ascii="Times New Roman" w:hAnsi="Times New Roman"/>
          <w:b/>
          <w:sz w:val="20"/>
        </w:rPr>
      </w:pPr>
      <w:r>
        <w:rPr>
          <w:rFonts w:ascii="Times New Roman" w:hAnsi="Times New Roman"/>
          <w:b/>
          <w:sz w:val="20"/>
        </w:rPr>
        <w:t xml:space="preserve">Segment Information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w:t>
      </w:r>
    </w:p>
    <w:p>
      <w:pPr>
        <w:pStyle w:val="TextBody"/>
        <w:bidi w:val="0"/>
        <w:spacing w:before="360" w:after="0"/>
        <w:jc w:val="both"/>
        <w:rPr>
          <w:rFonts w:ascii="Times New Roman" w:hAnsi="Times New Roman"/>
          <w:b/>
          <w:sz w:val="20"/>
        </w:rPr>
      </w:pPr>
      <w:r>
        <w:rPr>
          <w:rFonts w:ascii="Times New Roman" w:hAnsi="Times New Roman"/>
          <w:b/>
          <w:sz w:val="20"/>
        </w:rPr>
        <w:t xml:space="preserve">Classification and Accretion of Convertible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Companys Series A, B, B-1, B-2, C, D, E, F, G and G-2 convertible preferred stock are classified outside of stockholders equity (deficit) because the holders of such shares have liquidation rights in the event of a deemed liquidation that, in certain situations, is not solely within the control of the Company. </w:t>
      </w:r>
    </w:p>
    <w:p>
      <w:pPr>
        <w:pStyle w:val="TextBody"/>
        <w:bidi w:val="0"/>
        <w:spacing w:before="360" w:after="0"/>
        <w:jc w:val="both"/>
        <w:rPr>
          <w:rFonts w:ascii="Times New Roman" w:hAnsi="Times New Roman"/>
          <w:b/>
          <w:sz w:val="20"/>
        </w:rPr>
      </w:pPr>
      <w:r>
        <w:rPr>
          <w:rFonts w:ascii="Times New Roman" w:hAnsi="Times New Roman"/>
          <w:b/>
          <w:sz w:val="20"/>
        </w:rPr>
        <w:t xml:space="preserve">Foreign Currency </w:t>
      </w:r>
    </w:p>
    <w:p>
      <w:pPr>
        <w:pStyle w:val="TextBody"/>
        <w:bidi w:val="0"/>
        <w:spacing w:before="120" w:after="0"/>
        <w:jc w:val="both"/>
        <w:rPr>
          <w:rFonts w:ascii="Times New Roman" w:hAnsi="Times New Roman"/>
          <w:sz w:val="20"/>
        </w:rPr>
      </w:pPr>
      <w:r>
        <w:rPr>
          <w:rFonts w:ascii="Times New Roman" w:hAnsi="Times New Roman"/>
          <w:sz w:val="20"/>
        </w:rPr>
        <w:t xml:space="preserve">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Recently Adopted Accounting Standards </w:t>
      </w:r>
    </w:p>
    <w:p>
      <w:pPr>
        <w:pStyle w:val="TextBody"/>
        <w:bidi w:val="0"/>
        <w:spacing w:before="120" w:after="0"/>
        <w:jc w:val="both"/>
        <w:rPr>
          <w:rFonts w:ascii="Times New Roman" w:hAnsi="Times New Roman"/>
          <w:sz w:val="20"/>
        </w:rPr>
      </w:pPr>
      <w:r>
        <w:rPr>
          <w:rFonts w:ascii="Times New Roman" w:hAnsi="Times New Roman"/>
          <w:sz w:val="20"/>
        </w:rPr>
        <w:t xml:space="preserve">The Company adopted the guidance in ASC Topic 606, </w:t>
      </w:r>
      <w:r>
        <w:rPr>
          <w:rFonts w:ascii="Times New Roman" w:hAnsi="Times New Roman"/>
          <w:i/>
          <w:sz w:val="20"/>
        </w:rPr>
        <w:t>Revenue from Contracts with Customers (Topic 606)</w:t>
      </w:r>
      <w:r>
        <w:rPr>
          <w:rFonts w:ascii="Times New Roman" w:hAnsi="Times New Roman"/>
          <w:sz w:val="20"/>
        </w:rPr>
        <w:t xml:space="preserve">, on January 1, 2019. Topic 606 is a comprehensive new revenue recognition model that requires a company to recognize revenue to depict the transfer of goods or services to a customer at an amount that reflects the consideration it expects to receive in exchange for those goods or services. The Company adopted Topic 606 using the modified retrospective method and applied Topic 606 to all contracts on the date of adoption. Beginning on January 1, 2019, results are presented in accordance with the revised policies, while prior period amounts are not adjusted and continue to be reported in accordance with our historical policies. The adoption of Topic 606 did not impact our presentation of revenue on a gross or net basis. As such, no adjustments were made to the Companys opening accumulated deficit due to the cumulative impact of adopting Topic 606. </w:t>
      </w:r>
    </w:p>
    <w:p>
      <w:pPr>
        <w:pStyle w:val="TextBody"/>
        <w:bidi w:val="0"/>
        <w:spacing w:before="240" w:after="0"/>
        <w:jc w:val="both"/>
        <w:rPr>
          <w:rFonts w:ascii="Times New Roman" w:hAnsi="Times New Roman"/>
          <w:sz w:val="20"/>
        </w:rPr>
      </w:pPr>
      <w:r>
        <w:rPr>
          <w:rFonts w:ascii="Times New Roman" w:hAnsi="Times New Roman"/>
          <w:sz w:val="20"/>
        </w:rPr>
        <w:t xml:space="preserve">In January 2017, the FASB issued ASU No. 2017-04, </w:t>
      </w:r>
      <w:r>
        <w:rPr>
          <w:rFonts w:ascii="Times New Roman" w:hAnsi="Times New Roman"/>
          <w:i/>
          <w:sz w:val="20"/>
        </w:rPr>
        <w:t xml:space="preserve">IntangiblesGoodwill and Other (Topic 350): Simplifying the Test for Goodwill Impairment. </w:t>
      </w:r>
      <w:r>
        <w:rPr>
          <w:rFonts w:ascii="Times New Roman" w:hAnsi="Times New Roman"/>
          <w:sz w:val="20"/>
        </w:rPr>
        <w:t xml:space="preserve">ASU 2018-04 simplifies how an entity is required to test goodwill for impairment by eliminating Step 2 from the goodwill impairment test. The guidance is effective for the fiscal year beginning May 1, 2023 with early adoption permitted. The Company early adopted the guidance as of January 1, 2020 using a prospective transition method. Adoption of this guidance did not have a material impact to the Companys consolidated financial statements and related disclosures. </w:t>
      </w:r>
    </w:p>
    <w:p>
      <w:pPr>
        <w:pStyle w:val="TextBody"/>
        <w:bidi w:val="0"/>
        <w:spacing w:before="240" w:after="0"/>
        <w:jc w:val="both"/>
        <w:rPr>
          <w:rFonts w:ascii="Times New Roman" w:hAnsi="Times New Roman"/>
          <w:sz w:val="20"/>
        </w:rPr>
      </w:pPr>
      <w:r>
        <w:rPr>
          <w:rFonts w:ascii="Times New Roman" w:hAnsi="Times New Roman"/>
          <w:sz w:val="20"/>
        </w:rPr>
        <w:t>In July 2017, the FASB issued ASU 2017-11, Earnings Per Share (Topic 260), </w:t>
      </w:r>
      <w:r>
        <w:rPr>
          <w:rFonts w:ascii="Times New Roman" w:hAnsi="Times New Roman"/>
          <w:i/>
          <w:sz w:val="20"/>
        </w:rPr>
        <w:t>Distinguishing Liabilities from Equity (Topic 480</w:t>
      </w:r>
      <w:r>
        <w:rPr>
          <w:rFonts w:ascii="Times New Roman" w:hAnsi="Times New Roman"/>
          <w:sz w:val="20"/>
        </w:rPr>
        <w:t>) </w:t>
      </w:r>
      <w:r>
        <w:rPr>
          <w:rFonts w:ascii="Times New Roman" w:hAnsi="Times New Roman"/>
          <w:i/>
          <w:sz w:val="20"/>
        </w:rPr>
        <w:t>and Derivatives and Hedging (Topic 815)</w:t>
      </w:r>
      <w:r>
        <w:rPr>
          <w:rFonts w:ascii="Times New Roman" w:hAnsi="Times New Roman"/>
          <w:sz w:val="20"/>
        </w:rPr>
        <w:t xml:space="preserve">. The amendments in Part I of the Update change the reclassification analysis of certain equity-linked financial instruments (or embedded features) with down-round features. The amendments in Part II of the update re-characterize the indefinite deferral of certain provisions of Topic 480 that now are presented as pending content in the ASC, to a scope exception. The amendments in Part I of this update was effective for the Company on January 1, 2020 (the date it was effective for private companies). The amendments in Part II of the update did not require any transition guidance because those amendments did not have an accounting effect. The adoption did not have a material effect on the Companys consolidated financial statements as of the date of adoption. </w:t>
      </w:r>
    </w:p>
    <w:p>
      <w:pPr>
        <w:pStyle w:val="TextBody"/>
        <w:bidi w:val="0"/>
        <w:spacing w:before="360" w:after="0"/>
        <w:jc w:val="both"/>
        <w:rPr>
          <w:rFonts w:ascii="Times New Roman" w:hAnsi="Times New Roman"/>
          <w:b/>
          <w:sz w:val="20"/>
        </w:rPr>
      </w:pPr>
      <w:r>
        <w:rPr>
          <w:rFonts w:ascii="Times New Roman" w:hAnsi="Times New Roman"/>
          <w:b/>
          <w:sz w:val="20"/>
        </w:rPr>
        <w:t xml:space="preserve">Recently Issued Accounting Pronouncements Not Yet Adopted </w:t>
      </w:r>
    </w:p>
    <w:p>
      <w:pPr>
        <w:pStyle w:val="TextBody"/>
        <w:bidi w:val="0"/>
        <w:spacing w:before="120" w:after="0"/>
        <w:jc w:val="both"/>
        <w:rPr>
          <w:rFonts w:ascii="Times New Roman" w:hAnsi="Times New Roman"/>
          <w:sz w:val="20"/>
        </w:rPr>
      </w:pPr>
      <w:r>
        <w:rPr>
          <w:rFonts w:ascii="Times New Roman" w:hAnsi="Times New Roman"/>
          <w:sz w:val="20"/>
        </w:rPr>
        <w:t xml:space="preserve">As an emerging growth company, the Company is provided the option to adopt new or revised accounting guidance either (1) within the same periods as those otherwise applicable to public business entities or (2) within the same time periods as private companies, including early adoption when permissible.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elected to adopt new or revised accounting guidance within the same time period as private companies, as indicated below. </w:t>
      </w:r>
    </w:p>
    <w:p>
      <w:pPr>
        <w:pStyle w:val="TextBody"/>
        <w:bidi w:val="0"/>
        <w:spacing w:before="240" w:after="0"/>
        <w:jc w:val="both"/>
        <w:rPr>
          <w:rFonts w:ascii="Times New Roman" w:hAnsi="Times New Roman"/>
          <w:sz w:val="20"/>
        </w:rPr>
      </w:pPr>
      <w:r>
        <w:rPr>
          <w:rFonts w:ascii="Times New Roman" w:hAnsi="Times New Roman"/>
          <w:sz w:val="20"/>
        </w:rPr>
        <w:t xml:space="preserve">The FASB issued ASU 2016-02, </w:t>
      </w:r>
      <w:r>
        <w:rPr>
          <w:rFonts w:ascii="Times New Roman" w:hAnsi="Times New Roman"/>
          <w:i/>
          <w:sz w:val="20"/>
        </w:rPr>
        <w:t>Leases</w:t>
      </w:r>
      <w:r>
        <w:rPr>
          <w:rFonts w:ascii="Times New Roman" w:hAnsi="Times New Roman"/>
          <w:sz w:val="20"/>
        </w:rPr>
        <w:t xml:space="preserve">, (Topic 842) (ASU 2016-02), in February 2016. ASU 2016-02 will require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ASU 2016-02 is effective for annual financial statements of private companies issued for fiscal years beginning after December 15, 2020, and should be applied using a modified retrospective approach, as specified in ASU 2019-10. As long as the Company is an emerging growth company, the current effective date of adoption is 2022 for calendar year-end private companies. Early adoption is permitted. While the Company continues to assess the effects of adoption, it currently believes the most significant effects relate to the recognition, on the consolidated balance sheet, of right-of-use assets and lease liabilities related to operating leases. The Company is evaluating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full effects that adoption of ASU 2016-02 will have on its financial position, results of operations, and disclosures. </w:t>
      </w:r>
    </w:p>
    <w:p>
      <w:pPr>
        <w:pStyle w:val="TextBody"/>
        <w:bidi w:val="0"/>
        <w:spacing w:before="240" w:after="0"/>
        <w:jc w:val="both"/>
        <w:rPr>
          <w:rFonts w:ascii="Times New Roman" w:hAnsi="Times New Roman"/>
          <w:sz w:val="20"/>
        </w:rPr>
      </w:pPr>
      <w:r>
        <w:rPr>
          <w:rFonts w:ascii="Times New Roman" w:hAnsi="Times New Roman"/>
          <w:sz w:val="20"/>
        </w:rPr>
        <w:t xml:space="preserve">The FASB issued ASU 2018-15, </w:t>
      </w:r>
      <w:r>
        <w:rPr>
          <w:rFonts w:ascii="Times New Roman" w:hAnsi="Times New Roman"/>
          <w:i/>
          <w:sz w:val="20"/>
        </w:rPr>
        <w:t>Customers Accounting for Implementation Costs Incurred in a Cloud Computing Arrangement that is a Service Contract</w:t>
      </w:r>
      <w:r>
        <w:rPr>
          <w:rFonts w:ascii="Times New Roman" w:hAnsi="Times New Roman"/>
          <w:sz w:val="20"/>
        </w:rPr>
        <w:t xml:space="preserve">, In August 2018. ASU 2018-15 requires a customer in a cloud computing arrangement that is a service contract to follow the internal-use software guidance in ASC 350-40 to determine which implementation costs to defer and recognize as an asset. The guidance is effective for the fiscal year beginning January 1, 2021, and interim periods within annual periods beginning after December 15, 2021. Early adoption is permitted. The Company is currently evaluating the effect that this guidance will have on the consolidated financial statements and related disclosures. </w:t>
      </w:r>
    </w:p>
    <w:p>
      <w:pPr>
        <w:pStyle w:val="TextBody"/>
        <w:bidi w:val="0"/>
        <w:spacing w:before="240" w:after="0"/>
        <w:jc w:val="both"/>
        <w:rPr>
          <w:rFonts w:ascii="Times New Roman" w:hAnsi="Times New Roman"/>
          <w:sz w:val="20"/>
        </w:rPr>
      </w:pPr>
      <w:r>
        <w:rPr>
          <w:rFonts w:ascii="Times New Roman" w:hAnsi="Times New Roman"/>
          <w:sz w:val="20"/>
        </w:rPr>
        <w:t>In June 2016, the FASB issued ASU No. 2016-13, </w:t>
      </w:r>
      <w:r>
        <w:rPr>
          <w:rFonts w:ascii="Times New Roman" w:hAnsi="Times New Roman"/>
          <w:i/>
          <w:sz w:val="20"/>
        </w:rPr>
        <w:t>Financial Instruments-Credit Losses (Topic 326): Measurement of Credit Losses on Financial Instruments</w:t>
      </w:r>
      <w:r>
        <w:rPr>
          <w:rFonts w:ascii="Times New Roman" w:hAnsi="Times New Roman"/>
          <w:sz w:val="20"/>
        </w:rPr>
        <w:t xml:space="preserve"> (ASU No. 2016-13). ASU No. 2016-13 requires the measurement and recognition of expected credit losses for financial assets that are held at amortized cost, including trade receivables. ASU No. 2016-13 replaces the previous incurred loss impairment model with an expected loss model which requires the use of forward-looking information to calculate credit loss estimates. The guidance is effective for the Company beginning January 1, 2023, with early adoption permitted. The Company is currently evaluating the effect that this guidance will have on the consolidated financial statements and related disclosures. The adoption of the standard is not expected to materially impact the Companys financial statements. </w:t>
      </w:r>
    </w:p>
    <w:p>
      <w:pPr>
        <w:pStyle w:val="TextBody"/>
        <w:bidi w:val="0"/>
        <w:spacing w:before="240" w:after="0"/>
        <w:jc w:val="both"/>
        <w:rPr>
          <w:rFonts w:ascii="Times New Roman" w:hAnsi="Times New Roman"/>
          <w:sz w:val="20"/>
        </w:rPr>
      </w:pPr>
      <w:r>
        <w:rPr>
          <w:rFonts w:ascii="Times New Roman" w:hAnsi="Times New Roman"/>
          <w:sz w:val="20"/>
        </w:rPr>
        <w:t>In November 2018, the FASB issued ASU 2018-18, Collaborative Arrangements (Topic 808</w:t>
      </w:r>
      <w:r>
        <w:rPr>
          <w:rFonts w:ascii="Times New Roman" w:hAnsi="Times New Roman"/>
          <w:i/>
          <w:sz w:val="20"/>
        </w:rPr>
        <w:t>): Clarifying the Interaction between Topic 808 and Topic 606</w:t>
      </w:r>
      <w:r>
        <w:rPr>
          <w:rFonts w:ascii="Times New Roman" w:hAnsi="Times New Roman"/>
          <w:sz w:val="20"/>
        </w:rPr>
        <w:t xml:space="preserve">.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January 1, 2021, and interim periods within annual periods beginning after December 15, 2021. Early adoption is permitted. The Company is currently evaluating the effect that this guidance will have on the consolidated financial statements and related disclosures. </w:t>
      </w:r>
    </w:p>
    <w:p>
      <w:pPr>
        <w:pStyle w:val="TextBody"/>
        <w:bidi w:val="0"/>
        <w:spacing w:before="240" w:after="0"/>
        <w:jc w:val="both"/>
        <w:rPr>
          <w:rFonts w:ascii="Times New Roman" w:hAnsi="Times New Roman"/>
          <w:sz w:val="20"/>
        </w:rPr>
      </w:pPr>
      <w:r>
        <w:rPr>
          <w:rFonts w:ascii="Times New Roman" w:hAnsi="Times New Roman"/>
          <w:sz w:val="20"/>
        </w:rPr>
        <w:t>In December 2019, the FASB issued ASU No. 2019-12, </w:t>
      </w:r>
      <w:r>
        <w:rPr>
          <w:rFonts w:ascii="Times New Roman" w:hAnsi="Times New Roman"/>
          <w:i/>
          <w:sz w:val="20"/>
        </w:rPr>
        <w:t>Simplifying the Accounting for Income Taxes</w:t>
      </w:r>
      <w:r>
        <w:rPr>
          <w:rFonts w:ascii="Times New Roman" w:hAnsi="Times New Roman"/>
          <w:sz w:val="20"/>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guidance is effective for the Company beginning January 1, 2022. Early adoption is permitted. The Company is currently evaluating the effect that this guidance will have on the consolidated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BUSINESS COMBINATIONS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AKESOgen </w:t>
      </w:r>
    </w:p>
    <w:p>
      <w:pPr>
        <w:pStyle w:val="TextBody"/>
        <w:bidi w:val="0"/>
        <w:spacing w:before="120" w:after="0"/>
        <w:jc w:val="both"/>
        <w:rPr>
          <w:rFonts w:ascii="Times New Roman" w:hAnsi="Times New Roman"/>
          <w:sz w:val="20"/>
        </w:rPr>
      </w:pPr>
      <w:r>
        <w:rPr>
          <w:rFonts w:ascii="Times New Roman" w:hAnsi="Times New Roman"/>
          <w:sz w:val="20"/>
        </w:rPr>
        <w:t xml:space="preserve">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and is payable 18 months after the acquisition date. The purpose of the acquisition was to expand the Companys testing capabilities (inherited risk of cancer testing, microbiome profiling, whole-genome genotyping, and epigenomic methylation profiling) and leverage AKESOgens customer relationships to drive growth. Goodwill of $15.6 million represents the excess of the purchase price over the estimated fair value assigned to tangible and identifiable intangible assets acquired and liabilities assumed and represents the future economic benefits expected to arise from other intangible assets acquired that do not qualify for separate recognition, including expected future market opportunities from expanded testing capabilities and assembled workforce. The transaction also included a contingent consideration arrangement to transfer shares of non-voting common stock to the former owners with an acquisition date fair value of $3.4 million, which the company recognized under long-term liabilities. The consideration will be paid out based on AKESOgens 2020 revenue, with a maximum payout of 726,979 shares of non-voting common stock. Because the value of the Companys stock at the date of issuance is unknown, the Company cannot disclose the value of the shares. The contingent consideration is classified as a Level 3 measurement for which fair value is derived from inputs that are unobservable and significant to the overall fair value measurement. On May 19, 2021, the Company entered into a settlement agreement with the former owners of AKESOgen related to the contingent consideration, whereby $7.5 million was paid in cash and 145,466 shares of non-voting common stock will be paid out on the third anniversary of the Closing date. See Note 13 for more information on fair value measurements. </w:t>
      </w:r>
    </w:p>
    <w:p>
      <w:pPr>
        <w:pStyle w:val="TextBody"/>
        <w:bidi w:val="0"/>
        <w:spacing w:before="240" w:after="0"/>
        <w:jc w:val="both"/>
        <w:rPr>
          <w:rFonts w:ascii="Times New Roman" w:hAnsi="Times New Roman"/>
          <w:sz w:val="20"/>
        </w:rPr>
      </w:pPr>
      <w:r>
        <w:rPr>
          <w:rFonts w:ascii="Times New Roman" w:hAnsi="Times New Roman"/>
          <w:sz w:val="20"/>
        </w:rPr>
        <w:t xml:space="preserve">The Company incurred an insignificant amount of transaction costs related to the acquisition, which were recorded as operating expenses in the consolidated statement of operations. </w:t>
      </w:r>
    </w:p>
    <w:p>
      <w:pPr>
        <w:pStyle w:val="TextBody"/>
        <w:bidi w:val="0"/>
        <w:spacing w:before="240" w:after="0"/>
        <w:jc w:val="both"/>
        <w:rPr>
          <w:rFonts w:ascii="Times New Roman" w:hAnsi="Times New Roman"/>
          <w:sz w:val="20"/>
        </w:rPr>
      </w:pPr>
      <w:r>
        <w:rPr>
          <w:rFonts w:ascii="Times New Roman" w:hAnsi="Times New Roman"/>
          <w:sz w:val="20"/>
        </w:rPr>
        <w:t xml:space="preserve">The aggregate acquisition-date fair value of the consideration for the AKESOgen acquisition totaled $33.7 million, which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58"/>
        <w:gridCol w:w="243"/>
        <w:gridCol w:w="140"/>
        <w:gridCol w:w="702"/>
        <w:gridCol w:w="62"/>
      </w:tblGrid>
      <w:tr>
        <w:trPr/>
        <w:tc>
          <w:tcPr>
            <w:tcW w:w="9058"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30,289</w:t>
            </w:r>
          </w:p>
        </w:tc>
        <w:tc>
          <w:tcPr>
            <w:tcW w:w="62" w:type="dxa"/>
            <w:tcBorders/>
            <w:shd w:fill="CCEEFF" w:val="clear"/>
            <w:vAlign w:val="bottom"/>
          </w:tcPr>
          <w:p>
            <w:pPr>
              <w:pStyle w:val="TableContents"/>
              <w:bidi w:val="0"/>
              <w:spacing w:before="0" w:after="283"/>
              <w:jc w:val="left"/>
              <w:rPr/>
            </w:pPr>
            <w:r>
              <w:rPr/>
              <w:t> </w:t>
            </w:r>
          </w:p>
        </w:tc>
      </w:tr>
      <w:tr>
        <w:trPr/>
        <w:tc>
          <w:tcPr>
            <w:tcW w:w="9058"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3,380</w:t>
            </w:r>
          </w:p>
        </w:tc>
        <w:tc>
          <w:tcPr>
            <w:tcW w:w="62" w:type="dxa"/>
            <w:tcBorders/>
            <w:vAlign w:val="bottom"/>
          </w:tcPr>
          <w:p>
            <w:pPr>
              <w:pStyle w:val="TableContents"/>
              <w:bidi w:val="0"/>
              <w:spacing w:before="0" w:after="283"/>
              <w:jc w:val="left"/>
              <w:rPr/>
            </w:pPr>
            <w:r>
              <w:rPr/>
              <w:t> </w:t>
            </w:r>
          </w:p>
        </w:tc>
      </w:tr>
      <w:tr>
        <w:trPr/>
        <w:tc>
          <w:tcPr>
            <w:tcW w:w="90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90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Purchase Consideration</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2" w:type="dxa"/>
            <w:tcBorders/>
            <w:shd w:fill="CCEEFF" w:val="clear"/>
            <w:vAlign w:val="bottom"/>
          </w:tcPr>
          <w:p>
            <w:pPr>
              <w:pStyle w:val="TableContents"/>
              <w:bidi w:val="0"/>
              <w:spacing w:before="0" w:after="283"/>
              <w:jc w:val="right"/>
              <w:rPr>
                <w:b/>
              </w:rPr>
            </w:pPr>
            <w:r>
              <w:rPr>
                <w:b/>
              </w:rPr>
              <w:t>33,669</w:t>
            </w:r>
          </w:p>
        </w:tc>
        <w:tc>
          <w:tcPr>
            <w:tcW w:w="62" w:type="dxa"/>
            <w:tcBorders/>
            <w:shd w:fill="CCEEFF" w:val="clear"/>
            <w:vAlign w:val="bottom"/>
          </w:tcPr>
          <w:p>
            <w:pPr>
              <w:pStyle w:val="TableContents"/>
              <w:bidi w:val="0"/>
              <w:spacing w:before="0" w:after="283"/>
              <w:jc w:val="left"/>
              <w:rPr/>
            </w:pPr>
            <w:r>
              <w:rPr/>
              <w:t> </w:t>
            </w:r>
          </w:p>
        </w:tc>
      </w:tr>
      <w:tr>
        <w:trPr/>
        <w:tc>
          <w:tcPr>
            <w:tcW w:w="90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the allocation of the aggregate acquisition price of the AKESOgen acquisition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6"/>
        <w:gridCol w:w="234"/>
        <w:gridCol w:w="140"/>
        <w:gridCol w:w="688"/>
        <w:gridCol w:w="157"/>
      </w:tblGrid>
      <w:tr>
        <w:trPr/>
        <w:tc>
          <w:tcPr>
            <w:tcW w:w="8986"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296</w:t>
            </w:r>
          </w:p>
        </w:tc>
        <w:tc>
          <w:tcPr>
            <w:tcW w:w="157" w:type="dxa"/>
            <w:tcBorders/>
            <w:shd w:fill="CCEEFF" w:val="clear"/>
            <w:vAlign w:val="bottom"/>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Times New Roman" w:hAnsi="Times New Roman"/>
                <w:sz w:val="20"/>
              </w:rPr>
            </w:pPr>
            <w:r>
              <w:rPr>
                <w:rFonts w:ascii="Times New Roman" w:hAnsi="Times New Roman"/>
                <w:sz w:val="20"/>
              </w:rPr>
              <w:t>Net Working Capital</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(77</w:t>
            </w:r>
          </w:p>
        </w:tc>
        <w:tc>
          <w:tcPr>
            <w:tcW w:w="157" w:type="dxa"/>
            <w:tcBorders/>
            <w:vAlign w:val="bottom"/>
          </w:tcPr>
          <w:p>
            <w:pPr>
              <w:pStyle w:val="TableContents"/>
              <w:bidi w:val="0"/>
              <w:spacing w:before="0" w:after="283"/>
              <w:jc w:val="left"/>
              <w:rPr/>
            </w:pPr>
            <w:r>
              <w:rPr/>
              <w:t>) </w:t>
            </w:r>
          </w:p>
        </w:tc>
      </w:tr>
      <w:tr>
        <w:trPr/>
        <w:tc>
          <w:tcPr>
            <w:tcW w:w="8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PP&amp;E</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2,789</w:t>
            </w:r>
          </w:p>
        </w:tc>
        <w:tc>
          <w:tcPr>
            <w:tcW w:w="157" w:type="dxa"/>
            <w:tcBorders/>
            <w:shd w:fill="CCEEFF" w:val="clear"/>
            <w:vAlign w:val="bottom"/>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Times New Roman" w:hAnsi="Times New Roman"/>
                <w:sz w:val="20"/>
              </w:rPr>
            </w:pPr>
            <w:r>
              <w:rPr>
                <w:rFonts w:ascii="Times New Roman" w:hAnsi="Times New Roman"/>
                <w:sz w:val="20"/>
              </w:rPr>
              <w:t>Other net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(2,280</w:t>
            </w:r>
          </w:p>
        </w:tc>
        <w:tc>
          <w:tcPr>
            <w:tcW w:w="157" w:type="dxa"/>
            <w:tcBorders/>
            <w:vAlign w:val="bottom"/>
          </w:tcPr>
          <w:p>
            <w:pPr>
              <w:pStyle w:val="TableContents"/>
              <w:bidi w:val="0"/>
              <w:spacing w:before="0" w:after="283"/>
              <w:jc w:val="left"/>
              <w:rPr/>
            </w:pPr>
            <w:r>
              <w:rPr/>
              <w:t>) </w:t>
            </w:r>
          </w:p>
        </w:tc>
      </w:tr>
      <w:tr>
        <w:trPr/>
        <w:tc>
          <w:tcPr>
            <w:tcW w:w="898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identifiable net assets acquired</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728</w:t>
            </w:r>
          </w:p>
        </w:tc>
        <w:tc>
          <w:tcPr>
            <w:tcW w:w="157" w:type="dxa"/>
            <w:tcBorders/>
            <w:shd w:fill="CCEEFF" w:val="clear"/>
            <w:vAlign w:val="bottom"/>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Times New Roman" w:hAnsi="Times New Roman"/>
                <w:sz w:val="20"/>
              </w:rPr>
            </w:pPr>
            <w:r>
              <w:rPr>
                <w:rFonts w:ascii="Times New Roman" w:hAnsi="Times New Roman"/>
                <w:sz w:val="20"/>
              </w:rPr>
              <w:t>Goodwill &amp; Intangible Assets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8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17,300</w:t>
            </w:r>
          </w:p>
        </w:tc>
        <w:tc>
          <w:tcPr>
            <w:tcW w:w="157" w:type="dxa"/>
            <w:tcBorders/>
            <w:shd w:fill="CCEEFF" w:val="clear"/>
            <w:vAlign w:val="bottom"/>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15,641</w:t>
            </w:r>
          </w:p>
        </w:tc>
        <w:tc>
          <w:tcPr>
            <w:tcW w:w="157" w:type="dxa"/>
            <w:tcBorders/>
            <w:vAlign w:val="bottom"/>
          </w:tcPr>
          <w:p>
            <w:pPr>
              <w:pStyle w:val="TableContents"/>
              <w:bidi w:val="0"/>
              <w:spacing w:before="0" w:after="283"/>
              <w:jc w:val="left"/>
              <w:rPr/>
            </w:pPr>
            <w:r>
              <w:rPr/>
              <w:t> </w:t>
            </w:r>
          </w:p>
        </w:tc>
      </w:tr>
      <w:tr>
        <w:trPr/>
        <w:tc>
          <w:tcPr>
            <w:tcW w:w="898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Intangible Assets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32,941</w:t>
            </w:r>
          </w:p>
        </w:tc>
        <w:tc>
          <w:tcPr>
            <w:tcW w:w="157" w:type="dxa"/>
            <w:tcBorders/>
            <w:shd w:fill="CCEEFF" w:val="clear"/>
            <w:vAlign w:val="bottom"/>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Acquisition Price</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b/>
              </w:rPr>
            </w:pPr>
            <w:r>
              <w:rPr>
                <w:b/>
              </w:rPr>
              <w:t>33,669</w:t>
            </w:r>
          </w:p>
        </w:tc>
        <w:tc>
          <w:tcPr>
            <w:tcW w:w="157" w:type="dxa"/>
            <w:tcBorders/>
            <w:vAlign w:val="bottom"/>
          </w:tcPr>
          <w:p>
            <w:pPr>
              <w:pStyle w:val="TableContents"/>
              <w:bidi w:val="0"/>
              <w:spacing w:before="0" w:after="283"/>
              <w:jc w:val="left"/>
              <w:rPr/>
            </w:pPr>
            <w:r>
              <w:rPr/>
              <w:t> </w:t>
            </w:r>
          </w:p>
        </w:tc>
      </w:tr>
      <w:tr>
        <w:trPr/>
        <w:tc>
          <w:tcPr>
            <w:tcW w:w="898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the acquisition of AKESOgen was a stock purchase, the related goodwill created as a result of the acquisition is not deductible for tax purposes. The Customer relationships were established with a seven year remaining useful life, and the property, plant and equipment has a two year average remaining useful life.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unaudited pro forma information shows the results of the AKESOgens operations as though the acquisition had occurred as of the beginning of the comparable period, January 1, 2018,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49"/>
        <w:gridCol w:w="509"/>
        <w:gridCol w:w="231"/>
        <w:gridCol w:w="1158"/>
        <w:gridCol w:w="158"/>
      </w:tblGrid>
      <w:tr>
        <w:trPr/>
        <w:tc>
          <w:tcPr>
            <w:tcW w:w="8149"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149"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8149"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58" w:type="dxa"/>
            <w:tcBorders/>
            <w:vAlign w:val="bottom"/>
          </w:tcPr>
          <w:p>
            <w:pPr>
              <w:pStyle w:val="TableContents"/>
              <w:bidi w:val="0"/>
              <w:spacing w:before="0" w:after="283"/>
              <w:jc w:val="left"/>
              <w:rPr/>
            </w:pPr>
            <w:r>
              <w:rPr/>
              <w:t> </w:t>
            </w:r>
          </w:p>
        </w:tc>
      </w:tr>
      <w:tr>
        <w:trPr/>
        <w:tc>
          <w:tcPr>
            <w:tcW w:w="81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50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10,909</w:t>
            </w:r>
          </w:p>
        </w:tc>
        <w:tc>
          <w:tcPr>
            <w:tcW w:w="158" w:type="dxa"/>
            <w:tcBorders/>
            <w:shd w:fill="CCEEFF" w:val="clear"/>
            <w:vAlign w:val="bottom"/>
          </w:tcPr>
          <w:p>
            <w:pPr>
              <w:pStyle w:val="TableContents"/>
              <w:bidi w:val="0"/>
              <w:spacing w:before="0" w:after="283"/>
              <w:jc w:val="left"/>
              <w:rPr/>
            </w:pPr>
            <w:r>
              <w:rPr/>
              <w:t> </w:t>
            </w:r>
          </w:p>
        </w:tc>
      </w:tr>
      <w:tr>
        <w:trPr/>
        <w:tc>
          <w:tcPr>
            <w:tcW w:w="8149" w:type="dxa"/>
            <w:tcBorders/>
          </w:tcPr>
          <w:p>
            <w:pPr>
              <w:pStyle w:val="TableContents"/>
              <w:bidi w:val="0"/>
              <w:spacing w:before="0" w:after="0"/>
              <w:jc w:val="left"/>
              <w:rPr>
                <w:rFonts w:ascii="Times New Roman" w:hAnsi="Times New Roman"/>
                <w:sz w:val="20"/>
              </w:rPr>
            </w:pPr>
            <w:r>
              <w:rPr>
                <w:rFonts w:ascii="Times New Roman" w:hAnsi="Times New Roman"/>
                <w:sz w:val="20"/>
              </w:rPr>
              <w:t>Net loss applicable to common shares</w:t>
            </w:r>
          </w:p>
        </w:tc>
        <w:tc>
          <w:tcPr>
            <w:tcW w:w="50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(1,394</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pro forma results have been prepared for comparative purposes only and are not necessarily indicative of the actual results of operations had the acquisition taken place as of the beginning of the periods presented, or the results that may occur in the future. The results were prepared utilizing the actual results of the business and there were no pro forma adjustments.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2019, AKESOgen contributed $0.7 million in net revenue and $1.0 million of net loss to the consolidated Tempus results for the year ended December 31, 2019.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BALANCE SHEET COMPONENTS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Property and Equipment, net </w:t>
      </w:r>
    </w:p>
    <w:p>
      <w:pPr>
        <w:pStyle w:val="TextBody"/>
        <w:bidi w:val="0"/>
        <w:spacing w:before="120" w:after="0"/>
        <w:jc w:val="both"/>
        <w:rPr>
          <w:rFonts w:ascii="Times New Roman" w:hAnsi="Times New Roman"/>
          <w:sz w:val="20"/>
        </w:rPr>
      </w:pPr>
      <w:r>
        <w:rPr>
          <w:rFonts w:ascii="Times New Roman" w:hAnsi="Times New Roman"/>
          <w:sz w:val="20"/>
        </w:rPr>
        <w:t xml:space="preserve">The following summarizes property and equipment, net as of December 31, 2019 and 2020 and June 30, 2021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6"/>
        <w:gridCol w:w="218"/>
        <w:gridCol w:w="140"/>
        <w:gridCol w:w="771"/>
        <w:gridCol w:w="156"/>
        <w:gridCol w:w="188"/>
        <w:gridCol w:w="140"/>
        <w:gridCol w:w="771"/>
        <w:gridCol w:w="156"/>
        <w:gridCol w:w="188"/>
        <w:gridCol w:w="140"/>
        <w:gridCol w:w="771"/>
        <w:gridCol w:w="160"/>
      </w:tblGrid>
      <w:tr>
        <w:trPr/>
        <w:tc>
          <w:tcPr>
            <w:tcW w:w="640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0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1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60" w:type="dxa"/>
            <w:tcBorders/>
            <w:vAlign w:val="bottom"/>
          </w:tcPr>
          <w:p>
            <w:pPr>
              <w:pStyle w:val="TableContents"/>
              <w:bidi w:val="0"/>
              <w:spacing w:before="0" w:after="283"/>
              <w:jc w:val="left"/>
              <w:rPr/>
            </w:pPr>
            <w:r>
              <w:rPr/>
              <w:t> </w:t>
            </w:r>
          </w:p>
        </w:tc>
      </w:tr>
      <w:tr>
        <w:trPr/>
        <w:tc>
          <w:tcPr>
            <w:tcW w:w="640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6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26,056</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38,217</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40,776</w:t>
            </w:r>
          </w:p>
        </w:tc>
        <w:tc>
          <w:tcPr>
            <w:tcW w:w="160" w:type="dxa"/>
            <w:tcBorders/>
            <w:shd w:fill="CCEEFF" w:val="clear"/>
            <w:vAlign w:val="bottom"/>
          </w:tcPr>
          <w:p>
            <w:pPr>
              <w:pStyle w:val="TableContents"/>
              <w:bidi w:val="0"/>
              <w:spacing w:before="0" w:after="283"/>
              <w:jc w:val="left"/>
              <w:rPr/>
            </w:pPr>
            <w:r>
              <w:rPr/>
              <w:t> </w:t>
            </w:r>
          </w:p>
        </w:tc>
      </w:tr>
      <w:tr>
        <w:trPr/>
        <w:tc>
          <w:tcPr>
            <w:tcW w:w="6406"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20,272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23,352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24,244</w:t>
            </w:r>
          </w:p>
        </w:tc>
        <w:tc>
          <w:tcPr>
            <w:tcW w:w="160" w:type="dxa"/>
            <w:tcBorders/>
            <w:vAlign w:val="bottom"/>
          </w:tcPr>
          <w:p>
            <w:pPr>
              <w:pStyle w:val="TableContents"/>
              <w:bidi w:val="0"/>
              <w:spacing w:before="0" w:after="283"/>
              <w:jc w:val="left"/>
              <w:rPr/>
            </w:pPr>
            <w:r>
              <w:rPr/>
              <w:t> </w:t>
            </w:r>
          </w:p>
        </w:tc>
      </w:tr>
      <w:tr>
        <w:trPr/>
        <w:tc>
          <w:tcPr>
            <w:tcW w:w="6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5,543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5,751</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6,271</w:t>
            </w:r>
          </w:p>
        </w:tc>
        <w:tc>
          <w:tcPr>
            <w:tcW w:w="160" w:type="dxa"/>
            <w:tcBorders/>
            <w:shd w:fill="CCEEFF" w:val="clear"/>
            <w:vAlign w:val="bottom"/>
          </w:tcPr>
          <w:p>
            <w:pPr>
              <w:pStyle w:val="TableContents"/>
              <w:bidi w:val="0"/>
              <w:spacing w:before="0" w:after="283"/>
              <w:jc w:val="left"/>
              <w:rPr/>
            </w:pPr>
            <w:r>
              <w:rPr/>
              <w:t> </w:t>
            </w:r>
          </w:p>
        </w:tc>
      </w:tr>
      <w:tr>
        <w:trPr/>
        <w:tc>
          <w:tcPr>
            <w:tcW w:w="640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06"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 gross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51,871</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67,320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71,291</w:t>
            </w:r>
          </w:p>
        </w:tc>
        <w:tc>
          <w:tcPr>
            <w:tcW w:w="160" w:type="dxa"/>
            <w:tcBorders/>
            <w:vAlign w:val="bottom"/>
          </w:tcPr>
          <w:p>
            <w:pPr>
              <w:pStyle w:val="TableContents"/>
              <w:bidi w:val="0"/>
              <w:spacing w:before="0" w:after="283"/>
              <w:jc w:val="left"/>
              <w:rPr/>
            </w:pPr>
            <w:r>
              <w:rPr/>
              <w:t> </w:t>
            </w:r>
          </w:p>
        </w:tc>
      </w:tr>
      <w:tr>
        <w:trPr/>
        <w:tc>
          <w:tcPr>
            <w:tcW w:w="6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(15,806</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(28,885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(36,076</w:t>
            </w:r>
          </w:p>
        </w:tc>
        <w:tc>
          <w:tcPr>
            <w:tcW w:w="160" w:type="dxa"/>
            <w:tcBorders/>
            <w:shd w:fill="CCEEFF" w:val="clear"/>
            <w:vAlign w:val="bottom"/>
          </w:tcPr>
          <w:p>
            <w:pPr>
              <w:pStyle w:val="TableContents"/>
              <w:bidi w:val="0"/>
              <w:spacing w:before="0" w:after="283"/>
              <w:jc w:val="left"/>
              <w:rPr/>
            </w:pPr>
            <w:r>
              <w:rPr/>
              <w:t>) </w:t>
            </w:r>
          </w:p>
        </w:tc>
      </w:tr>
      <w:tr>
        <w:trPr/>
        <w:tc>
          <w:tcPr>
            <w:tcW w:w="640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0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36,065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38,435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35,215</w:t>
            </w:r>
          </w:p>
        </w:tc>
        <w:tc>
          <w:tcPr>
            <w:tcW w:w="160" w:type="dxa"/>
            <w:tcBorders/>
            <w:vAlign w:val="bottom"/>
          </w:tcPr>
          <w:p>
            <w:pPr>
              <w:pStyle w:val="TableContents"/>
              <w:bidi w:val="0"/>
              <w:spacing w:before="0" w:after="283"/>
              <w:jc w:val="left"/>
              <w:rPr/>
            </w:pPr>
            <w:r>
              <w:rPr/>
              <w:t> </w:t>
            </w:r>
          </w:p>
        </w:tc>
      </w:tr>
      <w:tr>
        <w:trPr/>
        <w:tc>
          <w:tcPr>
            <w:tcW w:w="640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Depreciation expense on property and equipment is classified as follows in the accompanying consolidated statements of operations for the years ended December 31, 2019 and 2020 and June 30, 2020 and 2021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9"/>
        <w:gridCol w:w="224"/>
        <w:gridCol w:w="140"/>
        <w:gridCol w:w="567"/>
        <w:gridCol w:w="60"/>
        <w:gridCol w:w="224"/>
        <w:gridCol w:w="140"/>
        <w:gridCol w:w="715"/>
        <w:gridCol w:w="60"/>
        <w:gridCol w:w="224"/>
        <w:gridCol w:w="140"/>
        <w:gridCol w:w="567"/>
        <w:gridCol w:w="60"/>
        <w:gridCol w:w="224"/>
        <w:gridCol w:w="140"/>
        <w:gridCol w:w="567"/>
        <w:gridCol w:w="64"/>
      </w:tblGrid>
      <w:tr>
        <w:trPr/>
        <w:tc>
          <w:tcPr>
            <w:tcW w:w="6089"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8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8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64" w:type="dxa"/>
            <w:tcBorders/>
            <w:vAlign w:val="bottom"/>
          </w:tcPr>
          <w:p>
            <w:pPr>
              <w:pStyle w:val="TableContents"/>
              <w:bidi w:val="0"/>
              <w:spacing w:before="0" w:after="283"/>
              <w:jc w:val="left"/>
              <w:rPr/>
            </w:pPr>
            <w:r>
              <w:rPr/>
              <w:t> </w:t>
            </w:r>
          </w:p>
        </w:tc>
      </w:tr>
      <w:tr>
        <w:trPr/>
        <w:tc>
          <w:tcPr>
            <w:tcW w:w="608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6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genomics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3,553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7,206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3,444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3,979</w:t>
            </w:r>
          </w:p>
        </w:tc>
        <w:tc>
          <w:tcPr>
            <w:tcW w:w="64" w:type="dxa"/>
            <w:tcBorders/>
            <w:shd w:fill="CCEEFF" w:val="clear"/>
            <w:vAlign w:val="bottom"/>
          </w:tcPr>
          <w:p>
            <w:pPr>
              <w:pStyle w:val="TableContents"/>
              <w:bidi w:val="0"/>
              <w:spacing w:before="0" w:after="283"/>
              <w:jc w:val="left"/>
              <w:rPr/>
            </w:pPr>
            <w:r>
              <w:rPr/>
              <w:t> </w:t>
            </w:r>
          </w:p>
        </w:tc>
      </w:tr>
      <w:tr>
        <w:trPr/>
        <w:tc>
          <w:tcPr>
            <w:tcW w:w="608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costs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4,543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5,885</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2,851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3,212</w:t>
            </w:r>
          </w:p>
        </w:tc>
        <w:tc>
          <w:tcPr>
            <w:tcW w:w="64" w:type="dxa"/>
            <w:tcBorders/>
            <w:vAlign w:val="bottom"/>
          </w:tcPr>
          <w:p>
            <w:pPr>
              <w:pStyle w:val="TableContents"/>
              <w:bidi w:val="0"/>
              <w:spacing w:before="0" w:after="283"/>
              <w:jc w:val="left"/>
              <w:rPr/>
            </w:pPr>
            <w:r>
              <w:rPr/>
              <w:t> </w:t>
            </w:r>
          </w:p>
        </w:tc>
      </w:tr>
      <w:tr>
        <w:trPr/>
        <w:tc>
          <w:tcPr>
            <w:tcW w:w="60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8,096</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13,091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6,295</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7,191</w:t>
            </w:r>
          </w:p>
        </w:tc>
        <w:tc>
          <w:tcPr>
            <w:tcW w:w="64" w:type="dxa"/>
            <w:tcBorders/>
            <w:shd w:fill="CCEEFF" w:val="clear"/>
            <w:vAlign w:val="bottom"/>
          </w:tcPr>
          <w:p>
            <w:pPr>
              <w:pStyle w:val="TableContents"/>
              <w:bidi w:val="0"/>
              <w:spacing w:before="0" w:after="283"/>
              <w:jc w:val="left"/>
              <w:rPr/>
            </w:pPr>
            <w:r>
              <w:rPr/>
              <w:t> </w:t>
            </w:r>
          </w:p>
        </w:tc>
      </w:tr>
      <w:tr>
        <w:trPr/>
        <w:tc>
          <w:tcPr>
            <w:tcW w:w="608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Accrued Expenses </w:t>
      </w:r>
    </w:p>
    <w:p>
      <w:pPr>
        <w:pStyle w:val="TextBody"/>
        <w:bidi w:val="0"/>
        <w:spacing w:before="120" w:after="0"/>
        <w:jc w:val="both"/>
        <w:rPr>
          <w:rFonts w:ascii="Times New Roman" w:hAnsi="Times New Roman"/>
          <w:sz w:val="20"/>
        </w:rPr>
      </w:pPr>
      <w:r>
        <w:rPr>
          <w:rFonts w:ascii="Times New Roman" w:hAnsi="Times New Roman"/>
          <w:sz w:val="20"/>
        </w:rPr>
        <w:t xml:space="preserve">Accrued expenses consist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8"/>
        <w:gridCol w:w="231"/>
        <w:gridCol w:w="140"/>
        <w:gridCol w:w="567"/>
        <w:gridCol w:w="60"/>
        <w:gridCol w:w="231"/>
        <w:gridCol w:w="140"/>
        <w:gridCol w:w="717"/>
        <w:gridCol w:w="60"/>
        <w:gridCol w:w="231"/>
        <w:gridCol w:w="140"/>
        <w:gridCol w:w="717"/>
        <w:gridCol w:w="63"/>
      </w:tblGrid>
      <w:tr>
        <w:trPr/>
        <w:tc>
          <w:tcPr>
            <w:tcW w:w="6908"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0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8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4,457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8,690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10,655</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3,001</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11,318</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22,743</w:t>
            </w:r>
          </w:p>
        </w:tc>
        <w:tc>
          <w:tcPr>
            <w:tcW w:w="63" w:type="dxa"/>
            <w:tcBorders/>
            <w:vAlign w:val="bottom"/>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payable</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7,987</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15,506</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246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357</w:t>
            </w:r>
          </w:p>
        </w:tc>
        <w:tc>
          <w:tcPr>
            <w:tcW w:w="63" w:type="dxa"/>
            <w:tcBorders/>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Expenses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7,704</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28,165</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49,261</w:t>
            </w:r>
          </w:p>
        </w:tc>
        <w:tc>
          <w:tcPr>
            <w:tcW w:w="63" w:type="dxa"/>
            <w:tcBorders/>
            <w:shd w:fill="CCEEFF" w:val="clear"/>
            <w:vAlign w:val="bottom"/>
          </w:tcPr>
          <w:p>
            <w:pPr>
              <w:pStyle w:val="TableContents"/>
              <w:bidi w:val="0"/>
              <w:spacing w:before="0" w:after="283"/>
              <w:jc w:val="left"/>
              <w:rPr/>
            </w:pPr>
            <w:r>
              <w:rPr/>
              <w:t> </w:t>
            </w:r>
          </w:p>
        </w:tc>
      </w:tr>
      <w:tr>
        <w:trPr/>
        <w:tc>
          <w:tcPr>
            <w:tcW w:w="690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Investments and Other Assets </w:t>
      </w:r>
    </w:p>
    <w:p>
      <w:pPr>
        <w:pStyle w:val="TextBody"/>
        <w:bidi w:val="0"/>
        <w:spacing w:before="120" w:after="0"/>
        <w:jc w:val="both"/>
        <w:rPr>
          <w:rFonts w:ascii="Times New Roman" w:hAnsi="Times New Roman"/>
          <w:sz w:val="20"/>
        </w:rPr>
      </w:pPr>
      <w:r>
        <w:rPr>
          <w:rFonts w:ascii="Times New Roman" w:hAnsi="Times New Roman"/>
          <w:sz w:val="20"/>
        </w:rPr>
        <w:t xml:space="preserve">Investments and other assets include amounts due from related parties (Note 14), and an equity method investment. </w:t>
      </w:r>
    </w:p>
    <w:p>
      <w:pPr>
        <w:pStyle w:val="TextBody"/>
        <w:bidi w:val="0"/>
        <w:spacing w:before="240" w:after="0"/>
        <w:jc w:val="both"/>
        <w:rPr>
          <w:rFonts w:ascii="Times New Roman" w:hAnsi="Times New Roman"/>
          <w:sz w:val="20"/>
        </w:rPr>
      </w:pPr>
      <w:r>
        <w:rPr>
          <w:rFonts w:ascii="Times New Roman" w:hAnsi="Times New Roman"/>
          <w:sz w:val="20"/>
        </w:rPr>
        <w:t xml:space="preserve">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 </w:t>
      </w:r>
    </w:p>
    <w:p>
      <w:pPr>
        <w:pStyle w:val="TextBody"/>
        <w:bidi w:val="0"/>
        <w:spacing w:before="240" w:after="0"/>
        <w:jc w:val="both"/>
        <w:rPr>
          <w:rFonts w:ascii="Times New Roman" w:hAnsi="Times New Roman"/>
          <w:sz w:val="20"/>
        </w:rPr>
      </w:pPr>
      <w:r>
        <w:rPr>
          <w:rFonts w:ascii="Times New Roman" w:hAnsi="Times New Roman"/>
          <w:sz w:val="20"/>
        </w:rPr>
        <w:t xml:space="preserve">Consistent with purchase obligations disclosed in Note 6, </w:t>
      </w:r>
      <w:r>
        <w:rPr>
          <w:rFonts w:ascii="Times New Roman" w:hAnsi="Times New Roman"/>
          <w:i/>
          <w:sz w:val="20"/>
        </w:rPr>
        <w:t>Commitments and Contingencies,</w:t>
      </w:r>
      <w:r>
        <w:rPr>
          <w:rFonts w:ascii="Times New Roman" w:hAnsi="Times New Roman"/>
          <w:sz w:val="20"/>
        </w:rPr>
        <w:t xml:space="preserve"> the commercial partnership agreement includes committed payments for access to the data and additional payments contingent on the commercialization of such data. The annual license fee commitment is not materially significant.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GOODWILL AND INTANGIBLES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Goodwill represents the excess of the purchase price in a business combination over the fair value of net tangible and intangible assets acquired. As disclosed in Note 2, Goodwill is tested for impairment at least annually as of October 1st. The changes in the carrying amount of goodwill for the years ended December 31, 2019 and 2020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58"/>
        <w:gridCol w:w="243"/>
        <w:gridCol w:w="140"/>
        <w:gridCol w:w="702"/>
        <w:gridCol w:w="62"/>
      </w:tblGrid>
      <w:tr>
        <w:trPr/>
        <w:tc>
          <w:tcPr>
            <w:tcW w:w="9058"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2018</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02" w:type="dxa"/>
            <w:tcBorders/>
            <w:shd w:fill="CCEEFF" w:val="clear"/>
            <w:vAlign w:val="bottom"/>
          </w:tcPr>
          <w:p>
            <w:pPr>
              <w:pStyle w:val="TableContents"/>
              <w:bidi w:val="0"/>
              <w:spacing w:before="0" w:after="283"/>
              <w:jc w:val="right"/>
              <w:rPr>
                <w:b/>
              </w:rPr>
            </w:pPr>
            <w:r>
              <w:rPr>
                <w:b/>
              </w:rPr>
              <w:t>340</w:t>
            </w:r>
          </w:p>
        </w:tc>
        <w:tc>
          <w:tcPr>
            <w:tcW w:w="62" w:type="dxa"/>
            <w:tcBorders/>
            <w:shd w:fill="CCEEFF" w:val="clear"/>
            <w:vAlign w:val="bottom"/>
          </w:tcPr>
          <w:p>
            <w:pPr>
              <w:pStyle w:val="TableContents"/>
              <w:bidi w:val="0"/>
              <w:spacing w:before="0" w:after="283"/>
              <w:jc w:val="left"/>
              <w:rPr/>
            </w:pPr>
            <w:r>
              <w:rPr/>
              <w:t> </w:t>
            </w:r>
          </w:p>
        </w:tc>
      </w:tr>
      <w:tr>
        <w:trPr/>
        <w:tc>
          <w:tcPr>
            <w:tcW w:w="9058"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AKESOgen</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15,641</w:t>
            </w:r>
          </w:p>
        </w:tc>
        <w:tc>
          <w:tcPr>
            <w:tcW w:w="62" w:type="dxa"/>
            <w:tcBorders/>
            <w:vAlign w:val="bottom"/>
          </w:tcPr>
          <w:p>
            <w:pPr>
              <w:pStyle w:val="TableContents"/>
              <w:bidi w:val="0"/>
              <w:spacing w:before="0" w:after="283"/>
              <w:jc w:val="left"/>
              <w:rPr/>
            </w:pPr>
            <w:r>
              <w:rPr/>
              <w:t> </w:t>
            </w:r>
          </w:p>
        </w:tc>
      </w:tr>
      <w:tr>
        <w:trPr/>
        <w:tc>
          <w:tcPr>
            <w:tcW w:w="9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rate adjustment</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5</w:t>
            </w:r>
          </w:p>
        </w:tc>
        <w:tc>
          <w:tcPr>
            <w:tcW w:w="62" w:type="dxa"/>
            <w:tcBorders/>
            <w:shd w:fill="CCEEFF" w:val="clear"/>
            <w:vAlign w:val="bottom"/>
          </w:tcPr>
          <w:p>
            <w:pPr>
              <w:pStyle w:val="TableContents"/>
              <w:bidi w:val="0"/>
              <w:spacing w:before="0" w:after="283"/>
              <w:jc w:val="left"/>
              <w:rPr/>
            </w:pPr>
            <w:r>
              <w:rPr/>
              <w:t> </w:t>
            </w:r>
          </w:p>
        </w:tc>
      </w:tr>
      <w:tr>
        <w:trPr/>
        <w:tc>
          <w:tcPr>
            <w:tcW w:w="90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9058"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2019</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2" w:type="dxa"/>
            <w:tcBorders/>
            <w:vAlign w:val="bottom"/>
          </w:tcPr>
          <w:p>
            <w:pPr>
              <w:pStyle w:val="TableContents"/>
              <w:bidi w:val="0"/>
              <w:spacing w:before="0" w:after="283"/>
              <w:jc w:val="right"/>
              <w:rPr>
                <w:b/>
              </w:rPr>
            </w:pPr>
            <w:r>
              <w:rPr>
                <w:b/>
              </w:rPr>
              <w:t>15,986</w:t>
            </w:r>
          </w:p>
        </w:tc>
        <w:tc>
          <w:tcPr>
            <w:tcW w:w="62" w:type="dxa"/>
            <w:tcBorders/>
            <w:vAlign w:val="bottom"/>
          </w:tcPr>
          <w:p>
            <w:pPr>
              <w:pStyle w:val="TableContents"/>
              <w:bidi w:val="0"/>
              <w:spacing w:before="0" w:after="283"/>
              <w:jc w:val="left"/>
              <w:rPr/>
            </w:pPr>
            <w:r>
              <w:rPr/>
              <w:t> </w:t>
            </w:r>
          </w:p>
        </w:tc>
      </w:tr>
      <w:tr>
        <w:trPr/>
        <w:tc>
          <w:tcPr>
            <w:tcW w:w="90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rate adjustment</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6</w:t>
            </w:r>
          </w:p>
        </w:tc>
        <w:tc>
          <w:tcPr>
            <w:tcW w:w="62" w:type="dxa"/>
            <w:tcBorders/>
            <w:shd w:fill="CCEEFF" w:val="clear"/>
            <w:vAlign w:val="bottom"/>
          </w:tcPr>
          <w:p>
            <w:pPr>
              <w:pStyle w:val="TableContents"/>
              <w:bidi w:val="0"/>
              <w:spacing w:before="0" w:after="283"/>
              <w:jc w:val="left"/>
              <w:rPr/>
            </w:pPr>
            <w:r>
              <w:rPr/>
              <w:t> </w:t>
            </w:r>
          </w:p>
        </w:tc>
      </w:tr>
      <w:tr>
        <w:trPr/>
        <w:tc>
          <w:tcPr>
            <w:tcW w:w="90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9058"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02" w:type="dxa"/>
            <w:tcBorders/>
            <w:vAlign w:val="bottom"/>
          </w:tcPr>
          <w:p>
            <w:pPr>
              <w:pStyle w:val="TableContents"/>
              <w:bidi w:val="0"/>
              <w:spacing w:before="0" w:after="283"/>
              <w:jc w:val="right"/>
              <w:rPr>
                <w:b/>
              </w:rPr>
            </w:pPr>
            <w:r>
              <w:rPr>
                <w:b/>
              </w:rPr>
              <w:t>15,992</w:t>
            </w:r>
          </w:p>
        </w:tc>
        <w:tc>
          <w:tcPr>
            <w:tcW w:w="62" w:type="dxa"/>
            <w:tcBorders/>
            <w:vAlign w:val="bottom"/>
          </w:tcPr>
          <w:p>
            <w:pPr>
              <w:pStyle w:val="TableContents"/>
              <w:bidi w:val="0"/>
              <w:spacing w:before="0" w:after="283"/>
              <w:jc w:val="left"/>
              <w:rPr/>
            </w:pPr>
            <w:r>
              <w:rPr/>
              <w:t> </w:t>
            </w:r>
          </w:p>
        </w:tc>
      </w:tr>
      <w:tr>
        <w:trPr/>
        <w:tc>
          <w:tcPr>
            <w:tcW w:w="9058"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There was no goodwill impairment for the years ended December 31, 2019 and 2020, and for the six months ended June 30, 2020 and 2021. </w:t>
      </w:r>
    </w:p>
    <w:p>
      <w:pPr>
        <w:pStyle w:val="TextBody"/>
        <w:bidi w:val="0"/>
        <w:spacing w:before="240" w:after="0"/>
        <w:jc w:val="both"/>
        <w:rPr>
          <w:rFonts w:ascii="Times New Roman" w:hAnsi="Times New Roman"/>
          <w:sz w:val="20"/>
        </w:rPr>
      </w:pPr>
      <w:r>
        <w:rPr>
          <w:rFonts w:ascii="Times New Roman" w:hAnsi="Times New Roman"/>
          <w:sz w:val="20"/>
        </w:rPr>
        <w:t xml:space="preserve">Intangible assets are initially recorded at their acquisition cost, or fair value if acquired as part of a business combination and amortized over their estimated useful lives. During 2020, the gross amount of intangible assets increased $13.1 million resulting from an exclusive data license extension. The amendment extended the minimum length of the contract from five years to seven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summarizes intangible assets as of December 31, 2019 and 2020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8"/>
        <w:gridCol w:w="167"/>
        <w:gridCol w:w="146"/>
        <w:gridCol w:w="745"/>
        <w:gridCol w:w="60"/>
        <w:gridCol w:w="167"/>
        <w:gridCol w:w="233"/>
        <w:gridCol w:w="1207"/>
        <w:gridCol w:w="60"/>
        <w:gridCol w:w="167"/>
        <w:gridCol w:w="140"/>
        <w:gridCol w:w="716"/>
        <w:gridCol w:w="60"/>
        <w:gridCol w:w="167"/>
        <w:gridCol w:w="146"/>
        <w:gridCol w:w="745"/>
        <w:gridCol w:w="60"/>
        <w:gridCol w:w="167"/>
        <w:gridCol w:w="232"/>
        <w:gridCol w:w="1207"/>
        <w:gridCol w:w="60"/>
        <w:gridCol w:w="167"/>
        <w:gridCol w:w="140"/>
        <w:gridCol w:w="716"/>
        <w:gridCol w:w="72"/>
      </w:tblGrid>
      <w:tr>
        <w:trPr/>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45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6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6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72" w:type="dxa"/>
            <w:tcBorders/>
            <w:vAlign w:val="bottom"/>
          </w:tcPr>
          <w:p>
            <w:pPr>
              <w:pStyle w:val="TableContents"/>
              <w:bidi w:val="0"/>
              <w:spacing w:before="0" w:after="283"/>
              <w:jc w:val="left"/>
              <w:rPr/>
            </w:pPr>
            <w:r>
              <w:rPr/>
              <w:t> </w:t>
            </w:r>
          </w:p>
        </w:tc>
      </w:tr>
      <w:tr>
        <w:trPr/>
        <w:tc>
          <w:tcPr>
            <w:tcW w:w="245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Amount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Amount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72" w:type="dxa"/>
            <w:tcBorders/>
            <w:vAlign w:val="bottom"/>
          </w:tcPr>
          <w:p>
            <w:pPr>
              <w:pStyle w:val="TableContents"/>
              <w:bidi w:val="0"/>
              <w:spacing w:before="0" w:after="283"/>
              <w:jc w:val="left"/>
              <w:rPr/>
            </w:pPr>
            <w:r>
              <w:rPr/>
              <w:t> </w:t>
            </w:r>
          </w:p>
        </w:tc>
      </w:tr>
      <w:tr>
        <w:trPr/>
        <w:tc>
          <w:tcPr>
            <w:tcW w:w="2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17,300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17,300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17,300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07" w:type="dxa"/>
            <w:tcBorders/>
            <w:shd w:fill="CCEEFF" w:val="clear"/>
            <w:vAlign w:val="bottom"/>
          </w:tcPr>
          <w:p>
            <w:pPr>
              <w:pStyle w:val="TableContents"/>
              <w:bidi w:val="0"/>
              <w:spacing w:before="0" w:after="283"/>
              <w:jc w:val="right"/>
              <w:rPr/>
            </w:pPr>
            <w:r>
              <w:rPr/>
              <w:t>2,471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14,829</w:t>
            </w:r>
          </w:p>
        </w:tc>
        <w:tc>
          <w:tcPr>
            <w:tcW w:w="72" w:type="dxa"/>
            <w:tcBorders/>
            <w:shd w:fill="CCEEFF" w:val="clear"/>
            <w:vAlign w:val="bottom"/>
          </w:tcPr>
          <w:p>
            <w:pPr>
              <w:pStyle w:val="TableContents"/>
              <w:bidi w:val="0"/>
              <w:spacing w:before="0" w:after="283"/>
              <w:jc w:val="left"/>
              <w:rPr/>
            </w:pPr>
            <w:r>
              <w:rPr/>
              <w:t> </w:t>
            </w:r>
          </w:p>
        </w:tc>
      </w:tr>
      <w:tr>
        <w:trPr/>
        <w:tc>
          <w:tcPr>
            <w:tcW w:w="2458" w:type="dxa"/>
            <w:tcBorders/>
          </w:tcPr>
          <w:p>
            <w:pPr>
              <w:pStyle w:val="TableContents"/>
              <w:bidi w:val="0"/>
              <w:spacing w:before="0" w:after="0"/>
              <w:jc w:val="left"/>
              <w:rPr>
                <w:rFonts w:ascii="Times New Roman" w:hAnsi="Times New Roman"/>
                <w:sz w:val="20"/>
              </w:rPr>
            </w:pPr>
            <w:r>
              <w:rPr>
                <w:rFonts w:ascii="Times New Roman" w:hAnsi="Times New Roman"/>
                <w:sz w:val="20"/>
              </w:rPr>
              <w:t>Licensed Data</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37,483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13,472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24,011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50,586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20,975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29,611</w:t>
            </w:r>
          </w:p>
        </w:tc>
        <w:tc>
          <w:tcPr>
            <w:tcW w:w="72" w:type="dxa"/>
            <w:tcBorders/>
            <w:vAlign w:val="bottom"/>
          </w:tcPr>
          <w:p>
            <w:pPr>
              <w:pStyle w:val="TableContents"/>
              <w:bidi w:val="0"/>
              <w:spacing w:before="0" w:after="283"/>
              <w:jc w:val="left"/>
              <w:rPr/>
            </w:pPr>
            <w:r>
              <w:rPr/>
              <w:t> </w:t>
            </w:r>
          </w:p>
        </w:tc>
      </w:tr>
      <w:tr>
        <w:trPr/>
        <w:tc>
          <w:tcPr>
            <w:tcW w:w="2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Website domain</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w:t>
            </w:r>
          </w:p>
        </w:tc>
        <w:tc>
          <w:tcPr>
            <w:tcW w:w="72" w:type="dxa"/>
            <w:tcBorders/>
            <w:shd w:fill="CCEEFF" w:val="clear"/>
            <w:vAlign w:val="bottom"/>
          </w:tcPr>
          <w:p>
            <w:pPr>
              <w:pStyle w:val="TableContents"/>
              <w:bidi w:val="0"/>
              <w:spacing w:before="0" w:after="283"/>
              <w:jc w:val="left"/>
              <w:rPr/>
            </w:pPr>
            <w:r>
              <w:rPr/>
              <w:t> </w:t>
            </w:r>
          </w:p>
        </w:tc>
      </w:tr>
      <w:tr>
        <w:trPr/>
        <w:tc>
          <w:tcPr>
            <w:tcW w:w="2458"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45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54,802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207" w:type="dxa"/>
            <w:tcBorders/>
            <w:vAlign w:val="bottom"/>
          </w:tcPr>
          <w:p>
            <w:pPr>
              <w:pStyle w:val="TableContents"/>
              <w:bidi w:val="0"/>
              <w:spacing w:before="0" w:after="283"/>
              <w:jc w:val="right"/>
              <w:rPr/>
            </w:pPr>
            <w:r>
              <w:rPr/>
              <w:t>13,472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41,330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67,905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07" w:type="dxa"/>
            <w:tcBorders/>
            <w:vAlign w:val="bottom"/>
          </w:tcPr>
          <w:p>
            <w:pPr>
              <w:pStyle w:val="TableContents"/>
              <w:bidi w:val="0"/>
              <w:spacing w:before="0" w:after="283"/>
              <w:jc w:val="right"/>
              <w:rPr/>
            </w:pPr>
            <w:r>
              <w:rPr/>
              <w:t>23,446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44,459</w:t>
            </w:r>
          </w:p>
        </w:tc>
        <w:tc>
          <w:tcPr>
            <w:tcW w:w="72" w:type="dxa"/>
            <w:tcBorders/>
            <w:vAlign w:val="bottom"/>
          </w:tcPr>
          <w:p>
            <w:pPr>
              <w:pStyle w:val="TableContents"/>
              <w:bidi w:val="0"/>
              <w:spacing w:before="0" w:after="283"/>
              <w:jc w:val="left"/>
              <w:rPr/>
            </w:pPr>
            <w:r>
              <w:rPr/>
              <w:t> </w:t>
            </w:r>
          </w:p>
        </w:tc>
      </w:tr>
      <w:tr>
        <w:trPr/>
        <w:tc>
          <w:tcPr>
            <w:tcW w:w="2458"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summarizes intangible assets as of June 30, 2020 and 2021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8"/>
        <w:gridCol w:w="167"/>
        <w:gridCol w:w="146"/>
        <w:gridCol w:w="745"/>
        <w:gridCol w:w="60"/>
        <w:gridCol w:w="167"/>
        <w:gridCol w:w="233"/>
        <w:gridCol w:w="1207"/>
        <w:gridCol w:w="60"/>
        <w:gridCol w:w="167"/>
        <w:gridCol w:w="140"/>
        <w:gridCol w:w="716"/>
        <w:gridCol w:w="60"/>
        <w:gridCol w:w="167"/>
        <w:gridCol w:w="146"/>
        <w:gridCol w:w="745"/>
        <w:gridCol w:w="60"/>
        <w:gridCol w:w="167"/>
        <w:gridCol w:w="232"/>
        <w:gridCol w:w="1207"/>
        <w:gridCol w:w="60"/>
        <w:gridCol w:w="167"/>
        <w:gridCol w:w="140"/>
        <w:gridCol w:w="716"/>
        <w:gridCol w:w="72"/>
      </w:tblGrid>
      <w:tr>
        <w:trPr/>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45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6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6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2" w:type="dxa"/>
            <w:tcBorders/>
            <w:vAlign w:val="bottom"/>
          </w:tcPr>
          <w:p>
            <w:pPr>
              <w:pStyle w:val="TableContents"/>
              <w:bidi w:val="0"/>
              <w:spacing w:before="0" w:after="283"/>
              <w:jc w:val="left"/>
              <w:rPr/>
            </w:pPr>
            <w:r>
              <w:rPr/>
              <w:t> </w:t>
            </w:r>
          </w:p>
        </w:tc>
      </w:tr>
      <w:tr>
        <w:trPr/>
        <w:tc>
          <w:tcPr>
            <w:tcW w:w="245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Amount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Gross</w:t>
              <w:br/>
              <w:t>Amount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r>
          </w:p>
        </w:tc>
        <w:tc>
          <w:tcPr>
            <w:tcW w:w="72" w:type="dxa"/>
            <w:tcBorders/>
            <w:vAlign w:val="bottom"/>
          </w:tcPr>
          <w:p>
            <w:pPr>
              <w:pStyle w:val="TableContents"/>
              <w:bidi w:val="0"/>
              <w:spacing w:before="0" w:after="283"/>
              <w:jc w:val="left"/>
              <w:rPr/>
            </w:pPr>
            <w:r>
              <w:rPr/>
              <w:t> </w:t>
            </w:r>
          </w:p>
        </w:tc>
      </w:tr>
      <w:tr>
        <w:trPr/>
        <w:tc>
          <w:tcPr>
            <w:tcW w:w="2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17,300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07" w:type="dxa"/>
            <w:tcBorders/>
            <w:shd w:fill="CCEEFF" w:val="clear"/>
            <w:vAlign w:val="bottom"/>
          </w:tcPr>
          <w:p>
            <w:pPr>
              <w:pStyle w:val="TableContents"/>
              <w:bidi w:val="0"/>
              <w:spacing w:before="0" w:after="283"/>
              <w:jc w:val="right"/>
              <w:rPr/>
            </w:pPr>
            <w:r>
              <w:rPr/>
              <w:t>1,236</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16,064</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17,300</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1207" w:type="dxa"/>
            <w:tcBorders/>
            <w:shd w:fill="CCEEFF" w:val="clear"/>
            <w:vAlign w:val="bottom"/>
          </w:tcPr>
          <w:p>
            <w:pPr>
              <w:pStyle w:val="TableContents"/>
              <w:bidi w:val="0"/>
              <w:spacing w:before="0" w:after="283"/>
              <w:jc w:val="right"/>
              <w:rPr/>
            </w:pPr>
            <w:r>
              <w:rPr/>
              <w:t>3,707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13,593</w:t>
            </w:r>
          </w:p>
        </w:tc>
        <w:tc>
          <w:tcPr>
            <w:tcW w:w="72" w:type="dxa"/>
            <w:tcBorders/>
            <w:shd w:fill="CCEEFF" w:val="clear"/>
            <w:vAlign w:val="bottom"/>
          </w:tcPr>
          <w:p>
            <w:pPr>
              <w:pStyle w:val="TableContents"/>
              <w:bidi w:val="0"/>
              <w:spacing w:before="0" w:after="283"/>
              <w:jc w:val="left"/>
              <w:rPr/>
            </w:pPr>
            <w:r>
              <w:rPr/>
              <w:t> </w:t>
            </w:r>
          </w:p>
        </w:tc>
      </w:tr>
      <w:tr>
        <w:trPr/>
        <w:tc>
          <w:tcPr>
            <w:tcW w:w="2458" w:type="dxa"/>
            <w:tcBorders/>
          </w:tcPr>
          <w:p>
            <w:pPr>
              <w:pStyle w:val="TableContents"/>
              <w:bidi w:val="0"/>
              <w:spacing w:before="0" w:after="0"/>
              <w:jc w:val="left"/>
              <w:rPr>
                <w:rFonts w:ascii="Times New Roman" w:hAnsi="Times New Roman"/>
                <w:sz w:val="20"/>
              </w:rPr>
            </w:pPr>
            <w:r>
              <w:rPr>
                <w:rFonts w:ascii="Times New Roman" w:hAnsi="Times New Roman"/>
                <w:sz w:val="20"/>
              </w:rPr>
              <w:t>Licensed Data</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50,586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17,223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33,363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50,586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24,726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25,860</w:t>
            </w:r>
          </w:p>
        </w:tc>
        <w:tc>
          <w:tcPr>
            <w:tcW w:w="72" w:type="dxa"/>
            <w:tcBorders/>
            <w:vAlign w:val="bottom"/>
          </w:tcPr>
          <w:p>
            <w:pPr>
              <w:pStyle w:val="TableContents"/>
              <w:bidi w:val="0"/>
              <w:spacing w:before="0" w:after="283"/>
              <w:jc w:val="left"/>
              <w:rPr/>
            </w:pPr>
            <w:r>
              <w:rPr/>
              <w:t> </w:t>
            </w:r>
          </w:p>
        </w:tc>
      </w:tr>
      <w:tr>
        <w:trPr/>
        <w:tc>
          <w:tcPr>
            <w:tcW w:w="2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Website domain</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w:t>
            </w:r>
          </w:p>
        </w:tc>
        <w:tc>
          <w:tcPr>
            <w:tcW w:w="72" w:type="dxa"/>
            <w:tcBorders/>
            <w:shd w:fill="CCEEFF" w:val="clear"/>
            <w:vAlign w:val="bottom"/>
          </w:tcPr>
          <w:p>
            <w:pPr>
              <w:pStyle w:val="TableContents"/>
              <w:bidi w:val="0"/>
              <w:spacing w:before="0" w:after="283"/>
              <w:jc w:val="left"/>
              <w:rPr/>
            </w:pPr>
            <w:r>
              <w:rPr/>
              <w:t> </w:t>
            </w:r>
          </w:p>
        </w:tc>
      </w:tr>
      <w:tr>
        <w:trPr/>
        <w:tc>
          <w:tcPr>
            <w:tcW w:w="2458"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458" w:type="dxa"/>
            <w:tcBorders/>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67,905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207" w:type="dxa"/>
            <w:tcBorders/>
            <w:vAlign w:val="bottom"/>
          </w:tcPr>
          <w:p>
            <w:pPr>
              <w:pStyle w:val="TableContents"/>
              <w:bidi w:val="0"/>
              <w:spacing w:before="0" w:after="283"/>
              <w:jc w:val="right"/>
              <w:rPr/>
            </w:pPr>
            <w:r>
              <w:rPr/>
              <w:t>18,459</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49,446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67,905</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1207" w:type="dxa"/>
            <w:tcBorders/>
            <w:vAlign w:val="bottom"/>
          </w:tcPr>
          <w:p>
            <w:pPr>
              <w:pStyle w:val="TableContents"/>
              <w:bidi w:val="0"/>
              <w:spacing w:before="0" w:after="283"/>
              <w:jc w:val="right"/>
              <w:rPr/>
            </w:pPr>
            <w:r>
              <w:rPr/>
              <w:t>28,433</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39,472</w:t>
            </w:r>
          </w:p>
        </w:tc>
        <w:tc>
          <w:tcPr>
            <w:tcW w:w="72" w:type="dxa"/>
            <w:tcBorders/>
            <w:vAlign w:val="bottom"/>
          </w:tcPr>
          <w:p>
            <w:pPr>
              <w:pStyle w:val="TableContents"/>
              <w:bidi w:val="0"/>
              <w:spacing w:before="0" w:after="283"/>
              <w:jc w:val="left"/>
              <w:rPr/>
            </w:pPr>
            <w:r>
              <w:rPr/>
              <w:t> </w:t>
            </w:r>
          </w:p>
        </w:tc>
      </w:tr>
      <w:tr>
        <w:trPr/>
        <w:tc>
          <w:tcPr>
            <w:tcW w:w="2458"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Amortization of intangible assets is recognized using the straight-line method over their estimated useful lives, which range from five to seven years. Amortization expense was $6.9 million and $9.9 million for the years ended December 31, 2019 and 2020, respectively, and $5.0 million for the six months ended June 30, 2020 and 2021, and is recorded in cost of revenues, technology or research and development, depending on use of the asset. The weighted average life of our intangibles is approximately seven years. As of December 31, 2020, the estimated future amortization expense related to intangible assets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47"/>
        <w:gridCol w:w="246"/>
        <w:gridCol w:w="140"/>
        <w:gridCol w:w="709"/>
        <w:gridCol w:w="63"/>
      </w:tblGrid>
      <w:tr>
        <w:trPr/>
        <w:tc>
          <w:tcPr>
            <w:tcW w:w="9047"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9,974</w:t>
            </w:r>
          </w:p>
        </w:tc>
        <w:tc>
          <w:tcPr>
            <w:tcW w:w="63" w:type="dxa"/>
            <w:tcBorders/>
            <w:shd w:fill="CCEEFF" w:val="clear"/>
            <w:vAlign w:val="bottom"/>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9,974</w:t>
            </w:r>
          </w:p>
        </w:tc>
        <w:tc>
          <w:tcPr>
            <w:tcW w:w="63" w:type="dxa"/>
            <w:tcBorders/>
            <w:vAlign w:val="bottom"/>
          </w:tcPr>
          <w:p>
            <w:pPr>
              <w:pStyle w:val="TableContents"/>
              <w:bidi w:val="0"/>
              <w:spacing w:before="0" w:after="283"/>
              <w:jc w:val="left"/>
              <w:rPr/>
            </w:pPr>
            <w:r>
              <w:rPr/>
              <w:t> </w:t>
            </w:r>
          </w:p>
        </w:tc>
      </w:tr>
      <w:tr>
        <w:trPr/>
        <w:tc>
          <w:tcPr>
            <w:tcW w:w="9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9,974</w:t>
            </w:r>
          </w:p>
        </w:tc>
        <w:tc>
          <w:tcPr>
            <w:tcW w:w="63" w:type="dxa"/>
            <w:tcBorders/>
            <w:shd w:fill="CCEEFF" w:val="clear"/>
            <w:vAlign w:val="bottom"/>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9,574</w:t>
            </w:r>
          </w:p>
        </w:tc>
        <w:tc>
          <w:tcPr>
            <w:tcW w:w="63" w:type="dxa"/>
            <w:tcBorders/>
            <w:vAlign w:val="bottom"/>
          </w:tcPr>
          <w:p>
            <w:pPr>
              <w:pStyle w:val="TableContents"/>
              <w:bidi w:val="0"/>
              <w:spacing w:before="0" w:after="283"/>
              <w:jc w:val="left"/>
              <w:rPr/>
            </w:pPr>
            <w:r>
              <w:rPr/>
              <w:t> </w:t>
            </w:r>
          </w:p>
        </w:tc>
      </w:tr>
      <w:tr>
        <w:trPr/>
        <w:tc>
          <w:tcPr>
            <w:tcW w:w="9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2,472</w:t>
            </w:r>
          </w:p>
        </w:tc>
        <w:tc>
          <w:tcPr>
            <w:tcW w:w="63" w:type="dxa"/>
            <w:tcBorders/>
            <w:shd w:fill="CCEEFF" w:val="clear"/>
            <w:vAlign w:val="bottom"/>
          </w:tcPr>
          <w:p>
            <w:pPr>
              <w:pStyle w:val="TableContents"/>
              <w:bidi w:val="0"/>
              <w:spacing w:before="0" w:after="283"/>
              <w:jc w:val="left"/>
              <w:rPr/>
            </w:pPr>
            <w:r>
              <w:rPr/>
              <w:t> </w:t>
            </w:r>
          </w:p>
        </w:tc>
      </w:tr>
      <w:tr>
        <w:trPr/>
        <w:tc>
          <w:tcPr>
            <w:tcW w:w="9047"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2,472</w:t>
            </w:r>
          </w:p>
        </w:tc>
        <w:tc>
          <w:tcPr>
            <w:tcW w:w="63" w:type="dxa"/>
            <w:tcBorders/>
            <w:vAlign w:val="bottom"/>
          </w:tcPr>
          <w:p>
            <w:pPr>
              <w:pStyle w:val="TableContents"/>
              <w:bidi w:val="0"/>
              <w:spacing w:before="0" w:after="283"/>
              <w:jc w:val="left"/>
              <w:rPr/>
            </w:pPr>
            <w:r>
              <w:rPr/>
              <w:t> </w:t>
            </w:r>
          </w:p>
        </w:tc>
      </w:tr>
      <w:tr>
        <w:trPr/>
        <w:tc>
          <w:tcPr>
            <w:tcW w:w="9047"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9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9" w:type="dxa"/>
            <w:tcBorders/>
            <w:shd w:fill="CCEEFF" w:val="clear"/>
            <w:vAlign w:val="bottom"/>
          </w:tcPr>
          <w:p>
            <w:pPr>
              <w:pStyle w:val="TableContents"/>
              <w:bidi w:val="0"/>
              <w:spacing w:before="0" w:after="283"/>
              <w:jc w:val="right"/>
              <w:rPr/>
            </w:pPr>
            <w:r>
              <w:rPr/>
              <w:t>44,440</w:t>
            </w:r>
          </w:p>
        </w:tc>
        <w:tc>
          <w:tcPr>
            <w:tcW w:w="63" w:type="dxa"/>
            <w:tcBorders/>
            <w:shd w:fill="CCEEFF" w:val="clear"/>
            <w:vAlign w:val="bottom"/>
          </w:tcPr>
          <w:p>
            <w:pPr>
              <w:pStyle w:val="TableContents"/>
              <w:bidi w:val="0"/>
              <w:spacing w:before="0" w:after="283"/>
              <w:jc w:val="left"/>
              <w:rPr/>
            </w:pPr>
            <w:r>
              <w:rPr/>
              <w:t> </w:t>
            </w:r>
          </w:p>
        </w:tc>
      </w:tr>
      <w:tr>
        <w:trPr/>
        <w:tc>
          <w:tcPr>
            <w:tcW w:w="9047"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Leases </w:t>
      </w:r>
    </w:p>
    <w:p>
      <w:pPr>
        <w:pStyle w:val="TextBody"/>
        <w:bidi w:val="0"/>
        <w:spacing w:before="240" w:after="0"/>
        <w:jc w:val="both"/>
        <w:rPr>
          <w:rFonts w:ascii="Times New Roman" w:hAnsi="Times New Roman"/>
          <w:sz w:val="20"/>
        </w:rPr>
      </w:pPr>
      <w:r>
        <w:rPr>
          <w:rFonts w:ascii="Times New Roman" w:hAnsi="Times New Roman"/>
          <w:sz w:val="20"/>
        </w:rPr>
        <w:t xml:space="preserve">The Company has entered into various non-cancelable operating lease agreements with lease expirations between 2021 and 2029. Rent expenses under operating leases was $3.3 million and $6.2 million for the years ended December 31, 2019 and 2020,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Company leases its headquarters located in Chicago, Illinois (600 West Chicago). Our lease agreement for 600 West Chicago extends through May 2029 and includes rent escalations of 2.5% per year. The 600 West Chicago lease represents $37.0 million of the estimated future payments under operating leases shown in the table below. The Company accounts for the 600 West Chicago lease as an operating lease and recognizes rent expense on a straight-line basis, taking into account rent escalations and lease incentives.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has also acquired portions of its equipment under capital lease agreements, with expirations between 2021 and 2023.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2020, the future payments under operating and capital leases for each of the next five years and thereafter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15"/>
        <w:gridCol w:w="242"/>
        <w:gridCol w:w="154"/>
        <w:gridCol w:w="641"/>
        <w:gridCol w:w="60"/>
        <w:gridCol w:w="242"/>
        <w:gridCol w:w="197"/>
        <w:gridCol w:w="890"/>
        <w:gridCol w:w="64"/>
      </w:tblGrid>
      <w:tr>
        <w:trPr/>
        <w:tc>
          <w:tcPr>
            <w:tcW w:w="7715"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1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br/>
              <w:t>Leases</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0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64" w:type="dxa"/>
            <w:tcBorders/>
            <w:vAlign w:val="bottom"/>
          </w:tcPr>
          <w:p>
            <w:pPr>
              <w:pStyle w:val="TableContents"/>
              <w:bidi w:val="0"/>
              <w:spacing w:before="0" w:after="283"/>
              <w:jc w:val="left"/>
              <w:rPr/>
            </w:pPr>
            <w:r>
              <w:rPr/>
              <w:t> </w:t>
            </w:r>
          </w:p>
        </w:tc>
      </w:tr>
      <w:tr>
        <w:trPr/>
        <w:tc>
          <w:tcPr>
            <w:tcW w:w="7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796</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6,260</w:t>
            </w:r>
          </w:p>
        </w:tc>
        <w:tc>
          <w:tcPr>
            <w:tcW w:w="64" w:type="dxa"/>
            <w:tcBorders/>
            <w:shd w:fill="CCEEFF" w:val="clear"/>
            <w:vAlign w:val="bottom"/>
          </w:tcPr>
          <w:p>
            <w:pPr>
              <w:pStyle w:val="TableContents"/>
              <w:bidi w:val="0"/>
              <w:spacing w:before="0" w:after="283"/>
              <w:jc w:val="left"/>
              <w:rPr/>
            </w:pPr>
            <w:r>
              <w:rPr/>
              <w:t> </w:t>
            </w:r>
          </w:p>
        </w:tc>
      </w:tr>
      <w:tr>
        <w:trPr/>
        <w:tc>
          <w:tcPr>
            <w:tcW w:w="7715" w:type="dxa"/>
            <w:tcBorders/>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454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6,519</w:t>
            </w:r>
          </w:p>
        </w:tc>
        <w:tc>
          <w:tcPr>
            <w:tcW w:w="64" w:type="dxa"/>
            <w:tcBorders/>
            <w:vAlign w:val="bottom"/>
          </w:tcPr>
          <w:p>
            <w:pPr>
              <w:pStyle w:val="TableContents"/>
              <w:bidi w:val="0"/>
              <w:spacing w:before="0" w:after="283"/>
              <w:jc w:val="left"/>
              <w:rPr/>
            </w:pPr>
            <w:r>
              <w:rPr/>
              <w:t> </w:t>
            </w:r>
          </w:p>
        </w:tc>
      </w:tr>
      <w:tr>
        <w:trPr/>
        <w:tc>
          <w:tcPr>
            <w:tcW w:w="7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311</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6,795</w:t>
            </w:r>
          </w:p>
        </w:tc>
        <w:tc>
          <w:tcPr>
            <w:tcW w:w="64" w:type="dxa"/>
            <w:tcBorders/>
            <w:shd w:fill="CCEEFF" w:val="clear"/>
            <w:vAlign w:val="bottom"/>
          </w:tcPr>
          <w:p>
            <w:pPr>
              <w:pStyle w:val="TableContents"/>
              <w:bidi w:val="0"/>
              <w:spacing w:before="0" w:after="283"/>
              <w:jc w:val="left"/>
              <w:rPr/>
            </w:pPr>
            <w:r>
              <w:rPr/>
              <w:t> </w:t>
            </w:r>
          </w:p>
        </w:tc>
      </w:tr>
      <w:tr>
        <w:trPr/>
        <w:tc>
          <w:tcPr>
            <w:tcW w:w="7715"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6,914</w:t>
            </w:r>
          </w:p>
        </w:tc>
        <w:tc>
          <w:tcPr>
            <w:tcW w:w="64" w:type="dxa"/>
            <w:tcBorders/>
            <w:vAlign w:val="bottom"/>
          </w:tcPr>
          <w:p>
            <w:pPr>
              <w:pStyle w:val="TableContents"/>
              <w:bidi w:val="0"/>
              <w:spacing w:before="0" w:after="283"/>
              <w:jc w:val="left"/>
              <w:rPr/>
            </w:pPr>
            <w:r>
              <w:rPr/>
              <w:t> </w:t>
            </w:r>
          </w:p>
        </w:tc>
      </w:tr>
      <w:tr>
        <w:trPr/>
        <w:tc>
          <w:tcPr>
            <w:tcW w:w="7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6,270</w:t>
            </w:r>
          </w:p>
        </w:tc>
        <w:tc>
          <w:tcPr>
            <w:tcW w:w="64" w:type="dxa"/>
            <w:tcBorders/>
            <w:shd w:fill="CCEEFF" w:val="clear"/>
            <w:vAlign w:val="bottom"/>
          </w:tcPr>
          <w:p>
            <w:pPr>
              <w:pStyle w:val="TableContents"/>
              <w:bidi w:val="0"/>
              <w:spacing w:before="0" w:after="283"/>
              <w:jc w:val="left"/>
              <w:rPr/>
            </w:pPr>
            <w:r>
              <w:rPr/>
              <w:t> </w:t>
            </w:r>
          </w:p>
        </w:tc>
      </w:tr>
      <w:tr>
        <w:trPr/>
        <w:tc>
          <w:tcPr>
            <w:tcW w:w="7715"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16,504</w:t>
            </w:r>
          </w:p>
        </w:tc>
        <w:tc>
          <w:tcPr>
            <w:tcW w:w="64" w:type="dxa"/>
            <w:tcBorders/>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minimum lease payments</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1,561</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49,262</w:t>
            </w:r>
          </w:p>
        </w:tc>
        <w:tc>
          <w:tcPr>
            <w:tcW w:w="64" w:type="dxa"/>
            <w:tcBorders/>
            <w:shd w:fill="CCEEFF" w:val="clear"/>
            <w:vAlign w:val="bottom"/>
          </w:tcPr>
          <w:p>
            <w:pPr>
              <w:pStyle w:val="TableContents"/>
              <w:bidi w:val="0"/>
              <w:spacing w:before="0" w:after="283"/>
              <w:jc w:val="left"/>
              <w:rPr/>
            </w:pPr>
            <w:r>
              <w:rPr/>
              <w:t> </w:t>
            </w:r>
          </w:p>
        </w:tc>
      </w:tr>
      <w:tr>
        <w:trPr/>
        <w:tc>
          <w:tcPr>
            <w:tcW w:w="771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15"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interest</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1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net minimum capital lease payments</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1,447</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15"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 of capital lease obligations</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723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1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7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capital lease obligations</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724</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715"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Purchase Obligations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2019 and 2020, the Company recognized data licensing and cloud computing expenses of $15.2 million and $27.1 million, respectively, related to non-cancelable arrangements. For the six months ended June 30, 2021, the Company recognized $12.5 million, related to non-cancelable arrangements.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2020, future payments under these contractual obligations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50"/>
        <w:gridCol w:w="238"/>
        <w:gridCol w:w="140"/>
        <w:gridCol w:w="814"/>
        <w:gridCol w:w="63"/>
      </w:tblGrid>
      <w:tr>
        <w:trPr/>
        <w:tc>
          <w:tcPr>
            <w:tcW w:w="895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37,750</w:t>
            </w:r>
          </w:p>
        </w:tc>
        <w:tc>
          <w:tcPr>
            <w:tcW w:w="63" w:type="dxa"/>
            <w:tcBorders/>
            <w:shd w:fill="CCEEFF" w:val="clear"/>
            <w:vAlign w:val="bottom"/>
          </w:tcPr>
          <w:p>
            <w:pPr>
              <w:pStyle w:val="TableContents"/>
              <w:bidi w:val="0"/>
              <w:spacing w:before="0" w:after="283"/>
              <w:jc w:val="left"/>
              <w:rPr/>
            </w:pPr>
            <w:r>
              <w:rPr/>
              <w:t> </w:t>
            </w:r>
          </w:p>
        </w:tc>
      </w:tr>
      <w:tr>
        <w:trPr/>
        <w:tc>
          <w:tcPr>
            <w:tcW w:w="8950" w:type="dxa"/>
            <w:tcBorders/>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18,917</w:t>
            </w:r>
          </w:p>
        </w:tc>
        <w:tc>
          <w:tcPr>
            <w:tcW w:w="63" w:type="dxa"/>
            <w:tcBorders/>
            <w:vAlign w:val="bottom"/>
          </w:tcPr>
          <w:p>
            <w:pPr>
              <w:pStyle w:val="TableContents"/>
              <w:bidi w:val="0"/>
              <w:spacing w:before="0" w:after="283"/>
              <w:jc w:val="left"/>
              <w:rPr/>
            </w:pPr>
            <w:r>
              <w:rPr/>
              <w:t> </w:t>
            </w:r>
          </w:p>
        </w:tc>
      </w:tr>
      <w:tr>
        <w:trPr/>
        <w:tc>
          <w:tcPr>
            <w:tcW w:w="8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21,250</w:t>
            </w:r>
          </w:p>
        </w:tc>
        <w:tc>
          <w:tcPr>
            <w:tcW w:w="63" w:type="dxa"/>
            <w:tcBorders/>
            <w:shd w:fill="CCEEFF" w:val="clear"/>
            <w:vAlign w:val="bottom"/>
          </w:tcPr>
          <w:p>
            <w:pPr>
              <w:pStyle w:val="TableContents"/>
              <w:bidi w:val="0"/>
              <w:spacing w:before="0" w:after="283"/>
              <w:jc w:val="left"/>
              <w:rPr/>
            </w:pPr>
            <w:r>
              <w:rPr/>
              <w:t> </w:t>
            </w:r>
          </w:p>
        </w:tc>
      </w:tr>
      <w:tr>
        <w:trPr/>
        <w:tc>
          <w:tcPr>
            <w:tcW w:w="8950"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26,250</w:t>
            </w:r>
          </w:p>
        </w:tc>
        <w:tc>
          <w:tcPr>
            <w:tcW w:w="63" w:type="dxa"/>
            <w:tcBorders/>
            <w:vAlign w:val="bottom"/>
          </w:tcPr>
          <w:p>
            <w:pPr>
              <w:pStyle w:val="TableContents"/>
              <w:bidi w:val="0"/>
              <w:spacing w:before="0" w:after="283"/>
              <w:jc w:val="left"/>
              <w:rPr/>
            </w:pPr>
            <w:r>
              <w:rPr/>
              <w:t> </w:t>
            </w:r>
          </w:p>
        </w:tc>
      </w:tr>
      <w:tr>
        <w:trPr/>
        <w:tc>
          <w:tcPr>
            <w:tcW w:w="8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23,750</w:t>
            </w:r>
          </w:p>
        </w:tc>
        <w:tc>
          <w:tcPr>
            <w:tcW w:w="63" w:type="dxa"/>
            <w:tcBorders/>
            <w:shd w:fill="CCEEFF" w:val="clear"/>
            <w:vAlign w:val="bottom"/>
          </w:tcPr>
          <w:p>
            <w:pPr>
              <w:pStyle w:val="TableContents"/>
              <w:bidi w:val="0"/>
              <w:spacing w:before="0" w:after="283"/>
              <w:jc w:val="left"/>
              <w:rPr/>
            </w:pPr>
            <w:r>
              <w:rPr/>
              <w:t> </w:t>
            </w:r>
          </w:p>
        </w:tc>
      </w:tr>
      <w:tr>
        <w:trPr/>
        <w:tc>
          <w:tcPr>
            <w:tcW w:w="8950"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6,500</w:t>
            </w:r>
          </w:p>
        </w:tc>
        <w:tc>
          <w:tcPr>
            <w:tcW w:w="63" w:type="dxa"/>
            <w:tcBorders/>
            <w:vAlign w:val="bottom"/>
          </w:tcPr>
          <w:p>
            <w:pPr>
              <w:pStyle w:val="TableContents"/>
              <w:bidi w:val="0"/>
              <w:spacing w:before="0" w:after="283"/>
              <w:jc w:val="left"/>
              <w:rPr/>
            </w:pPr>
            <w:r>
              <w:rPr/>
              <w:t> </w:t>
            </w:r>
          </w:p>
        </w:tc>
      </w:tr>
      <w:tr>
        <w:trPr/>
        <w:tc>
          <w:tcPr>
            <w:tcW w:w="895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purchase obligations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134,417</w:t>
            </w:r>
          </w:p>
        </w:tc>
        <w:tc>
          <w:tcPr>
            <w:tcW w:w="63" w:type="dxa"/>
            <w:tcBorders/>
            <w:shd w:fill="CCEEFF" w:val="clear"/>
            <w:vAlign w:val="bottom"/>
          </w:tcPr>
          <w:p>
            <w:pPr>
              <w:pStyle w:val="TableContents"/>
              <w:bidi w:val="0"/>
              <w:spacing w:before="0" w:after="283"/>
              <w:jc w:val="left"/>
              <w:rPr/>
            </w:pPr>
            <w:r>
              <w:rPr/>
              <w:t> </w:t>
            </w:r>
          </w:p>
        </w:tc>
      </w:tr>
      <w:tr>
        <w:trPr/>
        <w:tc>
          <w:tcPr>
            <w:tcW w:w="8950" w:type="dxa"/>
            <w:tcBorders/>
          </w:tcPr>
          <w:p>
            <w:pPr>
              <w:pStyle w:val="TableContents"/>
              <w:bidi w:val="0"/>
              <w:spacing w:before="0" w:after="0"/>
              <w:jc w:val="left"/>
              <w:rPr>
                <w:rFonts w:ascii="Times New Roman" w:hAnsi="Times New Roman"/>
                <w:sz w:val="20"/>
              </w:rPr>
            </w:pPr>
            <w:r>
              <w:rPr>
                <w:rFonts w:ascii="Times New Roman" w:hAnsi="Times New Roman"/>
                <w:sz w:val="20"/>
              </w:rPr>
              <w:t>Less: Amount representing interest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1,416</w:t>
            </w:r>
          </w:p>
        </w:tc>
        <w:tc>
          <w:tcPr>
            <w:tcW w:w="63" w:type="dxa"/>
            <w:tcBorders/>
            <w:vAlign w:val="bottom"/>
          </w:tcPr>
          <w:p>
            <w:pPr>
              <w:pStyle w:val="TableContents"/>
              <w:bidi w:val="0"/>
              <w:spacing w:before="0" w:after="283"/>
              <w:jc w:val="left"/>
              <w:rPr/>
            </w:pPr>
            <w:r>
              <w:rPr/>
              <w:t> </w:t>
            </w:r>
          </w:p>
        </w:tc>
      </w:tr>
      <w:tr>
        <w:trPr/>
        <w:tc>
          <w:tcPr>
            <w:tcW w:w="895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net minimum purchase obligations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133,001</w:t>
            </w:r>
          </w:p>
        </w:tc>
        <w:tc>
          <w:tcPr>
            <w:tcW w:w="63" w:type="dxa"/>
            <w:tcBorders/>
            <w:shd w:fill="CCEEFF" w:val="clear"/>
            <w:vAlign w:val="bottom"/>
          </w:tcPr>
          <w:p>
            <w:pPr>
              <w:pStyle w:val="TableContents"/>
              <w:bidi w:val="0"/>
              <w:spacing w:before="0" w:after="283"/>
              <w:jc w:val="left"/>
              <w:rPr/>
            </w:pPr>
            <w:r>
              <w:rPr/>
              <w:t> </w:t>
            </w:r>
          </w:p>
        </w:tc>
      </w:tr>
      <w:tr>
        <w:trPr/>
        <w:tc>
          <w:tcPr>
            <w:tcW w:w="8950" w:type="dxa"/>
            <w:tcBorders/>
          </w:tcPr>
          <w:p>
            <w:pPr>
              <w:pStyle w:val="TableContents"/>
              <w:bidi w:val="0"/>
              <w:spacing w:before="0" w:after="0"/>
              <w:jc w:val="left"/>
              <w:rPr>
                <w:rFonts w:ascii="Times New Roman" w:hAnsi="Times New Roman"/>
                <w:sz w:val="20"/>
              </w:rPr>
            </w:pPr>
            <w:r>
              <w:rPr>
                <w:rFonts w:ascii="Times New Roman" w:hAnsi="Times New Roman"/>
                <w:sz w:val="20"/>
              </w:rPr>
              <w:t>Less: Current portion of purchase obligations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37,129</w:t>
            </w:r>
          </w:p>
        </w:tc>
        <w:tc>
          <w:tcPr>
            <w:tcW w:w="63" w:type="dxa"/>
            <w:tcBorders/>
            <w:vAlign w:val="bottom"/>
          </w:tcPr>
          <w:p>
            <w:pPr>
              <w:pStyle w:val="TableContents"/>
              <w:bidi w:val="0"/>
              <w:spacing w:before="0" w:after="283"/>
              <w:jc w:val="left"/>
              <w:rPr/>
            </w:pPr>
            <w:r>
              <w:rPr/>
              <w:t> </w:t>
            </w:r>
          </w:p>
        </w:tc>
      </w:tr>
      <w:tr>
        <w:trPr/>
        <w:tc>
          <w:tcPr>
            <w:tcW w:w="895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purchase obligations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95,872</w:t>
            </w:r>
          </w:p>
        </w:tc>
        <w:tc>
          <w:tcPr>
            <w:tcW w:w="63" w:type="dxa"/>
            <w:tcBorders/>
            <w:shd w:fill="CCEEFF" w:val="clear"/>
            <w:vAlign w:val="bottom"/>
          </w:tcPr>
          <w:p>
            <w:pPr>
              <w:pStyle w:val="TableContents"/>
              <w:bidi w:val="0"/>
              <w:spacing w:before="0" w:after="283"/>
              <w:jc w:val="left"/>
              <w:rPr/>
            </w:pPr>
            <w:r>
              <w:rPr/>
              <w:t> </w:t>
            </w:r>
          </w:p>
        </w:tc>
      </w:tr>
      <w:tr>
        <w:trPr/>
        <w:tc>
          <w:tcPr>
            <w:tcW w:w="8950"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Legal Matters </w:t>
      </w:r>
    </w:p>
    <w:p>
      <w:pPr>
        <w:pStyle w:val="TextBody"/>
        <w:bidi w:val="0"/>
        <w:spacing w:before="120" w:after="0"/>
        <w:jc w:val="both"/>
        <w:rPr>
          <w:rFonts w:ascii="Times New Roman" w:hAnsi="Times New Roman"/>
          <w:sz w:val="20"/>
        </w:rPr>
      </w:pPr>
      <w:r>
        <w:rPr>
          <w:rFonts w:ascii="Times New Roman" w:hAnsi="Times New Roman"/>
          <w:sz w:val="20"/>
        </w:rPr>
        <w:t xml:space="preserve">From time to time in the normal course of business, the Company may be subject to various legal matters such as threatened or pending claims or proceedings. As of December 31, 2019, the Company was involved in litigation regarding the Companys hiring of an employee with a non-compete agreement with their former employer. This matter was resolved without any financial impact to the Company. The Company had no outstanding litigation as of December 31, 2020, or for the six-months ended June 30,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STOCKHOLDERS EQUITY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authorized two classes of common stock, voting and non-voting. In March 2021, the Company amended its certificate of incorporation to bifurcate the voting common stock into two classes, Class A common stock and Class B common stock. Following the amendment, the Company has authorized 181,700,285 shares of Class A common stock, 5,374,899 shares of Class B common stock, and 63,946,620 shares of non-voting common stock.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2020, the rights of the holders of voting and non-voting common stock are identical, except with respect to voting. Each share of voting common stock is entitled to one vote per share and the non-voting common stock has no voting rights, except as required by law. Shares of non-voting common stock automatically convert into shares of voting common stock immediately upon the closing of an initial public offering (IPO). Voting and non-voting common stock are collectively referred to as Common Stock throughout the notes to these consolidated financial statements unless otherwise noted. </w:t>
      </w:r>
    </w:p>
    <w:p>
      <w:pPr>
        <w:pStyle w:val="TextBody"/>
        <w:bidi w:val="0"/>
        <w:spacing w:before="240" w:after="0"/>
        <w:jc w:val="both"/>
        <w:rPr>
          <w:rFonts w:ascii="Times New Roman" w:hAnsi="Times New Roman"/>
          <w:sz w:val="20"/>
        </w:rPr>
      </w:pPr>
      <w:r>
        <w:rPr>
          <w:rFonts w:ascii="Times New Roman" w:hAnsi="Times New Roman"/>
          <w:sz w:val="20"/>
        </w:rPr>
        <w:t xml:space="preserve">Following the amended certificate of incorporation in March 2021, the rights of the holders of Class A common stock, Class B common stock and non-voting common stock remain identical, except with respect to voting. Each share of Class A common stock is entitled to one vote per share and each share of Class B common stock is entitled to fifteen votes per share. Non-voting shares of common stock do not have voting rights. </w:t>
      </w:r>
    </w:p>
    <w:p>
      <w:pPr>
        <w:pStyle w:val="TextBody"/>
        <w:bidi w:val="0"/>
        <w:spacing w:before="240" w:after="0"/>
        <w:jc w:val="both"/>
        <w:rPr>
          <w:rFonts w:ascii="Times New Roman" w:hAnsi="Times New Roman"/>
          <w:sz w:val="20"/>
        </w:rPr>
      </w:pPr>
      <w:r>
        <w:rPr>
          <w:rFonts w:ascii="Times New Roman" w:hAnsi="Times New Roman"/>
          <w:sz w:val="20"/>
        </w:rPr>
        <w:t xml:space="preserve">The Company issues stock-based awards to its employees in the form of stock options, restricted stock units, performance stock units and restricted stock, all of which have the potential to increase the outstanding shares of common stock in the future (see Note 9, Stock-Based Compensation). </w:t>
      </w:r>
    </w:p>
    <w:p>
      <w:pPr>
        <w:pStyle w:val="TextBody"/>
        <w:bidi w:val="0"/>
        <w:spacing w:before="240" w:after="0"/>
        <w:jc w:val="both"/>
        <w:rPr>
          <w:rFonts w:ascii="Times New Roman" w:hAnsi="Times New Roman"/>
          <w:sz w:val="20"/>
        </w:rPr>
      </w:pPr>
      <w:r>
        <w:rPr>
          <w:rFonts w:ascii="Times New Roman" w:hAnsi="Times New Roman"/>
          <w:sz w:val="20"/>
        </w:rPr>
        <w:t xml:space="preserve">Upon any liquidation, dissolution or winding up of the Company, the remaining assets of the Company would first be distributed to the holders of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REDEEMABLE CONVERTIBLE PREFERRED STOCK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April 2020, the Company authorized and issued 2,537,290 shares of Series G Preferred Stock (Series G Preferred). 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redeemed 130,876 shares of Series G-2 Preferred Stock from a related party in exchange for $7.5 million. Each share has a par value of $.0001. The Company used the proceeds from such issuances for working capital and general corporate purposes. </w:t>
      </w:r>
    </w:p>
    <w:p>
      <w:pPr>
        <w:pStyle w:val="TextBody"/>
        <w:bidi w:val="0"/>
        <w:spacing w:before="240" w:after="0"/>
        <w:jc w:val="both"/>
        <w:rPr>
          <w:rFonts w:ascii="Times New Roman" w:hAnsi="Times New Roman"/>
          <w:sz w:val="20"/>
        </w:rPr>
      </w:pPr>
      <w:r>
        <w:rPr>
          <w:rFonts w:ascii="Times New Roman" w:hAnsi="Times New Roman"/>
          <w:sz w:val="20"/>
        </w:rPr>
        <w:t xml:space="preserve">Redeemable convertible preferred stock outstanding as of December 31, 2019 and 2020, and as of June 30, 2021, consisted of the following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2"/>
        <w:gridCol w:w="189"/>
        <w:gridCol w:w="71"/>
        <w:gridCol w:w="633"/>
        <w:gridCol w:w="60"/>
        <w:gridCol w:w="189"/>
        <w:gridCol w:w="60"/>
        <w:gridCol w:w="1163"/>
        <w:gridCol w:w="60"/>
        <w:gridCol w:w="189"/>
        <w:gridCol w:w="66"/>
        <w:gridCol w:w="1285"/>
        <w:gridCol w:w="60"/>
        <w:gridCol w:w="188"/>
        <w:gridCol w:w="181"/>
        <w:gridCol w:w="1108"/>
        <w:gridCol w:w="60"/>
        <w:gridCol w:w="189"/>
        <w:gridCol w:w="143"/>
        <w:gridCol w:w="849"/>
        <w:gridCol w:w="70"/>
      </w:tblGrid>
      <w:tr>
        <w:trPr/>
        <w:tc>
          <w:tcPr>
            <w:tcW w:w="3392"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92"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Series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Preferred</w:t>
            </w:r>
          </w:p>
        </w:tc>
        <w:tc>
          <w:tcPr>
            <w:tcW w:w="189" w:type="dxa"/>
            <w:vMerge w:val="restart"/>
            <w:tcBorders/>
            <w:vAlign w:val="bottom"/>
          </w:tcPr>
          <w:p>
            <w:pPr>
              <w:pStyle w:val="TableContents"/>
              <w:bidi w:val="0"/>
              <w:spacing w:before="0" w:after="283"/>
              <w:jc w:val="left"/>
              <w:rPr/>
            </w:pPr>
            <w:r>
              <w:rPr/>
              <w:t>  </w:t>
            </w:r>
          </w:p>
        </w:tc>
        <w:tc>
          <w:tcPr>
            <w:tcW w:w="70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Issued</w:t>
            </w:r>
          </w:p>
        </w:tc>
        <w:tc>
          <w:tcPr>
            <w:tcW w:w="60" w:type="dxa"/>
            <w:vMerge w:val="restart"/>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60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2019</w:t>
            </w:r>
          </w:p>
        </w:tc>
        <w:tc>
          <w:tcPr>
            <w:tcW w:w="70" w:type="dxa"/>
            <w:tcBorders/>
            <w:vAlign w:val="bottom"/>
          </w:tcPr>
          <w:p>
            <w:pPr>
              <w:pStyle w:val="TableContents"/>
              <w:bidi w:val="0"/>
              <w:spacing w:before="0" w:after="283"/>
              <w:jc w:val="left"/>
              <w:rPr/>
            </w:pPr>
            <w:r>
              <w:rPr/>
              <w:t> </w:t>
            </w:r>
          </w:p>
        </w:tc>
      </w:tr>
      <w:tr>
        <w:trPr/>
        <w:tc>
          <w:tcPr>
            <w:tcW w:w="3392" w:type="dxa"/>
            <w:vMerge w:val="continue"/>
            <w:tcBorders/>
            <w:vAlign w:val="bottom"/>
          </w:tcPr>
          <w:p>
            <w:pPr>
              <w:pStyle w:val="Normal"/>
              <w:bidi w:val="0"/>
              <w:jc w:val="left"/>
              <w:rPr/>
            </w:pPr>
            <w:r>
              <w:rPr/>
            </w:r>
          </w:p>
        </w:tc>
        <w:tc>
          <w:tcPr>
            <w:tcW w:w="189" w:type="dxa"/>
            <w:vMerge w:val="continue"/>
            <w:tcBorders/>
            <w:vAlign w:val="bottom"/>
          </w:tcPr>
          <w:p>
            <w:pPr>
              <w:pStyle w:val="Normal"/>
              <w:bidi w:val="0"/>
              <w:jc w:val="left"/>
              <w:rPr/>
            </w:pPr>
            <w:r>
              <w:rPr/>
            </w:r>
          </w:p>
        </w:tc>
        <w:tc>
          <w:tcPr>
            <w:tcW w:w="70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tcBorders/>
            <w:vAlign w:val="bottom"/>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88" w:type="dxa"/>
            <w:vMerge w:val="restart"/>
            <w:tcBorders/>
            <w:vAlign w:val="bottom"/>
          </w:tcPr>
          <w:p>
            <w:pPr>
              <w:pStyle w:val="TableContents"/>
              <w:bidi w:val="0"/>
              <w:spacing w:before="0" w:after="283"/>
              <w:jc w:val="left"/>
              <w:rPr/>
            </w:pPr>
            <w:r>
              <w:rPr/>
              <w:t>  </w:t>
            </w:r>
          </w:p>
        </w:tc>
        <w:tc>
          <w:tcPr>
            <w:tcW w:w="128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Liquidation</w:t>
            </w:r>
            <w:r>
              <w:rPr/>
              <w:br/>
            </w:r>
            <w:r>
              <w:rPr>
                <w:b/>
              </w:rPr>
              <w:t>Amount</w:t>
            </w:r>
          </w:p>
        </w:tc>
        <w:tc>
          <w:tcPr>
            <w:tcW w:w="60" w:type="dxa"/>
            <w:vMerge w:val="restart"/>
            <w:tcBorders/>
            <w:vAlign w:val="bottom"/>
          </w:tcPr>
          <w:p>
            <w:pPr>
              <w:pStyle w:val="TableContents"/>
              <w:bidi w:val="0"/>
              <w:spacing w:before="0" w:after="283"/>
              <w:jc w:val="left"/>
              <w:rPr/>
            </w:pPr>
            <w:r>
              <w:rPr/>
              <w:t> </w:t>
            </w:r>
          </w:p>
        </w:tc>
        <w:tc>
          <w:tcPr>
            <w:tcW w:w="189" w:type="dxa"/>
            <w:vMerge w:val="restart"/>
            <w:tcBorders/>
            <w:vAlign w:val="bottom"/>
          </w:tcPr>
          <w:p>
            <w:pPr>
              <w:pStyle w:val="TableContents"/>
              <w:bidi w:val="0"/>
              <w:spacing w:before="0" w:after="283"/>
              <w:jc w:val="left"/>
              <w:rPr/>
            </w:pPr>
            <w:r>
              <w:rPr/>
              <w:t>  </w:t>
            </w:r>
          </w:p>
        </w:tc>
        <w:tc>
          <w:tcPr>
            <w:tcW w:w="99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Carrying</w:t>
            </w:r>
            <w:r>
              <w:rPr/>
              <w:br/>
            </w:r>
            <w:r>
              <w:rPr>
                <w:b/>
              </w:rPr>
              <w:t>Value</w:t>
            </w:r>
          </w:p>
        </w:tc>
        <w:tc>
          <w:tcPr>
            <w:tcW w:w="70" w:type="dxa"/>
            <w:vMerge w:val="restart"/>
            <w:tcBorders/>
            <w:vAlign w:val="bottom"/>
          </w:tcPr>
          <w:p>
            <w:pPr>
              <w:pStyle w:val="TableContents"/>
              <w:bidi w:val="0"/>
              <w:spacing w:before="0" w:after="283"/>
              <w:jc w:val="left"/>
              <w:rPr/>
            </w:pPr>
            <w:r>
              <w:rPr/>
              <w:t> </w:t>
            </w:r>
          </w:p>
        </w:tc>
      </w:tr>
      <w:tr>
        <w:trPr/>
        <w:tc>
          <w:tcPr>
            <w:tcW w:w="3392" w:type="dxa"/>
            <w:vMerge w:val="continue"/>
            <w:tcBorders/>
            <w:vAlign w:val="bottom"/>
          </w:tcPr>
          <w:p>
            <w:pPr>
              <w:pStyle w:val="Normal"/>
              <w:bidi w:val="0"/>
              <w:jc w:val="left"/>
              <w:rPr/>
            </w:pPr>
            <w:r>
              <w:rPr/>
            </w:r>
          </w:p>
        </w:tc>
        <w:tc>
          <w:tcPr>
            <w:tcW w:w="189" w:type="dxa"/>
            <w:vMerge w:val="continue"/>
            <w:tcBorders/>
            <w:vAlign w:val="bottom"/>
          </w:tcPr>
          <w:p>
            <w:pPr>
              <w:pStyle w:val="Normal"/>
              <w:bidi w:val="0"/>
              <w:jc w:val="left"/>
              <w:rPr/>
            </w:pPr>
            <w:r>
              <w:rPr/>
            </w:r>
          </w:p>
        </w:tc>
        <w:tc>
          <w:tcPr>
            <w:tcW w:w="70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r>
          </w:p>
        </w:tc>
        <w:tc>
          <w:tcPr>
            <w:tcW w:w="60" w:type="dxa"/>
            <w:tcBorders/>
            <w:vAlign w:val="bottom"/>
          </w:tcPr>
          <w:p>
            <w:pPr>
              <w:pStyle w:val="TableContents"/>
              <w:bidi w:val="0"/>
              <w:spacing w:before="0" w:after="283"/>
              <w:jc w:val="left"/>
              <w:rPr/>
            </w:pPr>
            <w:r>
              <w:rPr/>
              <w:t> </w:t>
            </w:r>
          </w:p>
        </w:tc>
        <w:tc>
          <w:tcPr>
            <w:tcW w:w="188" w:type="dxa"/>
            <w:vMerge w:val="continue"/>
            <w:tcBorders/>
            <w:vAlign w:val="bottom"/>
          </w:tcPr>
          <w:p>
            <w:pPr>
              <w:pStyle w:val="Normal"/>
              <w:bidi w:val="0"/>
              <w:jc w:val="left"/>
              <w:rPr/>
            </w:pPr>
            <w:r>
              <w:rPr/>
            </w:r>
          </w:p>
        </w:tc>
        <w:tc>
          <w:tcPr>
            <w:tcW w:w="128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vMerge w:val="continue"/>
            <w:tcBorders>
              <w:bottom w:val="single" w:sz="8" w:space="0" w:color="000000"/>
            </w:tcBorders>
            <w:tcMar>
              <w:bottom w:w="28" w:type="dxa"/>
            </w:tcMar>
            <w:vAlign w:val="bottom"/>
          </w:tcPr>
          <w:p>
            <w:pPr>
              <w:pStyle w:val="Normal"/>
              <w:bidi w:val="0"/>
              <w:jc w:val="left"/>
              <w:rPr/>
            </w:pPr>
            <w:r>
              <w:rPr/>
            </w:r>
          </w:p>
        </w:tc>
        <w:tc>
          <w:tcPr>
            <w:tcW w:w="992" w:type="dxa"/>
            <w:gridSpan w:val="2"/>
            <w:vMerge w:val="continue"/>
            <w:tcBorders/>
            <w:vAlign w:val="bottom"/>
          </w:tcPr>
          <w:p>
            <w:pPr>
              <w:pStyle w:val="Normal"/>
              <w:bidi w:val="0"/>
              <w:jc w:val="left"/>
              <w:rPr/>
            </w:pPr>
            <w:r>
              <w:rPr/>
            </w:r>
          </w:p>
        </w:tc>
        <w:tc>
          <w:tcPr>
            <w:tcW w:w="70" w:type="dxa"/>
            <w:vMerge w:val="continue"/>
            <w:tcBorders/>
            <w:vAlign w:val="bottom"/>
          </w:tcPr>
          <w:p>
            <w:pPr>
              <w:pStyle w:val="Normal"/>
              <w:bidi w:val="0"/>
              <w:jc w:val="left"/>
              <w:rPr/>
            </w:pPr>
            <w:r>
              <w:rPr/>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10,000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10,500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10,000</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10,000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B-2</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31,500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30,000</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76,249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70,124</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87,626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86,626</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120,100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120,100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F</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207,311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207,311</w:t>
            </w:r>
          </w:p>
        </w:tc>
        <w:tc>
          <w:tcPr>
            <w:tcW w:w="70" w:type="dxa"/>
            <w:tcBorders/>
            <w:vAlign w:val="bottom"/>
          </w:tcPr>
          <w:p>
            <w:pPr>
              <w:pStyle w:val="TableContents"/>
              <w:bidi w:val="0"/>
              <w:spacing w:before="0" w:after="283"/>
              <w:jc w:val="left"/>
              <w:rPr/>
            </w:pPr>
            <w:r>
              <w:rPr/>
              <w:t> </w:t>
            </w:r>
          </w:p>
        </w:tc>
      </w:tr>
      <w:tr>
        <w:trPr/>
        <w:tc>
          <w:tcPr>
            <w:tcW w:w="339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55,088,384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55,088,384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554,286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544,161</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2"/>
        <w:gridCol w:w="189"/>
        <w:gridCol w:w="71"/>
        <w:gridCol w:w="633"/>
        <w:gridCol w:w="60"/>
        <w:gridCol w:w="189"/>
        <w:gridCol w:w="60"/>
        <w:gridCol w:w="1163"/>
        <w:gridCol w:w="60"/>
        <w:gridCol w:w="189"/>
        <w:gridCol w:w="66"/>
        <w:gridCol w:w="1285"/>
        <w:gridCol w:w="60"/>
        <w:gridCol w:w="188"/>
        <w:gridCol w:w="181"/>
        <w:gridCol w:w="1108"/>
        <w:gridCol w:w="60"/>
        <w:gridCol w:w="189"/>
        <w:gridCol w:w="143"/>
        <w:gridCol w:w="849"/>
        <w:gridCol w:w="70"/>
      </w:tblGrid>
      <w:tr>
        <w:trPr/>
        <w:tc>
          <w:tcPr>
            <w:tcW w:w="3392"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92"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Series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Preferred</w:t>
            </w:r>
          </w:p>
        </w:tc>
        <w:tc>
          <w:tcPr>
            <w:tcW w:w="189" w:type="dxa"/>
            <w:vMerge w:val="restart"/>
            <w:tcBorders/>
            <w:vAlign w:val="bottom"/>
          </w:tcPr>
          <w:p>
            <w:pPr>
              <w:pStyle w:val="TableContents"/>
              <w:bidi w:val="0"/>
              <w:spacing w:before="0" w:after="283"/>
              <w:jc w:val="left"/>
              <w:rPr/>
            </w:pPr>
            <w:r>
              <w:rPr/>
              <w:t>  </w:t>
            </w:r>
          </w:p>
        </w:tc>
        <w:tc>
          <w:tcPr>
            <w:tcW w:w="70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Issued</w:t>
            </w:r>
          </w:p>
        </w:tc>
        <w:tc>
          <w:tcPr>
            <w:tcW w:w="60" w:type="dxa"/>
            <w:vMerge w:val="restart"/>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60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2020</w:t>
            </w:r>
          </w:p>
        </w:tc>
        <w:tc>
          <w:tcPr>
            <w:tcW w:w="70" w:type="dxa"/>
            <w:tcBorders/>
            <w:vAlign w:val="bottom"/>
          </w:tcPr>
          <w:p>
            <w:pPr>
              <w:pStyle w:val="TableContents"/>
              <w:bidi w:val="0"/>
              <w:spacing w:before="0" w:after="283"/>
              <w:jc w:val="left"/>
              <w:rPr/>
            </w:pPr>
            <w:r>
              <w:rPr/>
              <w:t> </w:t>
            </w:r>
          </w:p>
        </w:tc>
      </w:tr>
      <w:tr>
        <w:trPr/>
        <w:tc>
          <w:tcPr>
            <w:tcW w:w="3392" w:type="dxa"/>
            <w:vMerge w:val="continue"/>
            <w:tcBorders/>
            <w:vAlign w:val="bottom"/>
          </w:tcPr>
          <w:p>
            <w:pPr>
              <w:pStyle w:val="Normal"/>
              <w:bidi w:val="0"/>
              <w:jc w:val="left"/>
              <w:rPr/>
            </w:pPr>
            <w:r>
              <w:rPr/>
            </w:r>
          </w:p>
        </w:tc>
        <w:tc>
          <w:tcPr>
            <w:tcW w:w="189" w:type="dxa"/>
            <w:vMerge w:val="continue"/>
            <w:tcBorders/>
            <w:vAlign w:val="bottom"/>
          </w:tcPr>
          <w:p>
            <w:pPr>
              <w:pStyle w:val="Normal"/>
              <w:bidi w:val="0"/>
              <w:jc w:val="left"/>
              <w:rPr/>
            </w:pPr>
            <w:r>
              <w:rPr/>
            </w:r>
          </w:p>
        </w:tc>
        <w:tc>
          <w:tcPr>
            <w:tcW w:w="70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tcBorders/>
            <w:vAlign w:val="bottom"/>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88" w:type="dxa"/>
            <w:vMerge w:val="restart"/>
            <w:tcBorders/>
            <w:vAlign w:val="bottom"/>
          </w:tcPr>
          <w:p>
            <w:pPr>
              <w:pStyle w:val="TableContents"/>
              <w:bidi w:val="0"/>
              <w:spacing w:before="0" w:after="283"/>
              <w:jc w:val="left"/>
              <w:rPr/>
            </w:pPr>
            <w:r>
              <w:rPr/>
              <w:t>  </w:t>
            </w:r>
          </w:p>
        </w:tc>
        <w:tc>
          <w:tcPr>
            <w:tcW w:w="128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Liquidation</w:t>
            </w:r>
            <w:r>
              <w:rPr/>
              <w:br/>
            </w:r>
            <w:r>
              <w:rPr>
                <w:b/>
              </w:rPr>
              <w:t>Amount</w:t>
            </w:r>
          </w:p>
        </w:tc>
        <w:tc>
          <w:tcPr>
            <w:tcW w:w="60" w:type="dxa"/>
            <w:vMerge w:val="restart"/>
            <w:tcBorders/>
            <w:vAlign w:val="bottom"/>
          </w:tcPr>
          <w:p>
            <w:pPr>
              <w:pStyle w:val="TableContents"/>
              <w:bidi w:val="0"/>
              <w:spacing w:before="0" w:after="283"/>
              <w:jc w:val="left"/>
              <w:rPr/>
            </w:pPr>
            <w:r>
              <w:rPr/>
              <w:t> </w:t>
            </w:r>
          </w:p>
        </w:tc>
        <w:tc>
          <w:tcPr>
            <w:tcW w:w="189" w:type="dxa"/>
            <w:vMerge w:val="restart"/>
            <w:tcBorders/>
            <w:vAlign w:val="bottom"/>
          </w:tcPr>
          <w:p>
            <w:pPr>
              <w:pStyle w:val="TableContents"/>
              <w:bidi w:val="0"/>
              <w:spacing w:before="0" w:after="283"/>
              <w:jc w:val="left"/>
              <w:rPr/>
            </w:pPr>
            <w:r>
              <w:rPr/>
              <w:t>  </w:t>
            </w:r>
          </w:p>
        </w:tc>
        <w:tc>
          <w:tcPr>
            <w:tcW w:w="99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Carrying</w:t>
            </w:r>
            <w:r>
              <w:rPr/>
              <w:br/>
            </w:r>
            <w:r>
              <w:rPr>
                <w:b/>
              </w:rPr>
              <w:t>Value</w:t>
            </w:r>
          </w:p>
        </w:tc>
        <w:tc>
          <w:tcPr>
            <w:tcW w:w="70" w:type="dxa"/>
            <w:vMerge w:val="restart"/>
            <w:tcBorders/>
            <w:vAlign w:val="bottom"/>
          </w:tcPr>
          <w:p>
            <w:pPr>
              <w:pStyle w:val="TableContents"/>
              <w:bidi w:val="0"/>
              <w:spacing w:before="0" w:after="283"/>
              <w:jc w:val="left"/>
              <w:rPr/>
            </w:pPr>
            <w:r>
              <w:rPr/>
              <w:t> </w:t>
            </w:r>
          </w:p>
        </w:tc>
      </w:tr>
      <w:tr>
        <w:trPr/>
        <w:tc>
          <w:tcPr>
            <w:tcW w:w="3392" w:type="dxa"/>
            <w:vMerge w:val="continue"/>
            <w:tcBorders/>
            <w:vAlign w:val="bottom"/>
          </w:tcPr>
          <w:p>
            <w:pPr>
              <w:pStyle w:val="Normal"/>
              <w:bidi w:val="0"/>
              <w:jc w:val="left"/>
              <w:rPr/>
            </w:pPr>
            <w:r>
              <w:rPr/>
            </w:r>
          </w:p>
        </w:tc>
        <w:tc>
          <w:tcPr>
            <w:tcW w:w="189" w:type="dxa"/>
            <w:vMerge w:val="continue"/>
            <w:tcBorders/>
            <w:vAlign w:val="bottom"/>
          </w:tcPr>
          <w:p>
            <w:pPr>
              <w:pStyle w:val="Normal"/>
              <w:bidi w:val="0"/>
              <w:jc w:val="left"/>
              <w:rPr/>
            </w:pPr>
            <w:r>
              <w:rPr/>
            </w:r>
          </w:p>
        </w:tc>
        <w:tc>
          <w:tcPr>
            <w:tcW w:w="70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r>
          </w:p>
        </w:tc>
        <w:tc>
          <w:tcPr>
            <w:tcW w:w="60" w:type="dxa"/>
            <w:tcBorders/>
            <w:vAlign w:val="bottom"/>
          </w:tcPr>
          <w:p>
            <w:pPr>
              <w:pStyle w:val="TableContents"/>
              <w:bidi w:val="0"/>
              <w:spacing w:before="0" w:after="283"/>
              <w:jc w:val="left"/>
              <w:rPr/>
            </w:pPr>
            <w:r>
              <w:rPr/>
              <w:t> </w:t>
            </w:r>
          </w:p>
        </w:tc>
        <w:tc>
          <w:tcPr>
            <w:tcW w:w="188" w:type="dxa"/>
            <w:vMerge w:val="continue"/>
            <w:tcBorders/>
            <w:vAlign w:val="bottom"/>
          </w:tcPr>
          <w:p>
            <w:pPr>
              <w:pStyle w:val="Normal"/>
              <w:bidi w:val="0"/>
              <w:jc w:val="left"/>
              <w:rPr/>
            </w:pPr>
            <w:r>
              <w:rPr/>
            </w:r>
          </w:p>
        </w:tc>
        <w:tc>
          <w:tcPr>
            <w:tcW w:w="128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vMerge w:val="continue"/>
            <w:tcBorders>
              <w:bottom w:val="single" w:sz="8" w:space="0" w:color="000000"/>
            </w:tcBorders>
            <w:tcMar>
              <w:bottom w:w="28" w:type="dxa"/>
            </w:tcMar>
            <w:vAlign w:val="bottom"/>
          </w:tcPr>
          <w:p>
            <w:pPr>
              <w:pStyle w:val="Normal"/>
              <w:bidi w:val="0"/>
              <w:jc w:val="left"/>
              <w:rPr/>
            </w:pPr>
            <w:r>
              <w:rPr/>
            </w:r>
          </w:p>
        </w:tc>
        <w:tc>
          <w:tcPr>
            <w:tcW w:w="992" w:type="dxa"/>
            <w:gridSpan w:val="2"/>
            <w:vMerge w:val="continue"/>
            <w:tcBorders/>
            <w:vAlign w:val="bottom"/>
          </w:tcPr>
          <w:p>
            <w:pPr>
              <w:pStyle w:val="Normal"/>
              <w:bidi w:val="0"/>
              <w:jc w:val="left"/>
              <w:rPr/>
            </w:pPr>
            <w:r>
              <w:rPr/>
            </w:r>
          </w:p>
        </w:tc>
        <w:tc>
          <w:tcPr>
            <w:tcW w:w="70" w:type="dxa"/>
            <w:vMerge w:val="continue"/>
            <w:tcBorders/>
            <w:vAlign w:val="bottom"/>
          </w:tcPr>
          <w:p>
            <w:pPr>
              <w:pStyle w:val="Normal"/>
              <w:bidi w:val="0"/>
              <w:jc w:val="left"/>
              <w:rPr/>
            </w:pPr>
            <w:r>
              <w:rPr/>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10,000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10,500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10,000</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10,500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10,000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B-2</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31,500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30,000</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78,777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70,403</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91,623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90,623</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127,306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127,306</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F</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219,749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219,749</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G</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2020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2,537,290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2,537,290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102,186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102,186</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G-2*</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2020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7,135,072</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3,296,093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188,889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188,889</w:t>
            </w:r>
          </w:p>
        </w:tc>
        <w:tc>
          <w:tcPr>
            <w:tcW w:w="70" w:type="dxa"/>
            <w:tcBorders/>
            <w:vAlign w:val="bottom"/>
          </w:tcPr>
          <w:p>
            <w:pPr>
              <w:pStyle w:val="TableContents"/>
              <w:bidi w:val="0"/>
              <w:spacing w:before="0" w:after="283"/>
              <w:jc w:val="left"/>
              <w:rPr/>
            </w:pPr>
            <w:r>
              <w:rPr/>
              <w:t> </w:t>
            </w:r>
          </w:p>
        </w:tc>
      </w:tr>
      <w:tr>
        <w:trPr/>
        <w:tc>
          <w:tcPr>
            <w:tcW w:w="339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sz w:val="4"/>
                <w:szCs w:val="4"/>
              </w:rPr>
            </w:pPr>
            <w:r>
              <w:rPr>
                <w:sz w:val="4"/>
                <w:szCs w:val="4"/>
              </w:rPr>
            </w:r>
          </w:p>
        </w:tc>
        <w:tc>
          <w:tcPr>
            <w:tcW w:w="6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64,760,746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60,921,767</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871,530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859,156</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Excludes amounts related to the conversion of convertible note (See Note10)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2"/>
        <w:gridCol w:w="189"/>
        <w:gridCol w:w="71"/>
        <w:gridCol w:w="633"/>
        <w:gridCol w:w="60"/>
        <w:gridCol w:w="189"/>
        <w:gridCol w:w="60"/>
        <w:gridCol w:w="1163"/>
        <w:gridCol w:w="60"/>
        <w:gridCol w:w="189"/>
        <w:gridCol w:w="66"/>
        <w:gridCol w:w="1285"/>
        <w:gridCol w:w="60"/>
        <w:gridCol w:w="188"/>
        <w:gridCol w:w="181"/>
        <w:gridCol w:w="1108"/>
        <w:gridCol w:w="60"/>
        <w:gridCol w:w="189"/>
        <w:gridCol w:w="143"/>
        <w:gridCol w:w="849"/>
        <w:gridCol w:w="70"/>
      </w:tblGrid>
      <w:tr>
        <w:trPr/>
        <w:tc>
          <w:tcPr>
            <w:tcW w:w="3392"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92"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Series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Preferred</w:t>
            </w:r>
          </w:p>
        </w:tc>
        <w:tc>
          <w:tcPr>
            <w:tcW w:w="189" w:type="dxa"/>
            <w:vMerge w:val="restart"/>
            <w:tcBorders/>
            <w:vAlign w:val="bottom"/>
          </w:tcPr>
          <w:p>
            <w:pPr>
              <w:pStyle w:val="TableContents"/>
              <w:bidi w:val="0"/>
              <w:spacing w:before="0" w:after="283"/>
              <w:jc w:val="left"/>
              <w:rPr/>
            </w:pPr>
            <w:r>
              <w:rPr/>
              <w:t>  </w:t>
            </w:r>
          </w:p>
        </w:tc>
        <w:tc>
          <w:tcPr>
            <w:tcW w:w="70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Issued</w:t>
            </w:r>
          </w:p>
        </w:tc>
        <w:tc>
          <w:tcPr>
            <w:tcW w:w="60" w:type="dxa"/>
            <w:vMerge w:val="restart"/>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560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June 30, 2020</w:t>
            </w:r>
          </w:p>
        </w:tc>
        <w:tc>
          <w:tcPr>
            <w:tcW w:w="70" w:type="dxa"/>
            <w:tcBorders/>
            <w:vAlign w:val="bottom"/>
          </w:tcPr>
          <w:p>
            <w:pPr>
              <w:pStyle w:val="TableContents"/>
              <w:bidi w:val="0"/>
              <w:spacing w:before="0" w:after="283"/>
              <w:jc w:val="left"/>
              <w:rPr/>
            </w:pPr>
            <w:r>
              <w:rPr/>
              <w:t> </w:t>
            </w:r>
          </w:p>
        </w:tc>
      </w:tr>
      <w:tr>
        <w:trPr/>
        <w:tc>
          <w:tcPr>
            <w:tcW w:w="3392" w:type="dxa"/>
            <w:vMerge w:val="continue"/>
            <w:tcBorders/>
            <w:vAlign w:val="bottom"/>
          </w:tcPr>
          <w:p>
            <w:pPr>
              <w:pStyle w:val="Normal"/>
              <w:bidi w:val="0"/>
              <w:jc w:val="left"/>
              <w:rPr/>
            </w:pPr>
            <w:r>
              <w:rPr/>
            </w:r>
          </w:p>
        </w:tc>
        <w:tc>
          <w:tcPr>
            <w:tcW w:w="189" w:type="dxa"/>
            <w:vMerge w:val="continue"/>
            <w:tcBorders/>
            <w:vAlign w:val="bottom"/>
          </w:tcPr>
          <w:p>
            <w:pPr>
              <w:pStyle w:val="Normal"/>
              <w:bidi w:val="0"/>
              <w:jc w:val="left"/>
              <w:rPr/>
            </w:pPr>
            <w:r>
              <w:rPr/>
            </w:r>
          </w:p>
        </w:tc>
        <w:tc>
          <w:tcPr>
            <w:tcW w:w="70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tcBorders/>
            <w:vAlign w:val="bottom"/>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88" w:type="dxa"/>
            <w:vMerge w:val="restart"/>
            <w:tcBorders/>
            <w:vAlign w:val="bottom"/>
          </w:tcPr>
          <w:p>
            <w:pPr>
              <w:pStyle w:val="TableContents"/>
              <w:bidi w:val="0"/>
              <w:spacing w:before="0" w:after="283"/>
              <w:jc w:val="left"/>
              <w:rPr/>
            </w:pPr>
            <w:r>
              <w:rPr/>
              <w:t>  </w:t>
            </w:r>
          </w:p>
        </w:tc>
        <w:tc>
          <w:tcPr>
            <w:tcW w:w="1289"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Liquidation</w:t>
            </w:r>
            <w:r>
              <w:rPr/>
              <w:br/>
            </w:r>
            <w:r>
              <w:rPr>
                <w:b/>
              </w:rPr>
              <w:t>Amount</w:t>
            </w:r>
          </w:p>
        </w:tc>
        <w:tc>
          <w:tcPr>
            <w:tcW w:w="60" w:type="dxa"/>
            <w:vMerge w:val="restart"/>
            <w:tcBorders/>
            <w:vAlign w:val="bottom"/>
          </w:tcPr>
          <w:p>
            <w:pPr>
              <w:pStyle w:val="TableContents"/>
              <w:bidi w:val="0"/>
              <w:spacing w:before="0" w:after="283"/>
              <w:jc w:val="left"/>
              <w:rPr/>
            </w:pPr>
            <w:r>
              <w:rPr/>
              <w:t> </w:t>
            </w:r>
          </w:p>
        </w:tc>
        <w:tc>
          <w:tcPr>
            <w:tcW w:w="189" w:type="dxa"/>
            <w:vMerge w:val="restart"/>
            <w:tcBorders/>
            <w:vAlign w:val="bottom"/>
          </w:tcPr>
          <w:p>
            <w:pPr>
              <w:pStyle w:val="TableContents"/>
              <w:bidi w:val="0"/>
              <w:spacing w:before="0" w:after="283"/>
              <w:jc w:val="left"/>
              <w:rPr/>
            </w:pPr>
            <w:r>
              <w:rPr/>
              <w:t>  </w:t>
            </w:r>
          </w:p>
        </w:tc>
        <w:tc>
          <w:tcPr>
            <w:tcW w:w="99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Carrying</w:t>
            </w:r>
            <w:r>
              <w:rPr/>
              <w:br/>
            </w:r>
            <w:r>
              <w:rPr>
                <w:b/>
              </w:rPr>
              <w:t>Value</w:t>
            </w:r>
          </w:p>
        </w:tc>
        <w:tc>
          <w:tcPr>
            <w:tcW w:w="70" w:type="dxa"/>
            <w:vMerge w:val="restart"/>
            <w:tcBorders/>
            <w:vAlign w:val="bottom"/>
          </w:tcPr>
          <w:p>
            <w:pPr>
              <w:pStyle w:val="TableContents"/>
              <w:bidi w:val="0"/>
              <w:spacing w:before="0" w:after="283"/>
              <w:jc w:val="left"/>
              <w:rPr/>
            </w:pPr>
            <w:r>
              <w:rPr/>
              <w:t> </w:t>
            </w:r>
          </w:p>
        </w:tc>
      </w:tr>
      <w:tr>
        <w:trPr/>
        <w:tc>
          <w:tcPr>
            <w:tcW w:w="3392" w:type="dxa"/>
            <w:vMerge w:val="continue"/>
            <w:tcBorders/>
            <w:vAlign w:val="bottom"/>
          </w:tcPr>
          <w:p>
            <w:pPr>
              <w:pStyle w:val="Normal"/>
              <w:bidi w:val="0"/>
              <w:jc w:val="left"/>
              <w:rPr/>
            </w:pPr>
            <w:r>
              <w:rPr/>
            </w:r>
          </w:p>
        </w:tc>
        <w:tc>
          <w:tcPr>
            <w:tcW w:w="189" w:type="dxa"/>
            <w:vMerge w:val="continue"/>
            <w:tcBorders/>
            <w:vAlign w:val="bottom"/>
          </w:tcPr>
          <w:p>
            <w:pPr>
              <w:pStyle w:val="Normal"/>
              <w:bidi w:val="0"/>
              <w:jc w:val="left"/>
              <w:rPr/>
            </w:pPr>
            <w:r>
              <w:rPr/>
            </w:r>
          </w:p>
        </w:tc>
        <w:tc>
          <w:tcPr>
            <w:tcW w:w="70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r>
          </w:p>
        </w:tc>
        <w:tc>
          <w:tcPr>
            <w:tcW w:w="60" w:type="dxa"/>
            <w:tcBorders/>
            <w:vAlign w:val="bottom"/>
          </w:tcPr>
          <w:p>
            <w:pPr>
              <w:pStyle w:val="TableContents"/>
              <w:bidi w:val="0"/>
              <w:spacing w:before="0" w:after="283"/>
              <w:jc w:val="left"/>
              <w:rPr/>
            </w:pPr>
            <w:r>
              <w:rPr/>
              <w:t> </w:t>
            </w:r>
          </w:p>
        </w:tc>
        <w:tc>
          <w:tcPr>
            <w:tcW w:w="188" w:type="dxa"/>
            <w:vMerge w:val="continue"/>
            <w:tcBorders/>
            <w:vAlign w:val="bottom"/>
          </w:tcPr>
          <w:p>
            <w:pPr>
              <w:pStyle w:val="Normal"/>
              <w:bidi w:val="0"/>
              <w:jc w:val="left"/>
              <w:rPr/>
            </w:pPr>
            <w:r>
              <w:rPr/>
            </w:r>
          </w:p>
        </w:tc>
        <w:tc>
          <w:tcPr>
            <w:tcW w:w="128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89" w:type="dxa"/>
            <w:vMerge w:val="continue"/>
            <w:tcBorders>
              <w:bottom w:val="single" w:sz="8" w:space="0" w:color="000000"/>
            </w:tcBorders>
            <w:tcMar>
              <w:bottom w:w="28" w:type="dxa"/>
            </w:tcMar>
            <w:vAlign w:val="bottom"/>
          </w:tcPr>
          <w:p>
            <w:pPr>
              <w:pStyle w:val="Normal"/>
              <w:bidi w:val="0"/>
              <w:jc w:val="left"/>
              <w:rPr/>
            </w:pPr>
            <w:r>
              <w:rPr/>
            </w:r>
          </w:p>
        </w:tc>
        <w:tc>
          <w:tcPr>
            <w:tcW w:w="992" w:type="dxa"/>
            <w:gridSpan w:val="2"/>
            <w:vMerge w:val="continue"/>
            <w:tcBorders/>
            <w:vAlign w:val="bottom"/>
          </w:tcPr>
          <w:p>
            <w:pPr>
              <w:pStyle w:val="Normal"/>
              <w:bidi w:val="0"/>
              <w:jc w:val="left"/>
              <w:rPr/>
            </w:pPr>
            <w:r>
              <w:rPr/>
            </w:r>
          </w:p>
        </w:tc>
        <w:tc>
          <w:tcPr>
            <w:tcW w:w="70" w:type="dxa"/>
            <w:vMerge w:val="continue"/>
            <w:tcBorders/>
            <w:vAlign w:val="bottom"/>
          </w:tcPr>
          <w:p>
            <w:pPr>
              <w:pStyle w:val="Normal"/>
              <w:bidi w:val="0"/>
              <w:jc w:val="left"/>
              <w:rPr/>
            </w:pPr>
            <w:r>
              <w:rPr/>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10,249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10,000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10,249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10,000</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10,249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10,000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B-2</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30,746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30,000</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76,689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68,998</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2018</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89,106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86,626</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2018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123,679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120,100</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Series F</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33" w:type="dxa"/>
            <w:tcBorders/>
            <w:vAlign w:val="bottom"/>
          </w:tcPr>
          <w:p>
            <w:pPr>
              <w:pStyle w:val="TableContents"/>
              <w:bidi w:val="0"/>
              <w:spacing w:before="0" w:after="283"/>
              <w:jc w:val="right"/>
              <w:rPr/>
            </w:pPr>
            <w:r>
              <w:rPr/>
              <w:t>2019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213,496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207,311</w:t>
            </w:r>
          </w:p>
        </w:tc>
        <w:tc>
          <w:tcPr>
            <w:tcW w:w="70" w:type="dxa"/>
            <w:tcBorders/>
            <w:vAlign w:val="bottom"/>
          </w:tcPr>
          <w:p>
            <w:pPr>
              <w:pStyle w:val="TableContents"/>
              <w:bidi w:val="0"/>
              <w:spacing w:before="0" w:after="283"/>
              <w:jc w:val="left"/>
              <w:rPr/>
            </w:pPr>
            <w:r>
              <w:rPr/>
              <w:t> </w:t>
            </w:r>
          </w:p>
        </w:tc>
      </w:tr>
      <w:tr>
        <w:trPr/>
        <w:tc>
          <w:tcPr>
            <w:tcW w:w="3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G</w:t>
            </w:r>
          </w:p>
        </w:tc>
        <w:tc>
          <w:tcPr>
            <w:tcW w:w="189"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33" w:type="dxa"/>
            <w:tcBorders/>
            <w:shd w:fill="CCEEFF" w:val="clear"/>
            <w:vAlign w:val="bottom"/>
          </w:tcPr>
          <w:p>
            <w:pPr>
              <w:pStyle w:val="TableContents"/>
              <w:bidi w:val="0"/>
              <w:spacing w:before="0" w:after="283"/>
              <w:jc w:val="right"/>
              <w:rPr/>
            </w:pPr>
            <w:r>
              <w:rPr/>
              <w:t>2020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2,537,290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2,537,290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99,250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112,249</w:t>
            </w:r>
          </w:p>
        </w:tc>
        <w:tc>
          <w:tcPr>
            <w:tcW w:w="70" w:type="dxa"/>
            <w:tcBorders/>
            <w:shd w:fill="CCEEFF" w:val="clear"/>
            <w:vAlign w:val="bottom"/>
          </w:tcPr>
          <w:p>
            <w:pPr>
              <w:pStyle w:val="TableContents"/>
              <w:bidi w:val="0"/>
              <w:spacing w:before="0" w:after="283"/>
              <w:jc w:val="left"/>
              <w:rPr/>
            </w:pPr>
            <w:r>
              <w:rPr/>
              <w:t> </w:t>
            </w:r>
          </w:p>
        </w:tc>
      </w:tr>
      <w:tr>
        <w:trPr/>
        <w:tc>
          <w:tcPr>
            <w:tcW w:w="339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92" w:type="dxa"/>
            <w:tcBorders/>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57,625,674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57,625,674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663,713</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655,284</w:t>
            </w:r>
          </w:p>
        </w:tc>
        <w:tc>
          <w:tcPr>
            <w:tcW w:w="70" w:type="dxa"/>
            <w:tcBorders/>
            <w:vAlign w:val="bottom"/>
          </w:tcPr>
          <w:p>
            <w:pPr>
              <w:pStyle w:val="TableContents"/>
              <w:bidi w:val="0"/>
              <w:spacing w:before="0" w:after="283"/>
              <w:jc w:val="left"/>
              <w:rPr/>
            </w:pPr>
            <w:r>
              <w:rPr/>
              <w:t> </w:t>
            </w:r>
          </w:p>
        </w:tc>
      </w:tr>
      <w:tr>
        <w:trPr/>
        <w:tc>
          <w:tcPr>
            <w:tcW w:w="3392"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6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38"/>
        <w:gridCol w:w="60"/>
        <w:gridCol w:w="804"/>
        <w:gridCol w:w="60"/>
        <w:gridCol w:w="138"/>
        <w:gridCol w:w="60"/>
        <w:gridCol w:w="1164"/>
        <w:gridCol w:w="60"/>
        <w:gridCol w:w="138"/>
        <w:gridCol w:w="66"/>
        <w:gridCol w:w="1288"/>
        <w:gridCol w:w="60"/>
        <w:gridCol w:w="138"/>
        <w:gridCol w:w="181"/>
        <w:gridCol w:w="1110"/>
        <w:gridCol w:w="60"/>
        <w:gridCol w:w="138"/>
        <w:gridCol w:w="153"/>
        <w:gridCol w:w="849"/>
        <w:gridCol w:w="69"/>
      </w:tblGrid>
      <w:tr>
        <w:trPr/>
        <w:tc>
          <w:tcPr>
            <w:tcW w:w="347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71" w:type="dxa"/>
            <w:vMerge w:val="restart"/>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Series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Preferred</w:t>
            </w:r>
          </w:p>
        </w:tc>
        <w:tc>
          <w:tcPr>
            <w:tcW w:w="138" w:type="dxa"/>
            <w:vMerge w:val="restart"/>
            <w:tcBorders/>
            <w:vAlign w:val="bottom"/>
          </w:tcPr>
          <w:p>
            <w:pPr>
              <w:pStyle w:val="TableContents"/>
              <w:bidi w:val="0"/>
              <w:spacing w:before="0" w:after="283"/>
              <w:jc w:val="left"/>
              <w:rPr/>
            </w:pPr>
            <w:r>
              <w:rPr/>
              <w:t>  </w:t>
            </w:r>
          </w:p>
        </w:tc>
        <w:tc>
          <w:tcPr>
            <w:tcW w:w="86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Year</w:t>
            </w:r>
            <w:r>
              <w:rPr/>
              <w:br/>
            </w:r>
            <w:r>
              <w:rPr>
                <w:b/>
              </w:rPr>
              <w:t>Issued</w:t>
            </w:r>
          </w:p>
        </w:tc>
        <w:tc>
          <w:tcPr>
            <w:tcW w:w="60" w:type="dxa"/>
            <w:vMerge w:val="restart"/>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46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June 30, 2021</w:t>
            </w:r>
          </w:p>
        </w:tc>
        <w:tc>
          <w:tcPr>
            <w:tcW w:w="69" w:type="dxa"/>
            <w:tcBorders/>
            <w:vAlign w:val="bottom"/>
          </w:tcPr>
          <w:p>
            <w:pPr>
              <w:pStyle w:val="TableContents"/>
              <w:bidi w:val="0"/>
              <w:spacing w:before="0" w:after="283"/>
              <w:jc w:val="left"/>
              <w:rPr/>
            </w:pPr>
            <w:r>
              <w:rPr/>
              <w:t> </w:t>
            </w:r>
          </w:p>
        </w:tc>
      </w:tr>
      <w:tr>
        <w:trPr/>
        <w:tc>
          <w:tcPr>
            <w:tcW w:w="3471" w:type="dxa"/>
            <w:vMerge w:val="continue"/>
            <w:tcBorders/>
            <w:vAlign w:val="bottom"/>
          </w:tcPr>
          <w:p>
            <w:pPr>
              <w:pStyle w:val="Normal"/>
              <w:bidi w:val="0"/>
              <w:jc w:val="left"/>
              <w:rPr/>
            </w:pPr>
            <w:r>
              <w:rPr/>
            </w:r>
          </w:p>
        </w:tc>
        <w:tc>
          <w:tcPr>
            <w:tcW w:w="138" w:type="dxa"/>
            <w:vMerge w:val="continue"/>
            <w:tcBorders/>
            <w:vAlign w:val="bottom"/>
          </w:tcPr>
          <w:p>
            <w:pPr>
              <w:pStyle w:val="Normal"/>
              <w:bidi w:val="0"/>
              <w:jc w:val="left"/>
              <w:rPr/>
            </w:pPr>
            <w:r>
              <w:rPr/>
            </w:r>
          </w:p>
        </w:tc>
        <w:tc>
          <w:tcPr>
            <w:tcW w:w="86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8"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38" w:type="dxa"/>
            <w:vMerge w:val="restart"/>
            <w:tcBorders/>
            <w:vAlign w:val="bottom"/>
          </w:tcPr>
          <w:p>
            <w:pPr>
              <w:pStyle w:val="TableContents"/>
              <w:bidi w:val="0"/>
              <w:spacing w:before="0" w:after="283"/>
              <w:jc w:val="left"/>
              <w:rPr/>
            </w:pPr>
            <w:r>
              <w:rPr/>
              <w:t>  </w:t>
            </w:r>
          </w:p>
        </w:tc>
        <w:tc>
          <w:tcPr>
            <w:tcW w:w="129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Liquidation</w:t>
            </w:r>
            <w:r>
              <w:rPr/>
              <w:br/>
            </w:r>
            <w:r>
              <w:rPr>
                <w:b/>
              </w:rPr>
              <w:t>Amount</w:t>
            </w:r>
          </w:p>
        </w:tc>
        <w:tc>
          <w:tcPr>
            <w:tcW w:w="60" w:type="dxa"/>
            <w:vMerge w:val="restart"/>
            <w:tcBorders/>
            <w:vAlign w:val="bottom"/>
          </w:tcPr>
          <w:p>
            <w:pPr>
              <w:pStyle w:val="TableContents"/>
              <w:bidi w:val="0"/>
              <w:spacing w:before="0" w:after="283"/>
              <w:jc w:val="left"/>
              <w:rPr/>
            </w:pPr>
            <w:r>
              <w:rPr/>
              <w:t> </w:t>
            </w:r>
          </w:p>
        </w:tc>
        <w:tc>
          <w:tcPr>
            <w:tcW w:w="138" w:type="dxa"/>
            <w:vMerge w:val="restart"/>
            <w:tcBorders/>
            <w:vAlign w:val="bottom"/>
          </w:tcPr>
          <w:p>
            <w:pPr>
              <w:pStyle w:val="TableContents"/>
              <w:bidi w:val="0"/>
              <w:spacing w:before="0" w:after="283"/>
              <w:jc w:val="left"/>
              <w:rPr/>
            </w:pPr>
            <w:r>
              <w:rPr/>
              <w:t>  </w:t>
            </w:r>
          </w:p>
        </w:tc>
        <w:tc>
          <w:tcPr>
            <w:tcW w:w="100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Carrying</w:t>
            </w:r>
            <w:r>
              <w:rPr/>
              <w:br/>
            </w:r>
            <w:r>
              <w:rPr>
                <w:b/>
              </w:rPr>
              <w:t>Value</w:t>
            </w:r>
          </w:p>
        </w:tc>
        <w:tc>
          <w:tcPr>
            <w:tcW w:w="69" w:type="dxa"/>
            <w:vMerge w:val="restart"/>
            <w:tcBorders/>
            <w:vAlign w:val="bottom"/>
          </w:tcPr>
          <w:p>
            <w:pPr>
              <w:pStyle w:val="TableContents"/>
              <w:bidi w:val="0"/>
              <w:spacing w:before="0" w:after="283"/>
              <w:jc w:val="left"/>
              <w:rPr/>
            </w:pPr>
            <w:r>
              <w:rPr/>
              <w:t> </w:t>
            </w:r>
          </w:p>
        </w:tc>
      </w:tr>
      <w:tr>
        <w:trPr/>
        <w:tc>
          <w:tcPr>
            <w:tcW w:w="3471" w:type="dxa"/>
            <w:vMerge w:val="continue"/>
            <w:tcBorders/>
            <w:vAlign w:val="bottom"/>
          </w:tcPr>
          <w:p>
            <w:pPr>
              <w:pStyle w:val="Normal"/>
              <w:bidi w:val="0"/>
              <w:jc w:val="left"/>
              <w:rPr/>
            </w:pPr>
            <w:r>
              <w:rPr/>
            </w:r>
          </w:p>
        </w:tc>
        <w:tc>
          <w:tcPr>
            <w:tcW w:w="138" w:type="dxa"/>
            <w:vMerge w:val="continue"/>
            <w:tcBorders/>
            <w:vAlign w:val="bottom"/>
          </w:tcPr>
          <w:p>
            <w:pPr>
              <w:pStyle w:val="Normal"/>
              <w:bidi w:val="0"/>
              <w:jc w:val="left"/>
              <w:rPr/>
            </w:pPr>
            <w:r>
              <w:rPr/>
            </w:r>
          </w:p>
        </w:tc>
        <w:tc>
          <w:tcPr>
            <w:tcW w:w="86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8"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r>
          </w:p>
        </w:tc>
        <w:tc>
          <w:tcPr>
            <w:tcW w:w="60" w:type="dxa"/>
            <w:tcBorders/>
            <w:vAlign w:val="bottom"/>
          </w:tcPr>
          <w:p>
            <w:pPr>
              <w:pStyle w:val="TableContents"/>
              <w:bidi w:val="0"/>
              <w:spacing w:before="0" w:after="283"/>
              <w:jc w:val="left"/>
              <w:rPr/>
            </w:pPr>
            <w:r>
              <w:rPr/>
              <w:t> </w:t>
            </w:r>
          </w:p>
        </w:tc>
        <w:tc>
          <w:tcPr>
            <w:tcW w:w="138" w:type="dxa"/>
            <w:vMerge w:val="continue"/>
            <w:tcBorders/>
            <w:vAlign w:val="bottom"/>
          </w:tcPr>
          <w:p>
            <w:pPr>
              <w:pStyle w:val="Normal"/>
              <w:bidi w:val="0"/>
              <w:jc w:val="left"/>
              <w:rPr/>
            </w:pPr>
            <w:r>
              <w:rPr/>
            </w:r>
          </w:p>
        </w:tc>
        <w:tc>
          <w:tcPr>
            <w:tcW w:w="129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8" w:type="dxa"/>
            <w:vMerge w:val="continue"/>
            <w:tcBorders>
              <w:bottom w:val="single" w:sz="8" w:space="0" w:color="000000"/>
            </w:tcBorders>
            <w:tcMar>
              <w:bottom w:w="28" w:type="dxa"/>
            </w:tcMar>
            <w:vAlign w:val="bottom"/>
          </w:tcPr>
          <w:p>
            <w:pPr>
              <w:pStyle w:val="Normal"/>
              <w:bidi w:val="0"/>
              <w:jc w:val="left"/>
              <w:rPr/>
            </w:pPr>
            <w:r>
              <w:rPr/>
            </w:r>
          </w:p>
        </w:tc>
        <w:tc>
          <w:tcPr>
            <w:tcW w:w="1002" w:type="dxa"/>
            <w:gridSpan w:val="2"/>
            <w:vMerge w:val="continue"/>
            <w:tcBorders/>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3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2015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10,248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10,000</w:t>
            </w:r>
          </w:p>
        </w:tc>
        <w:tc>
          <w:tcPr>
            <w:tcW w:w="69" w:type="dxa"/>
            <w:tcBorders/>
            <w:shd w:fill="CCEEFF" w:val="clear"/>
            <w:vAlign w:val="bottom"/>
          </w:tcPr>
          <w:p>
            <w:pPr>
              <w:pStyle w:val="TableContents"/>
              <w:bidi w:val="0"/>
              <w:spacing w:before="0" w:after="283"/>
              <w:jc w:val="left"/>
              <w:rPr/>
            </w:pPr>
            <w:r>
              <w:rPr/>
              <w:t> </w:t>
            </w:r>
          </w:p>
        </w:tc>
      </w:tr>
      <w:tr>
        <w:trPr/>
        <w:tc>
          <w:tcPr>
            <w:tcW w:w="3471" w:type="dxa"/>
            <w:tcBorders/>
          </w:tcPr>
          <w:p>
            <w:pPr>
              <w:pStyle w:val="TableContents"/>
              <w:bidi w:val="0"/>
              <w:spacing w:before="0" w:after="0"/>
              <w:jc w:val="left"/>
              <w:rPr>
                <w:rFonts w:ascii="Times New Roman" w:hAnsi="Times New Roman"/>
                <w:sz w:val="20"/>
              </w:rPr>
            </w:pPr>
            <w:r>
              <w:rPr>
                <w:rFonts w:ascii="Times New Roman" w:hAnsi="Times New Roman"/>
                <w:sz w:val="20"/>
              </w:rPr>
              <w:t>Series B</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2016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5,374,899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10,248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10,000</w:t>
            </w:r>
          </w:p>
        </w:tc>
        <w:tc>
          <w:tcPr>
            <w:tcW w:w="69" w:type="dxa"/>
            <w:tcBorders/>
            <w:vAlign w:val="bottom"/>
          </w:tcPr>
          <w:p>
            <w:pPr>
              <w:pStyle w:val="TableContents"/>
              <w:bidi w:val="0"/>
              <w:spacing w:before="0" w:after="283"/>
              <w:jc w:val="left"/>
              <w:rPr/>
            </w:pPr>
            <w:r>
              <w:rPr/>
              <w:t> </w:t>
            </w:r>
          </w:p>
        </w:tc>
      </w:tr>
      <w:tr>
        <w:trPr/>
        <w:tc>
          <w:tcPr>
            <w:tcW w:w="3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2016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10,248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10,000</w:t>
            </w:r>
          </w:p>
        </w:tc>
        <w:tc>
          <w:tcPr>
            <w:tcW w:w="69" w:type="dxa"/>
            <w:tcBorders/>
            <w:shd w:fill="CCEEFF" w:val="clear"/>
            <w:vAlign w:val="bottom"/>
          </w:tcPr>
          <w:p>
            <w:pPr>
              <w:pStyle w:val="TableContents"/>
              <w:bidi w:val="0"/>
              <w:spacing w:before="0" w:after="283"/>
              <w:jc w:val="left"/>
              <w:rPr/>
            </w:pPr>
            <w:r>
              <w:rPr/>
              <w:t> </w:t>
            </w:r>
          </w:p>
        </w:tc>
      </w:tr>
      <w:tr>
        <w:trPr/>
        <w:tc>
          <w:tcPr>
            <w:tcW w:w="3471" w:type="dxa"/>
            <w:tcBorders/>
          </w:tcPr>
          <w:p>
            <w:pPr>
              <w:pStyle w:val="TableContents"/>
              <w:bidi w:val="0"/>
              <w:spacing w:before="0" w:after="0"/>
              <w:jc w:val="left"/>
              <w:rPr>
                <w:rFonts w:ascii="Times New Roman" w:hAnsi="Times New Roman"/>
                <w:sz w:val="20"/>
              </w:rPr>
            </w:pPr>
            <w:r>
              <w:rPr>
                <w:rFonts w:ascii="Times New Roman" w:hAnsi="Times New Roman"/>
                <w:sz w:val="20"/>
              </w:rPr>
              <w:t>Series B-2</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2017</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4,191,173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30,744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30,000</w:t>
            </w:r>
          </w:p>
        </w:tc>
        <w:tc>
          <w:tcPr>
            <w:tcW w:w="69" w:type="dxa"/>
            <w:tcBorders/>
            <w:vAlign w:val="bottom"/>
          </w:tcPr>
          <w:p>
            <w:pPr>
              <w:pStyle w:val="TableContents"/>
              <w:bidi w:val="0"/>
              <w:spacing w:before="0" w:after="283"/>
              <w:jc w:val="left"/>
              <w:rPr/>
            </w:pPr>
            <w:r>
              <w:rPr/>
              <w:t> </w:t>
            </w:r>
          </w:p>
        </w:tc>
      </w:tr>
      <w:tr>
        <w:trPr/>
        <w:tc>
          <w:tcPr>
            <w:tcW w:w="3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2017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9,779,403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79,287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69,278</w:t>
            </w:r>
          </w:p>
        </w:tc>
        <w:tc>
          <w:tcPr>
            <w:tcW w:w="69" w:type="dxa"/>
            <w:tcBorders/>
            <w:shd w:fill="CCEEFF" w:val="clear"/>
            <w:vAlign w:val="bottom"/>
          </w:tcPr>
          <w:p>
            <w:pPr>
              <w:pStyle w:val="TableContents"/>
              <w:bidi w:val="0"/>
              <w:spacing w:before="0" w:after="283"/>
              <w:jc w:val="left"/>
              <w:rPr/>
            </w:pPr>
            <w:r>
              <w:rPr/>
              <w:t> </w:t>
            </w:r>
          </w:p>
        </w:tc>
      </w:tr>
      <w:tr>
        <w:trPr/>
        <w:tc>
          <w:tcPr>
            <w:tcW w:w="3471" w:type="dxa"/>
            <w:tcBorders/>
          </w:tcPr>
          <w:p>
            <w:pPr>
              <w:pStyle w:val="TableContents"/>
              <w:bidi w:val="0"/>
              <w:spacing w:before="0" w:after="0"/>
              <w:jc w:val="left"/>
              <w:rPr>
                <w:rFonts w:ascii="Times New Roman" w:hAnsi="Times New Roman"/>
                <w:sz w:val="20"/>
              </w:rPr>
            </w:pPr>
            <w:r>
              <w:rPr>
                <w:rFonts w:ascii="Times New Roman" w:hAnsi="Times New Roman"/>
                <w:sz w:val="20"/>
              </w:rPr>
              <w:t>Series D</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2018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8,534,330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93,215</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90,623</w:t>
            </w:r>
          </w:p>
        </w:tc>
        <w:tc>
          <w:tcPr>
            <w:tcW w:w="69" w:type="dxa"/>
            <w:tcBorders/>
            <w:vAlign w:val="bottom"/>
          </w:tcPr>
          <w:p>
            <w:pPr>
              <w:pStyle w:val="TableContents"/>
              <w:bidi w:val="0"/>
              <w:spacing w:before="0" w:after="283"/>
              <w:jc w:val="left"/>
              <w:rPr/>
            </w:pPr>
            <w:r>
              <w:rPr/>
              <w:t> </w:t>
            </w:r>
          </w:p>
        </w:tc>
      </w:tr>
      <w:tr>
        <w:trPr/>
        <w:tc>
          <w:tcPr>
            <w:tcW w:w="3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2018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6,630,905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131,089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127,306</w:t>
            </w:r>
          </w:p>
        </w:tc>
        <w:tc>
          <w:tcPr>
            <w:tcW w:w="69" w:type="dxa"/>
            <w:tcBorders/>
            <w:shd w:fill="CCEEFF" w:val="clear"/>
            <w:vAlign w:val="bottom"/>
          </w:tcPr>
          <w:p>
            <w:pPr>
              <w:pStyle w:val="TableContents"/>
              <w:bidi w:val="0"/>
              <w:spacing w:before="0" w:after="283"/>
              <w:jc w:val="left"/>
              <w:rPr/>
            </w:pPr>
            <w:r>
              <w:rPr/>
              <w:t> </w:t>
            </w:r>
          </w:p>
        </w:tc>
      </w:tr>
      <w:tr>
        <w:trPr/>
        <w:tc>
          <w:tcPr>
            <w:tcW w:w="3471" w:type="dxa"/>
            <w:tcBorders/>
          </w:tcPr>
          <w:p>
            <w:pPr>
              <w:pStyle w:val="TableContents"/>
              <w:bidi w:val="0"/>
              <w:spacing w:before="0" w:after="0"/>
              <w:jc w:val="left"/>
              <w:rPr>
                <w:rFonts w:ascii="Times New Roman" w:hAnsi="Times New Roman"/>
                <w:sz w:val="20"/>
              </w:rPr>
            </w:pPr>
            <w:r>
              <w:rPr>
                <w:rFonts w:ascii="Times New Roman" w:hAnsi="Times New Roman"/>
                <w:sz w:val="20"/>
              </w:rPr>
              <w:t>Series F</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2019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8,077,674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226,288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219,749</w:t>
            </w:r>
          </w:p>
        </w:tc>
        <w:tc>
          <w:tcPr>
            <w:tcW w:w="69" w:type="dxa"/>
            <w:tcBorders/>
            <w:vAlign w:val="bottom"/>
          </w:tcPr>
          <w:p>
            <w:pPr>
              <w:pStyle w:val="TableContents"/>
              <w:bidi w:val="0"/>
              <w:spacing w:before="0" w:after="283"/>
              <w:jc w:val="left"/>
              <w:rPr/>
            </w:pPr>
            <w:r>
              <w:rPr/>
              <w:t> </w:t>
            </w:r>
          </w:p>
        </w:tc>
      </w:tr>
      <w:tr>
        <w:trPr/>
        <w:tc>
          <w:tcPr>
            <w:tcW w:w="3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G</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2020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2,537,290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2,537,290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105,226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102,186</w:t>
            </w:r>
          </w:p>
        </w:tc>
        <w:tc>
          <w:tcPr>
            <w:tcW w:w="69" w:type="dxa"/>
            <w:tcBorders/>
            <w:shd w:fill="CCEEFF" w:val="clear"/>
            <w:vAlign w:val="bottom"/>
          </w:tcPr>
          <w:p>
            <w:pPr>
              <w:pStyle w:val="TableContents"/>
              <w:bidi w:val="0"/>
              <w:spacing w:before="0" w:after="283"/>
              <w:jc w:val="left"/>
              <w:rPr/>
            </w:pPr>
            <w:r>
              <w:rPr/>
              <w:t> </w:t>
            </w:r>
          </w:p>
        </w:tc>
      </w:tr>
      <w:tr>
        <w:trPr/>
        <w:tc>
          <w:tcPr>
            <w:tcW w:w="3471" w:type="dxa"/>
            <w:tcBorders/>
          </w:tcPr>
          <w:p>
            <w:pPr>
              <w:pStyle w:val="TableContents"/>
              <w:bidi w:val="0"/>
              <w:spacing w:before="0" w:after="0"/>
              <w:jc w:val="left"/>
              <w:rPr>
                <w:rFonts w:ascii="Times New Roman" w:hAnsi="Times New Roman"/>
                <w:sz w:val="20"/>
              </w:rPr>
            </w:pPr>
            <w:r>
              <w:rPr>
                <w:rFonts w:ascii="Times New Roman" w:hAnsi="Times New Roman"/>
                <w:sz w:val="20"/>
              </w:rPr>
              <w:t>Series G-2*</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2020/2021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tcBorders/>
            <w:vAlign w:val="bottom"/>
          </w:tcPr>
          <w:p>
            <w:pPr>
              <w:pStyle w:val="TableContents"/>
              <w:bidi w:val="0"/>
              <w:spacing w:before="0" w:after="283"/>
              <w:jc w:val="right"/>
              <w:rPr/>
            </w:pPr>
            <w:r>
              <w:rPr/>
              <w:t>7,135,072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3,453,139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197,888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214,663</w:t>
            </w:r>
          </w:p>
        </w:tc>
        <w:tc>
          <w:tcPr>
            <w:tcW w:w="69" w:type="dxa"/>
            <w:tcBorders/>
            <w:vAlign w:val="bottom"/>
          </w:tcPr>
          <w:p>
            <w:pPr>
              <w:pStyle w:val="TableContents"/>
              <w:bidi w:val="0"/>
              <w:spacing w:before="0" w:after="283"/>
              <w:jc w:val="left"/>
              <w:rPr/>
            </w:pPr>
            <w:r>
              <w:rPr/>
              <w:t> </w:t>
            </w:r>
          </w:p>
        </w:tc>
      </w:tr>
      <w:tr>
        <w:trPr/>
        <w:tc>
          <w:tcPr>
            <w:tcW w:w="3471"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4" w:type="dxa"/>
            <w:tcBorders/>
            <w:shd w:fill="CCEEFF" w:val="clear"/>
            <w:vAlign w:val="bottom"/>
          </w:tcPr>
          <w:p>
            <w:pPr>
              <w:pStyle w:val="TableContents"/>
              <w:bidi w:val="0"/>
              <w:spacing w:before="0" w:after="283"/>
              <w:jc w:val="right"/>
              <w:rPr/>
            </w:pPr>
            <w:r>
              <w:rPr/>
              <w:t>64,760,746</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61,078,813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894,481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49" w:type="dxa"/>
            <w:tcBorders/>
            <w:shd w:fill="CCEEFF" w:val="clear"/>
            <w:vAlign w:val="bottom"/>
          </w:tcPr>
          <w:p>
            <w:pPr>
              <w:pStyle w:val="TableContents"/>
              <w:bidi w:val="0"/>
              <w:spacing w:before="0" w:after="283"/>
              <w:jc w:val="right"/>
              <w:rPr/>
            </w:pPr>
            <w:r>
              <w:rPr/>
              <w:t>883,805</w:t>
            </w:r>
          </w:p>
        </w:tc>
        <w:tc>
          <w:tcPr>
            <w:tcW w:w="69" w:type="dxa"/>
            <w:tcBorders/>
            <w:shd w:fill="CCEEFF" w:val="clear"/>
            <w:vAlign w:val="bottom"/>
          </w:tcPr>
          <w:p>
            <w:pPr>
              <w:pStyle w:val="TableContents"/>
              <w:bidi w:val="0"/>
              <w:spacing w:before="0" w:after="283"/>
              <w:jc w:val="left"/>
              <w:rPr/>
            </w:pPr>
            <w:r>
              <w:rPr/>
              <w:t> </w:t>
            </w:r>
          </w:p>
        </w:tc>
      </w:tr>
      <w:tr>
        <w:trPr/>
        <w:tc>
          <w:tcPr>
            <w:tcW w:w="3471"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Excludes amounts related to the conversion of convertible note (See Note 10) </w:t>
            </w:r>
          </w:p>
        </w:tc>
      </w:tr>
    </w:tbl>
    <w:p>
      <w:pPr>
        <w:pStyle w:val="TextBody"/>
        <w:bidi w:val="0"/>
        <w:spacing w:before="240" w:after="0"/>
        <w:jc w:val="both"/>
        <w:rPr>
          <w:rFonts w:ascii="Times New Roman" w:hAnsi="Times New Roman"/>
          <w:sz w:val="20"/>
        </w:rPr>
      </w:pPr>
      <w:r>
        <w:rPr>
          <w:rFonts w:ascii="Times New Roman" w:hAnsi="Times New Roman"/>
          <w:sz w:val="20"/>
        </w:rPr>
        <w:t xml:space="preserve">Stock issuance costs that reduced the initial value of preferred stock were fully accreted in the period of the Series issuance. As of December 31, 2019 and 2020, and as of June 30, 2021, all cumulative dividends have been paid and/or accrued. </w:t>
      </w:r>
    </w:p>
    <w:p>
      <w:pPr>
        <w:pStyle w:val="TextBody"/>
        <w:bidi w:val="0"/>
        <w:spacing w:before="240" w:after="0"/>
        <w:jc w:val="both"/>
        <w:rPr>
          <w:rFonts w:ascii="Times New Roman" w:hAnsi="Times New Roman"/>
          <w:sz w:val="20"/>
        </w:rPr>
      </w:pPr>
      <w:r>
        <w:rPr>
          <w:rFonts w:ascii="Times New Roman" w:hAnsi="Times New Roman"/>
          <w:sz w:val="20"/>
        </w:rPr>
        <w:t xml:space="preserve">The Series A Preferred, Series B Preferred, Series B-1 Preferred, Series B-2 Preferred, Series C Preferred, Series D Preferred, Series E Preferred, Series F Preferred, Series G Preferred, and Series G-2 Preferred, collectively, are referenced below as the Series Preferred. The rights, preferences, privileges, restrictions and other matters relating to the Series Preferred are as follows: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both"/>
        <w:rPr>
          <w:rFonts w:ascii="Times New Roman" w:hAnsi="Times New Roman"/>
          <w:sz w:val="20"/>
        </w:rPr>
      </w:pPr>
      <w:r>
        <w:rPr>
          <w:rFonts w:ascii="Times New Roman" w:hAnsi="Times New Roman"/>
          <w:sz w:val="20"/>
        </w:rPr>
        <w:t xml:space="preserve">Except for the holders of Series G-2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dividends are cumulative and accrued from the date of issue while the shares are redeemable at the option of the holders. Any cash payments are subject to approval by the Board.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both"/>
        <w:rPr>
          <w:rFonts w:ascii="Times New Roman" w:hAnsi="Times New Roman"/>
          <w:sz w:val="20"/>
        </w:rPr>
      </w:pPr>
      <w:r>
        <w:rPr>
          <w:rFonts w:ascii="Times New Roman" w:hAnsi="Times New Roman"/>
          <w:sz w:val="20"/>
        </w:rPr>
        <w:t xml:space="preserve">With the exception of the Series B Preferred stockholders, Preferred stockholders are entitled to the number of votes equal to the product obtained by multiplying the number of shares of voting common stock into which their shares could be converted. Series B Preferred stockholders are entitled to the number of votes equal to the product obtained by multiplying the number of shares of voting common stock into which their shares could be converted by ten. </w:t>
      </w:r>
    </w:p>
    <w:p>
      <w:pPr>
        <w:pStyle w:val="TextBody"/>
        <w:bidi w:val="0"/>
        <w:spacing w:before="240" w:after="0"/>
        <w:jc w:val="both"/>
        <w:rPr>
          <w:rFonts w:ascii="Times New Roman" w:hAnsi="Times New Roman"/>
          <w:sz w:val="20"/>
        </w:rPr>
      </w:pPr>
      <w:r>
        <w:rPr>
          <w:rFonts w:ascii="Times New Roman" w:hAnsi="Times New Roman"/>
          <w:sz w:val="20"/>
        </w:rPr>
        <w:t xml:space="preserve">Following the amendment of the certificate of incorporation in March 2021, Series B Preferred stockholders are entitled to a number of votes equal to the product obtained by multiplying the number of shares of Class B common stock into which their shares could be converted by fifteen. </w:t>
      </w:r>
    </w:p>
    <w:p>
      <w:pPr>
        <w:pStyle w:val="TextBody"/>
        <w:bidi w:val="0"/>
        <w:spacing w:before="360" w:after="0"/>
        <w:jc w:val="left"/>
        <w:rPr>
          <w:rFonts w:ascii="Times New Roman" w:hAnsi="Times New Roman"/>
          <w:i/>
          <w:sz w:val="20"/>
        </w:rPr>
      </w:pPr>
      <w:r>
        <w:rPr>
          <w:rFonts w:ascii="Times New Roman" w:hAnsi="Times New Roman"/>
          <w:i/>
          <w:sz w:val="20"/>
        </w:rPr>
        <w:t xml:space="preserve">Liquidation Preference </w:t>
      </w:r>
    </w:p>
    <w:p>
      <w:pPr>
        <w:pStyle w:val="TextBody"/>
        <w:bidi w:val="0"/>
        <w:spacing w:before="120" w:after="0"/>
        <w:jc w:val="both"/>
        <w:rPr>
          <w:rFonts w:ascii="Times New Roman" w:hAnsi="Times New Roman"/>
          <w:sz w:val="20"/>
        </w:rPr>
      </w:pPr>
      <w:r>
        <w:rPr>
          <w:rFonts w:ascii="Times New Roman" w:hAnsi="Times New Roman"/>
          <w:sz w:val="20"/>
        </w:rPr>
        <w:t xml:space="preserve">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G-2, Series G, Series F, Series E, Series D, Series C, Series B-2, Series B-1, Series B, Series A.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w:t>
      </w:r>
    </w:p>
    <w:p>
      <w:pPr>
        <w:pStyle w:val="TextBody"/>
        <w:bidi w:val="0"/>
        <w:spacing w:before="120" w:after="0"/>
        <w:jc w:val="both"/>
        <w:rPr>
          <w:rFonts w:ascii="Times New Roman" w:hAnsi="Times New Roman"/>
          <w:sz w:val="20"/>
        </w:rPr>
      </w:pPr>
      <w:r>
        <w:rPr>
          <w:rFonts w:ascii="Times New Roman" w:hAnsi="Times New Roman"/>
          <w:sz w:val="20"/>
        </w:rPr>
        <w:t xml:space="preserve">Each outstanding share of Series G-2 Preferred, Series G Preferred ,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G-2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Conversion </w:t>
      </w:r>
    </w:p>
    <w:p>
      <w:pPr>
        <w:pStyle w:val="TextBody"/>
        <w:bidi w:val="0"/>
        <w:spacing w:before="120" w:after="0"/>
        <w:jc w:val="both"/>
        <w:rPr>
          <w:rFonts w:ascii="Times New Roman" w:hAnsi="Times New Roman"/>
          <w:sz w:val="20"/>
        </w:rPr>
      </w:pPr>
      <w:r>
        <w:rPr>
          <w:rFonts w:ascii="Times New Roman" w:hAnsi="Times New Roman"/>
          <w:sz w:val="20"/>
        </w:rPr>
        <w:t xml:space="preserve">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at an offering price of $68.7683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in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STOCK-BASED COMPENSATION </w:t>
            </w:r>
          </w:p>
        </w:tc>
      </w:tr>
    </w:tbl>
    <w:p>
      <w:pPr>
        <w:pStyle w:val="TextBody"/>
        <w:bidi w:val="0"/>
        <w:spacing w:before="120" w:after="0"/>
        <w:jc w:val="both"/>
        <w:rPr>
          <w:rFonts w:ascii="Times New Roman" w:hAnsi="Times New Roman"/>
          <w:b/>
          <w:sz w:val="20"/>
        </w:rPr>
      </w:pPr>
      <w:r>
        <w:rPr>
          <w:rFonts w:ascii="Times New Roman" w:hAnsi="Times New Roman"/>
          <w:b/>
          <w:sz w:val="20"/>
        </w:rPr>
        <w:t xml:space="preserve">Stock Plan </w:t>
      </w:r>
    </w:p>
    <w:p>
      <w:pPr>
        <w:pStyle w:val="TextBody"/>
        <w:bidi w:val="0"/>
        <w:spacing w:before="120" w:after="0"/>
        <w:jc w:val="both"/>
        <w:rPr>
          <w:rFonts w:ascii="Times New Roman" w:hAnsi="Times New Roman"/>
          <w:sz w:val="20"/>
        </w:rPr>
      </w:pPr>
      <w:r>
        <w:rPr>
          <w:rFonts w:ascii="Times New Roman" w:hAnsi="Times New Roman"/>
          <w:sz w:val="20"/>
        </w:rPr>
        <w:t xml:space="preserve">In 2015, the Company adopted the Tempus Labs, Inc. 2015 Stock Plan as amended and restated on March 16, 2018 (the Plan), under which up to 12,615,570 shares of common stock were authorized to be issued to employees, consultants, and directors of the Company. The Plan was subsequently amended and restated to increase the shares authorized to be issued to 14,115,750 on October 15, 2019. The Plan was again amended and restated on June 24, 2020 and November 16, 2020 to increase the shares authorized to be issued to 20,115,750 and 22,115,750, respectively. </w:t>
      </w:r>
    </w:p>
    <w:p>
      <w:pPr>
        <w:pStyle w:val="TextBody"/>
        <w:bidi w:val="0"/>
        <w:spacing w:before="240" w:after="0"/>
        <w:jc w:val="both"/>
        <w:rPr>
          <w:rFonts w:ascii="Times New Roman" w:hAnsi="Times New Roman"/>
          <w:sz w:val="20"/>
        </w:rPr>
      </w:pPr>
      <w:r>
        <w:rPr>
          <w:rFonts w:ascii="Times New Roman" w:hAnsi="Times New Roman"/>
          <w:sz w:val="20"/>
        </w:rPr>
        <w:t xml:space="preserve">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2019 and 2020, 2,346,229 and 8,572,503 shares, respectively, were available for future issuance under the Plan. </w:t>
      </w:r>
    </w:p>
    <w:p>
      <w:pPr>
        <w:pStyle w:val="TextBody"/>
        <w:bidi w:val="0"/>
        <w:spacing w:before="240" w:after="0"/>
        <w:jc w:val="both"/>
        <w:rPr>
          <w:rFonts w:ascii="Times New Roman" w:hAnsi="Times New Roman"/>
          <w:sz w:val="20"/>
        </w:rPr>
      </w:pPr>
      <w:r>
        <w:rPr>
          <w:rFonts w:ascii="Times New Roman" w:hAnsi="Times New Roman"/>
          <w:sz w:val="20"/>
        </w:rPr>
        <w:t xml:space="preserve">The Company recognized stock-based compensation expense of $3.4 million, $0.4 million, and $0.6 million in the years ended December 31, 2019 and 2020, and for the six months ended June 30, 2021, respectively, within Selling, general and administrative expense. The Company accounts for forfeitures as they occur. </w:t>
      </w:r>
    </w:p>
    <w:p>
      <w:pPr>
        <w:pStyle w:val="TextBody"/>
        <w:bidi w:val="0"/>
        <w:spacing w:before="360" w:after="0"/>
        <w:jc w:val="both"/>
        <w:rPr>
          <w:rFonts w:ascii="Times New Roman" w:hAnsi="Times New Roman"/>
          <w:b/>
          <w:sz w:val="20"/>
        </w:rPr>
      </w:pPr>
      <w:r>
        <w:rPr>
          <w:rFonts w:ascii="Times New Roman" w:hAnsi="Times New Roman"/>
          <w:b/>
          <w:sz w:val="20"/>
        </w:rPr>
        <w:t xml:space="preserve">Restricted Stock Units </w:t>
      </w:r>
    </w:p>
    <w:p>
      <w:pPr>
        <w:pStyle w:val="TextBody"/>
        <w:bidi w:val="0"/>
        <w:spacing w:before="120" w:after="0"/>
        <w:jc w:val="both"/>
        <w:rPr>
          <w:rFonts w:ascii="Times New Roman" w:hAnsi="Times New Roman"/>
          <w:sz w:val="20"/>
        </w:rPr>
      </w:pPr>
      <w:r>
        <w:rPr>
          <w:rFonts w:ascii="Times New Roman" w:hAnsi="Times New Roman"/>
          <w:sz w:val="20"/>
        </w:rPr>
        <w:t xml:space="preserve">The restricted stock units (RSUs) granted under the Plan are subject to two vesting conditions. The first is a time-based component. The majority of the awards are eligible to vest over a four-year period, with 25%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17"/>
        <w:gridCol w:w="483"/>
        <w:gridCol w:w="60"/>
        <w:gridCol w:w="1125"/>
        <w:gridCol w:w="155"/>
        <w:gridCol w:w="430"/>
        <w:gridCol w:w="495"/>
        <w:gridCol w:w="1676"/>
        <w:gridCol w:w="64"/>
      </w:tblGrid>
      <w:tr>
        <w:trPr/>
        <w:tc>
          <w:tcPr>
            <w:tcW w:w="5717"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17"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br/>
              <w:t>Stock Units</w:t>
            </w:r>
          </w:p>
        </w:tc>
        <w:tc>
          <w:tcPr>
            <w:tcW w:w="15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 Average</w:t>
              <w:br/>
              <w:t>Grant Date Fair</w:t>
              <w:br/>
              <w:t>Value</w:t>
            </w:r>
          </w:p>
        </w:tc>
        <w:tc>
          <w:tcPr>
            <w:tcW w:w="64" w:type="dxa"/>
            <w:tcBorders/>
            <w:vAlign w:val="bottom"/>
          </w:tcPr>
          <w:p>
            <w:pPr>
              <w:pStyle w:val="TableContents"/>
              <w:bidi w:val="0"/>
              <w:spacing w:before="0" w:after="283"/>
              <w:jc w:val="left"/>
              <w:rPr/>
            </w:pPr>
            <w:r>
              <w:rPr/>
              <w:t> </w:t>
            </w:r>
          </w:p>
        </w:tc>
      </w:tr>
      <w:tr>
        <w:trPr/>
        <w:tc>
          <w:tcPr>
            <w:tcW w:w="57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2019</w:t>
            </w:r>
          </w:p>
        </w:tc>
        <w:tc>
          <w:tcPr>
            <w:tcW w:w="4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6,964,521</w:t>
            </w:r>
          </w:p>
        </w:tc>
        <w:tc>
          <w:tcPr>
            <w:tcW w:w="15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2.61</w:t>
            </w:r>
          </w:p>
        </w:tc>
        <w:tc>
          <w:tcPr>
            <w:tcW w:w="64" w:type="dxa"/>
            <w:tcBorders/>
            <w:shd w:fill="CCEEFF" w:val="clear"/>
            <w:vAlign w:val="bottom"/>
          </w:tcPr>
          <w:p>
            <w:pPr>
              <w:pStyle w:val="TableContents"/>
              <w:bidi w:val="0"/>
              <w:spacing w:before="0" w:after="283"/>
              <w:jc w:val="left"/>
              <w:rPr/>
            </w:pPr>
            <w:r>
              <w:rPr/>
              <w:t> </w:t>
            </w:r>
          </w:p>
        </w:tc>
      </w:tr>
      <w:tr>
        <w:trPr/>
        <w:tc>
          <w:tcPr>
            <w:tcW w:w="571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2,388,676</w:t>
            </w:r>
          </w:p>
        </w:tc>
        <w:tc>
          <w:tcPr>
            <w:tcW w:w="15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9.06</w:t>
            </w:r>
          </w:p>
        </w:tc>
        <w:tc>
          <w:tcPr>
            <w:tcW w:w="64" w:type="dxa"/>
            <w:tcBorders/>
            <w:vAlign w:val="bottom"/>
          </w:tcPr>
          <w:p>
            <w:pPr>
              <w:pStyle w:val="TableContents"/>
              <w:bidi w:val="0"/>
              <w:spacing w:before="0" w:after="283"/>
              <w:jc w:val="left"/>
              <w:rPr/>
            </w:pPr>
            <w:r>
              <w:rPr/>
              <w:t> </w:t>
            </w:r>
          </w:p>
        </w:tc>
      </w:tr>
      <w:tr>
        <w:trPr/>
        <w:tc>
          <w:tcPr>
            <w:tcW w:w="57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(614,950</w:t>
            </w:r>
          </w:p>
        </w:tc>
        <w:tc>
          <w:tcPr>
            <w:tcW w:w="15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5.52</w:t>
            </w:r>
          </w:p>
        </w:tc>
        <w:tc>
          <w:tcPr>
            <w:tcW w:w="64" w:type="dxa"/>
            <w:tcBorders/>
            <w:shd w:fill="CCEEFF" w:val="clear"/>
            <w:vAlign w:val="bottom"/>
          </w:tcPr>
          <w:p>
            <w:pPr>
              <w:pStyle w:val="TableContents"/>
              <w:bidi w:val="0"/>
              <w:spacing w:before="0" w:after="283"/>
              <w:jc w:val="left"/>
              <w:rPr/>
            </w:pPr>
            <w:r>
              <w:rPr/>
              <w:t> </w:t>
            </w:r>
          </w:p>
        </w:tc>
      </w:tr>
      <w:tr>
        <w:trPr/>
        <w:tc>
          <w:tcPr>
            <w:tcW w:w="5717" w:type="dxa"/>
            <w:tcBorders/>
          </w:tcPr>
          <w:p>
            <w:pPr>
              <w:pStyle w:val="TableContents"/>
              <w:bidi w:val="0"/>
              <w:spacing w:before="0" w:after="0"/>
              <w:jc w:val="left"/>
              <w:rPr>
                <w:rFonts w:ascii="Times New Roman" w:hAnsi="Times New Roman"/>
                <w:sz w:val="20"/>
              </w:rPr>
            </w:pPr>
            <w:r>
              <w:rPr>
                <w:rFonts w:ascii="Times New Roman" w:hAnsi="Times New Roman"/>
                <w:sz w:val="20"/>
              </w:rPr>
              <w:t>Redeemed</w:t>
            </w:r>
          </w:p>
        </w:tc>
        <w:tc>
          <w:tcPr>
            <w:tcW w:w="4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sz w:val="4"/>
                <w:szCs w:val="4"/>
              </w:rPr>
            </w:pPr>
            <w:r>
              <w:rPr>
                <w:sz w:val="4"/>
                <w:szCs w:val="4"/>
              </w:rPr>
            </w:r>
          </w:p>
        </w:tc>
        <w:tc>
          <w:tcPr>
            <w:tcW w:w="167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71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16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2020</w:t>
            </w:r>
          </w:p>
        </w:tc>
        <w:tc>
          <w:tcPr>
            <w:tcW w:w="4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8,738,247</w:t>
            </w:r>
          </w:p>
        </w:tc>
        <w:tc>
          <w:tcPr>
            <w:tcW w:w="155"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1676" w:type="dxa"/>
            <w:tcBorders/>
            <w:shd w:fill="CCEEFF" w:val="clear"/>
            <w:vAlign w:val="bottom"/>
          </w:tcPr>
          <w:p>
            <w:pPr>
              <w:pStyle w:val="TableContents"/>
              <w:bidi w:val="0"/>
              <w:spacing w:before="0" w:after="283"/>
              <w:jc w:val="right"/>
              <w:rPr/>
            </w:pPr>
            <w:r>
              <w:rPr/>
              <w:t>4.17</w:t>
            </w:r>
          </w:p>
        </w:tc>
        <w:tc>
          <w:tcPr>
            <w:tcW w:w="64" w:type="dxa"/>
            <w:tcBorders/>
            <w:shd w:fill="CCEEFF" w:val="clear"/>
            <w:vAlign w:val="bottom"/>
          </w:tcPr>
          <w:p>
            <w:pPr>
              <w:pStyle w:val="TableContents"/>
              <w:bidi w:val="0"/>
              <w:spacing w:before="0" w:after="283"/>
              <w:jc w:val="left"/>
              <w:rPr/>
            </w:pPr>
            <w:r>
              <w:rPr/>
              <w:t> </w:t>
            </w:r>
          </w:p>
        </w:tc>
      </w:tr>
      <w:tr>
        <w:trPr/>
        <w:tc>
          <w:tcPr>
            <w:tcW w:w="571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16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There were no restricted stock units that vested during the years ended December 31, 2019 and 2020. As of December 31, 2020, there was $36.5 million of unrecognized stock compensation expense relating to RSUs. Because of the liquidity event requirement, the Company cannot estimate the weighted-average period over which this expense will be recognized. </w:t>
      </w:r>
    </w:p>
    <w:p>
      <w:pPr>
        <w:pStyle w:val="TextBody"/>
        <w:bidi w:val="0"/>
        <w:spacing w:before="240" w:after="0"/>
        <w:jc w:val="both"/>
        <w:rPr>
          <w:rFonts w:ascii="Times New Roman" w:hAnsi="Times New Roman"/>
          <w:sz w:val="20"/>
        </w:rPr>
      </w:pPr>
      <w:r>
        <w:rPr>
          <w:rFonts w:ascii="Times New Roman" w:hAnsi="Times New Roman"/>
          <w:sz w:val="20"/>
        </w:rPr>
        <w:t xml:space="preserve">During the six months ended June 30, 2021, the Company granted 1,370,100 of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Performance Stock Units </w:t>
      </w:r>
    </w:p>
    <w:p>
      <w:pPr>
        <w:pStyle w:val="TextBody"/>
        <w:bidi w:val="0"/>
        <w:spacing w:before="120" w:after="0"/>
        <w:jc w:val="both"/>
        <w:rPr>
          <w:rFonts w:ascii="Times New Roman" w:hAnsi="Times New Roman"/>
          <w:sz w:val="20"/>
        </w:rPr>
      </w:pPr>
      <w:r>
        <w:rPr>
          <w:rFonts w:ascii="Times New Roman" w:hAnsi="Times New Roman"/>
          <w:sz w:val="20"/>
        </w:rPr>
        <w:t xml:space="preserve">The performance stock units (PSUs) granted under the Plan are subject to two vesting conditions. The first is the achievement of a revenue target before December 31, 2021 while remaining employed.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5"/>
        <w:gridCol w:w="589"/>
        <w:gridCol w:w="93"/>
        <w:gridCol w:w="1289"/>
        <w:gridCol w:w="60"/>
        <w:gridCol w:w="589"/>
        <w:gridCol w:w="498"/>
        <w:gridCol w:w="1620"/>
        <w:gridCol w:w="62"/>
      </w:tblGrid>
      <w:tr>
        <w:trPr/>
        <w:tc>
          <w:tcPr>
            <w:tcW w:w="5405"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05"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2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 Average</w:t>
              <w:br/>
              <w:t>Grant Date Fair</w:t>
              <w:br/>
              <w:t>Value</w:t>
            </w:r>
          </w:p>
        </w:tc>
        <w:tc>
          <w:tcPr>
            <w:tcW w:w="62" w:type="dxa"/>
            <w:tcBorders/>
            <w:vAlign w:val="bottom"/>
          </w:tcPr>
          <w:p>
            <w:pPr>
              <w:pStyle w:val="TableContents"/>
              <w:bidi w:val="0"/>
              <w:spacing w:before="0" w:after="283"/>
              <w:jc w:val="left"/>
              <w:rPr/>
            </w:pPr>
            <w:r>
              <w:rPr/>
              <w:t> </w:t>
            </w:r>
          </w:p>
        </w:tc>
      </w:tr>
      <w:tr>
        <w:trPr/>
        <w:tc>
          <w:tcPr>
            <w:tcW w:w="5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at December 31, 2019</w:t>
            </w:r>
          </w:p>
        </w:tc>
        <w:tc>
          <w:tcPr>
            <w:tcW w:w="5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40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5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283"/>
              <w:jc w:val="right"/>
              <w:rPr/>
            </w:pPr>
            <w:r>
              <w:rPr/>
              <w:t>8.26</w:t>
            </w:r>
          </w:p>
        </w:tc>
        <w:tc>
          <w:tcPr>
            <w:tcW w:w="62" w:type="dxa"/>
            <w:tcBorders/>
            <w:vAlign w:val="bottom"/>
          </w:tcPr>
          <w:p>
            <w:pPr>
              <w:pStyle w:val="TableContents"/>
              <w:bidi w:val="0"/>
              <w:spacing w:before="0" w:after="283"/>
              <w:jc w:val="left"/>
              <w:rPr/>
            </w:pPr>
            <w:r>
              <w:rPr/>
              <w:t> </w:t>
            </w:r>
          </w:p>
        </w:tc>
      </w:tr>
      <w:tr>
        <w:trPr/>
        <w:tc>
          <w:tcPr>
            <w:tcW w:w="5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8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1620"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62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05" w:type="dxa"/>
            <w:tcBorders/>
          </w:tcPr>
          <w:p>
            <w:pPr>
              <w:pStyle w:val="TableContents"/>
              <w:bidi w:val="0"/>
              <w:spacing w:before="0" w:after="0"/>
              <w:jc w:val="left"/>
              <w:rPr>
                <w:rFonts w:ascii="Times New Roman" w:hAnsi="Times New Roman"/>
                <w:sz w:val="20"/>
              </w:rPr>
            </w:pPr>
            <w:r>
              <w:rPr>
                <w:rFonts w:ascii="Times New Roman" w:hAnsi="Times New Roman"/>
                <w:sz w:val="20"/>
              </w:rPr>
              <w:t>Unvested at December 31, 2020</w:t>
            </w:r>
          </w:p>
        </w:tc>
        <w:tc>
          <w:tcPr>
            <w:tcW w:w="58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8.26</w:t>
            </w:r>
          </w:p>
        </w:tc>
        <w:tc>
          <w:tcPr>
            <w:tcW w:w="62" w:type="dxa"/>
            <w:tcBorders/>
            <w:vAlign w:val="bottom"/>
          </w:tcPr>
          <w:p>
            <w:pPr>
              <w:pStyle w:val="TableContents"/>
              <w:bidi w:val="0"/>
              <w:spacing w:before="0" w:after="283"/>
              <w:jc w:val="left"/>
              <w:rPr/>
            </w:pPr>
            <w:r>
              <w:rPr/>
              <w:t> </w:t>
            </w:r>
          </w:p>
        </w:tc>
      </w:tr>
      <w:tr>
        <w:trPr/>
        <w:tc>
          <w:tcPr>
            <w:tcW w:w="5405"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498" w:type="dxa"/>
            <w:tcBorders/>
            <w:vAlign w:val="bottom"/>
          </w:tcPr>
          <w:p>
            <w:pPr>
              <w:pStyle w:val="TableContents"/>
              <w:pBdr>
                <w:top w:val="double" w:sz="6" w:space="1" w:color="000000"/>
              </w:pBdr>
              <w:bidi w:val="0"/>
              <w:spacing w:before="0" w:after="0"/>
              <w:jc w:val="left"/>
              <w:rPr/>
            </w:pPr>
            <w:r>
              <w:rPr/>
              <w:t> </w:t>
            </w:r>
          </w:p>
        </w:tc>
        <w:tc>
          <w:tcPr>
            <w:tcW w:w="162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There were no PSUs that vested during the years ended December 31, 2019 and 2020. As of December 31, 2020, there was $1.7 million of unrecognized stock compensation expense relating to PSUs. Because of the liquidity event requirement, the Company cannot estimate the weighted-average period over which this expense will be recognized should the performance condition be met. </w:t>
      </w:r>
    </w:p>
    <w:p>
      <w:pPr>
        <w:pStyle w:val="TextBody"/>
        <w:bidi w:val="0"/>
        <w:spacing w:before="240" w:after="0"/>
        <w:jc w:val="both"/>
        <w:rPr>
          <w:rFonts w:ascii="Times New Roman" w:hAnsi="Times New Roman"/>
          <w:sz w:val="20"/>
        </w:rPr>
      </w:pPr>
      <w:r>
        <w:rPr>
          <w:rFonts w:ascii="Times New Roman" w:hAnsi="Times New Roman"/>
          <w:sz w:val="20"/>
        </w:rPr>
        <w:t xml:space="preserve">During the six months ended June 30, 2021, the Company granted 1,099,000 of Performance Stock Units. Subsequent to June 30, 2021, the Company granted an additional 4,901,000 of Performance Stock Units. </w:t>
      </w:r>
    </w:p>
    <w:p>
      <w:pPr>
        <w:pStyle w:val="TextBody"/>
        <w:bidi w:val="0"/>
        <w:spacing w:before="360" w:after="0"/>
        <w:jc w:val="both"/>
        <w:rPr>
          <w:rFonts w:ascii="Times New Roman" w:hAnsi="Times New Roman"/>
          <w:b/>
          <w:sz w:val="20"/>
        </w:rPr>
      </w:pPr>
      <w:r>
        <w:rPr>
          <w:rFonts w:ascii="Times New Roman" w:hAnsi="Times New Roman"/>
          <w:b/>
          <w:sz w:val="20"/>
        </w:rPr>
        <w:t xml:space="preserve">Stock Options </w:t>
      </w:r>
    </w:p>
    <w:p>
      <w:pPr>
        <w:pStyle w:val="TextBody"/>
        <w:bidi w:val="0"/>
        <w:spacing w:before="120" w:after="0"/>
        <w:jc w:val="both"/>
        <w:rPr>
          <w:rFonts w:ascii="Times New Roman" w:hAnsi="Times New Roman"/>
          <w:sz w:val="20"/>
        </w:rPr>
      </w:pPr>
      <w:r>
        <w:rPr>
          <w:rFonts w:ascii="Times New Roman" w:hAnsi="Times New Roman"/>
          <w:sz w:val="20"/>
        </w:rPr>
        <w:t xml:space="preserve">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29"/>
        <w:gridCol w:w="436"/>
        <w:gridCol w:w="78"/>
        <w:gridCol w:w="1097"/>
        <w:gridCol w:w="60"/>
        <w:gridCol w:w="436"/>
        <w:gridCol w:w="366"/>
        <w:gridCol w:w="1148"/>
        <w:gridCol w:w="60"/>
        <w:gridCol w:w="435"/>
        <w:gridCol w:w="495"/>
        <w:gridCol w:w="1598"/>
        <w:gridCol w:w="67"/>
      </w:tblGrid>
      <w:tr>
        <w:trPr/>
        <w:tc>
          <w:tcPr>
            <w:tcW w:w="3929"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r>
          </w:p>
        </w:tc>
        <w:tc>
          <w:tcPr>
            <w:tcW w:w="60"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 Price</w:t>
              <w:br/>
              <w:t>Ranges</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2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 Average</w:t>
              <w:br/>
              <w:t>Exercise Price</w:t>
            </w:r>
          </w:p>
        </w:tc>
        <w:tc>
          <w:tcPr>
            <w:tcW w:w="67"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OutstandingDecember 31, 2019</w:t>
            </w:r>
          </w:p>
        </w:tc>
        <w:tc>
          <w:tcPr>
            <w:tcW w:w="43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210,000</w:t>
            </w:r>
          </w:p>
        </w:tc>
        <w:tc>
          <w:tcPr>
            <w:tcW w:w="60"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0.85</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1598" w:type="dxa"/>
            <w:tcBorders/>
            <w:shd w:fill="CCEEFF" w:val="clear"/>
            <w:vAlign w:val="bottom"/>
          </w:tcPr>
          <w:p>
            <w:pPr>
              <w:pStyle w:val="TableContents"/>
              <w:bidi w:val="0"/>
              <w:spacing w:before="0" w:after="283"/>
              <w:jc w:val="right"/>
              <w:rPr/>
            </w:pPr>
            <w:r>
              <w:rPr/>
              <w:t>0.85</w:t>
            </w:r>
          </w:p>
        </w:tc>
        <w:tc>
          <w:tcPr>
            <w:tcW w:w="67"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3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3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w:t>
            </w:r>
          </w:p>
        </w:tc>
        <w:tc>
          <w:tcPr>
            <w:tcW w:w="67" w:type="dxa"/>
            <w:tcBorders/>
            <w:shd w:fill="CCEEFF" w:val="clear"/>
            <w:vAlign w:val="bottom"/>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3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single" w:sz="2" w:space="1" w:color="000000"/>
              </w:pBdr>
              <w:bidi w:val="0"/>
              <w:spacing w:before="0" w:after="0"/>
              <w:jc w:val="left"/>
              <w:rPr/>
            </w:pPr>
            <w:r>
              <w:rPr/>
              <w:t> </w:t>
            </w:r>
          </w:p>
        </w:tc>
        <w:tc>
          <w:tcPr>
            <w:tcW w:w="159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OutstandingDecember 31, 2020</w:t>
            </w:r>
          </w:p>
        </w:tc>
        <w:tc>
          <w:tcPr>
            <w:tcW w:w="436"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210,000</w:t>
            </w:r>
          </w:p>
        </w:tc>
        <w:tc>
          <w:tcPr>
            <w:tcW w:w="60"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0.85</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w:t>
            </w:r>
          </w:p>
        </w:tc>
        <w:tc>
          <w:tcPr>
            <w:tcW w:w="1598" w:type="dxa"/>
            <w:tcBorders/>
            <w:shd w:fill="CCEEFF" w:val="clear"/>
            <w:vAlign w:val="bottom"/>
          </w:tcPr>
          <w:p>
            <w:pPr>
              <w:pStyle w:val="TableContents"/>
              <w:bidi w:val="0"/>
              <w:spacing w:before="0" w:after="283"/>
              <w:jc w:val="right"/>
              <w:rPr/>
            </w:pPr>
            <w:r>
              <w:rPr/>
              <w:t>0.85</w:t>
            </w:r>
          </w:p>
        </w:tc>
        <w:tc>
          <w:tcPr>
            <w:tcW w:w="67"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159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sz w:val="20"/>
              </w:rPr>
            </w:pPr>
            <w:r>
              <w:rPr>
                <w:rFonts w:ascii="Times New Roman" w:hAnsi="Times New Roman"/>
                <w:sz w:val="20"/>
              </w:rPr>
              <w:t>Options exercisableDecember 31, 2020</w:t>
            </w:r>
          </w:p>
        </w:tc>
        <w:tc>
          <w:tcPr>
            <w:tcW w:w="436"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210,000</w:t>
            </w:r>
          </w:p>
        </w:tc>
        <w:tc>
          <w:tcPr>
            <w:tcW w:w="60"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0.85</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w:t>
            </w:r>
          </w:p>
        </w:tc>
        <w:tc>
          <w:tcPr>
            <w:tcW w:w="1598" w:type="dxa"/>
            <w:tcBorders/>
            <w:vAlign w:val="bottom"/>
          </w:tcPr>
          <w:p>
            <w:pPr>
              <w:pStyle w:val="TableContents"/>
              <w:bidi w:val="0"/>
              <w:spacing w:before="0" w:after="283"/>
              <w:jc w:val="right"/>
              <w:rPr/>
            </w:pPr>
            <w:r>
              <w:rPr/>
              <w:t>0.85</w:t>
            </w:r>
          </w:p>
        </w:tc>
        <w:tc>
          <w:tcPr>
            <w:tcW w:w="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436"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6" w:type="dxa"/>
            <w:tcBorders/>
            <w:vAlign w:val="bottom"/>
          </w:tcPr>
          <w:p>
            <w:pPr>
              <w:pStyle w:val="TableContents"/>
              <w:bidi w:val="0"/>
              <w:spacing w:before="0" w:after="283"/>
              <w:jc w:val="left"/>
              <w:rPr/>
            </w:pPr>
            <w:r>
              <w:rPr/>
              <w:t>  </w:t>
            </w:r>
          </w:p>
        </w:tc>
        <w:tc>
          <w:tcPr>
            <w:tcW w:w="366"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95" w:type="dxa"/>
            <w:tcBorders/>
            <w:vAlign w:val="bottom"/>
          </w:tcPr>
          <w:p>
            <w:pPr>
              <w:pStyle w:val="TableContents"/>
              <w:pBdr>
                <w:top w:val="double" w:sz="6" w:space="1" w:color="000000"/>
              </w:pBdr>
              <w:bidi w:val="0"/>
              <w:spacing w:before="0" w:after="0"/>
              <w:jc w:val="left"/>
              <w:rPr/>
            </w:pPr>
            <w:r>
              <w:rPr/>
              <w:t> </w:t>
            </w:r>
          </w:p>
        </w:tc>
        <w:tc>
          <w:tcPr>
            <w:tcW w:w="159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outstanding stock options were fully expensed prior to 2019. As such, no stock compensation expense relating to stock options was recorded in the year ended December 31, 2019 or December 31, 2020 and there is no unrecognized expense relating to stock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both"/>
        <w:rPr>
          <w:rFonts w:ascii="Times New Roman" w:hAnsi="Times New Roman"/>
          <w:sz w:val="20"/>
        </w:rPr>
      </w:pPr>
      <w:r>
        <w:rPr>
          <w:rFonts w:ascii="Times New Roman" w:hAnsi="Times New Roman"/>
          <w:sz w:val="20"/>
        </w:rPr>
        <w:t xml:space="preserve">The Company has previously granted restricted stock awards to employees. Compensation expense on those awards was recognized on a straight-line basis over the requisite service periods of the awards, typically three to four years.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6"/>
        <w:gridCol w:w="267"/>
        <w:gridCol w:w="67"/>
        <w:gridCol w:w="1033"/>
        <w:gridCol w:w="155"/>
        <w:gridCol w:w="216"/>
        <w:gridCol w:w="74"/>
        <w:gridCol w:w="1269"/>
        <w:gridCol w:w="60"/>
        <w:gridCol w:w="267"/>
        <w:gridCol w:w="60"/>
        <w:gridCol w:w="1026"/>
        <w:gridCol w:w="60"/>
        <w:gridCol w:w="267"/>
        <w:gridCol w:w="493"/>
        <w:gridCol w:w="1629"/>
        <w:gridCol w:w="66"/>
      </w:tblGrid>
      <w:tr>
        <w:trPr/>
        <w:tc>
          <w:tcPr>
            <w:tcW w:w="3196"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Unrestricted</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2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 Average</w:t>
              <w:br/>
              <w:t>Grant Date Fair</w:t>
              <w:br/>
              <w:t>value</w:t>
            </w:r>
          </w:p>
        </w:tc>
        <w:tc>
          <w:tcPr>
            <w:tcW w:w="66" w:type="dxa"/>
            <w:tcBorders/>
            <w:vAlign w:val="bottom"/>
          </w:tcPr>
          <w:p>
            <w:pPr>
              <w:pStyle w:val="TableContents"/>
              <w:bidi w:val="0"/>
              <w:spacing w:before="0" w:after="283"/>
              <w:jc w:val="left"/>
              <w:rPr/>
            </w:pPr>
            <w:r>
              <w:rPr/>
              <w:t> </w:t>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2019</w:t>
            </w:r>
          </w:p>
        </w:tc>
        <w:tc>
          <w:tcPr>
            <w:tcW w:w="2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550,000</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3,700,000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4,250,000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0.42</w:t>
            </w:r>
          </w:p>
        </w:tc>
        <w:tc>
          <w:tcPr>
            <w:tcW w:w="66" w:type="dxa"/>
            <w:tcBorders/>
            <w:shd w:fill="CCEEFF" w:val="clear"/>
            <w:vAlign w:val="bottom"/>
          </w:tcPr>
          <w:p>
            <w:pPr>
              <w:pStyle w:val="TableContents"/>
              <w:bidi w:val="0"/>
              <w:spacing w:before="0" w:after="283"/>
              <w:jc w:val="left"/>
              <w:rPr/>
            </w:pPr>
            <w:r>
              <w:rPr/>
              <w:t> </w:t>
            </w:r>
          </w:p>
        </w:tc>
      </w:tr>
      <w:tr>
        <w:trPr/>
        <w:tc>
          <w:tcPr>
            <w:tcW w:w="3196" w:type="dxa"/>
            <w:tcBorders/>
          </w:tcPr>
          <w:p>
            <w:pPr>
              <w:pStyle w:val="TableContents"/>
              <w:bidi w:val="0"/>
              <w:spacing w:before="0" w:after="0"/>
              <w:jc w:val="left"/>
              <w:rPr>
                <w:rFonts w:ascii="Times New Roman" w:hAnsi="Times New Roman"/>
                <w:sz w:val="20"/>
              </w:rPr>
            </w:pPr>
            <w:r>
              <w:rPr>
                <w:rFonts w:ascii="Times New Roman" w:hAnsi="Times New Roman"/>
                <w:sz w:val="20"/>
              </w:rPr>
              <w:t>Vesting of restricted stock into unrestricted</w:t>
            </w:r>
          </w:p>
        </w:tc>
        <w:tc>
          <w:tcPr>
            <w:tcW w:w="2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(550,000</w:t>
            </w:r>
          </w:p>
        </w:tc>
        <w:tc>
          <w:tcPr>
            <w:tcW w:w="15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550,000</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0.46</w:t>
            </w:r>
          </w:p>
        </w:tc>
        <w:tc>
          <w:tcPr>
            <w:tcW w:w="66" w:type="dxa"/>
            <w:tcBorders/>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sz w:val="4"/>
                <w:szCs w:val="4"/>
              </w:rPr>
            </w:pPr>
            <w:r>
              <w:rPr>
                <w:sz w:val="4"/>
                <w:szCs w:val="4"/>
              </w:rPr>
            </w:r>
          </w:p>
        </w:tc>
        <w:tc>
          <w:tcPr>
            <w:tcW w:w="162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2020</w:t>
            </w:r>
          </w:p>
        </w:tc>
        <w:tc>
          <w:tcPr>
            <w:tcW w:w="2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4,250,000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4,250,000</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left"/>
              <w:rPr/>
            </w:pPr>
            <w:r>
              <w:rPr/>
              <w:t>$</w:t>
            </w:r>
          </w:p>
        </w:tc>
        <w:tc>
          <w:tcPr>
            <w:tcW w:w="1629" w:type="dxa"/>
            <w:tcBorders/>
            <w:shd w:fill="CCEEFF" w:val="clear"/>
            <w:vAlign w:val="bottom"/>
          </w:tcPr>
          <w:p>
            <w:pPr>
              <w:pStyle w:val="TableContents"/>
              <w:bidi w:val="0"/>
              <w:spacing w:before="0" w:after="283"/>
              <w:jc w:val="right"/>
              <w:rPr/>
            </w:pPr>
            <w:r>
              <w:rPr/>
              <w:t>0.42</w:t>
            </w:r>
          </w:p>
        </w:tc>
        <w:tc>
          <w:tcPr>
            <w:tcW w:w="66" w:type="dxa"/>
            <w:tcBorders/>
            <w:shd w:fill="CCEEFF" w:val="clear"/>
            <w:vAlign w:val="bottom"/>
          </w:tcPr>
          <w:p>
            <w:pPr>
              <w:pStyle w:val="TableContents"/>
              <w:bidi w:val="0"/>
              <w:spacing w:before="0" w:after="283"/>
              <w:jc w:val="left"/>
              <w:rPr/>
            </w:pPr>
            <w:r>
              <w:rPr/>
              <w:t> </w:t>
            </w:r>
          </w:p>
        </w:tc>
      </w:tr>
      <w:tr>
        <w:trPr/>
        <w:tc>
          <w:tcPr>
            <w:tcW w:w="3196" w:type="dxa"/>
            <w:tcBorders/>
            <w:vAlign w:val="bottom"/>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sz w:val="4"/>
                <w:szCs w:val="4"/>
              </w:rPr>
            </w:pPr>
            <w:r>
              <w:rPr>
                <w:sz w:val="4"/>
                <w:szCs w:val="4"/>
              </w:rPr>
            </w:r>
          </w:p>
        </w:tc>
        <w:tc>
          <w:tcPr>
            <w:tcW w:w="162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0"/>
        </w:rPr>
      </w:pPr>
      <w:r>
        <w:rPr>
          <w:rFonts w:ascii="Times New Roman" w:hAnsi="Times New Roman"/>
          <w:sz w:val="20"/>
        </w:rPr>
        <w:t xml:space="preserve">Total compensation expense for vesting of restricted stock into unrestricted stock was approximately $0.5 million and $0.4 million for the years ended December 31, 2019 and 2020, respectively. As of December 31, 2020, there was no unrecognized compensation cost related to non-vested restricted stock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CONVERTIBLE PROMISSORY NOTES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 </w:t>
      </w:r>
    </w:p>
    <w:p>
      <w:pPr>
        <w:pStyle w:val="TextBody"/>
        <w:bidi w:val="0"/>
        <w:spacing w:before="240" w:after="0"/>
        <w:jc w:val="both"/>
        <w:rPr>
          <w:rFonts w:ascii="Times New Roman" w:hAnsi="Times New Roman"/>
          <w:sz w:val="20"/>
        </w:rPr>
      </w:pPr>
      <w:r>
        <w:rPr>
          <w:rFonts w:ascii="Times New Roman" w:hAnsi="Times New Roman"/>
          <w:sz w:val="20"/>
        </w:rPr>
        <w:t xml:space="preserve">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 </w:t>
      </w:r>
    </w:p>
    <w:p>
      <w:pPr>
        <w:pStyle w:val="TextBody"/>
        <w:bidi w:val="0"/>
        <w:spacing w:before="240" w:after="0"/>
        <w:jc w:val="both"/>
        <w:rPr>
          <w:rFonts w:ascii="Times New Roman" w:hAnsi="Times New Roman"/>
          <w:sz w:val="20"/>
        </w:rPr>
      </w:pPr>
      <w:r>
        <w:rPr>
          <w:rFonts w:ascii="Times New Roman" w:hAnsi="Times New Roman"/>
          <w:sz w:val="20"/>
        </w:rPr>
        <w:t xml:space="preserve">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t>
      </w:r>
    </w:p>
    <w:p>
      <w:pPr>
        <w:pStyle w:val="TextBody"/>
        <w:bidi w:val="0"/>
        <w:spacing w:before="240" w:after="0"/>
        <w:jc w:val="both"/>
        <w:rPr>
          <w:rFonts w:ascii="Times New Roman" w:hAnsi="Times New Roman"/>
          <w:sz w:val="20"/>
        </w:rPr>
      </w:pPr>
      <w:r>
        <w:rPr>
          <w:rFonts w:ascii="Times New Roman" w:hAnsi="Times New Roman"/>
          <w:sz w:val="20"/>
        </w:rPr>
        <w:t xml:space="preserve">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$10.0 million and $7.5 million during the year ended December 31, 2020, and six months ended June 30, 2021,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accounted for the conversion of the $80.0 million as a debt extinguishment and recognized a loss on extinguishment of debt of $8.9 million within Interest Expense in the consolidated statement of operations and comprehensive loss. The loss on extinguishment of debt was calculated as the difference between (i) the fair value of shares of Series G-2 issued and (ii) the carrying value of the Notes that were converted.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NET LOSS PER SHARE ATTRIBUTABLE TO COMMON STOCKHOLDERS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presents the calculation for basic and diluted net loss per share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6"/>
        <w:gridCol w:w="485"/>
        <w:gridCol w:w="554"/>
        <w:gridCol w:w="198"/>
        <w:gridCol w:w="140"/>
        <w:gridCol w:w="952"/>
        <w:gridCol w:w="155"/>
        <w:gridCol w:w="151"/>
        <w:gridCol w:w="140"/>
        <w:gridCol w:w="952"/>
        <w:gridCol w:w="155"/>
        <w:gridCol w:w="151"/>
        <w:gridCol w:w="140"/>
        <w:gridCol w:w="900"/>
        <w:gridCol w:w="154"/>
        <w:gridCol w:w="151"/>
        <w:gridCol w:w="140"/>
        <w:gridCol w:w="900"/>
        <w:gridCol w:w="161"/>
      </w:tblGrid>
      <w:tr>
        <w:trPr/>
        <w:tc>
          <w:tcPr>
            <w:tcW w:w="3626" w:type="dxa"/>
            <w:tcBorders/>
            <w:vAlign w:val="center"/>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26"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4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3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3626" w:type="dxa"/>
            <w:vMerge w:val="restart"/>
            <w:tcBorders/>
            <w:vAlign w:val="bottom"/>
          </w:tcPr>
          <w:p>
            <w:pPr>
              <w:pStyle w:val="TableContents"/>
              <w:bidi w:val="0"/>
              <w:spacing w:before="0" w:after="283"/>
              <w:jc w:val="left"/>
              <w:rPr/>
            </w:pPr>
            <w:r>
              <w:rPr/>
              <w:t> </w:t>
            </w:r>
          </w:p>
        </w:tc>
        <w:tc>
          <w:tcPr>
            <w:tcW w:w="485" w:type="dxa"/>
            <w:vMerge w:val="restart"/>
            <w:tcBorders/>
            <w:vAlign w:val="bottom"/>
          </w:tcPr>
          <w:p>
            <w:pPr>
              <w:pStyle w:val="TableContents"/>
              <w:bidi w:val="0"/>
              <w:spacing w:before="0" w:after="283"/>
              <w:jc w:val="left"/>
              <w:rPr/>
            </w:pPr>
            <w:r>
              <w:rPr/>
              <w:t>  </w:t>
            </w:r>
          </w:p>
        </w:tc>
        <w:tc>
          <w:tcPr>
            <w:tcW w:w="554" w:type="dxa"/>
            <w:vMerge w:val="restart"/>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3626" w:type="dxa"/>
            <w:vMerge w:val="continue"/>
            <w:tcBorders/>
            <w:vAlign w:val="bottom"/>
          </w:tcPr>
          <w:p>
            <w:pPr>
              <w:pStyle w:val="Normal"/>
              <w:bidi w:val="0"/>
              <w:jc w:val="left"/>
              <w:rPr/>
            </w:pPr>
            <w:r>
              <w:rPr/>
            </w:r>
          </w:p>
        </w:tc>
        <w:tc>
          <w:tcPr>
            <w:tcW w:w="485" w:type="dxa"/>
            <w:vMerge w:val="continue"/>
            <w:tcBorders/>
            <w:vAlign w:val="bottom"/>
          </w:tcPr>
          <w:p>
            <w:pPr>
              <w:pStyle w:val="Normal"/>
              <w:bidi w:val="0"/>
              <w:jc w:val="left"/>
              <w:rPr/>
            </w:pPr>
            <w:r>
              <w:rPr/>
            </w:r>
          </w:p>
        </w:tc>
        <w:tc>
          <w:tcPr>
            <w:tcW w:w="554"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385" w:type="dxa"/>
            <w:gridSpan w:val="6"/>
            <w:tcBorders/>
            <w:vAlign w:val="bottom"/>
          </w:tcPr>
          <w:p>
            <w:pPr>
              <w:pStyle w:val="TableContents"/>
              <w:bidi w:val="0"/>
              <w:spacing w:before="0" w:after="283"/>
              <w:jc w:val="center"/>
              <w:rPr>
                <w:b/>
              </w:rPr>
            </w:pPr>
            <w:r>
              <w:rPr>
                <w:b/>
              </w:rPr>
              <w:t>(unaudited)</w:t>
            </w:r>
          </w:p>
        </w:tc>
        <w:tc>
          <w:tcPr>
            <w:tcW w:w="161" w:type="dxa"/>
            <w:tcBorders/>
            <w:vAlign w:val="bottom"/>
          </w:tcPr>
          <w:p>
            <w:pPr>
              <w:pStyle w:val="TableContents"/>
              <w:bidi w:val="0"/>
              <w:spacing w:before="0" w:after="283"/>
              <w:jc w:val="left"/>
              <w:rPr/>
            </w:pPr>
            <w:r>
              <w:rPr/>
              <w:t> </w:t>
            </w:r>
          </w:p>
        </w:tc>
      </w:tr>
      <w:tr>
        <w:trPr/>
        <w:tc>
          <w:tcPr>
            <w:tcW w:w="466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66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(114,951</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(209,854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(98,202</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(131,869</w:t>
            </w:r>
          </w:p>
        </w:tc>
        <w:tc>
          <w:tcPr>
            <w:tcW w:w="161" w:type="dxa"/>
            <w:tcBorders/>
            <w:vAlign w:val="bottom"/>
          </w:tcPr>
          <w:p>
            <w:pPr>
              <w:pStyle w:val="TableContents"/>
              <w:bidi w:val="0"/>
              <w:spacing w:before="0" w:after="283"/>
              <w:jc w:val="left"/>
              <w:rPr/>
            </w:pPr>
            <w:r>
              <w:rPr/>
              <w:t>) </w:t>
            </w:r>
          </w:p>
        </w:tc>
      </w:tr>
      <w:tr>
        <w:trPr/>
        <w:tc>
          <w:tcPr>
            <w:tcW w:w="4665"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convertible preferred stock to redemption value</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(7,303</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(7,381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(3,203</w:t>
            </w:r>
          </w:p>
        </w:tc>
        <w:tc>
          <w:tcPr>
            <w:tcW w:w="1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(106</w:t>
            </w:r>
          </w:p>
        </w:tc>
        <w:tc>
          <w:tcPr>
            <w:tcW w:w="161" w:type="dxa"/>
            <w:tcBorders/>
            <w:shd w:fill="CCEEFF" w:val="clear"/>
            <w:vAlign w:val="bottom"/>
          </w:tcPr>
          <w:p>
            <w:pPr>
              <w:pStyle w:val="TableContents"/>
              <w:bidi w:val="0"/>
              <w:spacing w:before="0" w:after="283"/>
              <w:jc w:val="left"/>
              <w:rPr/>
            </w:pPr>
            <w:r>
              <w:rPr/>
              <w:t>) </w:t>
            </w:r>
          </w:p>
        </w:tc>
      </w:tr>
      <w:tr>
        <w:trPr/>
        <w:tc>
          <w:tcPr>
            <w:tcW w:w="466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Dividends on Series A, B, B-1, B-2, C, D, E, F and G preferred shares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(23,640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(34,420</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(16,625</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(18,461</w:t>
            </w:r>
          </w:p>
        </w:tc>
        <w:tc>
          <w:tcPr>
            <w:tcW w:w="161" w:type="dxa"/>
            <w:tcBorders/>
            <w:vAlign w:val="bottom"/>
          </w:tcPr>
          <w:p>
            <w:pPr>
              <w:pStyle w:val="TableContents"/>
              <w:bidi w:val="0"/>
              <w:spacing w:before="0" w:after="283"/>
              <w:jc w:val="left"/>
              <w:rPr/>
            </w:pPr>
            <w:r>
              <w:rPr/>
              <w:t>) </w:t>
            </w:r>
          </w:p>
        </w:tc>
      </w:tr>
      <w:tr>
        <w:trPr/>
        <w:tc>
          <w:tcPr>
            <w:tcW w:w="4665"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Cumulative Undeclared Dividends on Series C preferred shares</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(2,250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(2,250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(1,125</w:t>
            </w:r>
          </w:p>
        </w:tc>
        <w:tc>
          <w:tcPr>
            <w:tcW w:w="1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(1,125</w:t>
            </w:r>
          </w:p>
        </w:tc>
        <w:tc>
          <w:tcPr>
            <w:tcW w:w="161" w:type="dxa"/>
            <w:tcBorders/>
            <w:shd w:fill="CCEEFF" w:val="clear"/>
            <w:vAlign w:val="bottom"/>
          </w:tcPr>
          <w:p>
            <w:pPr>
              <w:pStyle w:val="TableContents"/>
              <w:bidi w:val="0"/>
              <w:spacing w:before="0" w:after="283"/>
              <w:jc w:val="left"/>
              <w:rPr/>
            </w:pPr>
            <w:r>
              <w:rPr/>
              <w:t>) </w:t>
            </w:r>
          </w:p>
        </w:tc>
      </w:tr>
      <w:tr>
        <w:trPr/>
        <w:tc>
          <w:tcPr>
            <w:tcW w:w="4665" w:type="dxa"/>
            <w:gridSpan w:val="3"/>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66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(148,144</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(253,905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(119,155</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(151,561</w:t>
            </w:r>
          </w:p>
        </w:tc>
        <w:tc>
          <w:tcPr>
            <w:tcW w:w="161" w:type="dxa"/>
            <w:tcBorders/>
            <w:vAlign w:val="bottom"/>
          </w:tcPr>
          <w:p>
            <w:pPr>
              <w:pStyle w:val="TableContents"/>
              <w:bidi w:val="0"/>
              <w:spacing w:before="0" w:after="283"/>
              <w:jc w:val="left"/>
              <w:rPr/>
            </w:pPr>
            <w:r>
              <w:rPr/>
              <w:t>) </w:t>
            </w:r>
          </w:p>
        </w:tc>
      </w:tr>
      <w:tr>
        <w:trPr/>
        <w:tc>
          <w:tcPr>
            <w:tcW w:w="4665" w:type="dxa"/>
            <w:gridSpan w:val="3"/>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66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66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61,347</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62,706</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62,726</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62,969</w:t>
            </w:r>
          </w:p>
        </w:tc>
        <w:tc>
          <w:tcPr>
            <w:tcW w:w="161" w:type="dxa"/>
            <w:tcBorders/>
            <w:vAlign w:val="bottom"/>
          </w:tcPr>
          <w:p>
            <w:pPr>
              <w:pStyle w:val="TableContents"/>
              <w:bidi w:val="0"/>
              <w:spacing w:before="0" w:after="283"/>
              <w:jc w:val="left"/>
              <w:rPr/>
            </w:pPr>
            <w:r>
              <w:rPr/>
              <w:t> </w:t>
            </w:r>
          </w:p>
        </w:tc>
      </w:tr>
      <w:tr>
        <w:trPr/>
        <w:tc>
          <w:tcPr>
            <w:tcW w:w="4665" w:type="dxa"/>
            <w:gridSpan w:val="3"/>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665" w:type="dxa"/>
            <w:gridSpan w:val="3"/>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loss per share attributable to common stockholders, basic and diluted</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(2.41</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(4.05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(1.90</w:t>
            </w:r>
          </w:p>
        </w:tc>
        <w:tc>
          <w:tcPr>
            <w:tcW w:w="1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(2.41</w:t>
            </w:r>
          </w:p>
        </w:tc>
        <w:tc>
          <w:tcPr>
            <w:tcW w:w="161" w:type="dxa"/>
            <w:tcBorders/>
            <w:shd w:fill="CCEEFF" w:val="clear"/>
            <w:vAlign w:val="bottom"/>
          </w:tcPr>
          <w:p>
            <w:pPr>
              <w:pStyle w:val="TableContents"/>
              <w:bidi w:val="0"/>
              <w:spacing w:before="0" w:after="283"/>
              <w:jc w:val="left"/>
              <w:rPr/>
            </w:pPr>
            <w:r>
              <w:rPr/>
              <w:t>) </w:t>
            </w:r>
          </w:p>
        </w:tc>
      </w:tr>
      <w:tr>
        <w:trPr/>
        <w:tc>
          <w:tcPr>
            <w:tcW w:w="4665" w:type="dxa"/>
            <w:gridSpan w:val="3"/>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outstanding shares of common stock equivalents were excluded from the calculation of diluted net loss per share for each period, as the impact of including them would have been anti-dilutive. As disclosed in Note 9, the Companys RSUs include a triggering liquidation performance condition prior to vesting. As disclosed in Note 10,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33"/>
        <w:gridCol w:w="121"/>
        <w:gridCol w:w="60"/>
        <w:gridCol w:w="1101"/>
        <w:gridCol w:w="60"/>
        <w:gridCol w:w="121"/>
        <w:gridCol w:w="60"/>
        <w:gridCol w:w="1101"/>
        <w:gridCol w:w="60"/>
        <w:gridCol w:w="121"/>
        <w:gridCol w:w="60"/>
        <w:gridCol w:w="1101"/>
        <w:gridCol w:w="60"/>
        <w:gridCol w:w="121"/>
        <w:gridCol w:w="60"/>
        <w:gridCol w:w="1101"/>
        <w:gridCol w:w="64"/>
      </w:tblGrid>
      <w:tr>
        <w:trPr/>
        <w:tc>
          <w:tcPr>
            <w:tcW w:w="48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3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w:t>
            </w:r>
          </w:p>
        </w:tc>
        <w:tc>
          <w:tcPr>
            <w:tcW w:w="64" w:type="dxa"/>
            <w:tcBorders/>
            <w:vAlign w:val="bottom"/>
          </w:tcPr>
          <w:p>
            <w:pPr>
              <w:pStyle w:val="TableContents"/>
              <w:bidi w:val="0"/>
              <w:spacing w:before="0" w:after="283"/>
              <w:jc w:val="left"/>
              <w:rPr/>
            </w:pPr>
            <w:r>
              <w:rPr/>
              <w:t> </w:t>
            </w:r>
          </w:p>
        </w:tc>
      </w:tr>
      <w:tr>
        <w:trPr/>
        <w:tc>
          <w:tcPr>
            <w:tcW w:w="4833"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associated with contingent consideration</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145,466</w:t>
            </w:r>
          </w:p>
        </w:tc>
        <w:tc>
          <w:tcPr>
            <w:tcW w:w="64" w:type="dxa"/>
            <w:tcBorders/>
            <w:shd w:fill="CCEEFF" w:val="clear"/>
            <w:vAlign w:val="bottom"/>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outstanding</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210,000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210,000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210,000</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210,000</w:t>
            </w:r>
          </w:p>
        </w:tc>
        <w:tc>
          <w:tcPr>
            <w:tcW w:w="64" w:type="dxa"/>
            <w:tcBorders/>
            <w:vAlign w:val="bottom"/>
          </w:tcPr>
          <w:p>
            <w:pPr>
              <w:pStyle w:val="TableContents"/>
              <w:bidi w:val="0"/>
              <w:spacing w:before="0" w:after="283"/>
              <w:jc w:val="left"/>
              <w:rPr/>
            </w:pPr>
            <w:r>
              <w:rPr/>
              <w:t> </w:t>
            </w:r>
          </w:p>
        </w:tc>
      </w:tr>
      <w:tr>
        <w:trPr/>
        <w:tc>
          <w:tcPr>
            <w:tcW w:w="4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55,088,384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60,921,767</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57,625,674</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61,078,813</w:t>
            </w:r>
          </w:p>
        </w:tc>
        <w:tc>
          <w:tcPr>
            <w:tcW w:w="64" w:type="dxa"/>
            <w:tcBorders/>
            <w:shd w:fill="CCEEFF" w:val="clear"/>
            <w:vAlign w:val="bottom"/>
          </w:tcPr>
          <w:p>
            <w:pPr>
              <w:pStyle w:val="TableContents"/>
              <w:bidi w:val="0"/>
              <w:spacing w:before="0" w:after="283"/>
              <w:jc w:val="left"/>
              <w:rPr/>
            </w:pPr>
            <w:r>
              <w:rPr/>
              <w:t> </w:t>
            </w:r>
          </w:p>
        </w:tc>
      </w:tr>
      <w:tr>
        <w:trPr/>
        <w:tc>
          <w:tcPr>
            <w:tcW w:w="483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33" w:type="dxa"/>
            <w:tcBorders/>
          </w:tcPr>
          <w:p>
            <w:pPr>
              <w:pStyle w:val="TableContents"/>
              <w:bidi w:val="0"/>
              <w:spacing w:before="0" w:after="0"/>
              <w:jc w:val="left"/>
              <w:rPr>
                <w:rFonts w:ascii="Times New Roman" w:hAnsi="Times New Roman"/>
                <w:sz w:val="20"/>
              </w:rPr>
            </w:pPr>
            <w:r>
              <w:rPr>
                <w:rFonts w:ascii="Times New Roman" w:hAnsi="Times New Roman"/>
                <w:sz w:val="20"/>
              </w:rPr>
              <w:t>Total potentially dilutive shares</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55,298,384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61,131,767</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57,835,674</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61,434,279</w:t>
            </w:r>
          </w:p>
        </w:tc>
        <w:tc>
          <w:tcPr>
            <w:tcW w:w="64" w:type="dxa"/>
            <w:tcBorders/>
            <w:vAlign w:val="bottom"/>
          </w:tcPr>
          <w:p>
            <w:pPr>
              <w:pStyle w:val="TableContents"/>
              <w:bidi w:val="0"/>
              <w:spacing w:before="0" w:after="283"/>
              <w:jc w:val="left"/>
              <w:rPr/>
            </w:pPr>
            <w:r>
              <w:rPr/>
              <w:t> </w:t>
            </w:r>
          </w:p>
        </w:tc>
      </w:tr>
      <w:tr>
        <w:trPr/>
        <w:tc>
          <w:tcPr>
            <w:tcW w:w="4833"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Deferred income taxes consist of the following as of December 31, 2019 and 2020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48"/>
        <w:gridCol w:w="231"/>
        <w:gridCol w:w="140"/>
        <w:gridCol w:w="823"/>
        <w:gridCol w:w="166"/>
        <w:gridCol w:w="199"/>
        <w:gridCol w:w="140"/>
        <w:gridCol w:w="887"/>
        <w:gridCol w:w="171"/>
      </w:tblGrid>
      <w:tr>
        <w:trPr/>
        <w:tc>
          <w:tcPr>
            <w:tcW w:w="7448"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44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71" w:type="dxa"/>
            <w:tcBorders/>
            <w:vAlign w:val="bottom"/>
          </w:tcPr>
          <w:p>
            <w:pPr>
              <w:pStyle w:val="TableContents"/>
              <w:bidi w:val="0"/>
              <w:spacing w:before="0" w:after="283"/>
              <w:jc w:val="left"/>
              <w:rPr/>
            </w:pPr>
            <w:r>
              <w:rPr/>
              <w:t> </w:t>
            </w:r>
          </w:p>
        </w:tc>
      </w:tr>
      <w:tr>
        <w:trPr/>
        <w:tc>
          <w:tcPr>
            <w:tcW w:w="744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71" w:type="dxa"/>
            <w:tcBorders/>
            <w:vAlign w:val="bottom"/>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3"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Charitable Contribution Carryforwards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8</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9</w:t>
            </w:r>
          </w:p>
        </w:tc>
        <w:tc>
          <w:tcPr>
            <w:tcW w:w="171" w:type="dxa"/>
            <w:tcBorders/>
            <w:vAlign w:val="bottom"/>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53</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289</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53,619</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98,895</w:t>
            </w:r>
          </w:p>
        </w:tc>
        <w:tc>
          <w:tcPr>
            <w:tcW w:w="171" w:type="dxa"/>
            <w:tcBorders/>
            <w:vAlign w:val="bottom"/>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Rent</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3,735</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3,974</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42</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43</w:t>
            </w:r>
          </w:p>
        </w:tc>
        <w:tc>
          <w:tcPr>
            <w:tcW w:w="171" w:type="dxa"/>
            <w:tcBorders/>
            <w:vAlign w:val="bottom"/>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422</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807</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IRC §163(j) Interest Expense Limitation Carryover</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2,675</w:t>
            </w:r>
          </w:p>
        </w:tc>
        <w:tc>
          <w:tcPr>
            <w:tcW w:w="171" w:type="dxa"/>
            <w:tcBorders/>
            <w:vAlign w:val="bottom"/>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Payroll Taxes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1,197</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5</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126</w:t>
            </w:r>
          </w:p>
        </w:tc>
        <w:tc>
          <w:tcPr>
            <w:tcW w:w="171" w:type="dxa"/>
            <w:tcBorders/>
            <w:vAlign w:val="bottom"/>
          </w:tcPr>
          <w:p>
            <w:pPr>
              <w:pStyle w:val="TableContents"/>
              <w:bidi w:val="0"/>
              <w:spacing w:before="0" w:after="283"/>
              <w:jc w:val="left"/>
              <w:rPr/>
            </w:pPr>
            <w:r>
              <w:rPr/>
              <w:t> </w:t>
            </w:r>
          </w:p>
        </w:tc>
      </w:tr>
      <w:tr>
        <w:trPr/>
        <w:tc>
          <w:tcPr>
            <w:tcW w:w="744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57,884</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108,015</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(51,237</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(102,981</w:t>
            </w:r>
          </w:p>
        </w:tc>
        <w:tc>
          <w:tcPr>
            <w:tcW w:w="171" w:type="dxa"/>
            <w:tcBorders/>
            <w:vAlign w:val="bottom"/>
          </w:tcPr>
          <w:p>
            <w:pPr>
              <w:pStyle w:val="TableContents"/>
              <w:bidi w:val="0"/>
              <w:spacing w:before="0" w:after="283"/>
              <w:jc w:val="left"/>
              <w:rPr/>
            </w:pPr>
            <w:r>
              <w:rPr/>
              <w:t>) </w:t>
            </w:r>
          </w:p>
        </w:tc>
      </w:tr>
      <w:tr>
        <w:trPr/>
        <w:tc>
          <w:tcPr>
            <w:tcW w:w="744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6,647</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5,034</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Liabilities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r>
      <w:tr>
        <w:trPr/>
        <w:tc>
          <w:tcPr>
            <w:tcW w:w="7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Excess of Tax Basis over Book Basis Fixed Assets</w:t>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(2,713</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(1,594</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Excess of Book Basis over Tax Basis Intangibles</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(3,934</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(3,440</w:t>
            </w:r>
          </w:p>
        </w:tc>
        <w:tc>
          <w:tcPr>
            <w:tcW w:w="171" w:type="dxa"/>
            <w:tcBorders/>
            <w:vAlign w:val="bottom"/>
          </w:tcPr>
          <w:p>
            <w:pPr>
              <w:pStyle w:val="TableContents"/>
              <w:bidi w:val="0"/>
              <w:spacing w:before="0" w:after="283"/>
              <w:jc w:val="left"/>
              <w:rPr/>
            </w:pPr>
            <w:r>
              <w:rPr/>
              <w:t>) </w:t>
            </w:r>
          </w:p>
        </w:tc>
      </w:tr>
      <w:tr>
        <w:trPr/>
        <w:tc>
          <w:tcPr>
            <w:tcW w:w="744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7448" w:type="dxa"/>
            <w:tcBorders/>
            <w:shd w:fill="CCEEFF" w:val="clear"/>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(6,647</w:t>
            </w:r>
          </w:p>
        </w:tc>
        <w:tc>
          <w:tcPr>
            <w:tcW w:w="16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7" w:type="dxa"/>
            <w:tcBorders/>
            <w:shd w:fill="CCEEFF" w:val="clear"/>
            <w:vAlign w:val="bottom"/>
          </w:tcPr>
          <w:p>
            <w:pPr>
              <w:pStyle w:val="TableContents"/>
              <w:bidi w:val="0"/>
              <w:spacing w:before="0" w:after="283"/>
              <w:jc w:val="right"/>
              <w:rPr/>
            </w:pPr>
            <w:r>
              <w:rPr/>
              <w:t>(5,034</w:t>
            </w:r>
          </w:p>
        </w:tc>
        <w:tc>
          <w:tcPr>
            <w:tcW w:w="171" w:type="dxa"/>
            <w:tcBorders/>
            <w:shd w:fill="CCEEFF" w:val="clear"/>
            <w:vAlign w:val="bottom"/>
          </w:tcPr>
          <w:p>
            <w:pPr>
              <w:pStyle w:val="TableContents"/>
              <w:bidi w:val="0"/>
              <w:spacing w:before="0" w:after="283"/>
              <w:jc w:val="left"/>
              <w:rPr/>
            </w:pPr>
            <w:r>
              <w:rPr/>
              <w:t>) </w:t>
            </w:r>
          </w:p>
        </w:tc>
      </w:tr>
      <w:tr>
        <w:trPr/>
        <w:tc>
          <w:tcPr>
            <w:tcW w:w="744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7448"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Income Tax Asset (Liability)</w:t>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w:t>
            </w:r>
          </w:p>
        </w:tc>
        <w:tc>
          <w:tcPr>
            <w:tcW w:w="16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w:t>
            </w:r>
          </w:p>
        </w:tc>
        <w:tc>
          <w:tcPr>
            <w:tcW w:w="171" w:type="dxa"/>
            <w:tcBorders/>
            <w:vAlign w:val="bottom"/>
          </w:tcPr>
          <w:p>
            <w:pPr>
              <w:pStyle w:val="TableContents"/>
              <w:bidi w:val="0"/>
              <w:spacing w:before="0" w:after="283"/>
              <w:jc w:val="left"/>
              <w:rPr/>
            </w:pPr>
            <w:r>
              <w:rPr/>
              <w:t> </w:t>
            </w:r>
          </w:p>
        </w:tc>
      </w:tr>
      <w:tr>
        <w:trPr/>
        <w:tc>
          <w:tcPr>
            <w:tcW w:w="7448"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7"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provision for income taxes consists of the following as of December 31, 2019 and 2020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1"/>
        <w:gridCol w:w="560"/>
        <w:gridCol w:w="140"/>
        <w:gridCol w:w="760"/>
        <w:gridCol w:w="155"/>
        <w:gridCol w:w="512"/>
        <w:gridCol w:w="140"/>
        <w:gridCol w:w="760"/>
        <w:gridCol w:w="157"/>
      </w:tblGrid>
      <w:tr>
        <w:trPr/>
        <w:tc>
          <w:tcPr>
            <w:tcW w:w="7021" w:type="dxa"/>
            <w:tcBorders/>
            <w:vAlign w:val="center"/>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24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7" w:type="dxa"/>
            <w:tcBorders/>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5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7"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expense (benefit)</w:t>
            </w:r>
          </w:p>
        </w:tc>
        <w:tc>
          <w:tcPr>
            <w:tcW w:w="5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021"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w:t>
            </w:r>
          </w:p>
        </w:tc>
        <w:tc>
          <w:tcPr>
            <w:tcW w:w="157"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5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w:t>
            </w:r>
          </w:p>
        </w:tc>
        <w:tc>
          <w:tcPr>
            <w:tcW w:w="157" w:type="dxa"/>
            <w:tcBorders/>
            <w:shd w:fill="CCEEFF" w:val="clear"/>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w:t>
            </w:r>
          </w:p>
        </w:tc>
        <w:tc>
          <w:tcPr>
            <w:tcW w:w="157"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expense (benefit)</w:t>
            </w:r>
          </w:p>
        </w:tc>
        <w:tc>
          <w:tcPr>
            <w:tcW w:w="5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7021"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(24,062</w:t>
            </w:r>
          </w:p>
        </w:tc>
        <w:tc>
          <w:tcPr>
            <w:tcW w:w="15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(40,710</w:t>
            </w:r>
          </w:p>
        </w:tc>
        <w:tc>
          <w:tcPr>
            <w:tcW w:w="157"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5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(4,537</w:t>
            </w:r>
          </w:p>
        </w:tc>
        <w:tc>
          <w:tcPr>
            <w:tcW w:w="155"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(10,520</w:t>
            </w:r>
          </w:p>
        </w:tc>
        <w:tc>
          <w:tcPr>
            <w:tcW w:w="157" w:type="dxa"/>
            <w:tcBorders/>
            <w:shd w:fill="CCEEFF" w:val="clear"/>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(28,599</w:t>
            </w:r>
          </w:p>
        </w:tc>
        <w:tc>
          <w:tcPr>
            <w:tcW w:w="15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(51,230</w:t>
            </w:r>
          </w:p>
        </w:tc>
        <w:tc>
          <w:tcPr>
            <w:tcW w:w="157" w:type="dxa"/>
            <w:tcBorders/>
            <w:vAlign w:val="bottom"/>
          </w:tcPr>
          <w:p>
            <w:pPr>
              <w:pStyle w:val="TableContents"/>
              <w:bidi w:val="0"/>
              <w:spacing w:before="0" w:after="283"/>
              <w:jc w:val="left"/>
              <w:rPr/>
            </w:pPr>
            <w:r>
              <w:rPr/>
              <w:t>) </w:t>
            </w:r>
          </w:p>
        </w:tc>
      </w:tr>
      <w:tr>
        <w:trPr/>
        <w:tc>
          <w:tcPr>
            <w:tcW w:w="70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5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28,599</w:t>
            </w:r>
          </w:p>
        </w:tc>
        <w:tc>
          <w:tcPr>
            <w:tcW w:w="155"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51,230</w:t>
            </w:r>
          </w:p>
        </w:tc>
        <w:tc>
          <w:tcPr>
            <w:tcW w:w="157" w:type="dxa"/>
            <w:tcBorders/>
            <w:shd w:fill="CCEEFF" w:val="clear"/>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7021" w:type="dxa"/>
            <w:tcBorders/>
          </w:tcPr>
          <w:p>
            <w:pPr>
              <w:pStyle w:val="TableContents"/>
              <w:bidi w:val="0"/>
              <w:spacing w:before="0" w:after="0"/>
              <w:jc w:val="left"/>
              <w:rPr>
                <w:rFonts w:ascii="Times New Roman" w:hAnsi="Times New Roman"/>
                <w:sz w:val="20"/>
              </w:rPr>
            </w:pPr>
            <w:r>
              <w:rPr>
                <w:rFonts w:ascii="Times New Roman" w:hAnsi="Times New Roman"/>
                <w:sz w:val="20"/>
              </w:rPr>
              <w:t>Total income tax expense (benefit)</w:t>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w:t>
            </w:r>
          </w:p>
        </w:tc>
        <w:tc>
          <w:tcPr>
            <w:tcW w:w="157" w:type="dxa"/>
            <w:tcBorders/>
            <w:vAlign w:val="bottom"/>
          </w:tcPr>
          <w:p>
            <w:pPr>
              <w:pStyle w:val="TableContents"/>
              <w:bidi w:val="0"/>
              <w:spacing w:before="0" w:after="283"/>
              <w:jc w:val="left"/>
              <w:rPr/>
            </w:pPr>
            <w:r>
              <w:rPr/>
              <w:t> </w:t>
            </w:r>
          </w:p>
        </w:tc>
      </w:tr>
      <w:tr>
        <w:trPr/>
        <w:tc>
          <w:tcPr>
            <w:tcW w:w="7021"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components of income before income taxes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55"/>
        <w:gridCol w:w="236"/>
        <w:gridCol w:w="140"/>
        <w:gridCol w:w="895"/>
        <w:gridCol w:w="168"/>
        <w:gridCol w:w="205"/>
        <w:gridCol w:w="140"/>
        <w:gridCol w:w="895"/>
        <w:gridCol w:w="171"/>
      </w:tblGrid>
      <w:tr>
        <w:trPr/>
        <w:tc>
          <w:tcPr>
            <w:tcW w:w="7355"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4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71" w:type="dxa"/>
            <w:tcBorders/>
            <w:vAlign w:val="bottom"/>
          </w:tcPr>
          <w:p>
            <w:pPr>
              <w:pStyle w:val="TableContents"/>
              <w:bidi w:val="0"/>
              <w:spacing w:before="0" w:after="283"/>
              <w:jc w:val="left"/>
              <w:rPr/>
            </w:pPr>
            <w:r>
              <w:rPr/>
              <w:t> </w:t>
            </w:r>
          </w:p>
        </w:tc>
      </w:tr>
      <w:tr>
        <w:trPr/>
        <w:tc>
          <w:tcPr>
            <w:tcW w:w="7355"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71" w:type="dxa"/>
            <w:tcBorders/>
            <w:vAlign w:val="bottom"/>
          </w:tcPr>
          <w:p>
            <w:pPr>
              <w:pStyle w:val="TableContents"/>
              <w:bidi w:val="0"/>
              <w:spacing w:before="0" w:after="283"/>
              <w:jc w:val="left"/>
              <w:rPr/>
            </w:pPr>
            <w:r>
              <w:rPr/>
              <w:t> </w:t>
            </w:r>
          </w:p>
        </w:tc>
      </w:tr>
      <w:tr>
        <w:trPr/>
        <w:tc>
          <w:tcPr>
            <w:tcW w:w="7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(114,816</w:t>
            </w:r>
          </w:p>
        </w:tc>
        <w:tc>
          <w:tcPr>
            <w:tcW w:w="1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(209,891</w:t>
            </w:r>
          </w:p>
        </w:tc>
        <w:tc>
          <w:tcPr>
            <w:tcW w:w="171" w:type="dxa"/>
            <w:tcBorders/>
            <w:shd w:fill="CCEEFF" w:val="clear"/>
            <w:vAlign w:val="bottom"/>
          </w:tcPr>
          <w:p>
            <w:pPr>
              <w:pStyle w:val="TableContents"/>
              <w:bidi w:val="0"/>
              <w:spacing w:before="0" w:after="283"/>
              <w:jc w:val="left"/>
              <w:rPr/>
            </w:pPr>
            <w:r>
              <w:rPr/>
              <w:t>) </w:t>
            </w:r>
          </w:p>
        </w:tc>
      </w:tr>
      <w:tr>
        <w:trPr/>
        <w:tc>
          <w:tcPr>
            <w:tcW w:w="7355"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(135</w:t>
            </w:r>
          </w:p>
        </w:tc>
        <w:tc>
          <w:tcPr>
            <w:tcW w:w="1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37</w:t>
            </w:r>
          </w:p>
        </w:tc>
        <w:tc>
          <w:tcPr>
            <w:tcW w:w="17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 reconciliation of the difference between the federal statutory rate and the effective income tax rate as a percentage of income before taxes for the years ended December 31, 2019 and 2020: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41"/>
        <w:gridCol w:w="251"/>
        <w:gridCol w:w="60"/>
        <w:gridCol w:w="652"/>
        <w:gridCol w:w="351"/>
        <w:gridCol w:w="284"/>
        <w:gridCol w:w="60"/>
        <w:gridCol w:w="652"/>
        <w:gridCol w:w="354"/>
      </w:tblGrid>
      <w:tr>
        <w:trPr/>
        <w:tc>
          <w:tcPr>
            <w:tcW w:w="754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754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0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354" w:type="dxa"/>
            <w:tcBorders/>
            <w:vAlign w:val="bottom"/>
          </w:tcPr>
          <w:p>
            <w:pPr>
              <w:pStyle w:val="TableContents"/>
              <w:bidi w:val="0"/>
              <w:spacing w:before="0" w:after="283"/>
              <w:jc w:val="left"/>
              <w:rPr/>
            </w:pPr>
            <w:r>
              <w:rPr/>
              <w:t> </w:t>
            </w:r>
          </w:p>
        </w:tc>
      </w:tr>
      <w:tr>
        <w:trPr/>
        <w:tc>
          <w:tcPr>
            <w:tcW w:w="754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35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354" w:type="dxa"/>
            <w:tcBorders/>
            <w:vAlign w:val="bottom"/>
          </w:tcPr>
          <w:p>
            <w:pPr>
              <w:pStyle w:val="TableContents"/>
              <w:bidi w:val="0"/>
              <w:spacing w:before="0" w:after="283"/>
              <w:jc w:val="left"/>
              <w:rPr/>
            </w:pPr>
            <w:r>
              <w:rPr/>
              <w:t> </w:t>
            </w:r>
          </w:p>
        </w:tc>
      </w:tr>
      <w:tr>
        <w:trPr/>
        <w:tc>
          <w:tcPr>
            <w:tcW w:w="7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Statutory Tax Rate</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21.00</w:t>
            </w:r>
          </w:p>
        </w:tc>
        <w:tc>
          <w:tcPr>
            <w:tcW w:w="35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21.00</w:t>
            </w:r>
          </w:p>
        </w:tc>
        <w:tc>
          <w:tcPr>
            <w:tcW w:w="354" w:type="dxa"/>
            <w:tcBorders/>
            <w:shd w:fill="CCEEFF" w:val="clear"/>
            <w:vAlign w:val="bottom"/>
          </w:tcPr>
          <w:p>
            <w:pPr>
              <w:pStyle w:val="TableContents"/>
              <w:bidi w:val="0"/>
              <w:spacing w:before="0" w:after="283"/>
              <w:jc w:val="left"/>
              <w:rPr/>
            </w:pPr>
            <w:r>
              <w:rPr/>
              <w:t>% </w:t>
            </w:r>
          </w:p>
        </w:tc>
      </w:tr>
      <w:tr>
        <w:trPr/>
        <w:tc>
          <w:tcPr>
            <w:tcW w:w="7541" w:type="dxa"/>
            <w:tcBorders/>
          </w:tcPr>
          <w:p>
            <w:pPr>
              <w:pStyle w:val="TableContents"/>
              <w:bidi w:val="0"/>
              <w:spacing w:before="0" w:after="0"/>
              <w:jc w:val="left"/>
              <w:rPr>
                <w:rFonts w:ascii="Times New Roman" w:hAnsi="Times New Roman"/>
                <w:sz w:val="20"/>
              </w:rPr>
            </w:pPr>
            <w:r>
              <w:rPr>
                <w:rFonts w:ascii="Times New Roman" w:hAnsi="Times New Roman"/>
                <w:sz w:val="20"/>
              </w:rPr>
              <w:t>State Statutory Tax Rate</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5.14</w:t>
            </w:r>
          </w:p>
        </w:tc>
        <w:tc>
          <w:tcPr>
            <w:tcW w:w="35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5.43</w:t>
            </w:r>
          </w:p>
        </w:tc>
        <w:tc>
          <w:tcPr>
            <w:tcW w:w="354" w:type="dxa"/>
            <w:tcBorders/>
            <w:vAlign w:val="bottom"/>
          </w:tcPr>
          <w:p>
            <w:pPr>
              <w:pStyle w:val="TableContents"/>
              <w:bidi w:val="0"/>
              <w:spacing w:before="0" w:after="283"/>
              <w:jc w:val="left"/>
              <w:rPr/>
            </w:pPr>
            <w:r>
              <w:rPr/>
              <w:t>% </w:t>
            </w:r>
          </w:p>
        </w:tc>
      </w:tr>
      <w:tr>
        <w:trPr/>
        <w:tc>
          <w:tcPr>
            <w:tcW w:w="7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(0.21</w:t>
            </w:r>
          </w:p>
        </w:tc>
        <w:tc>
          <w:tcPr>
            <w:tcW w:w="35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(2.16</w:t>
            </w:r>
          </w:p>
        </w:tc>
        <w:tc>
          <w:tcPr>
            <w:tcW w:w="354" w:type="dxa"/>
            <w:tcBorders/>
            <w:shd w:fill="CCEEFF" w:val="clear"/>
            <w:vAlign w:val="bottom"/>
          </w:tcPr>
          <w:p>
            <w:pPr>
              <w:pStyle w:val="TableContents"/>
              <w:bidi w:val="0"/>
              <w:spacing w:before="0" w:after="283"/>
              <w:jc w:val="left"/>
              <w:rPr/>
            </w:pPr>
            <w:r>
              <w:rPr/>
              <w:t>%) </w:t>
            </w:r>
          </w:p>
        </w:tc>
      </w:tr>
      <w:tr>
        <w:trPr/>
        <w:tc>
          <w:tcPr>
            <w:tcW w:w="754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(1.04</w:t>
            </w:r>
          </w:p>
        </w:tc>
        <w:tc>
          <w:tcPr>
            <w:tcW w:w="35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0.14</w:t>
            </w:r>
          </w:p>
        </w:tc>
        <w:tc>
          <w:tcPr>
            <w:tcW w:w="354" w:type="dxa"/>
            <w:tcBorders/>
            <w:vAlign w:val="bottom"/>
          </w:tcPr>
          <w:p>
            <w:pPr>
              <w:pStyle w:val="TableContents"/>
              <w:bidi w:val="0"/>
              <w:spacing w:before="0" w:after="283"/>
              <w:jc w:val="left"/>
              <w:rPr/>
            </w:pPr>
            <w:r>
              <w:rPr/>
              <w:t>% </w:t>
            </w:r>
          </w:p>
        </w:tc>
      </w:tr>
      <w:tr>
        <w:trPr/>
        <w:tc>
          <w:tcPr>
            <w:tcW w:w="7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(24.89</w:t>
            </w:r>
          </w:p>
        </w:tc>
        <w:tc>
          <w:tcPr>
            <w:tcW w:w="351"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(24.41</w:t>
            </w:r>
          </w:p>
        </w:tc>
        <w:tc>
          <w:tcPr>
            <w:tcW w:w="354" w:type="dxa"/>
            <w:tcBorders/>
            <w:shd w:fill="CCEEFF" w:val="clear"/>
            <w:vAlign w:val="bottom"/>
          </w:tcPr>
          <w:p>
            <w:pPr>
              <w:pStyle w:val="TableContents"/>
              <w:bidi w:val="0"/>
              <w:spacing w:before="0" w:after="283"/>
              <w:jc w:val="left"/>
              <w:rPr/>
            </w:pPr>
            <w:r>
              <w:rPr/>
              <w:t>%) </w:t>
            </w:r>
          </w:p>
        </w:tc>
      </w:tr>
      <w:tr>
        <w:trPr/>
        <w:tc>
          <w:tcPr>
            <w:tcW w:w="754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754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0.00</w:t>
            </w:r>
          </w:p>
        </w:tc>
        <w:tc>
          <w:tcPr>
            <w:tcW w:w="351"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0.00</w:t>
            </w:r>
          </w:p>
        </w:tc>
        <w:tc>
          <w:tcPr>
            <w:tcW w:w="354"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Net change in valuation allowance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32"/>
        <w:gridCol w:w="234"/>
        <w:gridCol w:w="140"/>
        <w:gridCol w:w="689"/>
        <w:gridCol w:w="164"/>
        <w:gridCol w:w="204"/>
        <w:gridCol w:w="140"/>
        <w:gridCol w:w="837"/>
        <w:gridCol w:w="65"/>
      </w:tblGrid>
      <w:tr>
        <w:trPr/>
        <w:tc>
          <w:tcPr>
            <w:tcW w:w="7732"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73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1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7732"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2019</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5" w:type="dxa"/>
            <w:tcBorders/>
            <w:vAlign w:val="bottom"/>
          </w:tcPr>
          <w:p>
            <w:pPr>
              <w:pStyle w:val="TableContents"/>
              <w:bidi w:val="0"/>
              <w:spacing w:before="0" w:after="283"/>
              <w:jc w:val="left"/>
              <w:rPr/>
            </w:pPr>
            <w:r>
              <w:rPr/>
              <w:t> </w:t>
            </w:r>
          </w:p>
        </w:tc>
      </w:tr>
      <w:tr>
        <w:trPr/>
        <w:tc>
          <w:tcPr>
            <w:tcW w:w="7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 beginning of year</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27,386</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7" w:type="dxa"/>
            <w:tcBorders/>
            <w:shd w:fill="CCEEFF" w:val="clear"/>
            <w:vAlign w:val="bottom"/>
          </w:tcPr>
          <w:p>
            <w:pPr>
              <w:pStyle w:val="TableContents"/>
              <w:bidi w:val="0"/>
              <w:spacing w:before="0" w:after="283"/>
              <w:jc w:val="right"/>
              <w:rPr/>
            </w:pPr>
            <w:r>
              <w:rPr/>
              <w:t>51,237</w:t>
            </w:r>
          </w:p>
        </w:tc>
        <w:tc>
          <w:tcPr>
            <w:tcW w:w="65" w:type="dxa"/>
            <w:tcBorders/>
            <w:shd w:fill="CCEEFF" w:val="clear"/>
            <w:vAlign w:val="bottom"/>
          </w:tcPr>
          <w:p>
            <w:pPr>
              <w:pStyle w:val="TableContents"/>
              <w:bidi w:val="0"/>
              <w:spacing w:before="0" w:after="283"/>
              <w:jc w:val="left"/>
              <w:rPr/>
            </w:pPr>
            <w:r>
              <w:rPr/>
              <w:t> </w:t>
            </w:r>
          </w:p>
        </w:tc>
      </w:tr>
      <w:tr>
        <w:trPr/>
        <w:tc>
          <w:tcPr>
            <w:tcW w:w="7732" w:type="dxa"/>
            <w:tcBorders/>
          </w:tcPr>
          <w:p>
            <w:pPr>
              <w:pStyle w:val="TableContents"/>
              <w:bidi w:val="0"/>
              <w:spacing w:before="0" w:after="0"/>
              <w:jc w:val="left"/>
              <w:rPr>
                <w:rFonts w:ascii="Times New Roman" w:hAnsi="Times New Roman"/>
                <w:sz w:val="20"/>
              </w:rPr>
            </w:pPr>
            <w:r>
              <w:rPr>
                <w:rFonts w:ascii="Times New Roman" w:hAnsi="Times New Roman"/>
                <w:sz w:val="20"/>
              </w:rPr>
              <w:t>Charges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28,599</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51,230</w:t>
            </w:r>
          </w:p>
        </w:tc>
        <w:tc>
          <w:tcPr>
            <w:tcW w:w="65" w:type="dxa"/>
            <w:tcBorders/>
            <w:vAlign w:val="bottom"/>
          </w:tcPr>
          <w:p>
            <w:pPr>
              <w:pStyle w:val="TableContents"/>
              <w:bidi w:val="0"/>
              <w:spacing w:before="0" w:after="283"/>
              <w:jc w:val="left"/>
              <w:rPr/>
            </w:pPr>
            <w:r>
              <w:rPr/>
              <w:t> </w:t>
            </w:r>
          </w:p>
        </w:tc>
      </w:tr>
      <w:tr>
        <w:trPr/>
        <w:tc>
          <w:tcPr>
            <w:tcW w:w="7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accounting adjustments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(4,748</w:t>
            </w:r>
          </w:p>
        </w:tc>
        <w:tc>
          <w:tcPr>
            <w:tcW w:w="164"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514</w:t>
            </w:r>
          </w:p>
        </w:tc>
        <w:tc>
          <w:tcPr>
            <w:tcW w:w="65" w:type="dxa"/>
            <w:tcBorders/>
            <w:shd w:fill="CCEEFF" w:val="clear"/>
            <w:vAlign w:val="bottom"/>
          </w:tcPr>
          <w:p>
            <w:pPr>
              <w:pStyle w:val="TableContents"/>
              <w:bidi w:val="0"/>
              <w:spacing w:before="0" w:after="283"/>
              <w:jc w:val="left"/>
              <w:rPr/>
            </w:pPr>
            <w:r>
              <w:rPr/>
              <w:t> </w:t>
            </w:r>
          </w:p>
        </w:tc>
      </w:tr>
      <w:tr>
        <w:trPr/>
        <w:tc>
          <w:tcPr>
            <w:tcW w:w="7732"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32"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 end of year</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51,237</w:t>
            </w:r>
          </w:p>
        </w:tc>
        <w:tc>
          <w:tcPr>
            <w:tcW w:w="164"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102,981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2019 or 2020.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2020, the Company had federal net operating loss (NOL) carry forwards of $380.9 million and state NOL carry forwards of approximately $262.4 million, which may be available to offset future taxable income. The federal NOLs will begin to expire in 2037 and the state NOLs will begin to expire in 2028. A full valuation allowance has been recorded against the NOL carry forwards. </w:t>
      </w:r>
    </w:p>
    <w:p>
      <w:pPr>
        <w:pStyle w:val="TextBody"/>
        <w:bidi w:val="0"/>
        <w:spacing w:before="240" w:after="0"/>
        <w:jc w:val="both"/>
        <w:rPr>
          <w:rFonts w:ascii="Times New Roman" w:hAnsi="Times New Roman"/>
          <w:sz w:val="20"/>
        </w:rPr>
      </w:pPr>
      <w:r>
        <w:rPr>
          <w:rFonts w:ascii="Times New Roman" w:hAnsi="Times New Roman"/>
          <w:sz w:val="20"/>
        </w:rPr>
        <w:t xml:space="preserve">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2020, and 2019,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2020 and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recognizes interest and, if applicable, penalties for any uncertain tax positions. Interest and penalties are recorded as a component of income tax expense. In the years ended December 31, 2020 and 2019, the Company did not have any accrued interest or penalties associated with any unrecognized tax benefits. </w:t>
      </w:r>
    </w:p>
    <w:p>
      <w:pPr>
        <w:pStyle w:val="TextBody"/>
        <w:bidi w:val="0"/>
        <w:spacing w:before="240" w:after="0"/>
        <w:jc w:val="both"/>
        <w:rPr>
          <w:rFonts w:ascii="Times New Roman" w:hAnsi="Times New Roman"/>
          <w:sz w:val="20"/>
        </w:rPr>
      </w:pPr>
      <w:r>
        <w:rPr>
          <w:rFonts w:ascii="Times New Roman" w:hAnsi="Times New Roman"/>
          <w:sz w:val="20"/>
        </w:rPr>
        <w:t xml:space="preserve">The Company does not provide for U.S. income taxes on unremitted earnings of foreign subsidiaries. Unremitted earnings of foreign subsidiaries were immaterial on December 31, 2019 and 2020. </w:t>
      </w:r>
    </w:p>
    <w:p>
      <w:pPr>
        <w:pStyle w:val="TextBody"/>
        <w:bidi w:val="0"/>
        <w:spacing w:before="360" w:after="0"/>
        <w:jc w:val="left"/>
        <w:rPr>
          <w:rFonts w:ascii="Times New Roman" w:hAnsi="Times New Roman"/>
          <w:b/>
          <w:sz w:val="20"/>
        </w:rPr>
      </w:pPr>
      <w:r>
        <w:rPr>
          <w:rFonts w:ascii="Times New Roman" w:hAnsi="Times New Roman"/>
          <w:b/>
          <w:sz w:val="20"/>
        </w:rPr>
        <w:t xml:space="preserve">For the Six Months Ended June 30, 2020 and 2021 </w:t>
      </w:r>
    </w:p>
    <w:p>
      <w:pPr>
        <w:pStyle w:val="TextBody"/>
        <w:bidi w:val="0"/>
        <w:spacing w:before="120" w:after="0"/>
        <w:jc w:val="both"/>
        <w:rPr>
          <w:rFonts w:ascii="Times New Roman" w:hAnsi="Times New Roman"/>
          <w:sz w:val="20"/>
        </w:rPr>
      </w:pPr>
      <w:r>
        <w:rPr>
          <w:rFonts w:ascii="Times New Roman" w:hAnsi="Times New Roman"/>
          <w:sz w:val="20"/>
        </w:rPr>
        <w:t xml:space="preserve">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w:t>
      </w:r>
    </w:p>
    <w:p>
      <w:pPr>
        <w:pStyle w:val="TextBody"/>
        <w:bidi w:val="0"/>
        <w:spacing w:before="240" w:after="0"/>
        <w:jc w:val="both"/>
        <w:rPr>
          <w:rFonts w:ascii="Times New Roman" w:hAnsi="Times New Roman"/>
          <w:sz w:val="20"/>
        </w:rPr>
      </w:pPr>
      <w:r>
        <w:rPr>
          <w:rFonts w:ascii="Times New Roman" w:hAnsi="Times New Roman"/>
          <w:sz w:val="20"/>
        </w:rPr>
        <w:t xml:space="preserve">There is no current income tax expense (benefit) for the six months ended June 30, 2020 and 2021. </w:t>
      </w:r>
    </w:p>
    <w:p>
      <w:pPr>
        <w:pStyle w:val="TextBody"/>
        <w:bidi w:val="0"/>
        <w:spacing w:before="240" w:after="0"/>
        <w:jc w:val="both"/>
        <w:rPr>
          <w:rFonts w:ascii="Times New Roman" w:hAnsi="Times New Roman"/>
          <w:sz w:val="20"/>
        </w:rPr>
      </w:pPr>
      <w:r>
        <w:rPr>
          <w:rFonts w:ascii="Times New Roman" w:hAnsi="Times New Roman"/>
          <w:sz w:val="20"/>
        </w:rPr>
        <w:t xml:space="preserve">Due to the Companys history of losses in the United States, a full valuation allowance on all of the Companys deferred tax assets, including net operating loss carryforwards and other book versus tax differences, was maintained.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carrying amounts of financial instruments, including cash, accounts receivable, capital lease obligations, minimum royalties, accounts payable, and accrued expenses approximate fair value due to the short maturity of these instruments. The carrying amounts of the related party receivable, capital lease obligations, and minimum royalties approximate fair value because the interest rates used fluctuate with market interest rates or the fixed rates are based on current rates offered to the Company for debt with similar terms and maturities. </w:t>
      </w:r>
    </w:p>
    <w:p>
      <w:pPr>
        <w:pStyle w:val="TextBody"/>
        <w:bidi w:val="0"/>
        <w:spacing w:before="240" w:after="0"/>
        <w:jc w:val="both"/>
        <w:rPr>
          <w:rFonts w:ascii="Times New Roman" w:hAnsi="Times New Roman"/>
          <w:sz w:val="20"/>
        </w:rPr>
      </w:pPr>
      <w:r>
        <w:rPr>
          <w:rFonts w:ascii="Times New Roman" w:hAnsi="Times New Roman"/>
          <w:sz w:val="20"/>
        </w:rPr>
        <w:t xml:space="preserve">The valuation methodologies used for the Companys assets and liabilities measured at fair value and their classification in the valuation hierarchy are summarized below: </w:t>
      </w:r>
    </w:p>
    <w:p>
      <w:pPr>
        <w:pStyle w:val="TextBody"/>
        <w:bidi w:val="0"/>
        <w:spacing w:before="120" w:after="0"/>
        <w:jc w:val="both"/>
        <w:rPr>
          <w:rFonts w:ascii="Times New Roman" w:hAnsi="Times New Roman"/>
          <w:sz w:val="20"/>
        </w:rPr>
      </w:pPr>
      <w:r>
        <w:rPr>
          <w:rFonts w:ascii="Times New Roman" w:hAnsi="Times New Roman"/>
          <w:i/>
          <w:sz w:val="20"/>
        </w:rPr>
        <w:t>Contingent consideration</w:t>
      </w:r>
      <w:r>
        <w:rPr>
          <w:rFonts w:ascii="Times New Roman" w:hAnsi="Times New Roman"/>
          <w:sz w:val="20"/>
        </w:rPr>
        <w:t xml:space="preserve">The Company is subject to a contingent consideration arrangement to transfer non-voting shares of common stock to the former owners of a business acquired in December 2019. See Note 3, Business Combinations, for further discussion of that acquisition. </w:t>
      </w:r>
    </w:p>
    <w:p>
      <w:pPr>
        <w:pStyle w:val="TextBody"/>
        <w:bidi w:val="0"/>
        <w:spacing w:before="120" w:after="0"/>
        <w:jc w:val="both"/>
        <w:rPr>
          <w:rFonts w:ascii="Times New Roman" w:hAnsi="Times New Roman"/>
          <w:sz w:val="20"/>
        </w:rPr>
      </w:pPr>
      <w:r>
        <w:rPr>
          <w:rFonts w:ascii="Times New Roman" w:hAnsi="Times New Roman"/>
          <w:sz w:val="20"/>
        </w:rPr>
        <w:t xml:space="preserve">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summarizes liabilities that are measured at fair value on a recurring basis as of December 31, 2019 and 2020 and June 30, 2021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00"/>
        <w:gridCol w:w="304"/>
        <w:gridCol w:w="241"/>
        <w:gridCol w:w="1183"/>
        <w:gridCol w:w="60"/>
        <w:gridCol w:w="304"/>
        <w:gridCol w:w="1695"/>
        <w:gridCol w:w="276"/>
        <w:gridCol w:w="60"/>
        <w:gridCol w:w="304"/>
        <w:gridCol w:w="1511"/>
        <w:gridCol w:w="249"/>
        <w:gridCol w:w="60"/>
        <w:gridCol w:w="304"/>
        <w:gridCol w:w="474"/>
        <w:gridCol w:w="1013"/>
        <w:gridCol w:w="67"/>
      </w:tblGrid>
      <w:tr>
        <w:trPr/>
        <w:tc>
          <w:tcPr>
            <w:tcW w:w="210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10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94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 at Reporting Date Using</w:t>
            </w:r>
          </w:p>
        </w:tc>
        <w:tc>
          <w:tcPr>
            <w:tcW w:w="67" w:type="dxa"/>
            <w:tcBorders/>
            <w:vAlign w:val="bottom"/>
          </w:tcPr>
          <w:p>
            <w:pPr>
              <w:pStyle w:val="TableContents"/>
              <w:bidi w:val="0"/>
              <w:spacing w:before="0" w:after="283"/>
              <w:jc w:val="left"/>
              <w:rPr/>
            </w:pPr>
            <w:r>
              <w:rPr/>
              <w:t> </w:t>
            </w:r>
          </w:p>
        </w:tc>
      </w:tr>
      <w:tr>
        <w:trPr/>
        <w:tc>
          <w:tcPr>
            <w:tcW w:w="210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2019</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Quoted Prices in</w:t>
              <w:br/>
              <w:t>Active Market</w:t>
              <w:br/>
              <w:t>for Identical Assets</w:t>
              <w:br/>
              <w:t>(Level 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 Other</w:t>
              <w:br/>
              <w:t>Observable</w:t>
              <w:br/>
              <w:t>Inputs</w:t>
            </w:r>
            <w:r>
              <w:rPr/>
              <w:br/>
            </w:r>
            <w:r>
              <w:rPr>
                <w:b/>
              </w:rPr>
              <w:t>(Level 2)</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br/>
              <w:t>Unobservable</w:t>
              <w:br/>
              <w:t>Inputs</w:t>
            </w:r>
            <w:r>
              <w:rPr/>
              <w:br/>
            </w:r>
            <w:r>
              <w:rPr>
                <w:b/>
              </w:rPr>
              <w:t>(Level 3)</w:t>
            </w:r>
          </w:p>
        </w:tc>
        <w:tc>
          <w:tcPr>
            <w:tcW w:w="67"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0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0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3,380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left"/>
              <w:rPr/>
            </w:pPr>
            <w:r>
              <w:rPr/>
              <w:t>$</w:t>
            </w:r>
          </w:p>
        </w:tc>
        <w:tc>
          <w:tcPr>
            <w:tcW w:w="27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left"/>
              <w:rPr/>
            </w:pPr>
            <w:r>
              <w:rPr/>
              <w:t>$</w:t>
            </w:r>
          </w:p>
        </w:tc>
        <w:tc>
          <w:tcPr>
            <w:tcW w:w="24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3,380</w:t>
            </w:r>
          </w:p>
        </w:tc>
        <w:tc>
          <w:tcPr>
            <w:tcW w:w="67" w:type="dxa"/>
            <w:tcBorders/>
            <w:vAlign w:val="bottom"/>
          </w:tcPr>
          <w:p>
            <w:pPr>
              <w:pStyle w:val="TableContents"/>
              <w:bidi w:val="0"/>
              <w:spacing w:before="0" w:after="283"/>
              <w:jc w:val="left"/>
              <w:rPr/>
            </w:pPr>
            <w:r>
              <w:rPr/>
              <w:t> </w:t>
            </w:r>
          </w:p>
        </w:tc>
      </w:tr>
      <w:tr>
        <w:trPr>
          <w:trHeight w:val="240" w:hRule="atLeast"/>
        </w:trPr>
        <w:tc>
          <w:tcPr>
            <w:tcW w:w="2100" w:type="dxa"/>
            <w:tcBorders/>
            <w:vAlign w:val="center"/>
          </w:tcPr>
          <w:p>
            <w:pPr>
              <w:pStyle w:val="TableContents"/>
              <w:bidi w:val="0"/>
              <w:spacing w:before="0" w:after="283"/>
              <w:jc w:val="left"/>
              <w:rPr>
                <w:sz w:val="4"/>
                <w:szCs w:val="4"/>
              </w:rPr>
            </w:pPr>
            <w:r>
              <w:rPr>
                <w:sz w:val="4"/>
                <w:szCs w:val="4"/>
              </w:rPr>
            </w:r>
          </w:p>
        </w:tc>
        <w:tc>
          <w:tcPr>
            <w:tcW w:w="1788" w:type="dxa"/>
            <w:gridSpan w:val="4"/>
            <w:tcBorders/>
            <w:vAlign w:val="center"/>
          </w:tcPr>
          <w:p>
            <w:pPr>
              <w:pStyle w:val="TableContents"/>
              <w:bidi w:val="0"/>
              <w:spacing w:before="0" w:after="283"/>
              <w:jc w:val="left"/>
              <w:rPr>
                <w:sz w:val="4"/>
                <w:szCs w:val="4"/>
              </w:rPr>
            </w:pPr>
            <w:r>
              <w:rPr>
                <w:sz w:val="4"/>
                <w:szCs w:val="4"/>
              </w:rPr>
            </w:r>
          </w:p>
        </w:tc>
        <w:tc>
          <w:tcPr>
            <w:tcW w:w="6317" w:type="dxa"/>
            <w:gridSpan w:val="12"/>
            <w:tcBorders/>
            <w:vAlign w:val="center"/>
          </w:tcPr>
          <w:p>
            <w:pPr>
              <w:pStyle w:val="TableContents"/>
              <w:bidi w:val="0"/>
              <w:spacing w:before="0" w:after="283"/>
              <w:jc w:val="left"/>
              <w:rPr>
                <w:sz w:val="4"/>
                <w:szCs w:val="4"/>
              </w:rPr>
            </w:pPr>
            <w:r>
              <w:rPr>
                <w:sz w:val="4"/>
                <w:szCs w:val="4"/>
              </w:rPr>
            </w:r>
          </w:p>
        </w:tc>
      </w:tr>
      <w:tr>
        <w:trPr/>
        <w:tc>
          <w:tcPr>
            <w:tcW w:w="210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94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 at Reporting Date Using</w:t>
            </w:r>
          </w:p>
        </w:tc>
        <w:tc>
          <w:tcPr>
            <w:tcW w:w="67" w:type="dxa"/>
            <w:tcBorders/>
            <w:vAlign w:val="bottom"/>
          </w:tcPr>
          <w:p>
            <w:pPr>
              <w:pStyle w:val="TableContents"/>
              <w:bidi w:val="0"/>
              <w:spacing w:before="0" w:after="283"/>
              <w:jc w:val="left"/>
              <w:rPr/>
            </w:pPr>
            <w:r>
              <w:rPr/>
              <w:t> </w:t>
            </w:r>
          </w:p>
        </w:tc>
      </w:tr>
      <w:tr>
        <w:trPr/>
        <w:tc>
          <w:tcPr>
            <w:tcW w:w="210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Quoted Prices in</w:t>
              <w:br/>
              <w:t>Active Market</w:t>
              <w:br/>
              <w:t>for Identical Assets</w:t>
              <w:br/>
              <w:t>(Level 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 Other</w:t>
              <w:br/>
              <w:t>Observable</w:t>
              <w:br/>
              <w:t>Inputs</w:t>
            </w:r>
            <w:r>
              <w:rPr/>
              <w:br/>
            </w:r>
            <w:r>
              <w:rPr>
                <w:b/>
              </w:rPr>
              <w:t>(Level 2)</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br/>
              <w:t>Unobservable</w:t>
              <w:br/>
              <w:t>Inputs</w:t>
            </w:r>
            <w:r>
              <w:rPr/>
              <w:br/>
            </w:r>
            <w:r>
              <w:rPr>
                <w:b/>
              </w:rPr>
              <w:t>(Level 3)</w:t>
            </w:r>
          </w:p>
        </w:tc>
        <w:tc>
          <w:tcPr>
            <w:tcW w:w="67"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0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0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10,271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left"/>
              <w:rPr/>
            </w:pPr>
            <w:r>
              <w:rPr/>
              <w:t>$</w:t>
            </w:r>
          </w:p>
        </w:tc>
        <w:tc>
          <w:tcPr>
            <w:tcW w:w="27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left"/>
              <w:rPr/>
            </w:pPr>
            <w:r>
              <w:rPr/>
              <w:t>$</w:t>
            </w:r>
          </w:p>
        </w:tc>
        <w:tc>
          <w:tcPr>
            <w:tcW w:w="24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10,271</w:t>
            </w:r>
          </w:p>
        </w:tc>
        <w:tc>
          <w:tcPr>
            <w:tcW w:w="67" w:type="dxa"/>
            <w:tcBorders/>
            <w:vAlign w:val="bottom"/>
          </w:tcPr>
          <w:p>
            <w:pPr>
              <w:pStyle w:val="TableContents"/>
              <w:bidi w:val="0"/>
              <w:spacing w:before="0" w:after="283"/>
              <w:jc w:val="left"/>
              <w:rPr/>
            </w:pPr>
            <w:r>
              <w:rPr/>
              <w:t> </w:t>
            </w:r>
          </w:p>
        </w:tc>
      </w:tr>
      <w:tr>
        <w:trPr>
          <w:trHeight w:val="240" w:hRule="atLeast"/>
        </w:trPr>
        <w:tc>
          <w:tcPr>
            <w:tcW w:w="2100" w:type="dxa"/>
            <w:tcBorders/>
            <w:vAlign w:val="center"/>
          </w:tcPr>
          <w:p>
            <w:pPr>
              <w:pStyle w:val="TableContents"/>
              <w:bidi w:val="0"/>
              <w:spacing w:before="0" w:after="283"/>
              <w:jc w:val="left"/>
              <w:rPr>
                <w:sz w:val="4"/>
                <w:szCs w:val="4"/>
              </w:rPr>
            </w:pPr>
            <w:r>
              <w:rPr>
                <w:sz w:val="4"/>
                <w:szCs w:val="4"/>
              </w:rPr>
            </w:r>
          </w:p>
        </w:tc>
        <w:tc>
          <w:tcPr>
            <w:tcW w:w="1788" w:type="dxa"/>
            <w:gridSpan w:val="4"/>
            <w:tcBorders/>
            <w:vAlign w:val="center"/>
          </w:tcPr>
          <w:p>
            <w:pPr>
              <w:pStyle w:val="TableContents"/>
              <w:bidi w:val="0"/>
              <w:spacing w:before="0" w:after="283"/>
              <w:jc w:val="left"/>
              <w:rPr>
                <w:sz w:val="4"/>
                <w:szCs w:val="4"/>
              </w:rPr>
            </w:pPr>
            <w:r>
              <w:rPr>
                <w:sz w:val="4"/>
                <w:szCs w:val="4"/>
              </w:rPr>
            </w:r>
          </w:p>
        </w:tc>
        <w:tc>
          <w:tcPr>
            <w:tcW w:w="6317" w:type="dxa"/>
            <w:gridSpan w:val="12"/>
            <w:tcBorders/>
            <w:vAlign w:val="center"/>
          </w:tcPr>
          <w:p>
            <w:pPr>
              <w:pStyle w:val="TableContents"/>
              <w:bidi w:val="0"/>
              <w:spacing w:before="0" w:after="283"/>
              <w:jc w:val="left"/>
              <w:rPr>
                <w:sz w:val="4"/>
                <w:szCs w:val="4"/>
              </w:rPr>
            </w:pPr>
            <w:r>
              <w:rPr>
                <w:sz w:val="4"/>
                <w:szCs w:val="4"/>
              </w:rPr>
            </w:r>
          </w:p>
        </w:tc>
      </w:tr>
      <w:tr>
        <w:trPr/>
        <w:tc>
          <w:tcPr>
            <w:tcW w:w="210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94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 at Reporting Date Using</w:t>
            </w:r>
          </w:p>
        </w:tc>
        <w:tc>
          <w:tcPr>
            <w:tcW w:w="67" w:type="dxa"/>
            <w:tcBorders/>
            <w:vAlign w:val="bottom"/>
          </w:tcPr>
          <w:p>
            <w:pPr>
              <w:pStyle w:val="TableContents"/>
              <w:bidi w:val="0"/>
              <w:spacing w:before="0" w:after="283"/>
              <w:jc w:val="left"/>
              <w:rPr/>
            </w:pPr>
            <w:r>
              <w:rPr/>
              <w:t> </w:t>
            </w:r>
          </w:p>
        </w:tc>
      </w:tr>
      <w:tr>
        <w:trPr/>
        <w:tc>
          <w:tcPr>
            <w:tcW w:w="210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9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Quoted Prices in</w:t>
              <w:br/>
              <w:t>Active Market</w:t>
              <w:br/>
              <w:t>for Identical Assets</w:t>
              <w:br/>
              <w:t>(Level 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 Other</w:t>
              <w:br/>
              <w:t>Observable</w:t>
              <w:br/>
              <w:t>Inputs</w:t>
            </w:r>
            <w:r>
              <w:rPr/>
              <w:br/>
            </w:r>
            <w:r>
              <w:rPr>
                <w:b/>
              </w:rPr>
              <w:t>(Level 2)</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br/>
              <w:t>Unobservable</w:t>
              <w:br/>
              <w:t>Inputs</w:t>
            </w:r>
            <w:r>
              <w:rPr/>
              <w:br/>
            </w:r>
            <w:r>
              <w:rPr>
                <w:b/>
              </w:rPr>
              <w:t>(Level 3)</w:t>
            </w:r>
          </w:p>
        </w:tc>
        <w:tc>
          <w:tcPr>
            <w:tcW w:w="67" w:type="dxa"/>
            <w:tcBorders/>
            <w:vAlign w:val="bottom"/>
          </w:tcPr>
          <w:p>
            <w:pPr>
              <w:pStyle w:val="TableContents"/>
              <w:bidi w:val="0"/>
              <w:spacing w:before="0" w:after="283"/>
              <w:jc w:val="left"/>
              <w:rPr/>
            </w:pPr>
            <w:r>
              <w:rPr/>
              <w:t> </w:t>
            </w:r>
          </w:p>
        </w:tc>
      </w:tr>
      <w:tr>
        <w:trPr/>
        <w:tc>
          <w:tcPr>
            <w:tcW w:w="2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30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100"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0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6,920</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left"/>
              <w:rPr/>
            </w:pPr>
            <w:r>
              <w:rPr/>
              <w:t>$</w:t>
            </w:r>
          </w:p>
        </w:tc>
        <w:tc>
          <w:tcPr>
            <w:tcW w:w="27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left"/>
              <w:rPr/>
            </w:pPr>
            <w:r>
              <w:rPr/>
              <w:t>$</w:t>
            </w:r>
          </w:p>
        </w:tc>
        <w:tc>
          <w:tcPr>
            <w:tcW w:w="24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6,920</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a reconciliation of the beginning and ending balances for the liabilities measured at fair value using significant unobservable inputs (Level 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95"/>
        <w:gridCol w:w="583"/>
        <w:gridCol w:w="249"/>
        <w:gridCol w:w="1216"/>
        <w:gridCol w:w="62"/>
      </w:tblGrid>
      <w:tr>
        <w:trPr/>
        <w:tc>
          <w:tcPr>
            <w:tcW w:w="8095" w:type="dxa"/>
            <w:tcBorders/>
            <w:vAlign w:val="center"/>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095"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Contingent</w:t>
              <w:br/>
              <w:t>Consideration</w:t>
            </w:r>
          </w:p>
        </w:tc>
        <w:tc>
          <w:tcPr>
            <w:tcW w:w="62" w:type="dxa"/>
            <w:tcBorders/>
            <w:vAlign w:val="bottom"/>
          </w:tcPr>
          <w:p>
            <w:pPr>
              <w:pStyle w:val="TableContents"/>
              <w:bidi w:val="0"/>
              <w:spacing w:before="0" w:after="283"/>
              <w:jc w:val="left"/>
              <w:rPr/>
            </w:pPr>
            <w:r>
              <w:rPr/>
              <w:t> </w:t>
            </w:r>
          </w:p>
        </w:tc>
      </w:tr>
      <w:tr>
        <w:trPr/>
        <w:tc>
          <w:tcPr>
            <w:tcW w:w="80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2019</w:t>
            </w:r>
          </w:p>
        </w:tc>
        <w:tc>
          <w:tcPr>
            <w:tcW w:w="58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3,380</w:t>
            </w:r>
          </w:p>
        </w:tc>
        <w:tc>
          <w:tcPr>
            <w:tcW w:w="62" w:type="dxa"/>
            <w:tcBorders/>
            <w:shd w:fill="CCEEFF" w:val="clear"/>
            <w:vAlign w:val="bottom"/>
          </w:tcPr>
          <w:p>
            <w:pPr>
              <w:pStyle w:val="TableContents"/>
              <w:bidi w:val="0"/>
              <w:spacing w:before="0" w:after="283"/>
              <w:jc w:val="left"/>
              <w:rPr/>
            </w:pPr>
            <w:r>
              <w:rPr/>
              <w:t> </w:t>
            </w:r>
          </w:p>
        </w:tc>
      </w:tr>
      <w:tr>
        <w:trPr/>
        <w:tc>
          <w:tcPr>
            <w:tcW w:w="809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58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6,891</w:t>
            </w:r>
          </w:p>
        </w:tc>
        <w:tc>
          <w:tcPr>
            <w:tcW w:w="62" w:type="dxa"/>
            <w:tcBorders/>
            <w:vAlign w:val="bottom"/>
          </w:tcPr>
          <w:p>
            <w:pPr>
              <w:pStyle w:val="TableContents"/>
              <w:bidi w:val="0"/>
              <w:spacing w:before="0" w:after="283"/>
              <w:jc w:val="left"/>
              <w:rPr/>
            </w:pPr>
            <w:r>
              <w:rPr/>
              <w:t> </w:t>
            </w:r>
          </w:p>
        </w:tc>
      </w:tr>
      <w:tr>
        <w:trPr/>
        <w:tc>
          <w:tcPr>
            <w:tcW w:w="8095"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0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2020</w:t>
            </w:r>
          </w:p>
        </w:tc>
        <w:tc>
          <w:tcPr>
            <w:tcW w:w="58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10,271</w:t>
            </w:r>
          </w:p>
        </w:tc>
        <w:tc>
          <w:tcPr>
            <w:tcW w:w="62" w:type="dxa"/>
            <w:tcBorders/>
            <w:shd w:fill="CCEEFF" w:val="clear"/>
            <w:vAlign w:val="bottom"/>
          </w:tcPr>
          <w:p>
            <w:pPr>
              <w:pStyle w:val="TableContents"/>
              <w:bidi w:val="0"/>
              <w:spacing w:before="0" w:after="283"/>
              <w:jc w:val="left"/>
              <w:rPr/>
            </w:pPr>
            <w:r>
              <w:rPr/>
              <w:t> </w:t>
            </w:r>
          </w:p>
        </w:tc>
      </w:tr>
      <w:tr>
        <w:trPr/>
        <w:tc>
          <w:tcPr>
            <w:tcW w:w="8095"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95"/>
        <w:gridCol w:w="577"/>
        <w:gridCol w:w="249"/>
        <w:gridCol w:w="1226"/>
        <w:gridCol w:w="158"/>
      </w:tblGrid>
      <w:tr>
        <w:trPr/>
        <w:tc>
          <w:tcPr>
            <w:tcW w:w="7995"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95"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Contingent</w:t>
              <w:br/>
              <w:t>Consideration</w:t>
            </w:r>
          </w:p>
        </w:tc>
        <w:tc>
          <w:tcPr>
            <w:tcW w:w="158" w:type="dxa"/>
            <w:tcBorders/>
            <w:vAlign w:val="bottom"/>
          </w:tcPr>
          <w:p>
            <w:pPr>
              <w:pStyle w:val="TableContents"/>
              <w:bidi w:val="0"/>
              <w:spacing w:before="0" w:after="283"/>
              <w:jc w:val="left"/>
              <w:rPr/>
            </w:pPr>
            <w:r>
              <w:rPr/>
              <w:t> </w:t>
            </w:r>
          </w:p>
        </w:tc>
      </w:tr>
      <w:tr>
        <w:trPr/>
        <w:tc>
          <w:tcPr>
            <w:tcW w:w="7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2020</w:t>
            </w:r>
          </w:p>
        </w:tc>
        <w:tc>
          <w:tcPr>
            <w:tcW w:w="57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10,271</w:t>
            </w:r>
          </w:p>
        </w:tc>
        <w:tc>
          <w:tcPr>
            <w:tcW w:w="158" w:type="dxa"/>
            <w:tcBorders/>
            <w:shd w:fill="CCEEFF" w:val="clear"/>
            <w:vAlign w:val="bottom"/>
          </w:tcPr>
          <w:p>
            <w:pPr>
              <w:pStyle w:val="TableContents"/>
              <w:bidi w:val="0"/>
              <w:spacing w:before="0" w:after="283"/>
              <w:jc w:val="left"/>
              <w:rPr/>
            </w:pPr>
            <w:r>
              <w:rPr/>
              <w:t> </w:t>
            </w:r>
          </w:p>
        </w:tc>
      </w:tr>
      <w:tr>
        <w:trPr/>
        <w:tc>
          <w:tcPr>
            <w:tcW w:w="7995" w:type="dxa"/>
            <w:tcBorders/>
          </w:tcPr>
          <w:p>
            <w:pPr>
              <w:pStyle w:val="TableContents"/>
              <w:bidi w:val="0"/>
              <w:spacing w:before="0" w:after="0"/>
              <w:jc w:val="left"/>
              <w:rPr>
                <w:rFonts w:ascii="Times New Roman" w:hAnsi="Times New Roman"/>
                <w:sz w:val="20"/>
              </w:rPr>
            </w:pPr>
            <w:r>
              <w:rPr>
                <w:rFonts w:ascii="Times New Roman" w:hAnsi="Times New Roman"/>
                <w:sz w:val="20"/>
              </w:rPr>
              <w:t>Settlement paid in Cash</w:t>
            </w:r>
          </w:p>
        </w:tc>
        <w:tc>
          <w:tcPr>
            <w:tcW w:w="57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(7,500</w:t>
            </w:r>
          </w:p>
        </w:tc>
        <w:tc>
          <w:tcPr>
            <w:tcW w:w="158" w:type="dxa"/>
            <w:tcBorders/>
            <w:vAlign w:val="bottom"/>
          </w:tcPr>
          <w:p>
            <w:pPr>
              <w:pStyle w:val="TableContents"/>
              <w:bidi w:val="0"/>
              <w:spacing w:before="0" w:after="283"/>
              <w:jc w:val="left"/>
              <w:rPr/>
            </w:pPr>
            <w:r>
              <w:rPr/>
              <w:t>) </w:t>
            </w:r>
          </w:p>
        </w:tc>
      </w:tr>
      <w:tr>
        <w:trPr/>
        <w:tc>
          <w:tcPr>
            <w:tcW w:w="79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577"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4,149</w:t>
            </w:r>
          </w:p>
        </w:tc>
        <w:tc>
          <w:tcPr>
            <w:tcW w:w="158" w:type="dxa"/>
            <w:tcBorders/>
            <w:shd w:fill="CCEEFF" w:val="clear"/>
            <w:vAlign w:val="bottom"/>
          </w:tcPr>
          <w:p>
            <w:pPr>
              <w:pStyle w:val="TableContents"/>
              <w:bidi w:val="0"/>
              <w:spacing w:before="0" w:after="283"/>
              <w:jc w:val="left"/>
              <w:rPr/>
            </w:pPr>
            <w:r>
              <w:rPr/>
              <w:t> </w:t>
            </w:r>
          </w:p>
        </w:tc>
      </w:tr>
      <w:tr>
        <w:trPr/>
        <w:tc>
          <w:tcPr>
            <w:tcW w:w="7995"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99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2021</w:t>
            </w:r>
          </w:p>
        </w:tc>
        <w:tc>
          <w:tcPr>
            <w:tcW w:w="577"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6,920</w:t>
            </w:r>
          </w:p>
        </w:tc>
        <w:tc>
          <w:tcPr>
            <w:tcW w:w="158" w:type="dxa"/>
            <w:tcBorders/>
            <w:vAlign w:val="bottom"/>
          </w:tcPr>
          <w:p>
            <w:pPr>
              <w:pStyle w:val="TableContents"/>
              <w:bidi w:val="0"/>
              <w:spacing w:before="0" w:after="283"/>
              <w:jc w:val="left"/>
              <w:rPr/>
            </w:pPr>
            <w:r>
              <w:rPr/>
              <w:t> </w:t>
            </w:r>
          </w:p>
        </w:tc>
      </w:tr>
      <w:tr>
        <w:trPr/>
        <w:tc>
          <w:tcPr>
            <w:tcW w:w="7995"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the year ended December 31, 2020, the Company recognized expense of $6.9 million in selling, general and administrative expense due to the change in fair value determined by Level 3 valuation techniques. No such expense or benefit was recorded for the year ended December 31, 2019. </w:t>
      </w:r>
    </w:p>
    <w:p>
      <w:pPr>
        <w:pStyle w:val="TextBody"/>
        <w:bidi w:val="0"/>
        <w:spacing w:before="240" w:after="0"/>
        <w:jc w:val="both"/>
        <w:rPr>
          <w:rFonts w:ascii="Times New Roman" w:hAnsi="Times New Roman"/>
          <w:sz w:val="20"/>
        </w:rPr>
      </w:pPr>
      <w:r>
        <w:rPr>
          <w:rFonts w:ascii="Times New Roman" w:hAnsi="Times New Roman"/>
          <w:sz w:val="20"/>
        </w:rPr>
        <w:t xml:space="preserve">For the six months ended June 30, 2021, the Company recognized expense of $4.1 million in selling, general and administrative expense due to the change in the fair value determined by Level 3 valuation techniques.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RELATED PARTIES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2018, the Company received $1.5 million from a related party for assuming an office lease from such party. The Company is amortizing this amount over the course of its lease with the building. The Company had a remaining related liability of $1.3 million and $1.1 million for the years ended December 31, 2019 and 2020, respectively, and $1.1 million for the six months ended June 30, 2021, respectively. The liability is included on the balance sheet in deferred rent, less current portion.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2019 and 2020. </w:t>
      </w:r>
    </w:p>
    <w:p>
      <w:pPr>
        <w:pStyle w:val="TextBody"/>
        <w:bidi w:val="0"/>
        <w:spacing w:before="240" w:after="0"/>
        <w:jc w:val="both"/>
        <w:rPr>
          <w:rFonts w:ascii="Times New Roman" w:hAnsi="Times New Roman"/>
          <w:sz w:val="20"/>
        </w:rPr>
      </w:pPr>
      <w:r>
        <w:rPr>
          <w:rFonts w:ascii="Times New Roman" w:hAnsi="Times New Roman"/>
          <w:sz w:val="20"/>
        </w:rPr>
        <w:t xml:space="preserve">As of December 31, 2020 the amount due to related parties was $1.3 million, and as of June 30, 2021 the amount due to was $0.1 million. As of December 31, 2020 the amount due from related parties was $0.1 million, and as of June 30, 2021 the amount due from was $0.1 million. </w:t>
      </w:r>
    </w:p>
    <w:p>
      <w:pPr>
        <w:pStyle w:val="TextBody"/>
        <w:bidi w:val="0"/>
        <w:spacing w:before="240" w:after="0"/>
        <w:jc w:val="both"/>
        <w:rPr>
          <w:rFonts w:ascii="Times New Roman" w:hAnsi="Times New Roman"/>
          <w:sz w:val="20"/>
        </w:rPr>
      </w:pPr>
      <w:r>
        <w:rPr>
          <w:rFonts w:ascii="Times New Roman" w:hAnsi="Times New Roman"/>
          <w:sz w:val="20"/>
        </w:rPr>
        <w:t xml:space="preserve">During 2020, the Company reimbursed payroll related costs of $0.8 million to a related party for contracted engineers. As of December 31, 2020, there were no amounts due to this related party. For the six months ended June 30, 2020 the Company reimbursed payroll related costs of $0.4 million to a related party for contracted engineers. As of June 30, 2021, there were no amounts due to this related party.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both"/>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 evaluated subsequent events though September 1, 2021. </w:t>
      </w:r>
    </w:p>
    <w:p>
      <w:pPr>
        <w:pStyle w:val="TextBody"/>
        <w:bidi w:val="0"/>
        <w:spacing w:before="360" w:after="0"/>
        <w:jc w:val="left"/>
        <w:rPr>
          <w:rFonts w:ascii="Times New Roman" w:hAnsi="Times New Roman"/>
          <w:i/>
          <w:sz w:val="20"/>
        </w:rPr>
      </w:pPr>
      <w:r>
        <w:rPr>
          <w:rFonts w:ascii="Times New Roman" w:hAnsi="Times New Roman"/>
          <w:i/>
          <w:sz w:val="20"/>
        </w:rPr>
        <w:t xml:space="preserve">Strategic Investments </w:t>
      </w:r>
    </w:p>
    <w:p>
      <w:pPr>
        <w:pStyle w:val="TextBody"/>
        <w:bidi w:val="0"/>
        <w:spacing w:before="120" w:after="0"/>
        <w:jc w:val="both"/>
        <w:rPr>
          <w:rFonts w:ascii="Times New Roman" w:hAnsi="Times New Roman"/>
          <w:sz w:val="20"/>
        </w:rPr>
      </w:pPr>
      <w:r>
        <w:rPr>
          <w:rFonts w:ascii="Times New Roman" w:hAnsi="Times New Roman"/>
          <w:sz w:val="20"/>
        </w:rPr>
        <w:t xml:space="preserve">On August 19, 2021, the Company entered into a related party arrangement with Pathos, Inc.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the Company granted Pathos a limited, non-exclusive,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master agreement provides for an initial term of five years, with a subsequent five-year renewal provision unless the agreement is terminated. Either party may terminate the agreement after the initial five-year term by prior written notice to the other party. </w:t>
      </w:r>
    </w:p>
    <w:p>
      <w:pPr>
        <w:pStyle w:val="TextBody"/>
        <w:bidi w:val="0"/>
        <w:spacing w:before="360" w:after="0"/>
        <w:jc w:val="left"/>
        <w:rPr>
          <w:rFonts w:ascii="Times New Roman" w:hAnsi="Times New Roman"/>
          <w:i/>
          <w:sz w:val="20"/>
        </w:rPr>
      </w:pPr>
      <w:r>
        <w:rPr>
          <w:rFonts w:ascii="Times New Roman" w:hAnsi="Times New Roman"/>
          <w:i/>
          <w:sz w:val="20"/>
        </w:rPr>
        <w:t xml:space="preserve">COVID-19 </w:t>
      </w:r>
    </w:p>
    <w:p>
      <w:pPr>
        <w:pStyle w:val="TextBody"/>
        <w:bidi w:val="0"/>
        <w:spacing w:before="120" w:after="0"/>
        <w:jc w:val="both"/>
        <w:rPr>
          <w:rFonts w:ascii="Times New Roman" w:hAnsi="Times New Roman"/>
          <w:sz w:val="20"/>
        </w:rPr>
      </w:pPr>
      <w:bookmarkStart w:id="33" w:name="fin221145_6a"/>
      <w:bookmarkEnd w:id="33"/>
      <w:r>
        <w:rPr>
          <w:rFonts w:ascii="Times New Roman" w:hAnsi="Times New Roman"/>
          <w:sz w:val="20"/>
        </w:rPr>
        <w:t xml:space="preserve">As of the date of this report, the COVID-19 global pandemic continues to impact daily life in the United States and abroad. While the negative impacts of the business in 2020 were minimal, if there are additional disruptions for an extended period, it could have a material impact on the Companys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1200" w:after="0"/>
        <w:jc w:val="center"/>
        <w:rPr/>
      </w:pPr>
      <w:r>
        <w:rPr/>
        <w:t xml:space="preserve">             </w:t>
      </w:r>
      <w:r>
        <w:rPr>
          <w:rFonts w:ascii="Times New Roman" w:hAnsi="Times New Roman"/>
          <w:i/>
          <w:sz w:val="36"/>
        </w:rPr>
        <w:t xml:space="preserve">Shares </w:t>
      </w:r>
    </w:p>
    <w:p>
      <w:pPr>
        <w:pStyle w:val="TextBody"/>
        <w:bidi w:val="0"/>
        <w:spacing w:before="1200" w:after="0"/>
        <w:jc w:val="center"/>
        <w:rPr>
          <w:rFonts w:ascii="Times New Roman" w:hAnsi="Times New Roman"/>
          <w:i/>
          <w:sz w:val="24"/>
        </w:rPr>
      </w:pPr>
      <w:r>
        <w:rPr>
          <w:rFonts w:ascii="Times New Roman" w:hAnsi="Times New Roman"/>
          <w:i/>
          <w:sz w:val="24"/>
        </w:rPr>
        <w:t xml:space="preserve">Class A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720" cy="4572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299720" cy="457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9"/>
        <w:gridCol w:w="100"/>
        <w:gridCol w:w="2552"/>
        <w:gridCol w:w="101"/>
        <w:gridCol w:w="4083"/>
      </w:tblGrid>
      <w:tr>
        <w:trPr/>
        <w:tc>
          <w:tcPr>
            <w:tcW w:w="336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369" w:type="dxa"/>
            <w:tcBorders/>
          </w:tcPr>
          <w:p>
            <w:pPr>
              <w:pStyle w:val="TableContents"/>
              <w:bidi w:val="0"/>
              <w:spacing w:before="0" w:after="283"/>
              <w:jc w:val="center"/>
              <w:rPr>
                <w:i/>
              </w:rPr>
            </w:pPr>
            <w:r>
              <w:rPr>
                <w:i/>
              </w:rPr>
              <w:t>MORGAN STANLEY</w:t>
            </w:r>
          </w:p>
        </w:tc>
        <w:tc>
          <w:tcPr>
            <w:tcW w:w="100"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center"/>
              <w:rPr>
                <w:i/>
              </w:rPr>
            </w:pPr>
            <w:r>
              <w:rPr>
                <w:i/>
              </w:rPr>
              <w:t>J.P. MORGAN</w:t>
            </w:r>
          </w:p>
        </w:tc>
        <w:tc>
          <w:tcPr>
            <w:tcW w:w="101" w:type="dxa"/>
            <w:tcBorders/>
            <w:vAlign w:val="bottom"/>
          </w:tcPr>
          <w:p>
            <w:pPr>
              <w:pStyle w:val="TableContents"/>
              <w:bidi w:val="0"/>
              <w:spacing w:before="0" w:after="283"/>
              <w:jc w:val="left"/>
              <w:rPr/>
            </w:pPr>
            <w:r>
              <w:rPr/>
              <w:t> </w:t>
            </w:r>
          </w:p>
        </w:tc>
        <w:tc>
          <w:tcPr>
            <w:tcW w:w="4083" w:type="dxa"/>
            <w:tcBorders/>
            <w:vAlign w:val="bottom"/>
          </w:tcPr>
          <w:p>
            <w:pPr>
              <w:pStyle w:val="TableContents"/>
              <w:bidi w:val="0"/>
              <w:spacing w:before="0" w:after="283"/>
              <w:jc w:val="center"/>
              <w:rPr>
                <w:i/>
              </w:rPr>
            </w:pPr>
            <w:r>
              <w:rPr>
                <w:i/>
              </w:rPr>
              <w:t>ALLEN &amp; COMPANY LLC</w:t>
            </w:r>
          </w:p>
        </w:tc>
      </w:tr>
      <w:tr>
        <w:trPr>
          <w:trHeight w:val="120" w:hRule="atLeast"/>
        </w:trPr>
        <w:tc>
          <w:tcPr>
            <w:tcW w:w="3369" w:type="dxa"/>
            <w:tcBorders/>
            <w:vAlign w:val="center"/>
          </w:tcPr>
          <w:p>
            <w:pPr>
              <w:pStyle w:val="TableContents"/>
              <w:bidi w:val="0"/>
              <w:spacing w:before="0" w:after="283"/>
              <w:jc w:val="left"/>
              <w:rPr>
                <w:sz w:val="4"/>
                <w:szCs w:val="4"/>
              </w:rPr>
            </w:pPr>
            <w:r>
              <w:rPr>
                <w:sz w:val="4"/>
                <w:szCs w:val="4"/>
              </w:rPr>
            </w:r>
          </w:p>
        </w:tc>
        <w:tc>
          <w:tcPr>
            <w:tcW w:w="2652" w:type="dxa"/>
            <w:gridSpan w:val="2"/>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r>
      <w:tr>
        <w:trPr/>
        <w:tc>
          <w:tcPr>
            <w:tcW w:w="3369" w:type="dxa"/>
            <w:tcBorders/>
          </w:tcPr>
          <w:p>
            <w:pPr>
              <w:pStyle w:val="TableContents"/>
              <w:bidi w:val="0"/>
              <w:spacing w:before="0" w:after="283"/>
              <w:jc w:val="center"/>
              <w:rPr>
                <w:i/>
              </w:rPr>
            </w:pPr>
            <w:r>
              <w:rPr>
                <w:i/>
              </w:rPr>
              <w:t>BofA SECURITIES</w:t>
            </w:r>
          </w:p>
        </w:tc>
        <w:tc>
          <w:tcPr>
            <w:tcW w:w="100"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center"/>
              <w:rPr>
                <w:i/>
              </w:rPr>
            </w:pPr>
            <w:r>
              <w:rPr>
                <w:i/>
              </w:rPr>
              <w:t>COWEN</w:t>
            </w:r>
          </w:p>
        </w:tc>
      </w:tr>
    </w:tbl>
    <w:p>
      <w:pPr>
        <w:pStyle w:val="TextBody"/>
        <w:bidi w:val="0"/>
        <w:spacing w:before="1200" w:after="0"/>
        <w:jc w:val="both"/>
        <w:rPr>
          <w:rFonts w:ascii="Bodoni MT" w:hAnsi="Bodoni MT"/>
          <w:b/>
          <w:sz w:val="20"/>
        </w:rPr>
      </w:pPr>
      <w:r>
        <w:rPr>
          <w:rFonts w:ascii="Bodoni MT" w:hAnsi="Bodoni MT"/>
          <w:b/>
          <w:sz w:val="20"/>
        </w:rPr>
        <w:t xml:space="preserve">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240" w:after="0"/>
        <w:jc w:val="center"/>
        <w:rPr>
          <w:rFonts w:ascii="Bodoni MT" w:hAnsi="Bodoni MT"/>
          <w:b/>
          <w:sz w:val="20"/>
        </w:rPr>
      </w:pPr>
      <w:r>
        <w:rPr>
          <w:rFonts w:ascii="Bodoni MT" w:hAnsi="Bodoni MT"/>
          <w:b/>
          <w:sz w:val="20"/>
        </w:rPr>
        <w:t xml:space="preserve">, 2021.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120" w:after="0"/>
        <w:jc w:val="both"/>
        <w:rPr>
          <w:rFonts w:ascii="Times New Roman" w:hAnsi="Times New Roman"/>
          <w:sz w:val="20"/>
        </w:rPr>
      </w:pPr>
      <w:r>
        <w:rPr>
          <w:rFonts w:ascii="Times New Roman" w:hAnsi="Times New Roman"/>
          <w:sz w:val="20"/>
        </w:rPr>
        <w:t xml:space="preserve">Unless otherwise indicated, all references to Tempus, the company, we, our, us or similar terms refer to Tempus Labs,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all expenses to be paid by us, other than underwriting discounts and commissions, in connection with this offering. All amounts shown are estimates except for the SEC registration fee, the FINRA filing fee and the exchange listing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18"/>
        <w:gridCol w:w="679"/>
        <w:gridCol w:w="140"/>
        <w:gridCol w:w="725"/>
        <w:gridCol w:w="143"/>
      </w:tblGrid>
      <w:tr>
        <w:trPr/>
        <w:tc>
          <w:tcPr>
            <w:tcW w:w="8518" w:type="dxa"/>
            <w:tcBorders/>
            <w:vAlign w:val="center"/>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r>
      <w:tr>
        <w:trPr/>
        <w:tc>
          <w:tcPr>
            <w:tcW w:w="8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6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w:t>
            </w:r>
          </w:p>
        </w:tc>
        <w:tc>
          <w:tcPr>
            <w:tcW w:w="143" w:type="dxa"/>
            <w:tcBorders/>
            <w:shd w:fill="CCEEFF" w:val="clear"/>
            <w:vAlign w:val="bottom"/>
          </w:tcPr>
          <w:p>
            <w:pPr>
              <w:pStyle w:val="TableContents"/>
              <w:bidi w:val="0"/>
              <w:spacing w:before="0" w:after="283"/>
              <w:jc w:val="left"/>
              <w:rPr>
                <w:sz w:val="4"/>
                <w:szCs w:val="4"/>
              </w:rPr>
            </w:pPr>
            <w:r>
              <w:rPr>
                <w:sz w:val="4"/>
                <w:szCs w:val="4"/>
              </w:rPr>
            </w:r>
          </w:p>
        </w:tc>
      </w:tr>
      <w:tr>
        <w:trPr/>
        <w:tc>
          <w:tcPr>
            <w:tcW w:w="8518"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6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w:t>
            </w:r>
          </w:p>
        </w:tc>
      </w:tr>
      <w:tr>
        <w:trPr/>
        <w:tc>
          <w:tcPr>
            <w:tcW w:w="8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listing fee</w:t>
            </w:r>
          </w:p>
        </w:tc>
        <w:tc>
          <w:tcPr>
            <w:tcW w:w="6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143" w:type="dxa"/>
            <w:tcBorders/>
            <w:shd w:fill="CCEEFF" w:val="clear"/>
            <w:vAlign w:val="bottom"/>
          </w:tcPr>
          <w:p>
            <w:pPr>
              <w:pStyle w:val="TableContents"/>
              <w:bidi w:val="0"/>
              <w:spacing w:before="0" w:after="283"/>
              <w:jc w:val="left"/>
              <w:rPr>
                <w:sz w:val="4"/>
                <w:szCs w:val="4"/>
              </w:rPr>
            </w:pPr>
            <w:r>
              <w:rPr>
                <w:sz w:val="4"/>
                <w:szCs w:val="4"/>
              </w:rPr>
            </w:r>
          </w:p>
        </w:tc>
      </w:tr>
      <w:tr>
        <w:trPr/>
        <w:tc>
          <w:tcPr>
            <w:tcW w:w="8518"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6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143" w:type="dxa"/>
            <w:tcBorders/>
            <w:vAlign w:val="bottom"/>
          </w:tcPr>
          <w:p>
            <w:pPr>
              <w:pStyle w:val="TableContents"/>
              <w:bidi w:val="0"/>
              <w:spacing w:before="0" w:after="283"/>
              <w:jc w:val="left"/>
              <w:rPr>
                <w:sz w:val="4"/>
                <w:szCs w:val="4"/>
              </w:rPr>
            </w:pPr>
            <w:r>
              <w:rPr>
                <w:sz w:val="4"/>
                <w:szCs w:val="4"/>
              </w:rPr>
            </w:r>
          </w:p>
        </w:tc>
      </w:tr>
      <w:tr>
        <w:trPr/>
        <w:tc>
          <w:tcPr>
            <w:tcW w:w="8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6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143" w:type="dxa"/>
            <w:tcBorders/>
            <w:shd w:fill="CCEEFF" w:val="clear"/>
            <w:vAlign w:val="bottom"/>
          </w:tcPr>
          <w:p>
            <w:pPr>
              <w:pStyle w:val="TableContents"/>
              <w:bidi w:val="0"/>
              <w:spacing w:before="0" w:after="283"/>
              <w:jc w:val="left"/>
              <w:rPr>
                <w:sz w:val="4"/>
                <w:szCs w:val="4"/>
              </w:rPr>
            </w:pPr>
            <w:r>
              <w:rPr>
                <w:sz w:val="4"/>
                <w:szCs w:val="4"/>
              </w:rPr>
            </w:r>
          </w:p>
        </w:tc>
      </w:tr>
      <w:tr>
        <w:trPr/>
        <w:tc>
          <w:tcPr>
            <w:tcW w:w="8518"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6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143" w:type="dxa"/>
            <w:tcBorders/>
            <w:vAlign w:val="bottom"/>
          </w:tcPr>
          <w:p>
            <w:pPr>
              <w:pStyle w:val="TableContents"/>
              <w:bidi w:val="0"/>
              <w:spacing w:before="0" w:after="283"/>
              <w:jc w:val="left"/>
              <w:rPr>
                <w:sz w:val="4"/>
                <w:szCs w:val="4"/>
              </w:rPr>
            </w:pPr>
            <w:r>
              <w:rPr>
                <w:sz w:val="4"/>
                <w:szCs w:val="4"/>
              </w:rPr>
            </w:r>
          </w:p>
        </w:tc>
      </w:tr>
      <w:tr>
        <w:trPr/>
        <w:tc>
          <w:tcPr>
            <w:tcW w:w="8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w:t>
            </w:r>
          </w:p>
        </w:tc>
        <w:tc>
          <w:tcPr>
            <w:tcW w:w="6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w:t>
            </w:r>
          </w:p>
        </w:tc>
        <w:tc>
          <w:tcPr>
            <w:tcW w:w="143" w:type="dxa"/>
            <w:tcBorders/>
            <w:shd w:fill="CCEEFF" w:val="clear"/>
            <w:vAlign w:val="bottom"/>
          </w:tcPr>
          <w:p>
            <w:pPr>
              <w:pStyle w:val="TableContents"/>
              <w:bidi w:val="0"/>
              <w:spacing w:before="0" w:after="283"/>
              <w:jc w:val="left"/>
              <w:rPr>
                <w:sz w:val="4"/>
                <w:szCs w:val="4"/>
              </w:rPr>
            </w:pPr>
            <w:r>
              <w:rPr>
                <w:sz w:val="4"/>
                <w:szCs w:val="4"/>
              </w:rPr>
            </w:r>
          </w:p>
        </w:tc>
      </w:tr>
      <w:tr>
        <w:trPr/>
        <w:tc>
          <w:tcPr>
            <w:tcW w:w="851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6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w:t>
            </w:r>
          </w:p>
        </w:tc>
        <w:tc>
          <w:tcPr>
            <w:tcW w:w="143" w:type="dxa"/>
            <w:tcBorders/>
            <w:vAlign w:val="bottom"/>
          </w:tcPr>
          <w:p>
            <w:pPr>
              <w:pStyle w:val="TableContents"/>
              <w:bidi w:val="0"/>
              <w:spacing w:before="0" w:after="283"/>
              <w:jc w:val="left"/>
              <w:rPr>
                <w:sz w:val="4"/>
                <w:szCs w:val="4"/>
              </w:rPr>
            </w:pPr>
            <w:r>
              <w:rPr>
                <w:sz w:val="4"/>
                <w:szCs w:val="4"/>
              </w:rPr>
            </w:r>
          </w:p>
        </w:tc>
      </w:tr>
      <w:tr>
        <w:trPr/>
        <w:tc>
          <w:tcPr>
            <w:tcW w:w="851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43" w:type="dxa"/>
            <w:tcBorders/>
            <w:vAlign w:val="center"/>
          </w:tcPr>
          <w:p>
            <w:pPr>
              <w:pStyle w:val="TableContents"/>
              <w:bidi w:val="0"/>
              <w:spacing w:before="0" w:after="283"/>
              <w:jc w:val="left"/>
              <w:rPr/>
            </w:pPr>
            <w:r>
              <w:rPr/>
              <w:t> </w:t>
            </w:r>
          </w:p>
        </w:tc>
      </w:tr>
      <w:tr>
        <w:trPr/>
        <w:tc>
          <w:tcPr>
            <w:tcW w:w="85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w:t>
            </w:r>
          </w:p>
        </w:tc>
        <w:tc>
          <w:tcPr>
            <w:tcW w:w="143" w:type="dxa"/>
            <w:tcBorders/>
            <w:shd w:fill="CCEEFF" w:val="clear"/>
            <w:vAlign w:val="bottom"/>
          </w:tcPr>
          <w:p>
            <w:pPr>
              <w:pStyle w:val="TableContents"/>
              <w:bidi w:val="0"/>
              <w:spacing w:before="0" w:after="283"/>
              <w:jc w:val="left"/>
              <w:rPr>
                <w:sz w:val="4"/>
                <w:szCs w:val="4"/>
              </w:rPr>
            </w:pPr>
            <w:r>
              <w:rPr>
                <w:sz w:val="4"/>
                <w:szCs w:val="4"/>
              </w:rPr>
            </w:r>
          </w:p>
        </w:tc>
      </w:tr>
      <w:tr>
        <w:trPr/>
        <w:tc>
          <w:tcPr>
            <w:tcW w:w="8518"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143"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33"/>
        <w:gridCol w:w="9772"/>
      </w:tblGrid>
      <w:tr>
        <w:trPr/>
        <w:tc>
          <w:tcPr>
            <w:tcW w:w="433" w:type="dxa"/>
            <w:tcBorders/>
          </w:tcPr>
          <w:p>
            <w:pPr>
              <w:pStyle w:val="TableContents"/>
              <w:bidi w:val="0"/>
              <w:spacing w:before="0" w:after="283"/>
              <w:jc w:val="left"/>
              <w:rPr/>
            </w:pPr>
            <w:r>
              <w:rPr/>
              <w:t>*To</w:t>
            </w:r>
          </w:p>
        </w:tc>
        <w:tc>
          <w:tcPr>
            <w:tcW w:w="977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be completed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both"/>
        <w:rPr>
          <w:rFonts w:ascii="Times New Roman" w:hAnsi="Times New Roman"/>
          <w:sz w:val="20"/>
        </w:rPr>
      </w:pPr>
      <w:r>
        <w:rPr>
          <w:rFonts w:ascii="Times New Roman" w:hAnsi="Times New Roman"/>
          <w:sz w:val="20"/>
        </w:rPr>
        <w:t xml:space="preserve">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 </w:t>
      </w:r>
    </w:p>
    <w:p>
      <w:pPr>
        <w:pStyle w:val="TextBody"/>
        <w:bidi w:val="0"/>
        <w:spacing w:before="240" w:after="0"/>
        <w:jc w:val="both"/>
        <w:rPr>
          <w:rFonts w:ascii="Times New Roman" w:hAnsi="Times New Roman"/>
          <w:sz w:val="20"/>
        </w:rPr>
      </w:pPr>
      <w:r>
        <w:rPr>
          <w:rFonts w:ascii="Times New Roman" w:hAnsi="Times New Roman"/>
          <w:sz w:val="20"/>
        </w:rPr>
        <w:t xml:space="preserve">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 </w:t>
      </w:r>
    </w:p>
    <w:p>
      <w:pPr>
        <w:pStyle w:val="TextBody"/>
        <w:bidi w:val="0"/>
        <w:spacing w:before="240" w:after="0"/>
        <w:jc w:val="both"/>
        <w:rPr>
          <w:rFonts w:ascii="Times New Roman" w:hAnsi="Times New Roman"/>
          <w:sz w:val="20"/>
        </w:rPr>
      </w:pPr>
      <w:r>
        <w:rPr>
          <w:rFonts w:ascii="Times New Roman" w:hAnsi="Times New Roman"/>
          <w:sz w:val="20"/>
        </w:rPr>
        <w:t xml:space="preserve">We maintain insurance policies that indemnify our directors and officers against various liabilities arising under the Securities Act and the Securities Exchange Act of 1934, as amended, that might be incurred by any director or officer in his capacity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underwriters are obligated, under certain circumstances, under the underwriting agreement to be filed as Exhibit 1.1 hereto, to indemnify us and our officers and directors against liabilities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sets forth information regarding all unregistered securities sold since January 1, 2018: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granted, under our 2015 Plan, RSUs representing                shares of our Class A common stock to our employees, consultants, and directors, having a fair market value ranging from $                to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granted, under our 2015 Plan, PSUs representing                shares of our Class A common stock to our employees, consultants, and directors, having a fair market value ranging from $                to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granted, under our 2015 Plan, RSAs representing                shares of our Class A common stock to our employees and consultants, having a fair market value ranging from $                to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have granted, under our 2015 Plan, an option to purchase 210,000 shares of our Class A common stock to Revolution Growth Management Company, Inc., having an exercise price of $0.8542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July 2019, we issued and sold an aggregate of 1,058,600 shares of our voting common stock at a price per share of $9.64, for an aggregate purchase price of approximately $10.2 million, in private placements to two accredited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March 2018, we issued and sold an aggregate of 8,534,330 shares of our Series D convertible preferred stock at a price per share of $9.3739, for an aggregate purchase price of approximately $80.0 million, in private placements to 16 accredited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From August 2018 through April 2019, we issued and sold an aggregate of 6,630,905 shares of our Series E convertible preferred stock at a price per share of $16.7428, for an aggregate purchase price of approximately $111.0 million, in private placements to 17 accredited investors, exclusive of the 886,304 shares repurchased by us in April 2019 at the original issue price per share, for an aggregate repurchase price of approximately $14.8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From April through July 2019, we issued and sold an aggregate of 8,077,674 shares of our Series F convertible preferred stock at a price per share of $24.7596, for an aggregate purchase price of approximately $200.0 million, in private placements to 22 accredited investors, exclusive of the 203,521 shares and the 395,811 shares repurchased by us in May and July 2019, respectively, at the original issue price per share, for an aggregate repurchase price of approximately $14.8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(10)</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(11)</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(12)</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December 2018, we issued an aggregate of 95,000 shares of our nonvoting common stock to certain stockholders of HealthSeq Asia Pte Ltd., or HealthSeq, in exchange for an aggregate of 60,000,000 ordinary shares of HealthSeq held by such stockholders, pursuant to a stock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(13)</w:t>
            </w:r>
          </w:p>
        </w:tc>
        <w:tc>
          <w:tcPr>
            <w:tcW w:w="888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connection with our purchase of all of the outstanding shares of AKESOgen, Inc., we expect to issue on or around December 9, 2022 of 145,466 shares of Class A common stock to former stockholders of AKESOgen, Inc.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Exhibits.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See the Exhibit Index on the page immediately preceding the signature page for a list of exhibits filed as part of this registration statement on Form S-1, which Exhibit Index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Financial Statement Schedules.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All financial statement schedules are omitted because the information required to be set forth therein is not applicable or is shown in the consolidated financial statements or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both"/>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(1)</w:t>
            </w:r>
          </w:p>
        </w:tc>
        <w:tc>
          <w:tcPr>
            <w:tcW w:w="908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(2)</w:t>
            </w:r>
          </w:p>
        </w:tc>
        <w:tc>
          <w:tcPr>
            <w:tcW w:w="908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1"/>
        <w:gridCol w:w="402"/>
        <w:gridCol w:w="8972"/>
      </w:tblGrid>
      <w:tr>
        <w:trPr/>
        <w:tc>
          <w:tcPr>
            <w:tcW w:w="831"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8972" w:type="dxa"/>
            <w:tcBorders/>
            <w:vAlign w:val="center"/>
          </w:tcPr>
          <w:p>
            <w:pPr>
              <w:pStyle w:val="TableContents"/>
              <w:bidi w:val="0"/>
              <w:spacing w:before="0" w:after="283"/>
              <w:jc w:val="left"/>
              <w:rPr>
                <w:sz w:val="4"/>
                <w:szCs w:val="4"/>
              </w:rPr>
            </w:pPr>
            <w:r>
              <w:rPr>
                <w:sz w:val="4"/>
                <w:szCs w:val="4"/>
              </w:rPr>
            </w:r>
          </w:p>
        </w:tc>
      </w:tr>
      <w:tr>
        <w:trPr/>
        <w:tc>
          <w:tcPr>
            <w:tcW w:w="83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402" w:type="dxa"/>
            <w:tcBorders/>
            <w:vAlign w:val="bottom"/>
          </w:tcPr>
          <w:p>
            <w:pPr>
              <w:pStyle w:val="TableContents"/>
              <w:bidi w:val="0"/>
              <w:spacing w:before="0" w:after="283"/>
              <w:jc w:val="left"/>
              <w:rPr/>
            </w:pPr>
            <w:r>
              <w:rPr/>
              <w:t>  </w:t>
            </w:r>
          </w:p>
        </w:tc>
        <w:tc>
          <w:tcPr>
            <w:tcW w:w="897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 of Underwriting Agreement.</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3.1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Ninth Amended and Restated Certificate of Incorporation of Tempus Labs, Inc., as amended, as currently in effect.</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3.2*</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 of Amended and Restated Certificate of Incorporation of Tempus Labs, Inc., to be in effect on the closing of the offering.</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3.3</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Amended and Restated Bylaws of Tempus Labs, Inc., as currently in effect.</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3.4*</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 of Amended and Restated Bylaws of Tempus Labs, Inc., to be in effect on the closing of the offering.</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4.1*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 of Class A Common Stock Certificate.</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5.1*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Opinion of Cooley LLP.</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Ninth Amended and Restated Investor Rights Agreement, dated November 19, 2020.</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10.2+</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Tempus Labs, Inc. Third Amended and Restated 2015 Stock Plan, as amended.</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10.3+</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Forms of Restricted Stock Unit Grant Notice and Award Agreement, under the Tempus Labs, Inc. Third Amended and Restated 2015 Stock Plan, as amended.</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10.4+*</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Tempus Labs, Inc. 2021 Equity Incentive Plan.</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10.5+*</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Forms of Grant Notice, Stock Option Agreement and Notice of Exercise under the Tempus Labs, Inc. 2021 Equity Incentive Plan.</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10.6+*</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Forms of Restricted Stock Unit Grant Notice and Award Agreement under the Tempus Labs, Inc. 2021 Equity Incentive Plan.</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10.7+*</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Form of Indemnity Agreement entered into by and between Tempus Labs, Inc. and each director and executive officer.</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10.8+*</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Employment Agreement, by and between Tempus Labs, Inc. and Eric Lefkofsky, dated             , 2021.</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10.9+*</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Employment Agreement, by and between Tempus Labs, Inc. and Erik Phelps, dated             , 2021.</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10.10+*</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Employment Agreement, by and between Tempus Labs, Inc. and Ryan Fukushima, dated             , 2021.</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10.11+*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Employment Agreement, by and between Tempus Labs, Inc. and James Rogers, dated             , 2021.</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10.12</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Agreement of Lease, by and between Tempus Labs, Inc. and EQC 600 West Chicago Property LLC, dated January 18, 2018, as amended.</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21.1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List of Subsidiaries of Tempus Labs, Inc.</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23.1*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Consent of PricewaterhouseCoopers, LLP, independent registered public accounting firm.</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23.2*</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Consent of Cooley LLP (included in Exhibit 5.1).</w:t>
            </w:r>
          </w:p>
        </w:tc>
      </w:tr>
      <w:tr>
        <w:trPr>
          <w:trHeight w:val="120" w:hRule="atLeast"/>
        </w:trPr>
        <w:tc>
          <w:tcPr>
            <w:tcW w:w="831" w:type="dxa"/>
            <w:tcBorders/>
            <w:vAlign w:val="center"/>
          </w:tcPr>
          <w:p>
            <w:pPr>
              <w:pStyle w:val="TableContents"/>
              <w:bidi w:val="0"/>
              <w:spacing w:before="0" w:after="283"/>
              <w:jc w:val="left"/>
              <w:rPr>
                <w:sz w:val="4"/>
                <w:szCs w:val="4"/>
              </w:rPr>
            </w:pPr>
            <w:r>
              <w:rPr>
                <w:sz w:val="4"/>
                <w:szCs w:val="4"/>
              </w:rPr>
            </w:r>
          </w:p>
        </w:tc>
        <w:tc>
          <w:tcPr>
            <w:tcW w:w="9374" w:type="dxa"/>
            <w:gridSpan w:val="2"/>
            <w:tcBorders/>
            <w:vAlign w:val="center"/>
          </w:tcPr>
          <w:p>
            <w:pPr>
              <w:pStyle w:val="TableContents"/>
              <w:bidi w:val="0"/>
              <w:spacing w:before="0" w:after="283"/>
              <w:jc w:val="left"/>
              <w:rPr>
                <w:sz w:val="4"/>
                <w:szCs w:val="4"/>
              </w:rPr>
            </w:pPr>
            <w:r>
              <w:rPr>
                <w:sz w:val="4"/>
                <w:szCs w:val="4"/>
              </w:rPr>
            </w:r>
          </w:p>
        </w:tc>
      </w:tr>
      <w:tr>
        <w:trPr/>
        <w:tc>
          <w:tcPr>
            <w:tcW w:w="831" w:type="dxa"/>
            <w:tcBorders/>
          </w:tcPr>
          <w:p>
            <w:pPr>
              <w:pStyle w:val="TableContents"/>
              <w:bidi w:val="0"/>
              <w:spacing w:before="0" w:after="283"/>
              <w:jc w:val="left"/>
              <w:rPr/>
            </w:pPr>
            <w:r>
              <w:rPr/>
              <w:t>24.1</w:t>
            </w:r>
          </w:p>
        </w:tc>
        <w:tc>
          <w:tcPr>
            <w:tcW w:w="402" w:type="dxa"/>
            <w:tcBorders/>
            <w:vAlign w:val="bottom"/>
          </w:tcPr>
          <w:p>
            <w:pPr>
              <w:pStyle w:val="TableContents"/>
              <w:bidi w:val="0"/>
              <w:spacing w:before="0" w:after="283"/>
              <w:jc w:val="left"/>
              <w:rPr/>
            </w:pPr>
            <w:r>
              <w:rPr/>
              <w:t>  </w:t>
            </w:r>
          </w:p>
        </w:tc>
        <w:tc>
          <w:tcPr>
            <w:tcW w:w="8972" w:type="dxa"/>
            <w:tcBorders/>
          </w:tcPr>
          <w:p>
            <w:pPr>
              <w:pStyle w:val="TableContents"/>
              <w:bidi w:val="0"/>
              <w:spacing w:before="0" w:after="283"/>
              <w:jc w:val="left"/>
              <w:rPr/>
            </w:pPr>
            <w:r>
              <w:rPr/>
              <w:t>Power of Attorney (included on page II-6).</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be submitted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Indicates management contract or compensatory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Chicago, Illinois, on                 , 2021.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3"/>
        <w:gridCol w:w="60"/>
        <w:gridCol w:w="3399"/>
      </w:tblGrid>
      <w:tr>
        <w:trPr/>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TEMPUS LABS, INC.</w:t>
            </w:r>
          </w:p>
          <w:p>
            <w:pPr>
              <w:pStyle w:val="TableContents"/>
              <w:bidi w:val="0"/>
              <w:spacing w:before="0" w:after="20"/>
              <w:jc w:val="left"/>
              <w:rPr/>
            </w:pPr>
            <w:r>
              <w:rPr/>
              <w:t> </w:t>
            </w:r>
          </w:p>
        </w:tc>
      </w:tr>
      <w:tr>
        <w:trPr/>
        <w:tc>
          <w:tcPr>
            <w:tcW w:w="623"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99" w:type="dxa"/>
            <w:tcBorders/>
            <w:vAlign w:val="bottom"/>
          </w:tcPr>
          <w:p>
            <w:pPr>
              <w:pStyle w:val="TableContents"/>
              <w:pBdr>
                <w:bottom w:val="single" w:sz="2" w:space="1" w:color="000000"/>
              </w:pBdr>
              <w:bidi w:val="0"/>
              <w:spacing w:before="0" w:after="20"/>
              <w:jc w:val="right"/>
              <w:rPr/>
            </w:pPr>
            <w:r>
              <w:rPr/>
              <w:t> </w:t>
            </w:r>
          </w:p>
        </w:tc>
      </w:tr>
      <w:tr>
        <w:trPr/>
        <w:tc>
          <w:tcPr>
            <w:tcW w:w="623"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9" w:type="dxa"/>
            <w:tcBorders/>
            <w:vAlign w:val="bottom"/>
          </w:tcPr>
          <w:p>
            <w:pPr>
              <w:pStyle w:val="TableContents"/>
              <w:bidi w:val="0"/>
              <w:spacing w:before="0" w:after="283"/>
              <w:jc w:val="left"/>
              <w:rPr/>
            </w:pPr>
            <w:r>
              <w:rPr/>
              <w:t>Eric Lefkofsky</w:t>
            </w:r>
          </w:p>
        </w:tc>
      </w:tr>
      <w:tr>
        <w:trPr/>
        <w:tc>
          <w:tcPr>
            <w:tcW w:w="623"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9" w:type="dxa"/>
            <w:tcBorders/>
            <w:vAlign w:val="bottom"/>
          </w:tcPr>
          <w:p>
            <w:pPr>
              <w:pStyle w:val="TableContents"/>
              <w:bidi w:val="0"/>
              <w:spacing w:before="0" w:after="283"/>
              <w:jc w:val="left"/>
              <w:rPr/>
            </w:pPr>
            <w:r>
              <w:rPr/>
              <w:t>Chief Executive Officer, Founder and Chairman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both"/>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7"/>
        <w:gridCol w:w="120"/>
        <w:gridCol w:w="3509"/>
        <w:gridCol w:w="201"/>
        <w:gridCol w:w="1948"/>
      </w:tblGrid>
      <w:tr>
        <w:trPr/>
        <w:tc>
          <w:tcPr>
            <w:tcW w:w="44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442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50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4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427"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Eric Lefkofsky</w:t>
            </w:r>
          </w:p>
        </w:tc>
        <w:tc>
          <w:tcPr>
            <w:tcW w:w="120" w:type="dxa"/>
            <w:tcBorders/>
            <w:vAlign w:val="bottom"/>
          </w:tcPr>
          <w:p>
            <w:pPr>
              <w:pStyle w:val="TableContents"/>
              <w:bidi w:val="0"/>
              <w:spacing w:before="0" w:after="283"/>
              <w:jc w:val="left"/>
              <w:rPr/>
            </w:pPr>
            <w:r>
              <w:rPr/>
              <w:t>  </w:t>
            </w:r>
          </w:p>
        </w:tc>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Founder and Chairman</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201" w:type="dxa"/>
            <w:tcBorders/>
            <w:vAlign w:val="bottom"/>
          </w:tcPr>
          <w:p>
            <w:pPr>
              <w:pStyle w:val="TableContents"/>
              <w:bidi w:val="0"/>
              <w:spacing w:before="0" w:after="283"/>
              <w:jc w:val="left"/>
              <w:rPr/>
            </w:pPr>
            <w:r>
              <w:rPr/>
              <w:t> </w:t>
            </w:r>
          </w:p>
        </w:tc>
        <w:tc>
          <w:tcPr>
            <w:tcW w:w="1948" w:type="dxa"/>
            <w:tcBorders/>
          </w:tcPr>
          <w:p>
            <w:pPr>
              <w:pStyle w:val="TableContents"/>
              <w:bidi w:val="0"/>
              <w:spacing w:before="0" w:after="283"/>
              <w:jc w:val="center"/>
              <w:rPr/>
            </w:pPr>
            <w:r>
              <w:rPr/>
              <w:t>                </w:t>
            </w:r>
            <w:r>
              <w:rPr/>
              <w:t>, 2021</w:t>
            </w:r>
          </w:p>
        </w:tc>
      </w:tr>
      <w:tr>
        <w:trPr>
          <w:trHeight w:val="240" w:hRule="atLeast"/>
        </w:trPr>
        <w:tc>
          <w:tcPr>
            <w:tcW w:w="4427"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James Rogers</w:t>
            </w:r>
          </w:p>
        </w:tc>
        <w:tc>
          <w:tcPr>
            <w:tcW w:w="120" w:type="dxa"/>
            <w:tcBorders/>
            <w:vAlign w:val="bottom"/>
          </w:tcPr>
          <w:p>
            <w:pPr>
              <w:pStyle w:val="TableContents"/>
              <w:bidi w:val="0"/>
              <w:spacing w:before="0" w:after="283"/>
              <w:jc w:val="left"/>
              <w:rPr/>
            </w:pPr>
            <w:r>
              <w:rPr/>
              <w:t>  </w:t>
            </w:r>
          </w:p>
        </w:tc>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w:t>
            </w:r>
            <w:r>
              <w:rPr>
                <w:rFonts w:ascii="Times New Roman" w:hAnsi="Times New Roman"/>
                <w:sz w:val="20"/>
              </w:rPr>
              <w:t xml:space="preserve"> </w:t>
            </w:r>
            <w:r>
              <w:rPr>
                <w:rFonts w:ascii="Times New Roman" w:hAnsi="Times New Roman"/>
                <w:i/>
                <w:sz w:val="20"/>
              </w:rPr>
              <w:t>Officer</w:t>
            </w:r>
            <w:r>
              <w:rPr>
                <w:rFonts w:ascii="Times New Roman" w:hAnsi="Times New Roman"/>
                <w:sz w:val="20"/>
              </w:rPr>
              <w:t>)</w:t>
            </w:r>
          </w:p>
        </w:tc>
        <w:tc>
          <w:tcPr>
            <w:tcW w:w="201" w:type="dxa"/>
            <w:tcBorders/>
            <w:vAlign w:val="bottom"/>
          </w:tcPr>
          <w:p>
            <w:pPr>
              <w:pStyle w:val="TableContents"/>
              <w:bidi w:val="0"/>
              <w:spacing w:before="0" w:after="283"/>
              <w:jc w:val="left"/>
              <w:rPr/>
            </w:pPr>
            <w:r>
              <w:rPr/>
              <w:t> </w:t>
            </w:r>
          </w:p>
        </w:tc>
        <w:tc>
          <w:tcPr>
            <w:tcW w:w="1948" w:type="dxa"/>
            <w:tcBorders/>
          </w:tcPr>
          <w:p>
            <w:pPr>
              <w:pStyle w:val="TableContents"/>
              <w:bidi w:val="0"/>
              <w:spacing w:before="0" w:after="283"/>
              <w:jc w:val="center"/>
              <w:rPr/>
            </w:pPr>
            <w:r>
              <w:rPr/>
              <w:t>                </w:t>
            </w:r>
            <w:r>
              <w:rPr/>
              <w:t>, 2021</w:t>
            </w:r>
          </w:p>
        </w:tc>
      </w:tr>
      <w:tr>
        <w:trPr>
          <w:trHeight w:val="240" w:hRule="atLeast"/>
        </w:trPr>
        <w:tc>
          <w:tcPr>
            <w:tcW w:w="4427"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Ryan Bartolucci</w:t>
            </w:r>
          </w:p>
        </w:tc>
        <w:tc>
          <w:tcPr>
            <w:tcW w:w="120" w:type="dxa"/>
            <w:tcBorders/>
            <w:vAlign w:val="bottom"/>
          </w:tcPr>
          <w:p>
            <w:pPr>
              <w:pStyle w:val="TableContents"/>
              <w:bidi w:val="0"/>
              <w:spacing w:before="0" w:after="283"/>
              <w:jc w:val="left"/>
              <w:rPr/>
            </w:pPr>
            <w:r>
              <w:rPr/>
              <w:t>  </w:t>
            </w:r>
          </w:p>
        </w:tc>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Accounting</w:t>
            </w:r>
            <w:r>
              <w:rPr>
                <w:rFonts w:ascii="Times New Roman" w:hAnsi="Times New Roman"/>
                <w:sz w:val="20"/>
              </w:rPr>
              <w:t xml:space="preserve"> </w:t>
            </w:r>
            <w:r>
              <w:rPr>
                <w:rFonts w:ascii="Times New Roman" w:hAnsi="Times New Roman"/>
                <w:i/>
                <w:sz w:val="20"/>
              </w:rPr>
              <w:t>Officer</w:t>
            </w:r>
            <w:r>
              <w:rPr>
                <w:rFonts w:ascii="Times New Roman" w:hAnsi="Times New Roman"/>
                <w:sz w:val="20"/>
              </w:rPr>
              <w:t>)</w:t>
            </w:r>
          </w:p>
        </w:tc>
        <w:tc>
          <w:tcPr>
            <w:tcW w:w="201" w:type="dxa"/>
            <w:tcBorders/>
            <w:vAlign w:val="bottom"/>
          </w:tcPr>
          <w:p>
            <w:pPr>
              <w:pStyle w:val="TableContents"/>
              <w:bidi w:val="0"/>
              <w:spacing w:before="0" w:after="283"/>
              <w:jc w:val="left"/>
              <w:rPr/>
            </w:pPr>
            <w:r>
              <w:rPr/>
              <w:t> </w:t>
            </w:r>
          </w:p>
        </w:tc>
        <w:tc>
          <w:tcPr>
            <w:tcW w:w="1948" w:type="dxa"/>
            <w:tcBorders/>
          </w:tcPr>
          <w:p>
            <w:pPr>
              <w:pStyle w:val="TableContents"/>
              <w:bidi w:val="0"/>
              <w:spacing w:before="0" w:after="283"/>
              <w:jc w:val="center"/>
              <w:rPr/>
            </w:pPr>
            <w:r>
              <w:rPr/>
              <w:t>                </w:t>
            </w:r>
            <w:r>
              <w:rPr/>
              <w:t>, 2021</w:t>
            </w:r>
          </w:p>
        </w:tc>
      </w:tr>
      <w:tr>
        <w:trPr>
          <w:trHeight w:val="240" w:hRule="atLeast"/>
        </w:trPr>
        <w:tc>
          <w:tcPr>
            <w:tcW w:w="4427"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Peter J. Barris</w:t>
            </w:r>
          </w:p>
        </w:tc>
        <w:tc>
          <w:tcPr>
            <w:tcW w:w="120" w:type="dxa"/>
            <w:tcBorders/>
            <w:vAlign w:val="bottom"/>
          </w:tcPr>
          <w:p>
            <w:pPr>
              <w:pStyle w:val="TableContents"/>
              <w:bidi w:val="0"/>
              <w:spacing w:before="0" w:after="283"/>
              <w:jc w:val="left"/>
              <w:rPr/>
            </w:pPr>
            <w:r>
              <w:rPr/>
              <w:t>  </w:t>
            </w:r>
          </w:p>
        </w:tc>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8" w:type="dxa"/>
            <w:tcBorders/>
          </w:tcPr>
          <w:p>
            <w:pPr>
              <w:pStyle w:val="TableContents"/>
              <w:bidi w:val="0"/>
              <w:spacing w:before="0" w:after="283"/>
              <w:jc w:val="center"/>
              <w:rPr/>
            </w:pPr>
            <w:r>
              <w:rPr/>
              <w:t>                </w:t>
            </w:r>
            <w:r>
              <w:rPr/>
              <w:t>, 2021</w:t>
            </w:r>
          </w:p>
        </w:tc>
      </w:tr>
      <w:tr>
        <w:trPr>
          <w:trHeight w:val="240" w:hRule="atLeast"/>
        </w:trPr>
        <w:tc>
          <w:tcPr>
            <w:tcW w:w="4427"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Eric D. Belcher</w:t>
            </w:r>
          </w:p>
        </w:tc>
        <w:tc>
          <w:tcPr>
            <w:tcW w:w="120" w:type="dxa"/>
            <w:tcBorders/>
            <w:vAlign w:val="bottom"/>
          </w:tcPr>
          <w:p>
            <w:pPr>
              <w:pStyle w:val="TableContents"/>
              <w:bidi w:val="0"/>
              <w:spacing w:before="0" w:after="283"/>
              <w:jc w:val="left"/>
              <w:rPr/>
            </w:pPr>
            <w:r>
              <w:rPr/>
              <w:t>  </w:t>
            </w:r>
          </w:p>
        </w:tc>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8" w:type="dxa"/>
            <w:tcBorders/>
          </w:tcPr>
          <w:p>
            <w:pPr>
              <w:pStyle w:val="TableContents"/>
              <w:bidi w:val="0"/>
              <w:spacing w:before="0" w:after="283"/>
              <w:jc w:val="center"/>
              <w:rPr/>
            </w:pPr>
            <w:r>
              <w:rPr/>
              <w:t>                </w:t>
            </w:r>
            <w:r>
              <w:rPr/>
              <w:t>, 2021</w:t>
            </w:r>
          </w:p>
        </w:tc>
      </w:tr>
      <w:tr>
        <w:trPr>
          <w:trHeight w:val="240" w:hRule="atLeast"/>
        </w:trPr>
        <w:tc>
          <w:tcPr>
            <w:tcW w:w="4427"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Jennifer A. Doudna, Ph.D.</w:t>
            </w:r>
          </w:p>
        </w:tc>
        <w:tc>
          <w:tcPr>
            <w:tcW w:w="120" w:type="dxa"/>
            <w:tcBorders/>
            <w:vAlign w:val="bottom"/>
          </w:tcPr>
          <w:p>
            <w:pPr>
              <w:pStyle w:val="TableContents"/>
              <w:bidi w:val="0"/>
              <w:spacing w:before="0" w:after="283"/>
              <w:jc w:val="left"/>
              <w:rPr/>
            </w:pPr>
            <w:r>
              <w:rPr/>
              <w:t>  </w:t>
            </w:r>
          </w:p>
        </w:tc>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8" w:type="dxa"/>
            <w:tcBorders/>
          </w:tcPr>
          <w:p>
            <w:pPr>
              <w:pStyle w:val="TableContents"/>
              <w:bidi w:val="0"/>
              <w:spacing w:before="0" w:after="283"/>
              <w:jc w:val="center"/>
              <w:rPr/>
            </w:pPr>
            <w:r>
              <w:rPr/>
              <w:t>                </w:t>
            </w:r>
            <w:r>
              <w:rPr/>
              <w:t>, 2021</w:t>
            </w:r>
          </w:p>
        </w:tc>
      </w:tr>
      <w:tr>
        <w:trPr>
          <w:trHeight w:val="240" w:hRule="atLeast"/>
        </w:trPr>
        <w:tc>
          <w:tcPr>
            <w:tcW w:w="4427" w:type="dxa"/>
            <w:tcBorders/>
            <w:vAlign w:val="center"/>
          </w:tcPr>
          <w:p>
            <w:pPr>
              <w:pStyle w:val="TableContents"/>
              <w:bidi w:val="0"/>
              <w:spacing w:before="0" w:after="283"/>
              <w:jc w:val="left"/>
              <w:rPr>
                <w:sz w:val="4"/>
                <w:szCs w:val="4"/>
              </w:rPr>
            </w:pPr>
            <w:r>
              <w:rPr>
                <w:sz w:val="4"/>
                <w:szCs w:val="4"/>
              </w:rPr>
            </w:r>
          </w:p>
        </w:tc>
        <w:tc>
          <w:tcPr>
            <w:tcW w:w="3629"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4427"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Wayne A.I. Frederick, M.D.</w:t>
            </w:r>
          </w:p>
        </w:tc>
        <w:tc>
          <w:tcPr>
            <w:tcW w:w="120" w:type="dxa"/>
            <w:tcBorders/>
            <w:vAlign w:val="bottom"/>
          </w:tcPr>
          <w:p>
            <w:pPr>
              <w:pStyle w:val="TableContents"/>
              <w:bidi w:val="0"/>
              <w:spacing w:before="0" w:after="283"/>
              <w:jc w:val="left"/>
              <w:rPr/>
            </w:pPr>
            <w:r>
              <w:rPr/>
              <w:t>  </w:t>
            </w:r>
          </w:p>
        </w:tc>
        <w:tc>
          <w:tcPr>
            <w:tcW w:w="350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1948" w:type="dxa"/>
            <w:tcBorders/>
          </w:tcPr>
          <w:p>
            <w:pPr>
              <w:pStyle w:val="TableContents"/>
              <w:bidi w:val="0"/>
              <w:spacing w:before="0" w:after="283"/>
              <w:jc w:val="center"/>
              <w:rPr/>
            </w:pPr>
            <w:r>
              <w:rPr/>
              <w:t>                </w:t>
            </w:r>
            <w:r>
              <w:rPr/>
              <w:t>, 2021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452"/>
        <w:gridCol w:w="120"/>
        <w:gridCol w:w="3468"/>
        <w:gridCol w:w="202"/>
        <w:gridCol w:w="1963"/>
      </w:tblGrid>
      <w:tr>
        <w:trPr/>
        <w:tc>
          <w:tcPr>
            <w:tcW w:w="44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445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46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96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r>
      <w:tr>
        <w:trPr>
          <w:trHeight w:val="240" w:hRule="atLeast"/>
        </w:trPr>
        <w:tc>
          <w:tcPr>
            <w:tcW w:w="4452" w:type="dxa"/>
            <w:tcBorders/>
            <w:vAlign w:val="center"/>
          </w:tcPr>
          <w:p>
            <w:pPr>
              <w:pStyle w:val="TableContents"/>
              <w:bidi w:val="0"/>
              <w:spacing w:before="0" w:after="283"/>
              <w:jc w:val="left"/>
              <w:rPr>
                <w:sz w:val="4"/>
                <w:szCs w:val="4"/>
              </w:rPr>
            </w:pPr>
            <w:r>
              <w:rPr>
                <w:sz w:val="4"/>
                <w:szCs w:val="4"/>
              </w:rPr>
            </w:r>
          </w:p>
        </w:tc>
        <w:tc>
          <w:tcPr>
            <w:tcW w:w="3588"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52"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Robert Ghenchev</w:t>
            </w:r>
          </w:p>
        </w:tc>
        <w:tc>
          <w:tcPr>
            <w:tcW w:w="120"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63" w:type="dxa"/>
            <w:tcBorders/>
          </w:tcPr>
          <w:p>
            <w:pPr>
              <w:pStyle w:val="TableContents"/>
              <w:bidi w:val="0"/>
              <w:spacing w:before="0" w:after="283"/>
              <w:jc w:val="center"/>
              <w:rPr/>
            </w:pPr>
            <w:r>
              <w:rPr/>
              <w:t>                </w:t>
            </w:r>
            <w:r>
              <w:rPr/>
              <w:t>, 2021</w:t>
            </w:r>
          </w:p>
        </w:tc>
      </w:tr>
      <w:tr>
        <w:trPr>
          <w:trHeight w:val="240" w:hRule="atLeast"/>
        </w:trPr>
        <w:tc>
          <w:tcPr>
            <w:tcW w:w="4452" w:type="dxa"/>
            <w:tcBorders/>
            <w:vAlign w:val="center"/>
          </w:tcPr>
          <w:p>
            <w:pPr>
              <w:pStyle w:val="TableContents"/>
              <w:bidi w:val="0"/>
              <w:spacing w:before="0" w:after="283"/>
              <w:jc w:val="left"/>
              <w:rPr>
                <w:sz w:val="4"/>
                <w:szCs w:val="4"/>
              </w:rPr>
            </w:pPr>
            <w:r>
              <w:rPr>
                <w:sz w:val="4"/>
                <w:szCs w:val="4"/>
              </w:rPr>
            </w:r>
          </w:p>
        </w:tc>
        <w:tc>
          <w:tcPr>
            <w:tcW w:w="3588"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52"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Scott Gottlieb, M.D.</w:t>
            </w:r>
          </w:p>
        </w:tc>
        <w:tc>
          <w:tcPr>
            <w:tcW w:w="120"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63" w:type="dxa"/>
            <w:tcBorders/>
          </w:tcPr>
          <w:p>
            <w:pPr>
              <w:pStyle w:val="TableContents"/>
              <w:bidi w:val="0"/>
              <w:spacing w:before="0" w:after="283"/>
              <w:jc w:val="center"/>
              <w:rPr/>
            </w:pPr>
            <w:r>
              <w:rPr/>
              <w:t>                </w:t>
            </w:r>
            <w:r>
              <w:rPr/>
              <w:t>, 2021</w:t>
            </w:r>
          </w:p>
        </w:tc>
      </w:tr>
      <w:tr>
        <w:trPr>
          <w:trHeight w:val="240" w:hRule="atLeast"/>
        </w:trPr>
        <w:tc>
          <w:tcPr>
            <w:tcW w:w="4452" w:type="dxa"/>
            <w:tcBorders/>
            <w:vAlign w:val="center"/>
          </w:tcPr>
          <w:p>
            <w:pPr>
              <w:pStyle w:val="TableContents"/>
              <w:bidi w:val="0"/>
              <w:spacing w:before="0" w:after="283"/>
              <w:jc w:val="left"/>
              <w:rPr>
                <w:sz w:val="4"/>
                <w:szCs w:val="4"/>
              </w:rPr>
            </w:pPr>
            <w:r>
              <w:rPr>
                <w:sz w:val="4"/>
                <w:szCs w:val="4"/>
              </w:rPr>
            </w:r>
          </w:p>
        </w:tc>
        <w:tc>
          <w:tcPr>
            <w:tcW w:w="3588"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52"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Theodore J. Leonsis</w:t>
            </w:r>
          </w:p>
        </w:tc>
        <w:tc>
          <w:tcPr>
            <w:tcW w:w="120"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63" w:type="dxa"/>
            <w:tcBorders/>
          </w:tcPr>
          <w:p>
            <w:pPr>
              <w:pStyle w:val="TableContents"/>
              <w:bidi w:val="0"/>
              <w:spacing w:before="0" w:after="283"/>
              <w:jc w:val="center"/>
              <w:rPr/>
            </w:pPr>
            <w:r>
              <w:rPr/>
              <w:t>                </w:t>
            </w:r>
            <w:r>
              <w:rPr/>
              <w:t>, 2021</w:t>
            </w:r>
          </w:p>
        </w:tc>
      </w:tr>
      <w:tr>
        <w:trPr>
          <w:trHeight w:val="240" w:hRule="atLeast"/>
        </w:trPr>
        <w:tc>
          <w:tcPr>
            <w:tcW w:w="4452" w:type="dxa"/>
            <w:tcBorders/>
            <w:vAlign w:val="center"/>
          </w:tcPr>
          <w:p>
            <w:pPr>
              <w:pStyle w:val="TableContents"/>
              <w:bidi w:val="0"/>
              <w:spacing w:before="0" w:after="283"/>
              <w:jc w:val="left"/>
              <w:rPr>
                <w:sz w:val="4"/>
                <w:szCs w:val="4"/>
              </w:rPr>
            </w:pPr>
            <w:r>
              <w:rPr>
                <w:sz w:val="4"/>
                <w:szCs w:val="4"/>
              </w:rPr>
            </w:r>
          </w:p>
        </w:tc>
        <w:tc>
          <w:tcPr>
            <w:tcW w:w="3588"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452" w:type="dxa"/>
            <w:tcBorders/>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Nadja West, M.D.</w:t>
            </w:r>
          </w:p>
        </w:tc>
        <w:tc>
          <w:tcPr>
            <w:tcW w:w="120"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202" w:type="dxa"/>
            <w:tcBorders/>
            <w:vAlign w:val="bottom"/>
          </w:tcPr>
          <w:p>
            <w:pPr>
              <w:pStyle w:val="TableContents"/>
              <w:bidi w:val="0"/>
              <w:spacing w:before="0" w:after="283"/>
              <w:jc w:val="left"/>
              <w:rPr/>
            </w:pPr>
            <w:r>
              <w:rPr/>
              <w:t> </w:t>
            </w:r>
          </w:p>
        </w:tc>
        <w:tc>
          <w:tcPr>
            <w:tcW w:w="1963" w:type="dxa"/>
            <w:tcBorders/>
          </w:tcPr>
          <w:p>
            <w:pPr>
              <w:pStyle w:val="TableContents"/>
              <w:bidi w:val="0"/>
              <w:spacing w:before="0" w:after="283"/>
              <w:jc w:val="center"/>
              <w:rPr/>
            </w:pPr>
            <w:r>
              <w:rPr/>
              <w:t>                </w:t>
            </w:r>
            <w:r>
              <w:rPr/>
              <w:t>, 2021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34" w:name="filename2.htm"/>
      <w:bookmarkStart w:id="35" w:name="ksfilename2"/>
      <w:bookmarkEnd w:id="34"/>
      <w:bookmarkEnd w:id="35"/>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NINTH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Sections 242 and 245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Tempus Labs, Inc., a corporation organized and existing under and by virtue of the provisions of the General Corporation Law of the State of Delaware (the </w:t>
      </w:r>
      <w:r>
        <w:rPr>
          <w:rFonts w:ascii="Times New Roman" w:hAnsi="Times New Roman"/>
          <w:b/>
          <w:i/>
          <w:sz w:val="20"/>
        </w:rPr>
        <w:t>DGCL</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sz w:val="20"/>
        </w:rPr>
        <w:t xml:space="preserve">1. That the name of this corporation is Tempus Labs, Inc., and that this corporation was originally incorporated pursuant to the DGCL on September 21, 2015 under the name Bioin, Inc. </w:t>
      </w:r>
    </w:p>
    <w:p>
      <w:pPr>
        <w:pStyle w:val="TextBody"/>
        <w:bidi w:val="0"/>
        <w:spacing w:before="120" w:after="0"/>
        <w:jc w:val="left"/>
        <w:rPr>
          <w:rFonts w:ascii="Times New Roman" w:hAnsi="Times New Roman"/>
          <w:sz w:val="20"/>
        </w:rPr>
      </w:pPr>
      <w:r>
        <w:rPr>
          <w:rFonts w:ascii="Times New Roman" w:hAnsi="Times New Roman"/>
          <w:sz w:val="20"/>
        </w:rPr>
        <w:t xml:space="preserve">2. That the original Certificate of Incorporation of this corporation was amended by a Certificate of Amendment filed with the Secretary of State 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3. That the Board of Directors duly adopted resolutions proposing to amend and restate the Eighth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Eighth Amended and Restated Certificate of Incorporation of this corporation be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b/>
          <w:sz w:val="20"/>
        </w:rPr>
        <w:t xml:space="preserve">FIRST: </w:t>
      </w:r>
      <w:r>
        <w:rPr>
          <w:rFonts w:ascii="Times New Roman" w:hAnsi="Times New Roman"/>
          <w:sz w:val="20"/>
        </w:rPr>
        <w:t>The name of this corporation is Tempus Labs, Inc. (the </w:t>
      </w:r>
      <w:r>
        <w:rPr>
          <w:rFonts w:ascii="Times New Roman" w:hAnsi="Times New Roman"/>
          <w:b/>
          <w:i/>
          <w:sz w:val="20"/>
        </w:rPr>
        <w:t>Corporation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SECOND: </w:t>
      </w:r>
      <w:r>
        <w:rPr>
          <w:rFonts w:ascii="Times New Roman" w:hAnsi="Times New Roman"/>
          <w:sz w:val="20"/>
        </w:rPr>
        <w:t xml:space="preserve">The address of the registered office of the Corporation in the State of Delaware is 1209 Orange Street, City of Wilmington, County of New Castle, Delaware 19801. The name of its registered agent at such address is The Corporation Trust Company. </w:t>
      </w:r>
    </w:p>
    <w:p>
      <w:pPr>
        <w:pStyle w:val="TextBody"/>
        <w:bidi w:val="0"/>
        <w:spacing w:before="240" w:after="0"/>
        <w:jc w:val="left"/>
        <w:rPr>
          <w:rFonts w:ascii="Times New Roman" w:hAnsi="Times New Roman"/>
          <w:sz w:val="20"/>
        </w:rPr>
      </w:pPr>
      <w:r>
        <w:rPr>
          <w:rFonts w:ascii="Times New Roman" w:hAnsi="Times New Roman"/>
          <w:b/>
          <w:sz w:val="20"/>
        </w:rPr>
        <w:t xml:space="preserve">THIRD: </w:t>
      </w:r>
      <w:r>
        <w:rPr>
          <w:rFonts w:ascii="Times New Roman" w:hAnsi="Times New Roman"/>
          <w:sz w:val="20"/>
        </w:rPr>
        <w:t xml:space="preserve">The purpose of the Corporation shall be to engage in any lawful act or activity for which a corporation may be organized under the DGCL.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The Corporation is authorized to issue two classes of stock to be designated, respectively, Common Stock and Preferred Stock. The total number of shares of all classes of stock which the Corporation is authorized to issue is 315,782,557 shares, of which (i) 251,021,811 shares shall be Common Stock (the </w:t>
      </w:r>
      <w:r>
        <w:rPr>
          <w:rFonts w:ascii="Times New Roman" w:hAnsi="Times New Roman"/>
          <w:b/>
          <w:i/>
          <w:sz w:val="20"/>
        </w:rPr>
        <w:t>Common Stock</w:t>
      </w:r>
      <w:r>
        <w:rPr>
          <w:rFonts w:ascii="Times New Roman" w:hAnsi="Times New Roman"/>
          <w:sz w:val="20"/>
        </w:rPr>
        <w:t>) and (ii) 64,760,746 shares shall be Preferred Stock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FIFTH: </w:t>
      </w:r>
      <w:r>
        <w:rPr>
          <w:rFonts w:ascii="Times New Roman" w:hAnsi="Times New Roman"/>
          <w:sz w:val="20"/>
        </w:rPr>
        <w:t>187,075,184 of the authorized shares of Common Stock are hereby designated Voting Common Stock (referred to herein as the </w:t>
      </w:r>
      <w:r>
        <w:rPr>
          <w:rFonts w:ascii="Times New Roman" w:hAnsi="Times New Roman"/>
          <w:b/>
          <w:i/>
          <w:sz w:val="20"/>
        </w:rPr>
        <w:t>Voting Common Stock</w:t>
      </w:r>
      <w:r>
        <w:rPr>
          <w:rFonts w:ascii="Times New Roman" w:hAnsi="Times New Roman"/>
          <w:sz w:val="20"/>
        </w:rPr>
        <w:t>), and 63,946,627 of the authorized shares of Common Stock are hereby designated Nonvoting Common Stock (referred to herein as the </w:t>
      </w:r>
      <w:r>
        <w:rPr>
          <w:rFonts w:ascii="Times New Roman" w:hAnsi="Times New Roman"/>
          <w:b/>
          <w:i/>
          <w:sz w:val="20"/>
        </w:rPr>
        <w:t>Nonvoting Common Stock</w:t>
      </w:r>
      <w:r>
        <w:rPr>
          <w:rFonts w:ascii="Times New Roman" w:hAnsi="Times New Roman"/>
          <w:sz w:val="20"/>
        </w:rPr>
        <w:t xml:space="preserve">). Each share of Voting Common Stock and each share of Nonvoting Common Stock shall have a par value of $0.0001 per share. </w:t>
      </w:r>
    </w:p>
    <w:p>
      <w:pPr>
        <w:pStyle w:val="TextBody"/>
        <w:bidi w:val="0"/>
        <w:spacing w:before="240" w:after="0"/>
        <w:jc w:val="left"/>
        <w:rPr>
          <w:rFonts w:ascii="Times New Roman" w:hAnsi="Times New Roman"/>
          <w:sz w:val="20"/>
        </w:rPr>
      </w:pPr>
      <w:r>
        <w:rPr>
          <w:rFonts w:ascii="Times New Roman" w:hAnsi="Times New Roman"/>
          <w:b/>
          <w:sz w:val="20"/>
        </w:rPr>
        <w:t xml:space="preserve">SIXTH: </w:t>
      </w:r>
      <w:r>
        <w:rPr>
          <w:rFonts w:ascii="Times New Roman" w:hAnsi="Times New Roman"/>
          <w:sz w:val="20"/>
        </w:rPr>
        <w:t>10,000,000 of the authorized shares of Preferred Stock are hereby designated Series A Preferred Stock (referred to herein as the </w:t>
      </w:r>
      <w:r>
        <w:rPr>
          <w:rFonts w:ascii="Times New Roman" w:hAnsi="Times New Roman"/>
          <w:b/>
          <w:i/>
          <w:sz w:val="20"/>
        </w:rPr>
        <w:t>Series A Preferred Stock</w:t>
      </w:r>
      <w:r>
        <w:rPr>
          <w:rFonts w:ascii="Times New Roman" w:hAnsi="Times New Roman"/>
          <w:sz w:val="20"/>
        </w:rPr>
        <w:t>), 5,374,899 of the authorized shares of Preferred Stock are hereby designated Series B Preferred Stock (referred to herein as the </w:t>
      </w:r>
      <w:r>
        <w:rPr>
          <w:rFonts w:ascii="Times New Roman" w:hAnsi="Times New Roman"/>
          <w:b/>
          <w:i/>
          <w:sz w:val="20"/>
        </w:rPr>
        <w:t>Series B Preferred Stock</w:t>
      </w:r>
      <w:r>
        <w:rPr>
          <w:rFonts w:ascii="Times New Roman" w:hAnsi="Times New Roman"/>
          <w:sz w:val="20"/>
        </w:rPr>
        <w:t>), 2,500,000 of the authorized shares of Preferred Stock are hereby designated Series B-1 Preferred Stock (referred to herein as the </w:t>
      </w:r>
      <w:r>
        <w:rPr>
          <w:rFonts w:ascii="Times New Roman" w:hAnsi="Times New Roman"/>
          <w:b/>
          <w:i/>
          <w:sz w:val="20"/>
        </w:rPr>
        <w:t>Series B-1 Preferred Stock</w:t>
      </w:r>
      <w:r>
        <w:rPr>
          <w:rFonts w:ascii="Times New Roman" w:hAnsi="Times New Roman"/>
          <w:sz w:val="20"/>
        </w:rPr>
        <w:t>), 4,191,173 of the authorized shares of Preferred Stock are hereby designated Series B-2 Preferred Stock (referred to herein as the </w:t>
      </w:r>
      <w:r>
        <w:rPr>
          <w:rFonts w:ascii="Times New Roman" w:hAnsi="Times New Roman"/>
          <w:b/>
          <w:i/>
          <w:sz w:val="20"/>
        </w:rPr>
        <w:t>Series B-2 Preferred Stock</w:t>
      </w:r>
      <w:r>
        <w:rPr>
          <w:rFonts w:ascii="Times New Roman" w:hAnsi="Times New Roman"/>
          <w:sz w:val="20"/>
        </w:rPr>
        <w:t>), 9,779,403 of the authorized shares of Preferred Stock are hereby designated Series C Preferred Stock (referred to herein as the </w:t>
      </w:r>
      <w:r>
        <w:rPr>
          <w:rFonts w:ascii="Times New Roman" w:hAnsi="Times New Roman"/>
          <w:b/>
          <w:i/>
          <w:sz w:val="20"/>
        </w:rPr>
        <w:t>Series C Preferred Stock</w:t>
      </w:r>
      <w:r>
        <w:rPr>
          <w:rFonts w:ascii="Times New Roman" w:hAnsi="Times New Roman"/>
          <w:sz w:val="20"/>
        </w:rPr>
        <w:t>), 8,534,330 of the authorized shares of Preferred Stock are hereby designated Series D Preferred Stock (referred to herein as the </w:t>
      </w:r>
      <w:r>
        <w:rPr>
          <w:rFonts w:ascii="Times New Roman" w:hAnsi="Times New Roman"/>
          <w:b/>
          <w:i/>
          <w:sz w:val="20"/>
        </w:rPr>
        <w:t>Series D Preferred Stock</w:t>
      </w:r>
      <w:r>
        <w:rPr>
          <w:rFonts w:ascii="Times New Roman" w:hAnsi="Times New Roman"/>
          <w:sz w:val="20"/>
        </w:rPr>
        <w:t>), 6,630,905 of the authorized shares of Preferred Stock are hereby designated Series E Preferred Stock (referred to herein as the </w:t>
      </w:r>
      <w:r>
        <w:rPr>
          <w:rFonts w:ascii="Times New Roman" w:hAnsi="Times New Roman"/>
          <w:b/>
          <w:i/>
          <w:sz w:val="20"/>
        </w:rPr>
        <w:t>Series E Preferred Stock</w:t>
      </w:r>
      <w:r>
        <w:rPr>
          <w:rFonts w:ascii="Times New Roman" w:hAnsi="Times New Roman"/>
          <w:sz w:val="20"/>
        </w:rPr>
        <w:t>), 8,077,674 of the authorized shares of Preferred Stock are hereby designated Series F Preferred Stock (referred to herein as the </w:t>
      </w:r>
      <w:r>
        <w:rPr>
          <w:rFonts w:ascii="Times New Roman" w:hAnsi="Times New Roman"/>
          <w:b/>
          <w:i/>
          <w:sz w:val="20"/>
        </w:rPr>
        <w:t>Series F Preferred Stock</w:t>
      </w:r>
      <w:r>
        <w:rPr>
          <w:rFonts w:ascii="Times New Roman" w:hAnsi="Times New Roman"/>
          <w:sz w:val="20"/>
        </w:rPr>
        <w:t>), 2,537,290 of the authorized shares of Preferred Stock are hereby designated Series G Preferred Stock (referred to herein as the </w:t>
      </w:r>
      <w:r>
        <w:rPr>
          <w:rFonts w:ascii="Times New Roman" w:hAnsi="Times New Roman"/>
          <w:b/>
          <w:i/>
          <w:sz w:val="20"/>
        </w:rPr>
        <w:t>Series G Preferred Stock</w:t>
      </w:r>
      <w:r>
        <w:rPr>
          <w:rFonts w:ascii="Times New Roman" w:hAnsi="Times New Roman"/>
          <w:sz w:val="20"/>
        </w:rPr>
        <w:t>) and 7,135,072 of the authorized shares of Preferred Stock are hereby designated Series G-2 Preferred Stock (referred to herein as the </w:t>
      </w:r>
      <w:r>
        <w:rPr>
          <w:rFonts w:ascii="Times New Roman" w:hAnsi="Times New Roman"/>
          <w:b/>
          <w:i/>
          <w:sz w:val="20"/>
        </w:rPr>
        <w:t>Series G-2 Preferred Stock</w:t>
      </w:r>
      <w:r>
        <w:rPr>
          <w:rFonts w:ascii="Times New Roman" w:hAnsi="Times New Roman"/>
          <w:sz w:val="20"/>
        </w:rPr>
        <w:t xml:space="preserve">). Each share of Series A Preferred Stock, Series B Preferred Stock, Series B-1 Preferred Stock, Series B-2 Preferred Stock, Series C Preferred Stock, Series D Preferred Stock, Series E Preferred Stock, Series F Preferred Stock, Series G Preferred Stock, and Series G-2 Preferred Stock shall have a par value of $0.0001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SEVENTH: </w:t>
      </w:r>
      <w:r>
        <w:rPr>
          <w:rFonts w:ascii="Times New Roman" w:hAnsi="Times New Roman"/>
          <w:sz w:val="20"/>
        </w:rPr>
        <w:t xml:space="preserve">The rights, preferences, privileges, restrictions and other matters relating to the Common Stock and Preferred Stock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shall have the following rights, preferences, powers, privileges and restrictions, qualifications and limitations.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xml:space="preserve">. The voting, dividend and liquidation rights of the holders of the Common Stock are subject to and qualified by the rights, powers and preferences of the holders of the Preferred Stock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w:t>
      </w:r>
      <w:r>
        <w:rPr>
          <w:rFonts w:ascii="Times New Roman" w:hAnsi="Times New Roman"/>
          <w:sz w:val="20"/>
        </w:rPr>
        <w:t xml:space="preserve">. The holders of the Voting Common Stock are entitled to one vote for each share of Voting Common Stock held at all meetings of stockholders (and written actions in lieu of meetings);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required by law, holders of Voting Common Stock, as such, shall not be entitled to vote on any amendment to this Ninth Amended and Restated Certificate of Incorporation of the Corporation (the </w:t>
      </w:r>
      <w:r>
        <w:rPr>
          <w:rFonts w:ascii="Times New Roman" w:hAnsi="Times New Roman"/>
          <w:b/>
          <w:i/>
          <w:sz w:val="20"/>
        </w:rPr>
        <w:t>Restated Certificate</w:t>
      </w:r>
      <w:r>
        <w:rPr>
          <w:rFonts w:ascii="Times New Roman" w:hAnsi="Times New Roman"/>
          <w:sz w:val="20"/>
        </w:rPr>
        <w:t xml:space="preserve">) that relates solely to the terns of one or more outstanding series of Preferred Stock if the holders of such affected series are entitled, either separately or together with the holders of one or more other such series, to vote thereon pursuant to the Restated Certificate or pursuant to the DGCL. The holders of Nonvoting Common Stock shall have no voting rights, except as required by law. There shall be no cumulative voting. Subject to </w:t>
      </w:r>
      <w:r>
        <w:rPr>
          <w:rFonts w:ascii="Times New Roman" w:hAnsi="Times New Roman"/>
          <w:sz w:val="20"/>
          <w:u w:val="single"/>
        </w:rPr>
        <w:t>Sections 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w:t>
      </w:r>
      <w:r>
        <w:rPr>
          <w:rFonts w:ascii="Times New Roman" w:hAnsi="Times New Roman"/>
          <w:sz w:val="20"/>
          <w:u w:val="single"/>
        </w:rPr>
        <w:t>3.8</w:t>
      </w:r>
      <w:r>
        <w:rPr>
          <w:rFonts w:ascii="Times New Roman" w:hAnsi="Times New Roman"/>
          <w:sz w:val="20"/>
        </w:rPr>
        <w:t xml:space="preserve"> and </w:t>
      </w:r>
      <w:r>
        <w:rPr>
          <w:rFonts w:ascii="Times New Roman" w:hAnsi="Times New Roman"/>
          <w:sz w:val="20"/>
          <w:u w:val="single"/>
        </w:rPr>
        <w:t>3.9</w:t>
      </w:r>
      <w:r>
        <w:rPr>
          <w:rFonts w:ascii="Times New Roman" w:hAnsi="Times New Roman"/>
          <w:sz w:val="20"/>
        </w:rPr>
        <w:t xml:space="preserve"> of Part B below, the number of authorized shares of Common Stock or Preferred Stock may be increased or decreased (but not below the number of shares thereof then outstanding) by (in addition to any vote of the holders of one or more series of Preferred Stock that may be required by the terms of this Restated Certificate) the affirmative vote of the holders of shares of capital stock of the Corporation representing a majority of the votes represented by all outstanding shares of capital stock of the Corporation entitled to vote, irrespective of the provisions of Section 242(b)(2) of DGCL, and no vote of the holders of any shares of Nonvoting Common Stock, voting as a separate class, shall be required therefor.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Mandatory Conversion</w:t>
      </w:r>
      <w:r>
        <w:rPr>
          <w:rFonts w:ascii="Times New Roman" w:hAnsi="Times New Roman"/>
          <w:sz w:val="20"/>
        </w:rPr>
        <w:t xml:space="preserve">. All outstanding shares of Nonvoting Common Stock shall automatically be converted into shares of Voting Common Stock at the Nonvoting Mandatory Conversion Time (defined below). Part B, </w:t>
      </w:r>
      <w:r>
        <w:rPr>
          <w:rFonts w:ascii="Times New Roman" w:hAnsi="Times New Roman"/>
          <w:sz w:val="20"/>
          <w:u w:val="single"/>
        </w:rPr>
        <w:t>Section 5</w:t>
      </w:r>
      <w:r>
        <w:rPr>
          <w:rFonts w:ascii="Times New Roman" w:hAnsi="Times New Roman"/>
          <w:sz w:val="20"/>
        </w:rPr>
        <w:t xml:space="preserve"> of Article Seventh states the mandatory conversion conditions and mechanics. </w:t>
      </w:r>
    </w:p>
    <w:p>
      <w:pPr>
        <w:pStyle w:val="TextBody"/>
        <w:bidi w:val="0"/>
        <w:spacing w:before="240" w:after="0"/>
        <w:jc w:val="left"/>
        <w:rPr>
          <w:rFonts w:ascii="Times New Roman" w:hAnsi="Times New Roman"/>
          <w:sz w:val="20"/>
        </w:rPr>
      </w:pPr>
      <w:r>
        <w:rPr>
          <w:rFonts w:ascii="Times New Roman" w:hAnsi="Times New Roman"/>
          <w:sz w:val="20"/>
        </w:rPr>
        <w:t xml:space="preserve">B. PREFERRED STOCK </w:t>
      </w:r>
    </w:p>
    <w:p>
      <w:pPr>
        <w:pStyle w:val="TextBody"/>
        <w:bidi w:val="0"/>
        <w:spacing w:before="120" w:after="0"/>
        <w:jc w:val="left"/>
        <w:rPr>
          <w:rFonts w:ascii="Times New Roman" w:hAnsi="Times New Roman"/>
          <w:sz w:val="20"/>
        </w:rPr>
      </w:pPr>
      <w:r>
        <w:rPr>
          <w:rFonts w:ascii="Times New Roman" w:hAnsi="Times New Roman"/>
          <w:sz w:val="20"/>
        </w:rPr>
        <w:t>The Preferred Stock shall have the following rights, preferences, powers, privileges and restrictions, qualifications and limitations. Unless otherwise indicated, references to </w:t>
      </w:r>
      <w:r>
        <w:rPr>
          <w:rFonts w:ascii="Times New Roman" w:hAnsi="Times New Roman"/>
          <w:b/>
          <w:i/>
          <w:sz w:val="20"/>
        </w:rPr>
        <w:t>Sections</w:t>
      </w:r>
      <w:r>
        <w:rPr>
          <w:rFonts w:ascii="Times New Roman" w:hAnsi="Times New Roman"/>
          <w:sz w:val="20"/>
        </w:rPr>
        <w:t xml:space="preserve"> in this Part B of this Article Seventh refer to sections of Part B of this Article Seventh.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Accruing Series G Dividends</w:t>
      </w:r>
      <w:r>
        <w:rPr>
          <w:rFonts w:ascii="Times New Roman" w:hAnsi="Times New Roman"/>
          <w:sz w:val="20"/>
        </w:rPr>
        <w:t>. From and after the date of the issuance of any share of Series G Preferred Stock, dividends shall accrue on such share of Series G Preferred Stock, at the rate of six percent (6.0%) per annum on the sum of (i) the Series G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hAnsi="Times New Roman"/>
          <w:b/>
          <w:i/>
          <w:sz w:val="20"/>
        </w:rPr>
        <w:t>Series G Accruing Dividends</w:t>
      </w:r>
      <w:r>
        <w:rPr>
          <w:rFonts w:ascii="Times New Roman" w:hAnsi="Times New Roman"/>
          <w:sz w:val="20"/>
        </w:rPr>
        <w:t xml:space="preserve">). Series G Accruing Dividends shall accrue from day to day, whether or not declared and whether or not there are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funds of the Corporation legally available for the payment of dividends, and shall be cumulative;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set forth in </w:t>
      </w:r>
      <w:r>
        <w:rPr>
          <w:rFonts w:ascii="Times New Roman" w:hAnsi="Times New Roman"/>
          <w:sz w:val="20"/>
          <w:u w:val="single"/>
        </w:rPr>
        <w:t>Subsection 2.2</w:t>
      </w:r>
      <w:r>
        <w:rPr>
          <w:rFonts w:ascii="Times New Roman" w:hAnsi="Times New Roman"/>
          <w:sz w:val="20"/>
        </w:rPr>
        <w:t xml:space="preserve">, </w:t>
      </w:r>
      <w:r>
        <w:rPr>
          <w:rFonts w:ascii="Times New Roman" w:hAnsi="Times New Roman"/>
          <w:sz w:val="20"/>
          <w:u w:val="single"/>
        </w:rPr>
        <w:t>Subsection 2.3</w:t>
      </w:r>
      <w:r>
        <w:rPr>
          <w:rFonts w:ascii="Times New Roman" w:hAnsi="Times New Roman"/>
          <w:sz w:val="20"/>
        </w:rPr>
        <w:t xml:space="preserve">, </w:t>
      </w:r>
      <w:r>
        <w:rPr>
          <w:rFonts w:ascii="Times New Roman" w:hAnsi="Times New Roman"/>
          <w:sz w:val="20"/>
          <w:u w:val="single"/>
        </w:rPr>
        <w:t>Subsection 2.4</w:t>
      </w:r>
      <w:r>
        <w:rPr>
          <w:rFonts w:ascii="Times New Roman" w:hAnsi="Times New Roman"/>
          <w:sz w:val="20"/>
        </w:rPr>
        <w:t xml:space="preserve">, </w:t>
      </w:r>
      <w:r>
        <w:rPr>
          <w:rFonts w:ascii="Times New Roman" w:hAnsi="Times New Roman"/>
          <w:sz w:val="20"/>
          <w:u w:val="single"/>
        </w:rPr>
        <w:t>Subsection 2.5</w:t>
      </w:r>
      <w:r>
        <w:rPr>
          <w:rFonts w:ascii="Times New Roman" w:hAnsi="Times New Roman"/>
          <w:sz w:val="20"/>
        </w:rPr>
        <w:t xml:space="preserve">, </w:t>
      </w:r>
      <w:r>
        <w:rPr>
          <w:rFonts w:ascii="Times New Roman" w:hAnsi="Times New Roman"/>
          <w:sz w:val="20"/>
          <w:u w:val="single"/>
        </w:rPr>
        <w:t>Subsection 2.6</w:t>
      </w:r>
      <w:r>
        <w:rPr>
          <w:rFonts w:ascii="Times New Roman" w:hAnsi="Times New Roman"/>
          <w:sz w:val="20"/>
        </w:rPr>
        <w:t xml:space="preserve">, </w:t>
      </w:r>
      <w:r>
        <w:rPr>
          <w:rFonts w:ascii="Times New Roman" w:hAnsi="Times New Roman"/>
          <w:sz w:val="20"/>
          <w:u w:val="single"/>
        </w:rPr>
        <w:t>Subsection 2.7</w:t>
      </w:r>
      <w:r>
        <w:rPr>
          <w:rFonts w:ascii="Times New Roman" w:hAnsi="Times New Roman"/>
          <w:sz w:val="20"/>
        </w:rPr>
        <w:t xml:space="preserve">, </w:t>
      </w:r>
      <w:r>
        <w:rPr>
          <w:rFonts w:ascii="Times New Roman" w:hAnsi="Times New Roman"/>
          <w:sz w:val="20"/>
          <w:u w:val="single"/>
        </w:rPr>
        <w:t>Subsection 2.8</w:t>
      </w:r>
      <w:r>
        <w:rPr>
          <w:rFonts w:ascii="Times New Roman" w:hAnsi="Times New Roman"/>
          <w:sz w:val="20"/>
        </w:rPr>
        <w:t xml:space="preserve">, </w:t>
      </w:r>
      <w:r>
        <w:rPr>
          <w:rFonts w:ascii="Times New Roman" w:hAnsi="Times New Roman"/>
          <w:sz w:val="20"/>
          <w:u w:val="single"/>
        </w:rPr>
        <w:t>Subsection 2.9</w:t>
      </w:r>
      <w:r>
        <w:rPr>
          <w:rFonts w:ascii="Times New Roman" w:hAnsi="Times New Roman"/>
          <w:sz w:val="20"/>
        </w:rPr>
        <w:t xml:space="preserve">, </w:t>
      </w:r>
      <w:r>
        <w:rPr>
          <w:rFonts w:ascii="Times New Roman" w:hAnsi="Times New Roman"/>
          <w:sz w:val="20"/>
          <w:u w:val="single"/>
        </w:rPr>
        <w:t>Subsection 4.3.1</w:t>
      </w:r>
      <w:r>
        <w:rPr>
          <w:rFonts w:ascii="Times New Roman" w:hAnsi="Times New Roman"/>
          <w:sz w:val="20"/>
        </w:rPr>
        <w:t xml:space="preserve">, </w:t>
      </w:r>
      <w:r>
        <w:rPr>
          <w:rFonts w:ascii="Times New Roman" w:hAnsi="Times New Roman"/>
          <w:sz w:val="20"/>
          <w:u w:val="single"/>
        </w:rPr>
        <w:t>Subsection 5.2</w:t>
      </w:r>
      <w:r>
        <w:rPr>
          <w:rFonts w:ascii="Times New Roman" w:hAnsi="Times New Roman"/>
          <w:sz w:val="20"/>
        </w:rPr>
        <w:t xml:space="preserve"> and </w:t>
      </w:r>
      <w:r>
        <w:rPr>
          <w:rFonts w:ascii="Times New Roman" w:hAnsi="Times New Roman"/>
          <w:sz w:val="20"/>
          <w:u w:val="single"/>
        </w:rPr>
        <w:t>Section 6</w:t>
      </w:r>
      <w:r>
        <w:rPr>
          <w:rFonts w:ascii="Times New Roman" w:hAnsi="Times New Roman"/>
          <w:sz w:val="20"/>
        </w:rPr>
        <w:t xml:space="preserve">, such Series G Accruing Dividends shall be payable only when, as and if declared by the Board of Directors of the Corporation. All Series G Accruing Dividends on the shares of Series G Preferred Stock shall be </w:t>
      </w:r>
      <w:r>
        <w:rPr>
          <w:rFonts w:ascii="Times New Roman" w:hAnsi="Times New Roman"/>
          <w:i/>
          <w:sz w:val="20"/>
        </w:rPr>
        <w:t>pari passu</w:t>
      </w:r>
      <w:r>
        <w:rPr>
          <w:rFonts w:ascii="Times New Roman" w:hAnsi="Times New Roman"/>
          <w:sz w:val="20"/>
        </w:rPr>
        <w:t xml:space="preserve"> to any dividend paid with respect to shares of Series F Preferred Stock, Series E Preferred Stock, Series D Preferred Stock, Series C Preferred 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G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 Preferred Stock in respect of payment of dividends;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Accruing Series F Dividends, Accruing Series E Dividends, Accruing Series D Dividends and Accruing Series C Dividends</w:t>
      </w:r>
      <w:r>
        <w:rPr>
          <w:rFonts w:ascii="Times New Roman" w:hAnsi="Times New Roman"/>
          <w:sz w:val="20"/>
        </w:rPr>
        <w:t>. From and after the date of the issuance of any share of Series F Preferred Stock, any share of Series E Preferred Stock, any share of Series D Preferred Stock and any share of Series C Preferred Stock, dividends shall accrue on such share of Series F Preferred Stock, Series E Preferred Stock, Series D Preferred Stock or Series C Preferred Stock, as applicable, at the rate of six percent (6.0%) per annum on the sum of (i) the Series F Original Issue Price (subject to appropriate adjustment in the event of any stock dividend, stock split, combination or other similar recapitalization with respect to such class or series), the Series E Original Issue Price (subject to appropriate adjustment in the event of any stock dividend, stock split, combination or other similar recapitalization with respect to such class or series), the Series D Original Issue Price (subject to appropriate adjustment in the event of any stock dividend, stock split, combination or other similar recapitalization with respect to such class or series), or the Series C Original Issue Price (subject to appropriate adjustment in the event of any stock dividend, stock split, combination or other similar recapitalization with respect to such class or series), as applicable, plus (ii) all accrued but unpaid dividends thereon (as applicable, the </w:t>
      </w:r>
      <w:r>
        <w:rPr>
          <w:rFonts w:ascii="Times New Roman" w:hAnsi="Times New Roman"/>
          <w:b/>
          <w:i/>
          <w:sz w:val="20"/>
        </w:rPr>
        <w:t>Series F Accruing Dividends,</w:t>
      </w:r>
      <w:r>
        <w:rPr>
          <w:rFonts w:ascii="Times New Roman" w:hAnsi="Times New Roman"/>
          <w:sz w:val="20"/>
        </w:rPr>
        <w:t> </w:t>
      </w:r>
      <w:r>
        <w:rPr>
          <w:rFonts w:ascii="Times New Roman" w:hAnsi="Times New Roman"/>
          <w:b/>
          <w:i/>
          <w:sz w:val="20"/>
        </w:rPr>
        <w:t>Series E Accruing Dividends,</w:t>
      </w:r>
      <w:r>
        <w:rPr>
          <w:rFonts w:ascii="Times New Roman" w:hAnsi="Times New Roman"/>
          <w:sz w:val="20"/>
        </w:rPr>
        <w:t> </w:t>
      </w:r>
      <w:r>
        <w:rPr>
          <w:rFonts w:ascii="Times New Roman" w:hAnsi="Times New Roman"/>
          <w:b/>
          <w:i/>
          <w:sz w:val="20"/>
        </w:rPr>
        <w:t>Series D Accruing Dividends</w:t>
      </w:r>
      <w:r>
        <w:rPr>
          <w:rFonts w:ascii="Times New Roman" w:hAnsi="Times New Roman"/>
          <w:sz w:val="20"/>
        </w:rPr>
        <w:t> or the </w:t>
      </w:r>
      <w:r>
        <w:rPr>
          <w:rFonts w:ascii="Times New Roman" w:hAnsi="Times New Roman"/>
          <w:b/>
          <w:i/>
          <w:sz w:val="20"/>
        </w:rPr>
        <w:t>Series C Accruing Dividends</w:t>
      </w:r>
      <w:r>
        <w:rPr>
          <w:rFonts w:ascii="Times New Roman" w:hAnsi="Times New Roman"/>
          <w:sz w:val="20"/>
        </w:rPr>
        <w:t xml:space="preserve">). Series F Accruing Dividends, Series E Accruing Dividends, Series D Accruing Dividends and Series C Accruing Dividends shall accrue from day to day, whether or not declared and whether or not there are any funds of the Corporation legally available for the payment of dividends, and shall be cumulative;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set forth in </w:t>
      </w:r>
      <w:r>
        <w:rPr>
          <w:rFonts w:ascii="Times New Roman" w:hAnsi="Times New Roman"/>
          <w:sz w:val="20"/>
          <w:u w:val="single"/>
        </w:rPr>
        <w:t>Subsection 2.3</w:t>
      </w:r>
      <w:r>
        <w:rPr>
          <w:rFonts w:ascii="Times New Roman" w:hAnsi="Times New Roman"/>
          <w:sz w:val="20"/>
        </w:rPr>
        <w:t xml:space="preserve">, </w:t>
      </w:r>
      <w:r>
        <w:rPr>
          <w:rFonts w:ascii="Times New Roman" w:hAnsi="Times New Roman"/>
          <w:sz w:val="20"/>
          <w:u w:val="single"/>
        </w:rPr>
        <w:t>Subsection 2.4</w:t>
      </w:r>
      <w:r>
        <w:rPr>
          <w:rFonts w:ascii="Times New Roman" w:hAnsi="Times New Roman"/>
          <w:sz w:val="20"/>
        </w:rPr>
        <w:t xml:space="preserve">, </w:t>
      </w:r>
      <w:r>
        <w:rPr>
          <w:rFonts w:ascii="Times New Roman" w:hAnsi="Times New Roman"/>
          <w:sz w:val="20"/>
          <w:u w:val="single"/>
        </w:rPr>
        <w:t>Subsection 2.5</w:t>
      </w:r>
      <w:r>
        <w:rPr>
          <w:rFonts w:ascii="Times New Roman" w:hAnsi="Times New Roman"/>
          <w:sz w:val="20"/>
        </w:rPr>
        <w:t xml:space="preserve">, </w:t>
      </w:r>
      <w:r>
        <w:rPr>
          <w:rFonts w:ascii="Times New Roman" w:hAnsi="Times New Roman"/>
          <w:sz w:val="20"/>
          <w:u w:val="single"/>
        </w:rPr>
        <w:t>Subsection 2.6</w:t>
      </w:r>
      <w:r>
        <w:rPr>
          <w:rFonts w:ascii="Times New Roman" w:hAnsi="Times New Roman"/>
          <w:sz w:val="20"/>
        </w:rPr>
        <w:t xml:space="preserve">, </w:t>
      </w:r>
      <w:r>
        <w:rPr>
          <w:rFonts w:ascii="Times New Roman" w:hAnsi="Times New Roman"/>
          <w:sz w:val="20"/>
          <w:u w:val="single"/>
        </w:rPr>
        <w:t>Subsection 2.7</w:t>
      </w:r>
      <w:r>
        <w:rPr>
          <w:rFonts w:ascii="Times New Roman" w:hAnsi="Times New Roman"/>
          <w:sz w:val="20"/>
        </w:rPr>
        <w:t xml:space="preserve">, </w:t>
      </w:r>
      <w:r>
        <w:rPr>
          <w:rFonts w:ascii="Times New Roman" w:hAnsi="Times New Roman"/>
          <w:sz w:val="20"/>
          <w:u w:val="single"/>
        </w:rPr>
        <w:t>Subsection 2.8</w:t>
      </w:r>
      <w:r>
        <w:rPr>
          <w:rFonts w:ascii="Times New Roman" w:hAnsi="Times New Roman"/>
          <w:sz w:val="20"/>
        </w:rPr>
        <w:t xml:space="preserve">, </w:t>
      </w:r>
      <w:r>
        <w:rPr>
          <w:rFonts w:ascii="Times New Roman" w:hAnsi="Times New Roman"/>
          <w:sz w:val="20"/>
          <w:u w:val="single"/>
        </w:rPr>
        <w:t>Subsection 2.9</w:t>
      </w:r>
      <w:r>
        <w:rPr>
          <w:rFonts w:ascii="Times New Roman" w:hAnsi="Times New Roman"/>
          <w:sz w:val="20"/>
        </w:rPr>
        <w:t xml:space="preserve">, </w:t>
      </w:r>
      <w:r>
        <w:rPr>
          <w:rFonts w:ascii="Times New Roman" w:hAnsi="Times New Roman"/>
          <w:sz w:val="20"/>
          <w:u w:val="single"/>
        </w:rPr>
        <w:t>Subsection 4.3.1</w:t>
      </w:r>
      <w:r>
        <w:rPr>
          <w:rFonts w:ascii="Times New Roman" w:hAnsi="Times New Roman"/>
          <w:sz w:val="20"/>
        </w:rPr>
        <w:t xml:space="preserve">, </w:t>
      </w:r>
      <w:r>
        <w:rPr>
          <w:rFonts w:ascii="Times New Roman" w:hAnsi="Times New Roman"/>
          <w:sz w:val="20"/>
          <w:u w:val="single"/>
        </w:rPr>
        <w:t>Subsection 5.2</w:t>
      </w:r>
      <w:r>
        <w:rPr>
          <w:rFonts w:ascii="Times New Roman" w:hAnsi="Times New Roman"/>
          <w:sz w:val="20"/>
        </w:rPr>
        <w:t xml:space="preserve"> and </w:t>
      </w:r>
      <w:r>
        <w:rPr>
          <w:rFonts w:ascii="Times New Roman" w:hAnsi="Times New Roman"/>
          <w:sz w:val="20"/>
          <w:u w:val="single"/>
        </w:rPr>
        <w:t>Section 6</w:t>
      </w:r>
      <w:r>
        <w:rPr>
          <w:rFonts w:ascii="Times New Roman" w:hAnsi="Times New Roman"/>
          <w:sz w:val="20"/>
        </w:rPr>
        <w:t xml:space="preserve">, or unless a holder of shares of Preferred Stock has made a prior written election delivered to the Corporation to receive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such accrued dividends in cash, such Series F Accruing Dividends, Series E Accruing Dividends, Series D Accruing Dividends and Series C Accruing Dividends shall be payable only when, as and if declared by the Board of Directors of the Corporation. If and to the extent that a holder has made such election, the Corporation shall pay all of the Series F Accruing Dividends, the Series E Accruing Dividends, the Series D Accruing Dividends and the Series C Accruing Dividends on the applicable shares of Preferred Stock held by such holder in cash on January 15 of each year (or the following business day, each such date, a </w:t>
      </w:r>
      <w:r>
        <w:rPr>
          <w:rFonts w:ascii="Times New Roman" w:hAnsi="Times New Roman"/>
          <w:b/>
          <w:i/>
          <w:sz w:val="20"/>
        </w:rPr>
        <w:t>Dividend Payment Date</w:t>
      </w:r>
      <w:r>
        <w:rPr>
          <w:rFonts w:ascii="Times New Roman" w:hAnsi="Times New Roman"/>
          <w:sz w:val="20"/>
        </w:rPr>
        <w:t xml:space="preserve">), but only to the extent out of funds legally available therefor; </w:t>
      </w:r>
      <w:r>
        <w:rPr>
          <w:rFonts w:ascii="Times New Roman" w:hAnsi="Times New Roman"/>
          <w:sz w:val="20"/>
          <w:u w:val="single"/>
        </w:rPr>
        <w:t>provided</w:t>
      </w:r>
      <w:r>
        <w:rPr>
          <w:rFonts w:ascii="Times New Roman" w:hAnsi="Times New Roman"/>
          <w:sz w:val="20"/>
        </w:rPr>
        <w:t xml:space="preserve">, that in the event any such holder makes such election, the Series F Accruing Dividends, the Series E Accruing Dividends, the Series D Accruing Dividends and the Series C Accruing Dividends with respect to the applicable shares of Preferred Stock held by such holder shall accrue on such shares at the rate of five percent (5.0%) per annum rather than six percent (6.0%) per annum. If and to the extent that any portion of the accrued but unpaid dividends required to be paid on a Dividend Payment Date are not paid on such Dividend Payment Date, such unpaid portion of the Series F Accruing Dividends, Series E Accruing Dividends, Series D Accruing Dividends or Series C Accruing Dividends shall accumulate and compound on the applicable Dividend Payment Date and subject to the provisions of this </w:t>
      </w:r>
      <w:r>
        <w:rPr>
          <w:rFonts w:ascii="Times New Roman" w:hAnsi="Times New Roman"/>
          <w:sz w:val="20"/>
          <w:u w:val="single"/>
        </w:rPr>
        <w:t>Subsection 1.2</w:t>
      </w:r>
      <w:r>
        <w:rPr>
          <w:rFonts w:ascii="Times New Roman" w:hAnsi="Times New Roman"/>
          <w:sz w:val="20"/>
        </w:rPr>
        <w:t xml:space="preserve"> shall be payable on the following Dividend Payment Date, in each case whether or not declared by the Board of Directors of the Corporation. All Series F Accruing Dividends on the shares of Series F Preferred Stock, Series E Accruing Dividends on the shares of Series E Preferred Stock, Series D Accruing Dividends on the shares of Series D Preferred Stock and Series C Accruing Dividends on the shares of Series C Preferred Stock shall be </w:t>
      </w:r>
      <w:r>
        <w:rPr>
          <w:rFonts w:ascii="Times New Roman" w:hAnsi="Times New Roman"/>
          <w:i/>
          <w:sz w:val="20"/>
        </w:rPr>
        <w:t>pari passu</w:t>
      </w:r>
      <w:r>
        <w:rPr>
          <w:rFonts w:ascii="Times New Roman" w:hAnsi="Times New Roman"/>
          <w:sz w:val="20"/>
        </w:rPr>
        <w:t xml:space="preserve"> to any dividend paid with respect to each other and with respect to shares of Series G Preferred 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F Preferred Stock, Series E Preferred Stock, Series D Preferred Stock and Series C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F Preferred Stock, Series E Preferred Stock, Series D Preferred Stock and Series C Preferred Stock in respect of payment of dividends;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clarity, Series B-2 Accruing Dividends, Series B-1 Accruing Dividends, Series B Accruing Dividends, and Series A Accruing Dividends may be paid in respect of shares of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Accruing Series B-2 Dividends</w:t>
      </w:r>
      <w:r>
        <w:rPr>
          <w:rFonts w:ascii="Times New Roman" w:hAnsi="Times New Roman"/>
          <w:sz w:val="20"/>
        </w:rPr>
        <w:t>. From and after the date of the issuance of any share of Series B-2 Preferred Stock, dividends shall accrue on such share of Series B-2 Preferred Stock at the rate of five percent (5.0%) per annum on the sum of (i) the Series B-2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hAnsi="Times New Roman"/>
          <w:b/>
          <w:i/>
          <w:sz w:val="20"/>
        </w:rPr>
        <w:t>Series B-2 Accruing Dividends</w:t>
      </w:r>
      <w:r>
        <w:rPr>
          <w:rFonts w:ascii="Times New Roman" w:hAnsi="Times New Roman"/>
          <w:sz w:val="20"/>
        </w:rPr>
        <w:t xml:space="preserve">). Series B-2 Accruing Dividends shall accrue from day to day, whether or not declared and whether or not there are any funds of the Corporation legally available for the payment of dividends, and shall be cumulative.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Series B-2 Accruing Dividends shall be paid in cash on each Dividend Payment Date, but only to the extent out of funds legally available therefor, or upon a Liquidation Event, Deemed Liquidation Event or conversion, as set forth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a majority of the outstanding shares of Series B-2 Preferred Stock may elect, in their sole discretion and on behalf of all of the holders of shares of Series B-2 Preferred Stock, for the Corporation to not pay all or any portion of the Series B-2 Accruing Dividends upon ten (10) days advance notice to the Board of Directors of the Corporation. If and to the extent that any portion of the Series B-2 Accruing Dividends are not paid on a Dividend Payment Date by reason of such election or otherwise, such unpaid portion of the Series B-2 Accruing Dividends shall accumulate and compound on the applicable Dividend Payment Date whether or not declared by the Board of Directors of the Corporation. All Series B-2 Accruing Dividends on the shares of Series B-2 Preferred Stock shall be </w:t>
      </w:r>
      <w:r>
        <w:rPr>
          <w:rFonts w:ascii="Times New Roman" w:hAnsi="Times New Roman"/>
          <w:i/>
          <w:sz w:val="20"/>
        </w:rPr>
        <w:t>pari passu</w:t>
      </w:r>
      <w:r>
        <w:rPr>
          <w:rFonts w:ascii="Times New Roman" w:hAnsi="Times New Roman"/>
          <w:sz w:val="20"/>
        </w:rPr>
        <w:t xml:space="preserve"> to any dividend paid with respect to shares of Series G Preferred Stock, Series F Preferred Stock, Series E Preferred Stock, Series D Preferred Stock, Series C Preferred Stock, Series B-1 Preferred Stock and Series B Preferred Stock and prior to and in preference to any dividend on any shares of Series A Preferred Stock, Common Stock or any other class or series of capital stock of the Corporation ranking junior to shares of Series B-2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B-2 Preferred Stock in respect of payment of dividends; provided, however, that for clarity, Series B-1 Accruing Dividends, Series B Accruing Dividends, and Series A Accruing Dividends may be paid in respect of shares of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Accruing Series B-1 Dividends</w:t>
      </w:r>
      <w:r>
        <w:rPr>
          <w:rFonts w:ascii="Times New Roman" w:hAnsi="Times New Roman"/>
          <w:sz w:val="20"/>
        </w:rPr>
        <w:t>. From and after the date of the issuance of any share of Series B-1 Preferred Stock, dividends shall accrue on such share of Series B-1 Preferred Stock at the rate of five percent (5.0%) per annum on the sum of (i) the Series B-1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hAnsi="Times New Roman"/>
          <w:b/>
          <w:i/>
          <w:sz w:val="20"/>
        </w:rPr>
        <w:t>Series B-1 Accruing Dividends</w:t>
      </w:r>
      <w:r>
        <w:rPr>
          <w:rFonts w:ascii="Times New Roman" w:hAnsi="Times New Roman"/>
          <w:sz w:val="20"/>
        </w:rPr>
        <w:t xml:space="preserve">). Series B-1 Accruing Dividends shall accrue from day to day, whether or not declared and whether or not there are any funds of the Corporation legally available for the payment of dividends, and shall be cumulative. All Series B-1 Accruing Dividends shall be paid in cash on each Dividend Payment Date, but only to the extent out of funds legally available therefor, or upon a Liquidation Event, Deemed Liquidation Event or conversion, as set forth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a majority of the outstanding shares of Series B-1 Preferred Stock may elect, in their sole discretion and on behalf of all of the holders of shares of Series B-1 Preferred Stock, for the Corporation to not pay all or any portion of the Series B-1 Accruing Dividends upon ten (10) days advance notice to the Board of Directors of the Corporation. If and to the extent that any portion of the Series B-1 Accruing Dividends are not paid on a Dividend Payment Date by reason of such election or otherwise, such unpaid portion of the Series B-1 Accruing Dividends shall accumulate and compound on the applicable Dividend Payment Date whether or not declared by the Board of Directors of the Corporation. All Series B-1 Accruing Dividends on the shares of Series B-1 Preferred Stock shall be </w:t>
      </w:r>
      <w:r>
        <w:rPr>
          <w:rFonts w:ascii="Times New Roman" w:hAnsi="Times New Roman"/>
          <w:i/>
          <w:sz w:val="20"/>
        </w:rPr>
        <w:t>pari passu</w:t>
      </w:r>
      <w:r>
        <w:rPr>
          <w:rFonts w:ascii="Times New Roman" w:hAnsi="Times New Roman"/>
          <w:sz w:val="20"/>
        </w:rPr>
        <w:t xml:space="preserve"> to any dividend paid with respect to shares of Series 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Series F Preferred Stock, Series E Preferred Stock, Series D Preferred Stock, Series C Preferred Stock, Series B-2 Preferred Stock and Series B Preferred Stock and prior to and in preference to any dividend on any shares of Series A Preferred Stock, Common Stock or any other class or series of capital stock of the Corporation ranking junior to shares of Series B-1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B-1 Preferred Stock in respect of payment of dividends;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clarity, Series B Accruing Dividends and Series A Accruing Dividends may be paid in respect of shares of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Accruing Series B Dividends</w:t>
      </w:r>
      <w:r>
        <w:rPr>
          <w:rFonts w:ascii="Times New Roman" w:hAnsi="Times New Roman"/>
          <w:sz w:val="20"/>
        </w:rPr>
        <w:t>. From and after the date of the issuance of any share of Series B Preferred Stock, dividends shall accrue on such share of Series B Preferred Stock at the rate of five percent (5.0%) per annum on the sum of (i) the Series B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hAnsi="Times New Roman"/>
          <w:b/>
          <w:i/>
          <w:sz w:val="20"/>
        </w:rPr>
        <w:t>Series B Accruing Dividends</w:t>
      </w:r>
      <w:r>
        <w:rPr>
          <w:rFonts w:ascii="Times New Roman" w:hAnsi="Times New Roman"/>
          <w:sz w:val="20"/>
        </w:rPr>
        <w:t xml:space="preserve">). Series B Accruing Dividends shall accrue from day to day, whether or not declared and whether or not there are any funds of the Corporation legally available for the payment of dividends, and shall be cumulative. All Series B Accruing Dividends shall be paid in cash on each Dividend Payment Date, but only to the extent out of funds legally available therefor, or upon a Liquidation Event, Deemed Liquidation Event or conversion, as set forth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a majority of the outstanding shares of Series B Preferred Stock may elect, in their sole discretion and on behalf of all of the holders of shares of Series B Preferred Stock, for the Corporation to not pay all or any portion of the Series B Accruing Dividends upon ten (10) days advance notice to the Board of Directors of the Corporation. If and to the extent that any portion of the Series B Accruing Dividends are not paid on a Dividend Payment Date by reason of such election or otherwise, such unpaid portion of the Series B Accruing Dividends shall accumulate and compound on the applicable Dividend Payment Date whether or not declared by the Board of Directors of the Corporation. All Series B Accruing Dividends on the shares of Series B Preferred Stock shall be </w:t>
      </w:r>
      <w:r>
        <w:rPr>
          <w:rFonts w:ascii="Times New Roman" w:hAnsi="Times New Roman"/>
          <w:i/>
          <w:sz w:val="20"/>
        </w:rPr>
        <w:t>pari passu</w:t>
      </w:r>
      <w:r>
        <w:rPr>
          <w:rFonts w:ascii="Times New Roman" w:hAnsi="Times New Roman"/>
          <w:sz w:val="20"/>
        </w:rPr>
        <w:t xml:space="preserve"> to any dividend paid with respect to shares of Series G Preferred Stock, Series F Preferred Stock, Series E Preferred Stock, Series D Preferred Stock, Series C Preferred Stock, Series B-2 Preferred Stock and Series B-1 Preferred Stock and prior to and in preference to any dividend on any shares of Series A Preferred Stock, Common Stock or any other class or series of capital stock of the Corporation ranking junior to shares of Series B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 Preferred Stock in respect of payment of dividends;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clarity, Series A Accruing Dividends may be paid in respect of shares of Series A Preferred Stock to the extent holders of such shares have so elected to receive current cash payments (or to continue to receive current cash payments) as provided in the applicable subsections of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Accruing Series A Dividends</w:t>
      </w:r>
      <w:r>
        <w:rPr>
          <w:rFonts w:ascii="Times New Roman" w:hAnsi="Times New Roman"/>
          <w:sz w:val="20"/>
        </w:rPr>
        <w:t>. From and after the date of the issuance of any share of Series A Preferred Stock, dividends shall accrue on such share of Series A Preferred Stock at the rate of five percent (5.0%) per annum on the sum of (i) the Series A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hAnsi="Times New Roman"/>
          <w:b/>
          <w:i/>
          <w:sz w:val="20"/>
        </w:rPr>
        <w:t>Series A Accruing Dividends</w:t>
      </w:r>
      <w:r>
        <w:rPr>
          <w:rFonts w:ascii="Times New Roman" w:hAnsi="Times New Roman"/>
          <w:sz w:val="20"/>
        </w:rPr>
        <w:t xml:space="preserve">). Series A Accruing Dividends shall accrue from day to day, whether or not declared and whether or not there are any funds of the Corporation legally available for the payment of dividends, and shall be cumulative. All Series A Accruing Dividends shall be paid in cash on each Dividend Payment Date, but only (i) after the payment of all Series G Accruing Dividends, Series F Accruing Dividends, Series E Accruing Dividends, Series D Accruing Dividends, Series C Accruing Dividends, Series B-2 Accruing Dividends, Series B-1 Accruing Dividends and Series B Accruing Dividends, in each case, to the extent required to be paid on such Dividend Payment Date and (ii) to the extent out of funds legally available therefor, or upon a Liquidation Event, Deemed Liquidation Event or conversion, as set forth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a majority of the outstanding shares of Series A Preferred Stock may elect, in their sole discretion and on behalf of all of the holders of shares of Series A Preferred Stock, for the Corporation to not pay all or any portion of the Series A Accruing Dividends upon ten (10) days advance notice to the Board of Directors of the Corporation. If and to the extent that any portion of the Series A Accruing Dividends are not paid on a Dividend Payment Date by reason of such election or otherwise, such unpaid portion of the Series A Accruing Dividends shall accumulate and compound on the applicable Dividend Payment Date whether or not declared by the Board of Directors of the Corporation. All Series A Accruing Dividends on the shares of Series A Preferred Stock shall be prior to and in preference to any dividend on any shares of Common Stock or any other class or series of capital stock of the Corporation ranking junior to shares of Series A Preferred Stock in respect of payment of dividends and except as provided herein, shall be paid before any dividends are declared and paid, or any other distributions or redemptions are made, with respect to shares of Common Stock (other than dividends on shares of Common Stock payable in shares of Common Stock) or other classes or series of capital stock of the Corporation ranking junior to shares of Series A Preferred Stock in respect of payment of dividends.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Preferred Stock Dividends</w:t>
      </w:r>
      <w:r>
        <w:rPr>
          <w:rFonts w:ascii="Times New Roman" w:hAnsi="Times New Roman"/>
          <w:sz w:val="20"/>
        </w:rPr>
        <w:t xml:space="preserve">. The Corporation shall not declare, pay or set aside any dividends on shares of any other class or series of capital stock of the Corporation (other than as set forth in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1.2</w:t>
      </w:r>
      <w:r>
        <w:rPr>
          <w:rFonts w:ascii="Times New Roman" w:hAnsi="Times New Roman"/>
          <w:sz w:val="20"/>
        </w:rPr>
        <w:t xml:space="preserve">, </w:t>
      </w:r>
      <w:r>
        <w:rPr>
          <w:rFonts w:ascii="Times New Roman" w:hAnsi="Times New Roman"/>
          <w:sz w:val="20"/>
          <w:u w:val="single"/>
        </w:rPr>
        <w:t>Section 1.3</w:t>
      </w:r>
      <w:r>
        <w:rPr>
          <w:rFonts w:ascii="Times New Roman" w:hAnsi="Times New Roman"/>
          <w:sz w:val="20"/>
        </w:rPr>
        <w:t xml:space="preserve">, </w:t>
      </w:r>
      <w:r>
        <w:rPr>
          <w:rFonts w:ascii="Times New Roman" w:hAnsi="Times New Roman"/>
          <w:sz w:val="20"/>
          <w:u w:val="single"/>
        </w:rPr>
        <w:t>Section 1.4</w:t>
      </w:r>
      <w:r>
        <w:rPr>
          <w:rFonts w:ascii="Times New Roman" w:hAnsi="Times New Roman"/>
          <w:sz w:val="20"/>
        </w:rPr>
        <w:t xml:space="preserve">, </w:t>
      </w:r>
      <w:r>
        <w:rPr>
          <w:rFonts w:ascii="Times New Roman" w:hAnsi="Times New Roman"/>
          <w:sz w:val="20"/>
          <w:u w:val="single"/>
        </w:rPr>
        <w:t>Section 1.5</w:t>
      </w:r>
      <w:r>
        <w:rPr>
          <w:rFonts w:ascii="Times New Roman" w:hAnsi="Times New Roman"/>
          <w:sz w:val="20"/>
        </w:rPr>
        <w:t xml:space="preserve">, or </w:t>
      </w:r>
      <w:r>
        <w:rPr>
          <w:rFonts w:ascii="Times New Roman" w:hAnsi="Times New Roman"/>
          <w:sz w:val="20"/>
          <w:u w:val="single"/>
        </w:rPr>
        <w:t>Section 1.6</w:t>
      </w:r>
      <w:r>
        <w:rPr>
          <w:rFonts w:ascii="Times New Roman" w:hAnsi="Times New Roman"/>
          <w:sz w:val="20"/>
        </w:rPr>
        <w:t xml:space="preserve"> or dividends on shares of Common Stock payable in shares of Common Stock) unless (in addition to the obtaining of any consents required elsewhere in this Restated Certificate)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A Original Issue Price, the Series B Original Issue Price, the Series B-1 Original Issue Price, the Series B-2 Original Issue Price, the Series C Original Issue Price, the Series D Original Issue Price, the Series E Original Issue Price, the Series F Original Issue Price, the Series G Original Issue Price or the Series G-2 Original Issue Price, as the case may be; </w:t>
      </w:r>
      <w:r>
        <w:rPr>
          <w:rFonts w:ascii="Times New Roman" w:hAnsi="Times New Roman"/>
          <w:sz w:val="20"/>
          <w:u w:val="single"/>
        </w:rPr>
        <w:t>provided</w:t>
      </w:r>
      <w:r>
        <w:rPr>
          <w:rFonts w:ascii="Times New Roman" w:hAnsi="Times New Roman"/>
          <w:sz w:val="20"/>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 w:hAnsi="Times New Roman"/>
          <w:sz w:val="20"/>
          <w:u w:val="single"/>
        </w:rPr>
        <w:t>Section 1.7</w:t>
      </w:r>
      <w:r>
        <w:rPr>
          <w:rFonts w:ascii="Times New Roman" w:hAnsi="Times New Roman"/>
          <w:sz w:val="20"/>
        </w:rPr>
        <w:t xml:space="preserve"> shall be calculated based upon the dividend on the class or series of capital stock that would result in the highest Preferred Stock dividend.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Original Issue Price</w:t>
      </w:r>
      <w:r>
        <w:rPr>
          <w:rFonts w:ascii="Times New Roman" w:hAnsi="Times New Roman"/>
          <w:sz w:val="20"/>
        </w:rPr>
        <w:t>. For purposes of this Restated Certificate, (i) the </w:t>
      </w:r>
      <w:r>
        <w:rPr>
          <w:rFonts w:ascii="Times New Roman" w:hAnsi="Times New Roman"/>
          <w:b/>
          <w:i/>
          <w:sz w:val="20"/>
        </w:rPr>
        <w:t>Series A Original Issue Price</w:t>
      </w:r>
      <w:r>
        <w:rPr>
          <w:rFonts w:ascii="Times New Roman" w:hAnsi="Times New Roman"/>
          <w:sz w:val="20"/>
        </w:rPr>
        <w:t> means $1.00 per share of Series A Preferred Stock, subject to appropriate adjustment in the event of any stock dividend, stock split, combination or other similar recapitalization with respect to the Series A Preferred Stock after the filing date hereof, (ii) the </w:t>
      </w:r>
      <w:r>
        <w:rPr>
          <w:rFonts w:ascii="Times New Roman" w:hAnsi="Times New Roman"/>
          <w:b/>
          <w:i/>
          <w:sz w:val="20"/>
        </w:rPr>
        <w:t>Series B Original Issue Price</w:t>
      </w:r>
      <w:r>
        <w:rPr>
          <w:rFonts w:ascii="Times New Roman" w:hAnsi="Times New Roman"/>
          <w:sz w:val="20"/>
        </w:rPr>
        <w:t> means $1.8605 per share of Series B Preferred Stock, subject to appropriate adjustment in the event of any stock dividend, stock split, combination or other similar recapitalization with respect to the Series B Preferred Stock after the filing date hereof, (iii) the </w:t>
      </w:r>
      <w:r>
        <w:rPr>
          <w:rFonts w:ascii="Times New Roman" w:hAnsi="Times New Roman"/>
          <w:b/>
          <w:i/>
          <w:sz w:val="20"/>
        </w:rPr>
        <w:t>Series B-1 Original Issue Price</w:t>
      </w:r>
      <w:r>
        <w:rPr>
          <w:rFonts w:ascii="Times New Roman" w:hAnsi="Times New Roman"/>
          <w:sz w:val="20"/>
        </w:rPr>
        <w:t> means $4.00 per share of Series B-1 Preferred Stock, subject to appropriate adjustment in the event of any stock dividend, stock split, combination or other similar recapitalization with respect to the Series B-1 Preferred Stock after the filing date hereof, (iv) the </w:t>
      </w:r>
      <w:r>
        <w:rPr>
          <w:rFonts w:ascii="Times New Roman" w:hAnsi="Times New Roman"/>
          <w:b/>
          <w:i/>
          <w:sz w:val="20"/>
        </w:rPr>
        <w:t>Series B-2 Original Issue Price</w:t>
      </w:r>
      <w:r>
        <w:rPr>
          <w:rFonts w:ascii="Times New Roman" w:hAnsi="Times New Roman"/>
          <w:sz w:val="20"/>
        </w:rPr>
        <w:t> means $7.1579 per share of Series B-2 Preferred Stock, subject to appropriate adjustment in the event of any stock dividend, stock split, combination or other similar recapitalization with respect to the Series B-2 Preferred Stock after the filing date hereof, (v) the </w:t>
      </w:r>
      <w:r>
        <w:rPr>
          <w:rFonts w:ascii="Times New Roman" w:hAnsi="Times New Roman"/>
          <w:b/>
          <w:i/>
          <w:sz w:val="20"/>
        </w:rPr>
        <w:t>Series C Original Issue Price</w:t>
      </w:r>
      <w:r>
        <w:rPr>
          <w:rFonts w:ascii="Times New Roman" w:hAnsi="Times New Roman"/>
          <w:sz w:val="20"/>
        </w:rPr>
        <w:t> means $7.1579 per share of Series C Preferred Stock, subject to appropriate adjustment in the event of any stock dividend, stock split, combination or other similar recapitalization with respect to the Series C Preferred Stock after the filing date hereof, (vi) the </w:t>
      </w:r>
      <w:r>
        <w:rPr>
          <w:rFonts w:ascii="Times New Roman" w:hAnsi="Times New Roman"/>
          <w:b/>
          <w:i/>
          <w:sz w:val="20"/>
        </w:rPr>
        <w:t>Series D Original Issue Price</w:t>
      </w:r>
      <w:r>
        <w:rPr>
          <w:rFonts w:ascii="Times New Roman" w:hAnsi="Times New Roman"/>
          <w:sz w:val="20"/>
        </w:rPr>
        <w:t> means $9.3739 per share of Series D Preferred Stock, subject to appropriate adjustment in the event of any stock dividend, stock split, combination or other similar recapitalization with respect to the Series D Preferred Stock after the filing date hereof, (vii) the </w:t>
      </w:r>
      <w:r>
        <w:rPr>
          <w:rFonts w:ascii="Times New Roman" w:hAnsi="Times New Roman"/>
          <w:b/>
          <w:i/>
          <w:sz w:val="20"/>
        </w:rPr>
        <w:t>Series E Original Issue Price</w:t>
      </w:r>
      <w:r>
        <w:rPr>
          <w:rFonts w:ascii="Times New Roman" w:hAnsi="Times New Roman"/>
          <w:sz w:val="20"/>
        </w:rPr>
        <w:t> means $16.7428 per share of Series E Preferred Stock, subject to appropriate adjustment in the event of any stock dividend, stock split, combination or other similar recapitalization with respect to the Series E Preferred Stock after the filing date hereof, (viii) the </w:t>
      </w:r>
      <w:r>
        <w:rPr>
          <w:rFonts w:ascii="Times New Roman" w:hAnsi="Times New Roman"/>
          <w:b/>
          <w:i/>
          <w:sz w:val="20"/>
        </w:rPr>
        <w:t>Series F Original Issue Price</w:t>
      </w:r>
      <w:r>
        <w:rPr>
          <w:rFonts w:ascii="Times New Roman" w:hAnsi="Times New Roman"/>
          <w:sz w:val="20"/>
        </w:rPr>
        <w:t> means $24.7596 per share of Series F Preferred Stock, subject to appropriate adjustment in the event of any stock dividend, stock split, combination or other similar recapitalization with respect to the Series F Preferred Stock after the filing date hereof, (ix) the </w:t>
      </w:r>
      <w:r>
        <w:rPr>
          <w:rFonts w:ascii="Times New Roman" w:hAnsi="Times New Roman"/>
          <w:b/>
          <w:i/>
          <w:sz w:val="20"/>
        </w:rPr>
        <w:t>Series G Original Issue Price</w:t>
      </w:r>
      <w:r>
        <w:rPr>
          <w:rFonts w:ascii="Times New Roman" w:hAnsi="Times New Roman"/>
          <w:sz w:val="20"/>
        </w:rPr>
        <w:t> means $38.3524 per share of Series G Preferred Stock, subject to appropriate adjustment in the event of any stock dividend, stock split, combination or other similar recapitalization with respect to the Series G Preferred Stock after the filing date hereof and (x) the </w:t>
      </w:r>
      <w:r>
        <w:rPr>
          <w:rFonts w:ascii="Times New Roman" w:hAnsi="Times New Roman"/>
          <w:b/>
          <w:i/>
          <w:sz w:val="20"/>
        </w:rPr>
        <w:t>Series G-2 Original Issue Price</w:t>
      </w:r>
      <w:r>
        <w:rPr>
          <w:rFonts w:ascii="Times New Roman" w:hAnsi="Times New Roman"/>
          <w:sz w:val="20"/>
        </w:rPr>
        <w:t xml:space="preserve"> means $57.3069 per share of Series G-2 Preferred Stock, subject to appropriate adjustment in the event of any stock dividend, stock split, combination or other similar recapitalization with respect to the Series G-2 Preferred Stock after the filing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Dissolution or Winding Up; Certain Mergers, Consolidations and Asset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voluntary or involuntary liquidation, dissolution or winding up of the Corporation or Deemed Liquidation Event (as defined below), the proceeds or assets of the Corporation available for distribution to stockholders shall be distributed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Preferential Payments to Holders of Series G-2 Preferred Stock</w:t>
      </w:r>
      <w:r>
        <w:rPr>
          <w:rFonts w:ascii="Times New Roman" w:hAnsi="Times New Roman"/>
          <w:sz w:val="20"/>
        </w:rPr>
        <w:t xml:space="preserve">. The holders of shares of Series G-2 Preferred Stock then outstanding shall be entitled to be paid out of the proceeds or assets of the Corporation available for distribution to its stockholders, before any payment shall be made to the holders of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G-2 Original Issue Price, plus any declared but unpaid dividends thereon, or (ii) such amount per share as would have been payable had all shares of Series G-2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G-2 Preferred Stock is hereinafter referred to as the </w:t>
      </w:r>
      <w:r>
        <w:rPr>
          <w:rFonts w:ascii="Times New Roman" w:hAnsi="Times New Roman"/>
          <w:b/>
          <w:i/>
          <w:sz w:val="20"/>
        </w:rPr>
        <w:t>Series G-2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G-2 Preferred Stock the full amount to which they shall be entitled under this </w:t>
      </w:r>
      <w:r>
        <w:rPr>
          <w:rFonts w:ascii="Times New Roman" w:hAnsi="Times New Roman"/>
          <w:sz w:val="20"/>
          <w:u w:val="single"/>
        </w:rPr>
        <w:t>Section 2.1</w:t>
      </w:r>
      <w:r>
        <w:rPr>
          <w:rFonts w:ascii="Times New Roman" w:hAnsi="Times New Roman"/>
          <w:sz w:val="20"/>
        </w:rPr>
        <w:t xml:space="preserve">, the holders of shares of Series G-2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Preferential Payments to Holders of Series G Preferred Stock</w:t>
      </w:r>
      <w:r>
        <w:rPr>
          <w:rFonts w:ascii="Times New Roman" w:hAnsi="Times New Roman"/>
          <w:sz w:val="20"/>
        </w:rPr>
        <w:t xml:space="preserve">. After the payment of all preferential amounts required to be paid to the holders of Series G-2 Preferred Stock pursuant to </w:t>
      </w:r>
      <w:r>
        <w:rPr>
          <w:rFonts w:ascii="Times New Roman" w:hAnsi="Times New Roman"/>
          <w:sz w:val="20"/>
          <w:u w:val="single"/>
        </w:rPr>
        <w:t>Section 2.1</w:t>
      </w:r>
      <w:r>
        <w:rPr>
          <w:rFonts w:ascii="Times New Roman" w:hAnsi="Times New Roman"/>
          <w:sz w:val="20"/>
        </w:rPr>
        <w:t xml:space="preserve">, the holders of shares of Series G Preferred Stock then outstanding shall be entitled to be paid out of the proceeds or assets of the Corporation available for distribution to its stockholders, before any payment shall be made to the holders of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 Original Issue Price, plus any Series G Accruing Dividends accrued but unpaid thereon, together with any other dividends declared but unpaid thereon, or (ii) such amount per share as would have been payable had all shares of Series G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G Preferred Stock is hereinafter referred to as the </w:t>
      </w:r>
      <w:r>
        <w:rPr>
          <w:rFonts w:ascii="Times New Roman" w:hAnsi="Times New Roman"/>
          <w:b/>
          <w:i/>
          <w:sz w:val="20"/>
        </w:rPr>
        <w:t>Series G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 Preferred Stock the full amount to which they shall be entitled under this </w:t>
      </w:r>
      <w:r>
        <w:rPr>
          <w:rFonts w:ascii="Times New Roman" w:hAnsi="Times New Roman"/>
          <w:sz w:val="20"/>
          <w:u w:val="single"/>
        </w:rPr>
        <w:t>Section 2.2</w:t>
      </w:r>
      <w:r>
        <w:rPr>
          <w:rFonts w:ascii="Times New Roman" w:hAnsi="Times New Roman"/>
          <w:sz w:val="20"/>
        </w:rPr>
        <w:t xml:space="preserve">, the holders of shares of Series G Preferred Stock shall share ratably in any distribution of the proceeds and assets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Preferential Payments to Holders of Series F Preferred Stock</w:t>
      </w:r>
      <w:r>
        <w:rPr>
          <w:rFonts w:ascii="Times New Roman" w:hAnsi="Times New Roman"/>
          <w:sz w:val="20"/>
        </w:rPr>
        <w:t xml:space="preserve">. After the payment of all preferential amounts required to be paid to the holders of Series G-2 Preferred Stock and Series G Preferred Stock pursuant to </w:t>
      </w:r>
      <w:r>
        <w:rPr>
          <w:rFonts w:ascii="Times New Roman" w:hAnsi="Times New Roman"/>
          <w:sz w:val="20"/>
          <w:u w:val="single"/>
        </w:rPr>
        <w:t>Sections 2.1</w:t>
      </w:r>
      <w:r>
        <w:rPr>
          <w:rFonts w:ascii="Times New Roman" w:hAnsi="Times New Roman"/>
          <w:sz w:val="20"/>
        </w:rPr>
        <w:t xml:space="preserve"> and </w:t>
      </w:r>
      <w:r>
        <w:rPr>
          <w:rFonts w:ascii="Times New Roman" w:hAnsi="Times New Roman"/>
          <w:sz w:val="20"/>
          <w:u w:val="single"/>
        </w:rPr>
        <w:t>2.2</w:t>
      </w:r>
      <w:r>
        <w:rPr>
          <w:rFonts w:ascii="Times New Roman" w:hAnsi="Times New Roman"/>
          <w:sz w:val="20"/>
        </w:rPr>
        <w:t xml:space="preserve">, the holders of shares of Series F Preferred Stock then outstanding shall be entitled to be paid out of the proceeds or assets of the Corporation available for distribution to its stockholders, before any payment shall be made to the holders of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F Original Issue Price, plus any Series F Accruing Dividends accrued but unpaid thereon, together with any other dividends declared but unpaid thereon, or (ii) such amount per share as would have been payable had all shares of Series F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F Preferred Stock is hereinafter referred to as the </w:t>
      </w:r>
      <w:r>
        <w:rPr>
          <w:rFonts w:ascii="Times New Roman" w:hAnsi="Times New Roman"/>
          <w:b/>
          <w:i/>
          <w:sz w:val="20"/>
        </w:rPr>
        <w:t>Series F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F Preferred Stock the full amount to which they shall be entitled under this </w:t>
      </w:r>
      <w:r>
        <w:rPr>
          <w:rFonts w:ascii="Times New Roman" w:hAnsi="Times New Roman"/>
          <w:sz w:val="20"/>
          <w:u w:val="single"/>
        </w:rPr>
        <w:t>Section 2.3</w:t>
      </w:r>
      <w:r>
        <w:rPr>
          <w:rFonts w:ascii="Times New Roman" w:hAnsi="Times New Roman"/>
          <w:sz w:val="20"/>
        </w:rPr>
        <w:t xml:space="preserve">, the holders of shares of Series F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Preferential Payments to Holders of Series E Preferred Stock</w:t>
      </w:r>
      <w:r>
        <w:rPr>
          <w:rFonts w:ascii="Times New Roman" w:hAnsi="Times New Roman"/>
          <w:sz w:val="20"/>
        </w:rPr>
        <w:t xml:space="preserve">. After the payment of all preferential amounts required to be paid to the holders of Series G-2 Preferred Stock, Series G Preferred Stock and Series F Preferred Stock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the holders of shares of Series E Preferred Stock then outstanding shall be entitled to be paid out of the proceeds or assets of the Corporation available for distribution to its stockholders, before any payment shall be made to the holders of Series D Preferred Stock, Series C Preferred Stock, Series B-2 Preferred Stock, Series B-1 Preferred Stock, Series B Preferred Stock, Series A Preferred Stock or Common Stock by reason of their ownership thereof, an amount per share equal to the greater of (i) 1.0 times the Series E Original Issue Price, plus any Series E Accruing Dividends accrued but unpaid thereon, together with any other dividends declared but unpaid thereon, or (ii) such amount per share as would have been payable had all shares of Series E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E Preferred Stock is hereinafter referred to as the </w:t>
      </w:r>
      <w:r>
        <w:rPr>
          <w:rFonts w:ascii="Times New Roman" w:hAnsi="Times New Roman"/>
          <w:b/>
          <w:i/>
          <w:sz w:val="20"/>
        </w:rPr>
        <w:t>Series E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E Preferred Stock the full amount to which they shall be entitled under this </w:t>
      </w:r>
      <w:r>
        <w:rPr>
          <w:rFonts w:ascii="Times New Roman" w:hAnsi="Times New Roman"/>
          <w:sz w:val="20"/>
          <w:u w:val="single"/>
        </w:rPr>
        <w:t>Section 2.4</w:t>
      </w:r>
      <w:r>
        <w:rPr>
          <w:rFonts w:ascii="Times New Roman" w:hAnsi="Times New Roman"/>
          <w:sz w:val="20"/>
        </w:rPr>
        <w:t xml:space="preserve">, the holders of shares of Series E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Preferential Payments to Holders of Series D Preferred Stock</w:t>
      </w:r>
      <w:r>
        <w:rPr>
          <w:rFonts w:ascii="Times New Roman" w:hAnsi="Times New Roman"/>
          <w:sz w:val="20"/>
        </w:rPr>
        <w:t xml:space="preserve">. After the payment of all preferential amounts required to be paid to the holders of Series G-2 Preferred Stock, Series G Preferred Stock, Series F Preferred Stock and Series E Preferred Stock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and </w:t>
      </w:r>
      <w:r>
        <w:rPr>
          <w:rFonts w:ascii="Times New Roman" w:hAnsi="Times New Roman"/>
          <w:sz w:val="20"/>
          <w:u w:val="single"/>
        </w:rPr>
        <w:t>2.4</w:t>
      </w:r>
      <w:r>
        <w:rPr>
          <w:rFonts w:ascii="Times New Roman" w:hAnsi="Times New Roman"/>
          <w:sz w:val="20"/>
        </w:rPr>
        <w:t xml:space="preserve">, the holders of shares of Series D Preferred Stock then outstanding shall be entitled to be paid out of the proceeds or assets of the Corporation available for distribution to its stockholders, before any payment shall be made to the holders of Series C Preferred Stock, Series B-2 Preferred Stock, Series B-1 Preferred Stock, Series B Preferred Stock, Series A Preferred Stock or Common Stock by reason of their ownership thereof, an amount per share equal to the greater of (i) 1.0 times the Series D Original Issue Price, plus any Series D Accruing Dividends accrued but unpaid thereon, together with any other dividends declared but unpaid thereon, or (ii) such amount per share as would have been payable had all shares of Series D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D Preferred Stock is hereinafter referred to as the </w:t>
      </w:r>
      <w:r>
        <w:rPr>
          <w:rFonts w:ascii="Times New Roman" w:hAnsi="Times New Roman"/>
          <w:b/>
          <w:i/>
          <w:sz w:val="20"/>
        </w:rPr>
        <w:t>Series D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D Preferred Stock the full amount to which they shall be entitled under this </w:t>
      </w:r>
      <w:r>
        <w:rPr>
          <w:rFonts w:ascii="Times New Roman" w:hAnsi="Times New Roman"/>
          <w:sz w:val="20"/>
          <w:u w:val="single"/>
        </w:rPr>
        <w:t>Section 2.5</w:t>
      </w:r>
      <w:r>
        <w:rPr>
          <w:rFonts w:ascii="Times New Roman" w:hAnsi="Times New Roman"/>
          <w:sz w:val="20"/>
        </w:rPr>
        <w:t xml:space="preserve">, the holders of shares of Series D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Preferential Payments to Holders of Series C Preferred Stock</w:t>
      </w:r>
      <w:r>
        <w:rPr>
          <w:rFonts w:ascii="Times New Roman" w:hAnsi="Times New Roman"/>
          <w:sz w:val="20"/>
        </w:rPr>
        <w:t xml:space="preserve">. After the payment of all preferential amounts required to be paid to the holders of Series G-2 Preferred Stock, Series G Preferred Stock, Series F Preferred Stock, Series E Preferred Stock and Series D Preferred Stock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and </w:t>
      </w:r>
      <w:r>
        <w:rPr>
          <w:rFonts w:ascii="Times New Roman" w:hAnsi="Times New Roman"/>
          <w:sz w:val="20"/>
          <w:u w:val="single"/>
        </w:rPr>
        <w:t>2.5</w:t>
      </w:r>
      <w:r>
        <w:rPr>
          <w:rFonts w:ascii="Times New Roman" w:hAnsi="Times New Roman"/>
          <w:sz w:val="20"/>
        </w:rPr>
        <w:t>, the holders of shares of Series C Preferred Stock then outstanding shall be entitled to be paid out of the proceeds or assets of the Corporation available for distribution to its stockholders, before any payment shall be made to the holders of Series B-2 Preferred Stock, Series B-1 Preferred Stock, Series B Preferred Stock, Series A Preferred Stock or Common Stock by reason of their ownership thereof, an amount per share equal to 1.0 times the Series C Original Issue Price, plus any Series C Accruing Dividends accrued but unpaid thereon, together with any other dividends declared but unpaid thereon (the amount payable pursuant to this sentence with respect to the Series C Preferred Stock is hereinafter referred to as the </w:t>
      </w:r>
      <w:r>
        <w:rPr>
          <w:rFonts w:ascii="Times New Roman" w:hAnsi="Times New Roman"/>
          <w:b/>
          <w:i/>
          <w:sz w:val="20"/>
        </w:rPr>
        <w:t>Series C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C Preferred Stock the full amount to which they shall be entitled under this </w:t>
      </w:r>
      <w:r>
        <w:rPr>
          <w:rFonts w:ascii="Times New Roman" w:hAnsi="Times New Roman"/>
          <w:sz w:val="20"/>
          <w:u w:val="single"/>
        </w:rPr>
        <w:t>Section 2.6</w:t>
      </w:r>
      <w:r>
        <w:rPr>
          <w:rFonts w:ascii="Times New Roman" w:hAnsi="Times New Roman"/>
          <w:sz w:val="20"/>
        </w:rPr>
        <w:t xml:space="preserve">, the holders of shares of Series C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Preferential Payments to Holders of Series B-2 Preferred Stock, Series B-1 Preferred Stock and Series B Preferred Stock</w:t>
      </w:r>
      <w:r>
        <w:rPr>
          <w:rFonts w:ascii="Times New Roman" w:hAnsi="Times New Roman"/>
          <w:sz w:val="20"/>
        </w:rPr>
        <w:t xml:space="preserve">. After the payment of all preferential amounts required to be paid to the holders of Series G-2 Preferred Stock, Series G Preferred Stock, Series F Preferred Stock, Series E Preferred Stock, Series D Preferred Stock and Series C Preferred Stock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and </w:t>
      </w:r>
      <w:r>
        <w:rPr>
          <w:rFonts w:ascii="Times New Roman" w:hAnsi="Times New Roman"/>
          <w:sz w:val="20"/>
          <w:u w:val="single"/>
        </w:rPr>
        <w:t>2.6</w:t>
      </w:r>
      <w:r>
        <w:rPr>
          <w:rFonts w:ascii="Times New Roman" w:hAnsi="Times New Roman"/>
          <w:sz w:val="20"/>
        </w:rPr>
        <w:t xml:space="preserve">, the holders of shares of Series B-2 Preferred Stock, Series B-1 Preferred Stock and Series B Preferred Stock then outstanding shall be entitled to be paid out of the proceeds or assets of the Corporation available for distribution to its stockholders, before any payment shall be made to the holders of Series A Preferred Stock or Common Stock by reason of their ownership thereof, an amount per share equal to (i) with respect to each share of Series B-2 Preferred Stock, the greater of (A) 1.0 times the Series B-2 Original Issue Price, plus any Series B-2 Accruing Dividends accrued but unpaid thereon, together with any other dividends declared but unpaid thereon, or (B) such amount per share as would have been payable had all shares of Series B-2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B-2 Preferred Stock is hereinafter referred to as the </w:t>
      </w:r>
      <w:r>
        <w:rPr>
          <w:rFonts w:ascii="Times New Roman" w:hAnsi="Times New Roman"/>
          <w:b/>
          <w:i/>
          <w:sz w:val="20"/>
        </w:rPr>
        <w:t>Series B¬2 Liquidation Amount</w:t>
      </w:r>
      <w:r>
        <w:rPr>
          <w:rFonts w:ascii="Times New Roman" w:hAnsi="Times New Roman"/>
          <w:sz w:val="20"/>
        </w:rPr>
        <w:t xml:space="preserve">), (ii) with respect to each share of Series B-1 Preferred Stock, the greater of (A) 1.0 times the Series B-1 Original Issue Price, plus any Series B-1 Accruing Dividends accrued but unpaid thereon, together with any other dividends declared but unpaid thereon, or (B) such amount per share as would have been payable had all shares of Series B-1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B-1 Preferred Stock is hereinafter referred to as the </w:t>
      </w:r>
      <w:r>
        <w:rPr>
          <w:rFonts w:ascii="Times New Roman" w:hAnsi="Times New Roman"/>
          <w:b/>
          <w:i/>
          <w:sz w:val="20"/>
        </w:rPr>
        <w:t>Series B-1 Liquidation Amount</w:t>
      </w:r>
      <w:r>
        <w:rPr>
          <w:rFonts w:ascii="Times New Roman" w:hAnsi="Times New Roman"/>
          <w:sz w:val="20"/>
        </w:rPr>
        <w:t xml:space="preserve">), and (iii) with respect to Series B Preferred Stock, the greater of (A) 1.0 times the Series B Original Issue Price, plus any Series B Accruing Dividends accrued but unpaid thereon, together with any other dividends declared but unpaid thereon, or (B) such amount per share as would have been payable had all shares of Series B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B Preferred Stock is hereinafter referred to as the </w:t>
      </w:r>
      <w:r>
        <w:rPr>
          <w:rFonts w:ascii="Times New Roman" w:hAnsi="Times New Roman"/>
          <w:b/>
          <w:i/>
          <w:sz w:val="20"/>
        </w:rPr>
        <w:t>Series B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B-2 Preferred Stock, Series B-1 Preferred Stock and Series B Preferred Stock the full amount to which they shall be entitled under this </w:t>
      </w:r>
      <w:r>
        <w:rPr>
          <w:rFonts w:ascii="Times New Roman" w:hAnsi="Times New Roman"/>
          <w:sz w:val="20"/>
          <w:u w:val="single"/>
        </w:rPr>
        <w:t>Section 2.7</w:t>
      </w:r>
      <w:r>
        <w:rPr>
          <w:rFonts w:ascii="Times New Roman" w:hAnsi="Times New Roman"/>
          <w:sz w:val="20"/>
        </w:rPr>
        <w:t xml:space="preserve">, the holders of shares of Series B-2 Preferred Stock, Series B-1 Preferred Stock and Series B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Preferential Payments to Holders of Series A Preferred Stock</w:t>
      </w:r>
      <w:r>
        <w:rPr>
          <w:rFonts w:ascii="Times New Roman" w:hAnsi="Times New Roman"/>
          <w:sz w:val="20"/>
        </w:rPr>
        <w:t xml:space="preserve">. After the payment of all preferential amounts required to be paid to the holders of Series G-2 Preferred Stock, Series G Preferred Stock, Series F Preferred Stock, Series E Preferred Stock, Series D Preferred Stock, Series C Preferred Stock, Series B-2 Preferred Stock, Series B-1 Preferred Stock and Series B Preferred Stock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and </w:t>
      </w:r>
      <w:r>
        <w:rPr>
          <w:rFonts w:ascii="Times New Roman" w:hAnsi="Times New Roman"/>
          <w:sz w:val="20"/>
          <w:u w:val="single"/>
        </w:rPr>
        <w:t>2.7</w:t>
      </w:r>
      <w:r>
        <w:rPr>
          <w:rFonts w:ascii="Times New Roman" w:hAnsi="Times New Roman"/>
          <w:sz w:val="20"/>
        </w:rPr>
        <w:t xml:space="preserve">, the holders of shares of Series A Preferred Stock then outstanding shall be entitled to be paid out of the proceeds or assets of the Corporation available for distribution to its stockholders, before any payment shall be made to the holders of Common Stock by reason of their ownership thereof, an amount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equal to the greater of (i) 1.0 times the Series A Original Issue Price, plus any Series A Accruing Dividends accrued but unpaid thereon, together with any other dividends declared but unpaid thereon, or (ii) such amount per share as would have been payable had all shares of Series A Preferred Stock been converted into Voting Common Stock pursuant to </w:t>
      </w:r>
      <w:r>
        <w:rPr>
          <w:rFonts w:ascii="Times New Roman" w:hAnsi="Times New Roman"/>
          <w:sz w:val="20"/>
          <w:u w:val="single"/>
        </w:rPr>
        <w:t>Section 4</w:t>
      </w:r>
      <w:r>
        <w:rPr>
          <w:rFonts w:ascii="Times New Roman" w:hAnsi="Times New Roman"/>
          <w:sz w:val="20"/>
        </w:rPr>
        <w:t xml:space="preserve"> immediately prior to such liquidation, dissolution, winding up or Deemed Liquidation Event (the amount payable pursuant to this sentence with respect to the Series A Preferred Stock is hereinafter referred to as the </w:t>
      </w:r>
      <w:r>
        <w:rPr>
          <w:rFonts w:ascii="Times New Roman" w:hAnsi="Times New Roman"/>
          <w:b/>
          <w:i/>
          <w:sz w:val="20"/>
        </w:rPr>
        <w:t>Series A Liquidation Amount</w:t>
      </w:r>
      <w:r>
        <w:rPr>
          <w:rFonts w:ascii="Times New Roman" w:hAnsi="Times New Roman"/>
          <w:sz w:val="20"/>
        </w:rPr>
        <w:t xml:space="preserve">). If upon any such liquidation, dissolution or winding up of the Corporation or Deemed Liquidation Event, the proceeds and assets of the Corporation available for distribution to its stockholders shall be insufficient to pay the holders of shares of Series A Preferred Stock the full amount to which they shall be entitled under this </w:t>
      </w:r>
      <w:r>
        <w:rPr>
          <w:rFonts w:ascii="Times New Roman" w:hAnsi="Times New Roman"/>
          <w:sz w:val="20"/>
          <w:u w:val="single"/>
        </w:rPr>
        <w:t>Section 2.8</w:t>
      </w:r>
      <w:r>
        <w:rPr>
          <w:rFonts w:ascii="Times New Roman" w:hAnsi="Times New Roman"/>
          <w:sz w:val="20"/>
        </w:rPr>
        <w:t xml:space="preserve">, the holders of shares of Series A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Distribution of Remaining Assets</w:t>
      </w:r>
      <w:r>
        <w:rPr>
          <w:rFonts w:ascii="Times New Roman" w:hAnsi="Times New Roman"/>
          <w:sz w:val="20"/>
        </w:rPr>
        <w:t xml:space="preserve">. After the payment of all preferential amounts required to be paid to the holders of Series G-2 Preferred Stock pursuant to </w:t>
      </w:r>
      <w:r>
        <w:rPr>
          <w:rFonts w:ascii="Times New Roman" w:hAnsi="Times New Roman"/>
          <w:sz w:val="20"/>
          <w:u w:val="single"/>
        </w:rPr>
        <w:t>Section 2.1</w:t>
      </w:r>
      <w:r>
        <w:rPr>
          <w:rFonts w:ascii="Times New Roman" w:hAnsi="Times New Roman"/>
          <w:sz w:val="20"/>
        </w:rPr>
        <w:t xml:space="preserve">, the payment of all preferential amounts required to be paid to the holders of Series G Preferred Stock pursuant to </w:t>
      </w:r>
      <w:r>
        <w:rPr>
          <w:rFonts w:ascii="Times New Roman" w:hAnsi="Times New Roman"/>
          <w:sz w:val="20"/>
          <w:u w:val="single"/>
        </w:rPr>
        <w:t>Section 2.2</w:t>
      </w:r>
      <w:r>
        <w:rPr>
          <w:rFonts w:ascii="Times New Roman" w:hAnsi="Times New Roman"/>
          <w:sz w:val="20"/>
        </w:rPr>
        <w:t xml:space="preserve">, the payment of all preferential amounts required to be paid to the holders of Series F Preferred Stock pursuant to </w:t>
      </w:r>
      <w:r>
        <w:rPr>
          <w:rFonts w:ascii="Times New Roman" w:hAnsi="Times New Roman"/>
          <w:sz w:val="20"/>
          <w:u w:val="single"/>
        </w:rPr>
        <w:t>Section 2.3</w:t>
      </w:r>
      <w:r>
        <w:rPr>
          <w:rFonts w:ascii="Times New Roman" w:hAnsi="Times New Roman"/>
          <w:sz w:val="20"/>
        </w:rPr>
        <w:t xml:space="preserve">, the payment of all preferential amounts required to be paid to the holders of Series E Preferred Stock pursuant to </w:t>
      </w:r>
      <w:r>
        <w:rPr>
          <w:rFonts w:ascii="Times New Roman" w:hAnsi="Times New Roman"/>
          <w:sz w:val="20"/>
          <w:u w:val="single"/>
        </w:rPr>
        <w:t>Section 2.4</w:t>
      </w:r>
      <w:r>
        <w:rPr>
          <w:rFonts w:ascii="Times New Roman" w:hAnsi="Times New Roman"/>
          <w:sz w:val="20"/>
        </w:rPr>
        <w:t xml:space="preserve">, the payment of all preferential amounts required to be paid to the holders of Series D Preferred Stock pursuant to </w:t>
      </w:r>
      <w:r>
        <w:rPr>
          <w:rFonts w:ascii="Times New Roman" w:hAnsi="Times New Roman"/>
          <w:sz w:val="20"/>
          <w:u w:val="single"/>
        </w:rPr>
        <w:t>Section 2.5</w:t>
      </w:r>
      <w:r>
        <w:rPr>
          <w:rFonts w:ascii="Times New Roman" w:hAnsi="Times New Roman"/>
          <w:sz w:val="20"/>
        </w:rPr>
        <w:t xml:space="preserve">, the payment of all preferential amounts required to be paid to the holders of Series C Preferred Stock pursuant to </w:t>
      </w:r>
      <w:r>
        <w:rPr>
          <w:rFonts w:ascii="Times New Roman" w:hAnsi="Times New Roman"/>
          <w:sz w:val="20"/>
          <w:u w:val="single"/>
        </w:rPr>
        <w:t>Section 2.6</w:t>
      </w:r>
      <w:r>
        <w:rPr>
          <w:rFonts w:ascii="Times New Roman" w:hAnsi="Times New Roman"/>
          <w:sz w:val="20"/>
        </w:rPr>
        <w:t xml:space="preserve">, the payment of all preferential amounts required to be paid to the holders of Series B-2 Preferred Stock, Series B-1 Preferred Stock and Series 13 Preferred Stock pursuant to </w:t>
      </w:r>
      <w:r>
        <w:rPr>
          <w:rFonts w:ascii="Times New Roman" w:hAnsi="Times New Roman"/>
          <w:sz w:val="20"/>
          <w:u w:val="single"/>
        </w:rPr>
        <w:t>Section 2.7</w:t>
      </w:r>
      <w:r>
        <w:rPr>
          <w:rFonts w:ascii="Times New Roman" w:hAnsi="Times New Roman"/>
          <w:sz w:val="20"/>
        </w:rPr>
        <w:t xml:space="preserve"> and the payment of all preferential amounts required to be paid to the holders of Series A Preferred Stock pursuant to </w:t>
      </w:r>
      <w:r>
        <w:rPr>
          <w:rFonts w:ascii="Times New Roman" w:hAnsi="Times New Roman"/>
          <w:sz w:val="20"/>
          <w:u w:val="single"/>
        </w:rPr>
        <w:t>Section 2.8</w:t>
      </w:r>
      <w:r>
        <w:rPr>
          <w:rFonts w:ascii="Times New Roman" w:hAnsi="Times New Roman"/>
          <w:sz w:val="20"/>
        </w:rPr>
        <w:t xml:space="preserve">, the remaining assets of the Corporation available for distribution to its stockholders, if any, shall be distributed among the holders of shares of Series C Preferred Stock and Common Stock, </w:t>
      </w:r>
      <w:r>
        <w:rPr>
          <w:rFonts w:ascii="Times New Roman" w:hAnsi="Times New Roman"/>
          <w:i/>
          <w:sz w:val="20"/>
        </w:rPr>
        <w:t>pro rata</w:t>
      </w:r>
      <w:r>
        <w:rPr>
          <w:rFonts w:ascii="Times New Roman" w:hAnsi="Times New Roman"/>
          <w:sz w:val="20"/>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the aggregate amount which the holders of Series D Preferred Stock would otherwise be entitled to receive is less than $18.7478 per share (as adjusted for any stock splits, stock dividends, combinations, subdivisions, recapitalizations or the like), then the remaining assets of the Corporation available for distribution to its stockholders, if any, shall be distributed among the holders of shares of Series C Preferred Stock (excluding, for this purpose, any shares of Series C Preferred Stock held at any time by Eric P. Lefkofsky or any entity in which Eric P. Lefkofsky owned or held, directly or indirectly, the power to direct the management and policies of such entity whether through the ownership of voting securities, contract or otherwise (</w:t>
      </w:r>
      <w:r>
        <w:rPr>
          <w:rFonts w:ascii="Times New Roman" w:hAnsi="Times New Roman"/>
          <w:b/>
          <w:i/>
          <w:sz w:val="20"/>
        </w:rPr>
        <w:t>Lefkofsky Shares</w:t>
      </w:r>
      <w:r>
        <w:rPr>
          <w:rFonts w:ascii="Times New Roman" w:hAnsi="Times New Roman"/>
          <w:sz w:val="20"/>
        </w:rPr>
        <w:t xml:space="preserve">), regardless of whether or not any of the Lefkofsky Shares were subsequently transferred and regardless of the subsequent holders of the Lefkofsky Shares) and Common Stock, </w:t>
      </w:r>
      <w:r>
        <w:rPr>
          <w:rFonts w:ascii="Times New Roman" w:hAnsi="Times New Roman"/>
          <w:i/>
          <w:sz w:val="20"/>
        </w:rPr>
        <w:t>pro rata</w:t>
      </w:r>
      <w:r>
        <w:rPr>
          <w:rFonts w:ascii="Times New Roman" w:hAnsi="Times New Roman"/>
          <w:sz w:val="20"/>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Deemed Liquidation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2.10.1 </w:t>
      </w:r>
      <w:r>
        <w:rPr>
          <w:rFonts w:ascii="Times New Roman" w:hAnsi="Times New Roman"/>
          <w:sz w:val="20"/>
          <w:u w:val="single"/>
        </w:rPr>
        <w:t>Definition</w:t>
      </w:r>
      <w:r>
        <w:rPr>
          <w:rFonts w:ascii="Times New Roman" w:hAnsi="Times New Roman"/>
          <w:sz w:val="20"/>
        </w:rPr>
        <w:t>. Each of the following events shall be considered a </w:t>
      </w:r>
      <w:r>
        <w:rPr>
          <w:rFonts w:ascii="Times New Roman" w:hAnsi="Times New Roman"/>
          <w:b/>
          <w:i/>
          <w:sz w:val="20"/>
        </w:rPr>
        <w:t>Deemed Liquidation Event</w:t>
      </w:r>
      <w:r>
        <w:rPr>
          <w:rFonts w:ascii="Times New Roman" w:hAnsi="Times New Roman"/>
          <w:sz w:val="20"/>
        </w:rPr>
        <w:t xml:space="preserve"> unless the Requisite Preferred Holders (as defined below) elect otherwise by written notice sent to the Corporation at least 10 days prior to the effective date of any such event: </w:t>
      </w:r>
    </w:p>
    <w:p>
      <w:pPr>
        <w:pStyle w:val="TextBody"/>
        <w:bidi w:val="0"/>
        <w:spacing w:before="120" w:after="0"/>
        <w:jc w:val="left"/>
        <w:rPr>
          <w:rFonts w:ascii="Times New Roman" w:hAnsi="Times New Roman"/>
          <w:sz w:val="20"/>
        </w:rPr>
      </w:pPr>
      <w:r>
        <w:rPr>
          <w:rFonts w:ascii="Times New Roman" w:hAnsi="Times New Roman"/>
          <w:sz w:val="20"/>
        </w:rPr>
        <w:t xml:space="preserve">(a) a merger or consolidation in which the Corporation is a constituent party (or a subsidiary of the Corporation is a constituent party and the Corporation issues shares of its capital stock pursuant to such merger or consolidation) or (ii) a sale or issuance of shares by the Corporation of its voting stock (other than pursuant to a customary venture capital financing of the Corporation where the holder(s) of shares of capital stock of the Corporation outstanding immediately prior to such venture capital financing continue to hold shares which represent, immediately following such venture capital financing, at least a majority, by voting power, of the outstanding shares of capital stock), except in the case of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any such merger or consolidation involving the Corporation or a subsidiary or any such sale or issuance by the Corporation in which the holder(s) of shares of capital stock of the Corporation outstanding immediately prior to such merger or consolidation continue to hold shares which represent, or are converted into or exchanged for shares of capital stock that represent, immediately following such merger or consolidation, at least a majority, by voting power, of the outstanding shares of capital stock of (1) the surviving or resulting corporation or (2) if the surviving or resulting corporation is a wholly owned subsidiary of another corporation immediately following such merger or consolidation, the parent corporation of such surviving or resulting corporation, in substantially the same proportions and with substantially the same terms as held immediately prior to such merger or consolidation; or </w:t>
      </w:r>
    </w:p>
    <w:p>
      <w:pPr>
        <w:pStyle w:val="TextBody"/>
        <w:bidi w:val="0"/>
        <w:spacing w:before="120" w:after="0"/>
        <w:jc w:val="left"/>
        <w:rPr>
          <w:rFonts w:ascii="Times New Roman" w:hAnsi="Times New Roman"/>
          <w:sz w:val="20"/>
        </w:rPr>
      </w:pPr>
      <w:r>
        <w:rPr>
          <w:rFonts w:ascii="Times New Roman" w:hAnsi="Times New Roman"/>
          <w:sz w:val="20"/>
        </w:rPr>
        <w:t xml:space="preserve">(b) the sale, lease, transfer, exclusive license or other disposition, in a single transaction or series of related transactions, by the Corporation or any subsidiary of the Corporation of all or substantially all the assets or intellectual property of the Corporation and its subsidiaries taken as a whole or the sale or disposition (whether by merger or otherwise) of one or more subsidiaries of the Corporation if substantially all of the assets or intellectual property of the Corporation and its subsidiaries taken as a whole are held by such subsidiary or subsidiaries, except where such sale, lease, transfer, exclusive license or other disposition is to a wholly owned subsidiary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w:t>
      </w:r>
      <w:r>
        <w:rPr>
          <w:rFonts w:ascii="Times New Roman" w:hAnsi="Times New Roman"/>
          <w:sz w:val="20"/>
          <w:u w:val="single"/>
        </w:rPr>
        <w:t>Subsections 2.10.1(a)</w:t>
      </w:r>
      <w:r>
        <w:rPr>
          <w:rFonts w:ascii="Times New Roman" w:hAnsi="Times New Roman"/>
          <w:sz w:val="20"/>
        </w:rPr>
        <w:t xml:space="preserve"> and </w:t>
      </w:r>
      <w:r>
        <w:rPr>
          <w:rFonts w:ascii="Times New Roman" w:hAnsi="Times New Roman"/>
          <w:sz w:val="20"/>
          <w:u w:val="single"/>
        </w:rPr>
        <w:t>2.10.1(b)</w:t>
      </w:r>
      <w:r>
        <w:rPr>
          <w:rFonts w:ascii="Times New Roman" w:hAnsi="Times New Roman"/>
          <w:sz w:val="20"/>
        </w:rPr>
        <w:t>, (i) no such transaction or series of related transactions (including by way of merger, consolidation, recapitalization, reorganization, sale of securities or otherwise) solely effecting a </w:t>
      </w:r>
      <w:r>
        <w:rPr>
          <w:rFonts w:ascii="Times New Roman" w:hAnsi="Times New Roman"/>
          <w:b/>
          <w:i/>
          <w:sz w:val="20"/>
        </w:rPr>
        <w:t>Public Offering</w:t>
      </w:r>
      <w:r>
        <w:rPr>
          <w:rFonts w:ascii="Times New Roman" w:hAnsi="Times New Roman"/>
          <w:sz w:val="20"/>
        </w:rPr>
        <w:t> shall be deemed a Deemed Liquidation Event, and (ii) a Deemed Liquidation Event shall not include any such transaction effected solely by the issuance of voting securities by the Corporation or any of its Subsidiaries in a bona fide transaction for the purpose of raising capital for the Corporation or its Subsidiary where the holder(s) of shares of capital stock of the Corporation outstanding immediately prior to such transaction continue to hold shares which represent, immediately following such transaction, at least a majority, by voting power, of the outstanding shares of capital stock. </w:t>
      </w:r>
      <w:r>
        <w:rPr>
          <w:rFonts w:ascii="Times New Roman" w:hAnsi="Times New Roman"/>
          <w:b/>
          <w:i/>
          <w:sz w:val="20"/>
        </w:rPr>
        <w:t>Public Offering</w:t>
      </w:r>
      <w:r>
        <w:rPr>
          <w:rFonts w:ascii="Times New Roman" w:hAnsi="Times New Roman"/>
          <w:sz w:val="20"/>
        </w:rPr>
        <w:t xml:space="preserve"> means any firm commitment underwritten sale of common equity securities of the Corporation (or any successor thereto, whether by merger, conversion, consolidation, recapitalization, reorganization or otherwise) pursuant to an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registration statement under the </w:t>
      </w:r>
      <w:r>
        <w:rPr>
          <w:rFonts w:ascii="Times New Roman" w:hAnsi="Times New Roman"/>
          <w:b/>
          <w:i/>
          <w:sz w:val="20"/>
        </w:rPr>
        <w:t>Securities Act</w:t>
      </w:r>
      <w:r>
        <w:rPr>
          <w:rFonts w:ascii="Times New Roman" w:hAnsi="Times New Roman"/>
          <w:sz w:val="20"/>
        </w:rPr>
        <w:t xml:space="preserve"> (defined as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filed with the Securities and Exchange Commission on Forms S-1 or S-3 (or any successor foams adopted by the Securities and Exchange Commission); </w:t>
      </w:r>
      <w:r>
        <w:rPr>
          <w:rFonts w:ascii="Times New Roman" w:hAnsi="Times New Roman"/>
          <w:sz w:val="20"/>
          <w:u w:val="single"/>
        </w:rPr>
        <w:t>provided</w:t>
      </w:r>
      <w:r>
        <w:rPr>
          <w:rFonts w:ascii="Times New Roman" w:hAnsi="Times New Roman"/>
          <w:sz w:val="20"/>
        </w:rPr>
        <w:t xml:space="preserve">, that the following shall not be considered a Public Offering: (i) any issuance of common equity securities in connection with and as consideration for a merger or acquisition, and (ii) any issuance of common equity securities or rights to acquire common equity securities to employees, officers, directors, consultants or other service providers of the Corporation or any of its Subsidiaries or others as part of an incentive or compensation plan, agreement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contained in this </w:t>
      </w:r>
      <w:r>
        <w:rPr>
          <w:rFonts w:ascii="Times New Roman" w:hAnsi="Times New Roman"/>
          <w:sz w:val="20"/>
          <w:u w:val="single"/>
        </w:rPr>
        <w:t>Section 2.10.1</w:t>
      </w:r>
      <w:r>
        <w:rPr>
          <w:rFonts w:ascii="Times New Roman" w:hAnsi="Times New Roman"/>
          <w:sz w:val="20"/>
        </w:rPr>
        <w:t xml:space="preserve"> or elsewhere in this Restated Certificate (other than the teens and conditions of </w:t>
      </w:r>
      <w:r>
        <w:rPr>
          <w:rFonts w:ascii="Times New Roman" w:hAnsi="Times New Roman"/>
          <w:sz w:val="20"/>
          <w:u w:val="single"/>
        </w:rPr>
        <w:t>Sections 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w:t>
      </w:r>
      <w:r>
        <w:rPr>
          <w:rFonts w:ascii="Times New Roman" w:hAnsi="Times New Roman"/>
          <w:sz w:val="20"/>
          <w:u w:val="single"/>
        </w:rPr>
        <w:t>3.8</w:t>
      </w:r>
      <w:r>
        <w:rPr>
          <w:rFonts w:ascii="Times New Roman" w:hAnsi="Times New Roman"/>
          <w:sz w:val="20"/>
        </w:rPr>
        <w:t xml:space="preserve"> or </w:t>
      </w:r>
      <w:r>
        <w:rPr>
          <w:rFonts w:ascii="Times New Roman" w:hAnsi="Times New Roman"/>
          <w:sz w:val="20"/>
          <w:u w:val="single"/>
        </w:rPr>
        <w:t>3.9</w:t>
      </w:r>
      <w:r>
        <w:rPr>
          <w:rFonts w:ascii="Times New Roman" w:hAnsi="Times New Roman"/>
          <w:sz w:val="20"/>
        </w:rPr>
        <w:t xml:space="preserve">, if applicable) shall require the consent or approval of holders of the outstanding shares of Series G-2 Preferred Stock, voting as a separate class, Series G Preferred Stock, voting as a separate class, Series F Preferred Stock, voting as a separate class, Series E Preferred Stock, voting as a separate class, shares of Series D Preferred Stock, voting as a separate class, or shares of Series C Preferred Stock, voting as a separate class, to effect a Deemed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2.10.2 </w:t>
      </w:r>
      <w:r>
        <w:rPr>
          <w:rFonts w:ascii="Times New Roman" w:hAnsi="Times New Roman"/>
          <w:sz w:val="20"/>
          <w:u w:val="single"/>
        </w:rPr>
        <w:t>Effecting a Deemed Liquidation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not have the power to effect a Deemed Liquidation Event referred to in </w:t>
      </w:r>
      <w:r>
        <w:rPr>
          <w:rFonts w:ascii="Times New Roman" w:hAnsi="Times New Roman"/>
          <w:sz w:val="20"/>
          <w:u w:val="single"/>
        </w:rPr>
        <w:t>Section 2.10.1(a)</w:t>
      </w:r>
      <w:r>
        <w:rPr>
          <w:rFonts w:ascii="Times New Roman" w:hAnsi="Times New Roman"/>
          <w:sz w:val="20"/>
        </w:rPr>
        <w:t xml:space="preserve"> unless the agreement or plan of merger or consolidation for such transaction (the </w:t>
      </w:r>
      <w:r>
        <w:rPr>
          <w:rFonts w:ascii="Times New Roman" w:hAnsi="Times New Roman"/>
          <w:b/>
          <w:i/>
          <w:sz w:val="20"/>
        </w:rPr>
        <w:t>Merger Agreement</w:t>
      </w:r>
      <w:r>
        <w:rPr>
          <w:rFonts w:ascii="Times New Roman" w:hAnsi="Times New Roman"/>
          <w:sz w:val="20"/>
        </w:rPr>
        <w:t xml:space="preserve">) provides that the consideration payable to the stockholders of the Corporation shall be allocated among the holders of capital stock of the Corporation in accordance with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w:t>
      </w:r>
      <w:r>
        <w:rPr>
          <w:rFonts w:ascii="Times New Roman" w:hAnsi="Times New Roman"/>
          <w:sz w:val="20"/>
          <w:u w:val="single"/>
        </w:rPr>
        <w:t>2.7</w:t>
      </w:r>
      <w:r>
        <w:rPr>
          <w:rFonts w:ascii="Times New Roman" w:hAnsi="Times New Roman"/>
          <w:sz w:val="20"/>
        </w:rPr>
        <w:t xml:space="preserve">, </w:t>
      </w:r>
      <w:r>
        <w:rPr>
          <w:rFonts w:ascii="Times New Roman" w:hAnsi="Times New Roman"/>
          <w:sz w:val="20"/>
          <w:u w:val="single"/>
        </w:rPr>
        <w:t>2.8</w:t>
      </w:r>
      <w:r>
        <w:rPr>
          <w:rFonts w:ascii="Times New Roman" w:hAnsi="Times New Roman"/>
          <w:sz w:val="20"/>
        </w:rPr>
        <w:t xml:space="preserve"> and </w:t>
      </w:r>
      <w:r>
        <w:rPr>
          <w:rFonts w:ascii="Times New Roman" w:hAnsi="Times New Roman"/>
          <w:sz w:val="20"/>
          <w:u w:val="single"/>
        </w:rPr>
        <w:t>2.9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of a Deemed Liquidation Event referred to in </w:t>
      </w:r>
      <w:r>
        <w:rPr>
          <w:rFonts w:ascii="Times New Roman" w:hAnsi="Times New Roman"/>
          <w:sz w:val="20"/>
          <w:u w:val="single"/>
        </w:rPr>
        <w:t>Section 2.10.1(a)</w:t>
      </w:r>
      <w:r>
        <w:rPr>
          <w:rFonts w:ascii="Times New Roman" w:hAnsi="Times New Roman"/>
          <w:sz w:val="20"/>
        </w:rPr>
        <w:t xml:space="preserve"> or 2.10.1(b), if the Corporation does not effect a dissolution of the Corporation under the DGCL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Times New Roman" w:hAnsi="Times New Roman"/>
          <w:sz w:val="20"/>
          <w:u w:val="single"/>
        </w:rPr>
        <w:t>clause (ii)</w:t>
      </w:r>
      <w:r>
        <w:rPr>
          <w:rFonts w:ascii="Times New Roman" w:hAnsi="Times New Roman"/>
          <w:sz w:val="20"/>
        </w:rPr>
        <w:t xml:space="preserve">, and (ii) unless (A) the holders of a majority of the outstanding shares of Series G-2 Preferred Stock, voting as a separate class, (B) the holders of a majority of the outstanding shares of Series G Preferred Stock, voting as a separate class, (C) the holders of a majority of the outstanding shares of Series F Preferred Stock, voting as a separate class, (D) the holders of a majority of the outstanding shares of Series E Preferred Stock, voting as a separate class, (E) the holders of at least sixty percent (60%) of the outstanding shares of Series D Preferred Stock, voting as a separate class, (F) the holders of at least sixty percent (60%) of the outstanding shares of Series C Preferred Stock, voting as a separate class, and (G) the holders of a majority of the outstanding shares of Series B-2 Preferred Stock, Series B-1 Preferred Stock, Series B Preferred Stock and Series A Preferred Stock, voting together as a separate class as measured on the basis of voting power set forth in this Restated Certificate, so request otherwise in a written instrument delivered to the Corporation not later than 120 days after such Deemed Liquidation Event, the Corporation shall use the consideration received by the Corporation for such Deemed Liquidation Event (net of any retained liabilities associated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assets sold or technology licensed, as determined in good faith by the Board), together with any other assets of the Corporation available for distribution to its stockholders, all to the extent permitted by Delaware law governing distributions to stockholders (the </w:t>
      </w:r>
      <w:r>
        <w:rPr>
          <w:rFonts w:ascii="Times New Roman" w:hAnsi="Times New Roman"/>
          <w:b/>
          <w:i/>
          <w:sz w:val="20"/>
        </w:rPr>
        <w:t>Available Proceeds</w:t>
      </w:r>
      <w:r>
        <w:rPr>
          <w:rFonts w:ascii="Times New Roman" w:hAnsi="Times New Roman"/>
          <w:sz w:val="20"/>
        </w:rPr>
        <w:t xml:space="preserve">), on the 150th day after such Deemed Liquidation Event, to redeem all outstanding shares of Preferred Stock at a price per share equal to the Series G-2 Liquidation Amount, Series G Liquidation Amount, Series F Liquidation Amount, Series E Liquidation Amount, Series D Liquidation Amount, Series C Liquidation Amount, Series B-2 Liquidation Amount, Series B-1 Liquidation Amount, Series B Liquidation Amount or Series A Liquidation Amount, as applicable. Notwithstanding the foregoing, in the event of a redemption pursuant to the preceding sentence, if the Available Proceeds are not sufficient to redeem all outstanding shares of Preferred Stock, the Corporation shall redeem each holders shares of Preferred Stock in the same order of priority as the payment of the Series G-2 Liquidation Amount, Series G Liquidation Amount, Series F Liquidation Amount, Series E Liquidation Amount, Series D Liquidation Amount, Series C Liquidation Amount, Series B-2 Liquidation Amount, Series B-1 Liquidation Amount, Series B Liquidation Amount or Series A Liquidation Amount pursuant to </w:t>
      </w:r>
      <w:r>
        <w:rPr>
          <w:rFonts w:ascii="Times New Roman" w:hAnsi="Times New Roman"/>
          <w:sz w:val="20"/>
          <w:u w:val="single"/>
        </w:rPr>
        <w:t>Section 2</w:t>
      </w:r>
      <w:r>
        <w:rPr>
          <w:rFonts w:ascii="Times New Roman" w:hAnsi="Times New Roman"/>
          <w:sz w:val="20"/>
        </w:rPr>
        <w:t xml:space="preserve">, and shall redeem the remaining shares as soon as it may lawfully do so under Delaware law governing distributions to stockholders. The provisions of </w:t>
      </w:r>
      <w:r>
        <w:rPr>
          <w:rFonts w:ascii="Times New Roman" w:hAnsi="Times New Roman"/>
          <w:sz w:val="20"/>
          <w:u w:val="single"/>
        </w:rPr>
        <w:t>Sections 2.10.2(c)</w:t>
      </w:r>
      <w:r>
        <w:rPr>
          <w:rFonts w:ascii="Times New Roman" w:hAnsi="Times New Roman"/>
          <w:sz w:val="20"/>
        </w:rPr>
        <w:t xml:space="preserve">, </w:t>
      </w:r>
      <w:r>
        <w:rPr>
          <w:rFonts w:ascii="Times New Roman" w:hAnsi="Times New Roman"/>
          <w:sz w:val="20"/>
          <w:u w:val="single"/>
        </w:rPr>
        <w:t>2.10.2(d)</w:t>
      </w:r>
      <w:r>
        <w:rPr>
          <w:rFonts w:ascii="Times New Roman" w:hAnsi="Times New Roman"/>
          <w:sz w:val="20"/>
        </w:rPr>
        <w:t xml:space="preserve"> and </w:t>
      </w:r>
      <w:r>
        <w:rPr>
          <w:rFonts w:ascii="Times New Roman" w:hAnsi="Times New Roman"/>
          <w:sz w:val="20"/>
          <w:u w:val="single"/>
        </w:rPr>
        <w:t>2.10.2(e)</w:t>
      </w:r>
      <w:r>
        <w:rPr>
          <w:rFonts w:ascii="Times New Roman" w:hAnsi="Times New Roman"/>
          <w:sz w:val="20"/>
        </w:rPr>
        <w:t xml:space="preserve"> shall apply to the redemption of the Preferred Stock pursuant to this </w:t>
      </w:r>
      <w:r>
        <w:rPr>
          <w:rFonts w:ascii="Times New Roman" w:hAnsi="Times New Roman"/>
          <w:sz w:val="20"/>
          <w:u w:val="single"/>
        </w:rPr>
        <w:t>Section 2.10.2(b)</w:t>
      </w:r>
      <w:r>
        <w:rPr>
          <w:rFonts w:ascii="Times New Roman" w:hAnsi="Times New Roman"/>
          <w:sz w:val="20"/>
        </w:rPr>
        <w:t xml:space="preserve">. Prior to the distribution or redemption provided for in this </w:t>
      </w:r>
      <w:r>
        <w:rPr>
          <w:rFonts w:ascii="Times New Roman" w:hAnsi="Times New Roman"/>
          <w:sz w:val="20"/>
          <w:u w:val="single"/>
        </w:rPr>
        <w:t>Section 2.10.2(b)</w:t>
      </w:r>
      <w:r>
        <w:rPr>
          <w:rFonts w:ascii="Times New Roman" w:hAnsi="Times New Roman"/>
          <w:sz w:val="20"/>
        </w:rPr>
        <w:t xml:space="preserve">, the Corporation shall not expend or dissipate the consideration received for such Deemed Liquidation Event, except to discharge expenses incurred in connection with such Deemed Liquidation Event or in the ordinary course of business. For the avoidance of doubt, to the extent any additional Available Proceeds related to such Deemed Liquidation Event become available for distribution to the Corporations stockholders pursuant to Delaware law after the date of redemption of the Preferred Stock, such amounts shall be allocated among the holders of such Preferred Stock and Common Stock in accordance with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w:t>
      </w:r>
      <w:r>
        <w:rPr>
          <w:rFonts w:ascii="Times New Roman" w:hAnsi="Times New Roman"/>
          <w:sz w:val="20"/>
          <w:u w:val="single"/>
        </w:rPr>
        <w:t>2.7</w:t>
      </w:r>
      <w:r>
        <w:rPr>
          <w:rFonts w:ascii="Times New Roman" w:hAnsi="Times New Roman"/>
          <w:sz w:val="20"/>
        </w:rPr>
        <w:t xml:space="preserve">, </w:t>
      </w:r>
      <w:r>
        <w:rPr>
          <w:rFonts w:ascii="Times New Roman" w:hAnsi="Times New Roman"/>
          <w:sz w:val="20"/>
          <w:u w:val="single"/>
        </w:rPr>
        <w:t>2.8</w:t>
      </w:r>
      <w:r>
        <w:rPr>
          <w:rFonts w:ascii="Times New Roman" w:hAnsi="Times New Roman"/>
          <w:sz w:val="20"/>
        </w:rPr>
        <w:t xml:space="preserve"> and </w:t>
      </w:r>
      <w:r>
        <w:rPr>
          <w:rFonts w:ascii="Times New Roman" w:hAnsi="Times New Roman"/>
          <w:sz w:val="20"/>
          <w:u w:val="single"/>
        </w:rPr>
        <w:t>2.9</w:t>
      </w:r>
      <w:r>
        <w:rPr>
          <w:rFonts w:ascii="Times New Roman" w:hAnsi="Times New Roman"/>
          <w:sz w:val="20"/>
        </w:rPr>
        <w:t xml:space="preserve"> as if the redemption had not occurred, and the price per share of the Preferred Stock shall be increased to an amount equal to the price per share that would have been paid to such holders if such additional Available Proceeds were available for distribution to stockholders of the Corporation as of the date of the redemption of such shares of Preferred Stock (the </w:t>
      </w:r>
      <w:r>
        <w:rPr>
          <w:rFonts w:ascii="Times New Roman" w:hAnsi="Times New Roman"/>
          <w:b/>
          <w:i/>
          <w:sz w:val="20"/>
        </w:rPr>
        <w:t>Additional Redemption Price</w:t>
      </w:r>
      <w:r>
        <w:rPr>
          <w:rFonts w:ascii="Times New Roman" w:hAnsi="Times New Roman"/>
          <w:sz w:val="20"/>
        </w:rPr>
        <w:t xml:space="preserve">). The Corporation shall promptly pay any Additional Redemption Price to the former holders of Preferred Stock as such amounts become available for distribution to the Corporations stockholders pursuant to Delaware law. </w:t>
      </w:r>
    </w:p>
    <w:p>
      <w:pPr>
        <w:pStyle w:val="TextBody"/>
        <w:bidi w:val="0"/>
        <w:spacing w:before="120" w:after="0"/>
        <w:jc w:val="left"/>
        <w:rPr>
          <w:rFonts w:ascii="Times New Roman" w:hAnsi="Times New Roman"/>
          <w:sz w:val="20"/>
        </w:rPr>
      </w:pPr>
      <w:r>
        <w:rPr>
          <w:rFonts w:ascii="Times New Roman" w:hAnsi="Times New Roman"/>
          <w:sz w:val="20"/>
        </w:rPr>
        <w:t xml:space="preserve">(c) To effect the redemption contemplated by </w:t>
      </w:r>
      <w:r>
        <w:rPr>
          <w:rFonts w:ascii="Times New Roman" w:hAnsi="Times New Roman"/>
          <w:sz w:val="20"/>
          <w:u w:val="single"/>
        </w:rPr>
        <w:t>Section 2.10.2(b)</w:t>
      </w:r>
      <w:r>
        <w:rPr>
          <w:rFonts w:ascii="Times New Roman" w:hAnsi="Times New Roman"/>
          <w:sz w:val="20"/>
        </w:rPr>
        <w:t>, the Corporation shall send written notice of the mandatory redemption (the </w:t>
      </w:r>
      <w:r>
        <w:rPr>
          <w:rFonts w:ascii="Times New Roman" w:hAnsi="Times New Roman"/>
          <w:b/>
          <w:i/>
          <w:sz w:val="20"/>
        </w:rPr>
        <w:t>Redemption Notice</w:t>
      </w:r>
      <w:r>
        <w:rPr>
          <w:rFonts w:ascii="Times New Roman" w:hAnsi="Times New Roman"/>
          <w:sz w:val="20"/>
        </w:rPr>
        <w:t xml:space="preserve">) to each holder of record of Preferred Stock not less than 40 days prior to such redemption date. Each Redemption Notice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number of shares of Series G-2 Preferred Stock, Series G Preferred Stock, Series F Preferred Stock, Series E Preferred Stock, Series D Preferred Stock, Series C Preferred Stock, Series B-2 Preferred Stock, Series B-1 Preferred Stock, Series B Preferred Stock and Series A Preferred Stock held by the holder that the Corporation shall redeem on the redemption date specified in the Redemption Notice;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date and the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date upon which the holders right to convert such shares terminates (as determined in accordance with </w:t>
      </w:r>
      <w:r>
        <w:rPr>
          <w:rFonts w:ascii="Times New Roman" w:hAnsi="Times New Roman"/>
          <w:sz w:val="20"/>
          <w:u w:val="single"/>
        </w:rPr>
        <w:t>Section 4.1</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(iv) that the holder is to surrender to the Corporation, in the manner and at the place designated, his, her or its certificate or certificates representing the shares of Preferred Stock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If the Corporation receives, on or prior to the 20th day after the date of delivery of the Redemption Notice to a holder of Preferred Stock, written notice from such holder that such holder elects to be excluded from the redemption of the Preferred Stock provided in this </w:t>
      </w:r>
      <w:r>
        <w:rPr>
          <w:rFonts w:ascii="Times New Roman" w:hAnsi="Times New Roman"/>
          <w:sz w:val="20"/>
          <w:u w:val="single"/>
        </w:rPr>
        <w:t>Section 2.10.2</w:t>
      </w:r>
      <w:r>
        <w:rPr>
          <w:rFonts w:ascii="Times New Roman" w:hAnsi="Times New Roman"/>
          <w:sz w:val="20"/>
        </w:rPr>
        <w:t>, then the shares of Preferred Stock registered on the books of the Corporation in the name of such holder at the time of the Corporations receipt of such notice shall thereafter be </w:t>
      </w:r>
      <w:r>
        <w:rPr>
          <w:rFonts w:ascii="Times New Roman" w:hAnsi="Times New Roman"/>
          <w:b/>
          <w:i/>
          <w:sz w:val="20"/>
        </w:rPr>
        <w:t>Excluded Shares.</w:t>
      </w:r>
      <w:r>
        <w:rPr>
          <w:rFonts w:ascii="Times New Roman" w:hAnsi="Times New Roman"/>
          <w:sz w:val="20"/>
        </w:rPr>
        <w:t xml:space="preserve"> Excluded Shares shall not be redeemed or redeemable pursuant to this </w:t>
      </w:r>
      <w:r>
        <w:rPr>
          <w:rFonts w:ascii="Times New Roman" w:hAnsi="Times New Roman"/>
          <w:sz w:val="20"/>
          <w:u w:val="single"/>
        </w:rPr>
        <w:t>Section 2.10.2</w:t>
      </w:r>
      <w:r>
        <w:rPr>
          <w:rFonts w:ascii="Times New Roman" w:hAnsi="Times New Roman"/>
          <w:sz w:val="20"/>
        </w:rPr>
        <w:t xml:space="preserve">, whether on such redemption date or thereafter. </w:t>
      </w:r>
    </w:p>
    <w:p>
      <w:pPr>
        <w:pStyle w:val="TextBody"/>
        <w:bidi w:val="0"/>
        <w:spacing w:before="120" w:after="0"/>
        <w:jc w:val="left"/>
        <w:rPr>
          <w:rFonts w:ascii="Times New Roman" w:hAnsi="Times New Roman"/>
          <w:sz w:val="20"/>
        </w:rPr>
      </w:pPr>
      <w:r>
        <w:rPr>
          <w:rFonts w:ascii="Times New Roman" w:hAnsi="Times New Roman"/>
          <w:sz w:val="20"/>
        </w:rPr>
        <w:t xml:space="preserve">(d) On or before the applicable redemption date, each holder of shares of Preferred Stock to be redeemed on such redemption date, unless such holder has exercised his, her or its right to convert such shares as provided in </w:t>
      </w:r>
      <w:r>
        <w:rPr>
          <w:rFonts w:ascii="Times New Roman" w:hAnsi="Times New Roman"/>
          <w:sz w:val="20"/>
          <w:u w:val="single"/>
        </w:rPr>
        <w:t>Section 4</w:t>
      </w:r>
      <w:r>
        <w:rPr>
          <w:rFonts w:ascii="Times New Roman" w:hAnsi="Times New Roman"/>
          <w:sz w:val="20"/>
        </w:rPr>
        <w:t xml:space="preserve">,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 </w:t>
      </w:r>
    </w:p>
    <w:p>
      <w:pPr>
        <w:pStyle w:val="TextBody"/>
        <w:bidi w:val="0"/>
        <w:spacing w:before="120" w:after="0"/>
        <w:jc w:val="left"/>
        <w:rPr>
          <w:rFonts w:ascii="Times New Roman" w:hAnsi="Times New Roman"/>
          <w:sz w:val="20"/>
        </w:rPr>
      </w:pPr>
      <w:r>
        <w:rPr>
          <w:rFonts w:ascii="Times New Roman" w:hAnsi="Times New Roman"/>
          <w:sz w:val="20"/>
        </w:rPr>
        <w:t xml:space="preserve">(e) 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(including the Additional Redemption Price from time to time, if any) without interest upon surrender of their certificate or certificates therefor. </w:t>
      </w:r>
    </w:p>
    <w:p>
      <w:pPr>
        <w:pStyle w:val="TextBody"/>
        <w:bidi w:val="0"/>
        <w:spacing w:before="240" w:after="0"/>
        <w:jc w:val="left"/>
        <w:rPr>
          <w:rFonts w:ascii="Times New Roman" w:hAnsi="Times New Roman"/>
          <w:sz w:val="20"/>
        </w:rPr>
      </w:pPr>
      <w:r>
        <w:rPr>
          <w:rFonts w:ascii="Times New Roman" w:hAnsi="Times New Roman"/>
          <w:sz w:val="20"/>
        </w:rPr>
        <w:t xml:space="preserve">2.10.3 </w:t>
      </w:r>
      <w:r>
        <w:rPr>
          <w:rFonts w:ascii="Times New Roman" w:hAnsi="Times New Roman"/>
          <w:sz w:val="20"/>
          <w:u w:val="single"/>
        </w:rPr>
        <w:t>Amount Deemed Paid or Distributed</w:t>
      </w:r>
      <w:r>
        <w:rPr>
          <w:rFonts w:ascii="Times New Roman" w:hAnsi="Times New Roman"/>
          <w:sz w:val="20"/>
        </w:rPr>
        <w:t xml:space="preserve">. If the amount deemed paid or distributed in a Deemed Liquidation Event under </w:t>
      </w:r>
      <w:r>
        <w:rPr>
          <w:rFonts w:ascii="Times New Roman" w:hAnsi="Times New Roman"/>
          <w:sz w:val="20"/>
          <w:u w:val="single"/>
        </w:rPr>
        <w:t>Section 2</w:t>
      </w:r>
      <w:r>
        <w:rPr>
          <w:rFonts w:ascii="Times New Roman" w:hAnsi="Times New Roman"/>
          <w:sz w:val="20"/>
        </w:rPr>
        <w:t xml:space="preserve"> is made in property other than in cash, the fair market value of such property,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For securities not subject to investment letters or other similar restrictions on free marketability,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traded on a securities exchange, the value shall be deemed to be the average of the closing prices of the securities on such exchange or market over the 30-period ending three days prior to the closing of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(ii) if actively traded over-the-counter, the value shall be deemed to be the average of the closing bid prices over the 30-day period ending three days prior to the closing of such transaction; or </w:t>
      </w:r>
    </w:p>
    <w:p>
      <w:pPr>
        <w:pStyle w:val="TextBody"/>
        <w:bidi w:val="0"/>
        <w:spacing w:before="120" w:after="0"/>
        <w:jc w:val="left"/>
        <w:rPr>
          <w:rFonts w:ascii="Times New Roman" w:hAnsi="Times New Roman"/>
          <w:sz w:val="20"/>
        </w:rPr>
      </w:pPr>
      <w:r>
        <w:rPr>
          <w:rFonts w:ascii="Times New Roman" w:hAnsi="Times New Roman"/>
          <w:sz w:val="20"/>
        </w:rPr>
        <w:t xml:space="preserve">(iii) if there is no active public market, the value shall be the fair market value thereof, as determined in good faith by the Board. </w:t>
      </w:r>
    </w:p>
    <w:p>
      <w:pPr>
        <w:pStyle w:val="TextBody"/>
        <w:bidi w:val="0"/>
        <w:spacing w:before="120" w:after="0"/>
        <w:jc w:val="left"/>
        <w:rPr>
          <w:rFonts w:ascii="Times New Roman" w:hAnsi="Times New Roman"/>
          <w:sz w:val="20"/>
        </w:rPr>
      </w:pPr>
      <w:r>
        <w:rPr>
          <w:rFonts w:ascii="Times New Roman" w:hAnsi="Times New Roman"/>
          <w:sz w:val="20"/>
        </w:rPr>
        <w:t xml:space="preserve">(b) 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w:t>
      </w:r>
      <w:r>
        <w:rPr>
          <w:rFonts w:ascii="Times New Roman" w:hAnsi="Times New Roman"/>
          <w:sz w:val="20"/>
          <w:u w:val="single"/>
        </w:rPr>
        <w:t>clause (a)</w:t>
      </w:r>
      <w:r>
        <w:rPr>
          <w:rFonts w:ascii="Times New Roman" w:hAnsi="Times New Roman"/>
          <w:sz w:val="20"/>
        </w:rPr>
        <w:t xml:space="preserve"> above so as to reflect the approximate fair market value thereof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Contingent Consideration and Indemnification</w:t>
      </w:r>
      <w:r>
        <w:rPr>
          <w:rFonts w:ascii="Times New Roman" w:hAnsi="Times New Roman"/>
          <w:sz w:val="20"/>
        </w:rPr>
        <w:t>. In the event of a Deemed Liquidation Event, unless (A) the holders of a majority of the outstanding shares of Series G-2 Preferred Stock, voting as a separate class, (B) the holders of a majority of the outstanding shares of Series G Preferred Stock, voting as a separate class, (C) the holders of a majority of the outstanding shares of Series F Preferred Stock, voting as a separate class, (D) the holders of a majority of the outstanding shares of Series E Preferred Stock, voting as a separate class, (E) the holders of at least sixty percent (60%) of the outstanding shares of Series D Preferred Stock, voting as a separate class, (F) the holders of at least sixty percent (60%) of the outstanding shares of Series C Preferred Stock, voting as a separate class, and (G) the holders of a majority of the outstanding shares of Series B-2 Preferred Stock, Series B-1 Preferred Stock, Series B Preferred Stock and Series A Preferred Stock, voting together as a single class as measured on the basis of voting power set forth in this Restated Certificate (the holders described in clauses (A), (B), (C), (D), (E), (F) and (G) referred to herein, collectively, as the </w:t>
      </w:r>
      <w:r>
        <w:rPr>
          <w:rFonts w:ascii="Times New Roman" w:hAnsi="Times New Roman"/>
          <w:b/>
          <w:i/>
          <w:sz w:val="20"/>
        </w:rPr>
        <w:t>Requisite Preferred Holders</w:t>
      </w:r>
      <w:r>
        <w:rPr>
          <w:rFonts w:ascii="Times New Roman" w:hAnsi="Times New Roman"/>
          <w:sz w:val="20"/>
        </w:rPr>
        <w:t>), otherwise approve in writing, if any portion of the consideration payable to the stockholders of the Corporation in connection with a Deemed Liquidation Event is payable only upon the satisfaction of contingencies or is placed in escrow, a holdback or other similar account to secure the indemnity obligations of the stockholders (such consideration, the </w:t>
      </w:r>
      <w:r>
        <w:rPr>
          <w:rFonts w:ascii="Times New Roman" w:hAnsi="Times New Roman"/>
          <w:b/>
          <w:i/>
          <w:sz w:val="20"/>
        </w:rPr>
        <w:t>Additional Consideration</w:t>
      </w:r>
      <w:r>
        <w:rPr>
          <w:rFonts w:ascii="Times New Roman" w:hAnsi="Times New Roman"/>
          <w:sz w:val="20"/>
        </w:rPr>
        <w:t>), the definitive agreement with respect to such Deemed Liquidation Event shall provide that (a) the portion of the consideration that is not Additional Consideration (the </w:t>
      </w:r>
      <w:r>
        <w:rPr>
          <w:rFonts w:ascii="Times New Roman" w:hAnsi="Times New Roman"/>
          <w:b/>
          <w:i/>
          <w:sz w:val="20"/>
        </w:rPr>
        <w:t>Initial Consideration</w:t>
      </w:r>
      <w:r>
        <w:rPr>
          <w:rFonts w:ascii="Times New Roman" w:hAnsi="Times New Roman"/>
          <w:sz w:val="20"/>
        </w:rPr>
        <w:t xml:space="preserve">) shall be allocated among the holders of capital stock of the Corporation in accordance with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w:t>
      </w:r>
      <w:r>
        <w:rPr>
          <w:rFonts w:ascii="Times New Roman" w:hAnsi="Times New Roman"/>
          <w:sz w:val="20"/>
          <w:u w:val="single"/>
        </w:rPr>
        <w:t>2.7</w:t>
      </w:r>
      <w:r>
        <w:rPr>
          <w:rFonts w:ascii="Times New Roman" w:hAnsi="Times New Roman"/>
          <w:sz w:val="20"/>
        </w:rPr>
        <w:t xml:space="preserve">, </w:t>
      </w:r>
      <w:r>
        <w:rPr>
          <w:rFonts w:ascii="Times New Roman" w:hAnsi="Times New Roman"/>
          <w:sz w:val="20"/>
          <w:u w:val="single"/>
        </w:rPr>
        <w:t>2.8</w:t>
      </w:r>
      <w:r>
        <w:rPr>
          <w:rFonts w:ascii="Times New Roman" w:hAnsi="Times New Roman"/>
          <w:sz w:val="20"/>
        </w:rPr>
        <w:t xml:space="preserve"> and </w:t>
      </w:r>
      <w:r>
        <w:rPr>
          <w:rFonts w:ascii="Times New Roman" w:hAnsi="Times New Roman"/>
          <w:sz w:val="20"/>
          <w:u w:val="single"/>
        </w:rPr>
        <w:t>2.9</w:t>
      </w:r>
      <w:r>
        <w:rPr>
          <w:rFonts w:ascii="Times New Roman" w:hAnsi="Times New Roman"/>
          <w:sz w:val="20"/>
        </w:rPr>
        <w:t xml:space="preserve"> hereof as if the Initial Consideration were the only consideration payable in connection with such Deemed Liquidation Event, and (b) any Additional Consideration which becomes payable or distributable to the stockholders of the Corporation after the initial closing of such Deemed Liquidation Event shall be allocated among the holders of capital stock of the Corporation in strict accordance with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w:t>
      </w:r>
      <w:r>
        <w:rPr>
          <w:rFonts w:ascii="Times New Roman" w:hAnsi="Times New Roman"/>
          <w:sz w:val="20"/>
          <w:u w:val="single"/>
        </w:rPr>
        <w:t>2.7</w:t>
      </w:r>
      <w:r>
        <w:rPr>
          <w:rFonts w:ascii="Times New Roman" w:hAnsi="Times New Roman"/>
          <w:sz w:val="20"/>
        </w:rPr>
        <w:t xml:space="preserve">, </w:t>
      </w:r>
      <w:r>
        <w:rPr>
          <w:rFonts w:ascii="Times New Roman" w:hAnsi="Times New Roman"/>
          <w:sz w:val="20"/>
          <w:u w:val="single"/>
        </w:rPr>
        <w:t>2.8</w:t>
      </w:r>
      <w:r>
        <w:rPr>
          <w:rFonts w:ascii="Times New Roman" w:hAnsi="Times New Roman"/>
          <w:sz w:val="20"/>
        </w:rPr>
        <w:t xml:space="preserve"> and </w:t>
      </w:r>
      <w:r>
        <w:rPr>
          <w:rFonts w:ascii="Times New Roman" w:hAnsi="Times New Roman"/>
          <w:sz w:val="20"/>
          <w:u w:val="single"/>
        </w:rPr>
        <w:t>2.9</w:t>
      </w:r>
      <w:r>
        <w:rPr>
          <w:rFonts w:ascii="Times New Roman" w:hAnsi="Times New Roman"/>
          <w:sz w:val="20"/>
        </w:rPr>
        <w:t xml:space="preserve"> hereof after taking into account any previous payments of the Initial Consideration made to the stockholders of the Corporation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w:t>
      </w:r>
      <w:r>
        <w:rPr>
          <w:rFonts w:ascii="Times New Roman" w:hAnsi="Times New Roman"/>
          <w:sz w:val="20"/>
          <w:u w:val="single"/>
        </w:rPr>
        <w:t>2.7</w:t>
      </w:r>
      <w:r>
        <w:rPr>
          <w:rFonts w:ascii="Times New Roman" w:hAnsi="Times New Roman"/>
          <w:sz w:val="20"/>
        </w:rPr>
        <w:t xml:space="preserve">, </w:t>
      </w:r>
      <w:r>
        <w:rPr>
          <w:rFonts w:ascii="Times New Roman" w:hAnsi="Times New Roman"/>
          <w:sz w:val="20"/>
          <w:u w:val="single"/>
        </w:rPr>
        <w:t>2.8</w:t>
      </w:r>
      <w:r>
        <w:rPr>
          <w:rFonts w:ascii="Times New Roman" w:hAnsi="Times New Roman"/>
          <w:sz w:val="20"/>
        </w:rPr>
        <w:t xml:space="preserve"> and </w:t>
      </w:r>
      <w:r>
        <w:rPr>
          <w:rFonts w:ascii="Times New Roman" w:hAnsi="Times New Roman"/>
          <w:sz w:val="20"/>
          <w:u w:val="single"/>
        </w:rPr>
        <w:t>2.9</w:t>
      </w:r>
      <w:r>
        <w:rPr>
          <w:rFonts w:ascii="Times New Roman" w:hAnsi="Times New Roman"/>
          <w:sz w:val="20"/>
        </w:rPr>
        <w:t xml:space="preserve"> hereof. In connection with the payment of such Additional Consideration, if the Series G-2 Preferred Stock, Series G Preferred Stock, Series F Preferred Stock, the Series E Preferred Stock, Series D Preferred Stock, Series C Preferred Stock, Series B-2 Preferred Stock, Series B-1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Stock, Series B Preferred Stock or Series A Preferred Stock did not convert to Common Stock immediately before the initial closing of the Deemed Liquidation Event and if the Series G-2 Preferred Stock, Series G Preferred Stock, Series F Preferred Stock, the Series E Preferred Stock, Series D Preferred Stock, Series C Preferred Stock, Series B-2 Preferred Stock, Series B-1 Preferred Stock, Series B Preferred Stock or Series A Preferred Stock had converted to Common Stock immediately before the initial closing of the Deemed Liquidation Event and the Series G-2 Preferred Stock, Series G Preferred Stock, Series F Preferred Stock, the Series E Preferred Stock, Series D Preferred Stock, Series C Preferred Stock, Series B-2 Preferred Stock, Series B-1 Preferred Stock, Series B Preferred Stock or Series A Preferred Stock would have received greater total consideration from the Deemed Liquidation Event after the payments of the Additional Consideration are made, then the Additional Consideration shall be paid to the holders of the Series G-2 Preferred Stock, Series G Preferred Stock, Series F Preferred Stock, Series E Preferred Stock, Series D Preferred Stock, Series C Preferred Stock, Series B-2 Preferred Stock, Series B-1 Preferred Stock, Series B Preferred Stock, Series A Preferred Stock or Common Stock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w:t>
      </w:r>
      <w:r>
        <w:rPr>
          <w:rFonts w:ascii="Times New Roman" w:hAnsi="Times New Roman"/>
          <w:sz w:val="20"/>
          <w:u w:val="single"/>
        </w:rPr>
        <w:t>2.7</w:t>
      </w:r>
      <w:r>
        <w:rPr>
          <w:rFonts w:ascii="Times New Roman" w:hAnsi="Times New Roman"/>
          <w:sz w:val="20"/>
        </w:rPr>
        <w:t xml:space="preserve">, </w:t>
      </w:r>
      <w:r>
        <w:rPr>
          <w:rFonts w:ascii="Times New Roman" w:hAnsi="Times New Roman"/>
          <w:sz w:val="20"/>
          <w:u w:val="single"/>
        </w:rPr>
        <w:t>2.8</w:t>
      </w:r>
      <w:r>
        <w:rPr>
          <w:rFonts w:ascii="Times New Roman" w:hAnsi="Times New Roman"/>
          <w:sz w:val="20"/>
        </w:rPr>
        <w:t xml:space="preserve"> and </w:t>
      </w:r>
      <w:r>
        <w:rPr>
          <w:rFonts w:ascii="Times New Roman" w:hAnsi="Times New Roman"/>
          <w:sz w:val="20"/>
          <w:u w:val="single"/>
        </w:rPr>
        <w:t>2.9</w:t>
      </w:r>
      <w:r>
        <w:rPr>
          <w:rFonts w:ascii="Times New Roman" w:hAnsi="Times New Roman"/>
          <w:sz w:val="20"/>
        </w:rPr>
        <w:t xml:space="preserve"> hereof taking into account such deemed conversion, as applicable, and after taking into account any previous payments of the Initial Consideration made to the holders of Preferred Stock pursuant to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w:t>
      </w:r>
      <w:r>
        <w:rPr>
          <w:rFonts w:ascii="Times New Roman" w:hAnsi="Times New Roman"/>
          <w:sz w:val="20"/>
          <w:u w:val="single"/>
        </w:rPr>
        <w:t>2.5</w:t>
      </w:r>
      <w:r>
        <w:rPr>
          <w:rFonts w:ascii="Times New Roman" w:hAnsi="Times New Roman"/>
          <w:sz w:val="20"/>
        </w:rPr>
        <w:t xml:space="preserve">, </w:t>
      </w:r>
      <w:r>
        <w:rPr>
          <w:rFonts w:ascii="Times New Roman" w:hAnsi="Times New Roman"/>
          <w:sz w:val="20"/>
          <w:u w:val="single"/>
        </w:rPr>
        <w:t>2.6</w:t>
      </w:r>
      <w:r>
        <w:rPr>
          <w:rFonts w:ascii="Times New Roman" w:hAnsi="Times New Roman"/>
          <w:sz w:val="20"/>
        </w:rPr>
        <w:t xml:space="preserve">, </w:t>
      </w:r>
      <w:r>
        <w:rPr>
          <w:rFonts w:ascii="Times New Roman" w:hAnsi="Times New Roman"/>
          <w:sz w:val="20"/>
          <w:u w:val="single"/>
        </w:rPr>
        <w:t>2.7</w:t>
      </w:r>
      <w:r>
        <w:rPr>
          <w:rFonts w:ascii="Times New Roman" w:hAnsi="Times New Roman"/>
          <w:sz w:val="20"/>
        </w:rPr>
        <w:t xml:space="preserve">, </w:t>
      </w:r>
      <w:r>
        <w:rPr>
          <w:rFonts w:ascii="Times New Roman" w:hAnsi="Times New Roman"/>
          <w:sz w:val="20"/>
          <w:u w:val="single"/>
        </w:rPr>
        <w:t>2.8</w:t>
      </w:r>
      <w:r>
        <w:rPr>
          <w:rFonts w:ascii="Times New Roman" w:hAnsi="Times New Roman"/>
          <w:sz w:val="20"/>
        </w:rPr>
        <w:t xml:space="preserve"> and </w:t>
      </w:r>
      <w:r>
        <w:rPr>
          <w:rFonts w:ascii="Times New Roman" w:hAnsi="Times New Roman"/>
          <w:sz w:val="20"/>
          <w:u w:val="single"/>
        </w:rPr>
        <w:t>2.9</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Voting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General</w:t>
      </w:r>
      <w:r>
        <w:rPr>
          <w:rFonts w:ascii="Times New Roman" w:hAnsi="Times New Roman"/>
          <w:sz w:val="20"/>
        </w:rPr>
        <w:t xml:space="preserve">. On any matter presented to the stockholders of the Corporation for their action or consideration at any meeting of stockholders of the Corporation (or by written consent of stockholders in lieu of meeting), (a) each holder of outstanding shares of Series G-2 Preferred Stock, Series G Preferred Stock, Series F Preferred Stock, Series E Preferred Stock, Series D Preferred Stock, Series C Preferred Stock, Series B-2 Preferred Stock, Series B-1 Preferred Stock, and Series A Preferred Stock shall be entitled to cast the number of votes equal to the number of whole shares of Voting Common Stock into which such shares of Preferred Stock held by such holder are convertible, based on the then-current Conversion Price (as defined below) for such shares, as of the record date for determining stockholders entitled to vote on such matter, and (b) each holder of outstanding shares of Series B Preferred Stock shall be entitled to cast the number of votes equal to the product obtained by multiplying (i) the number of whole shares of Voting Common Stock into which the shares of Preferred Stock held by such holder are convertible, based on the then-current Conversion Price (as defined below) for such shares, as of the record date for determining stockholders entitled to vote on such matter, by (ii) ten (10). Except as provided by law or by the other provisions of this Restated Certificate, holders of Preferred Stock shall vote together with the holders of Voting Common Stock as a single class.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Election of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3.2.1 The holders of record of the shares of Series C Preferred Stock, voting as a separate class, shall be entitled to elect one (1) director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six (6) directors of the Corporation. The holders of record of the shares of Series B-2 Preferred Stock, Series B-1 Preferred Stock, Series B Preferred Stock, Series A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Voting Common Stock, voting together as a single class as measured on the basis of voting power set forth in this Restated Certificate, shall be entitled to elect two (2) directors of the Corporation who are not employed by the Corporation. The holders of record of the shares of Voting Common Stock and Preferred Stock (voting together as a single class as measured on the basis of voting power set forth in this Restated Certificate) shall be entitled to elect each of the remaining directors of the Corporation. Vacancies and newly created positions on the Board of Directors of the Corporation resulting from any increase in the authorized number of Directors may be filled by approval by the holders of at least a majority of the shares of 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3.2.2 Any director elected as provided in </w:t>
      </w:r>
      <w:r>
        <w:rPr>
          <w:rFonts w:ascii="Times New Roman" w:hAnsi="Times New Roman"/>
          <w:sz w:val="20"/>
          <w:u w:val="single"/>
        </w:rPr>
        <w:t>Section 3.2.1</w:t>
      </w:r>
      <w:r>
        <w:rPr>
          <w:rFonts w:ascii="Times New Roman" w:hAnsi="Times New Roman"/>
          <w:sz w:val="20"/>
        </w:rPr>
        <w:t xml:space="preserv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capital stock fail to elect a sufficient number of directors to fill all directorships for which they are entitled to elect directors, voting exclusively and as a separate class, pursuant to this </w:t>
      </w:r>
      <w:r>
        <w:rPr>
          <w:rFonts w:ascii="Times New Roman" w:hAnsi="Times New Roman"/>
          <w:sz w:val="20"/>
          <w:u w:val="single"/>
        </w:rPr>
        <w:t>Section 3.2</w:t>
      </w:r>
      <w:r>
        <w:rPr>
          <w:rFonts w:ascii="Times New Roman" w:hAnsi="Times New Roman"/>
          <w:sz w:val="20"/>
        </w:rPr>
        <w:t xml:space="preserve">, then any directorship not so filled shall remain vacant until such time as the holders entitled to such director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and series. At any meeting held for the purpose of electing or removing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hAnsi="Times New Roman"/>
          <w:sz w:val="20"/>
          <w:u w:val="single"/>
        </w:rPr>
        <w:t>Section 3.2</w:t>
      </w:r>
      <w:r>
        <w:rPr>
          <w:rFonts w:ascii="Times New Roman" w:hAnsi="Times New Roman"/>
          <w:sz w:val="20"/>
        </w:rPr>
        <w:t xml:space="preserve">, a vacancy in any directorship filled by the holders of such class or series shall be filled only by the vote or written consent in lieu of a meeting of the holders of such class or series entitled to elect such director.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Series G-2 Preferred Stock Protective Provisions</w:t>
      </w:r>
      <w:r>
        <w:rPr>
          <w:rFonts w:ascii="Times New Roman" w:hAnsi="Times New Roman"/>
          <w:sz w:val="20"/>
        </w:rPr>
        <w:t xml:space="preserve">. So long as any shares of Series G-2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G-2 Preferred Stock given in writing or by vote at a meeting, consenting or voting (as the case may be) as a single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3.3.1 amend, alter or repeal any provision of the Certificate of Incorporation, as amended, or the Bylaws of the Corporation in a manner that adversely affects the rights, preferences, privileges and restrictions, qualifications or limitations of the Series G-2 Preferred Stock or the holders thereof with respect to the ownership thereof (</w:t>
      </w:r>
      <w:r>
        <w:rPr>
          <w:rFonts w:ascii="Times New Roman" w:hAnsi="Times New Roman"/>
          <w:sz w:val="20"/>
          <w:u w:val="single"/>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rights, preferences, privileges and restrictions, qualifications or limitations of the Series G-2 Preferred Stock shall not be deemed to constitute an amendment that adversely affects the rights, preferences, privileges and restrictions, qualifications or limitations of the Series G-2 Preferred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3.3.2 increase the authorized number of shares of Series G-2 Preferred Stock or issue additional shares of Series G-2 Preferred Stock (or any securities or rights exercisable, convertible or exchangeable for any shares of Series G-2 Preferred Stock) (</w:t>
      </w:r>
      <w:r>
        <w:rPr>
          <w:rFonts w:ascii="Times New Roman" w:hAnsi="Times New Roman"/>
          <w:sz w:val="20"/>
          <w:u w:val="single"/>
        </w:rPr>
        <w:t>provided</w:t>
      </w:r>
      <w:r>
        <w:rPr>
          <w:rFonts w:ascii="Times New Roman" w:hAnsi="Times New Roman"/>
          <w:sz w:val="20"/>
        </w:rPr>
        <w:t xml:space="preserve">, that for the avoidance of doubt, the Corporation may create, authorize or issue any shares of Preferred Stock except the Series G-2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Series G Preferred Stock Protective Provisions</w:t>
      </w:r>
      <w:r>
        <w:rPr>
          <w:rFonts w:ascii="Times New Roman" w:hAnsi="Times New Roman"/>
          <w:sz w:val="20"/>
        </w:rPr>
        <w:t xml:space="preserve">. So long as any shares of Series G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 Preferred Stock given in writing or by vote at a meeting, consenting or voting (as the case may be) as a single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3.4.1 amend, alter or repeal any provision of the Certificate of Incorporation, as amended, or the Bylaws of the Corporation in a manner that adversely affects the rights, preferences, privileges and restrictions, qualifications or limitations of the Series G Preferred Stock or the holders thereof with respect to the ownership thereof (</w:t>
      </w:r>
      <w:r>
        <w:rPr>
          <w:rFonts w:ascii="Times New Roman" w:hAnsi="Times New Roman"/>
          <w:sz w:val="20"/>
          <w:u w:val="single"/>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rights, preferences, privileges and restrictions, qualifications or limitations of the Series G Preferred Stock shall not be deemed to constitute an amendment that adversely affects the rights, preferences, privileges and restrictions, qualifications or limitations of the Series G Preferred Stock); or </w:t>
      </w:r>
    </w:p>
    <w:p>
      <w:pPr>
        <w:pStyle w:val="TextBody"/>
        <w:bidi w:val="0"/>
        <w:spacing w:before="120" w:after="0"/>
        <w:jc w:val="left"/>
        <w:rPr>
          <w:rFonts w:ascii="Times New Roman" w:hAnsi="Times New Roman"/>
          <w:sz w:val="20"/>
        </w:rPr>
      </w:pPr>
      <w:r>
        <w:rPr>
          <w:rFonts w:ascii="Times New Roman" w:hAnsi="Times New Roman"/>
          <w:sz w:val="20"/>
        </w:rPr>
        <w:t xml:space="preserve">3.4.2 increase the authorized number of shares of Series G Preferred Stock or issue additional shares of Series G Preferred Stock (or any securities or rights exercisable, convertible or exchangeable for any shares of Series G Preferred Stock) (provided, that for the avoidance of doubt, the Corporation may create, authorize or issue any shares of Preferred Stock except the Series G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Series F Preferred Stock Protective Provisions</w:t>
      </w:r>
      <w:r>
        <w:rPr>
          <w:rFonts w:ascii="Times New Roman" w:hAnsi="Times New Roman"/>
          <w:sz w:val="20"/>
        </w:rPr>
        <w:t xml:space="preserve">. So long as any shares of Series F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F Preferred Stock given in writing or by vote at a meeting, consenting or voting (as the case may be) as a single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3.5.1 amend, alter or repeal any provision of the Certificate of Incorporation, as amended, or the Bylaws of the Corporation in a manner that adversely affects the rights, preferences, privileges and restrictions, qualifications or limitations of the Series F Preferred Stock or the holders thereof with respect to the ownership thereof (provided,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rights, preferences, privileges and restrictions, qualifications or limitations of the Series F Preferred Stock shall not be deemed to constitute an amendment that adversely affects the rights, preferences, privileges and restrictions, qualifications or limitations of the Series F Preferred Stock); or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3.5.2 increase the authorized number of shares of Series F Preferred Stock or issue additional shares of Series F Preferred Stock (or any securities or rights exercisable, convertible or exchangeable for any shares of Series F Preferred Stock) (</w:t>
      </w:r>
      <w:r>
        <w:rPr>
          <w:rFonts w:ascii="Times New Roman" w:hAnsi="Times New Roman"/>
          <w:sz w:val="20"/>
          <w:u w:val="single"/>
        </w:rPr>
        <w:t>provided</w:t>
      </w:r>
      <w:r>
        <w:rPr>
          <w:rFonts w:ascii="Times New Roman" w:hAnsi="Times New Roman"/>
          <w:sz w:val="20"/>
        </w:rPr>
        <w:t xml:space="preserve">, that for the avoidance of doubt, the Corporation may create, authorize or issue any shares of Preferred Stock except the Series 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Series E Preferred Stock Protective Provisions</w:t>
      </w:r>
      <w:r>
        <w:rPr>
          <w:rFonts w:ascii="Times New Roman" w:hAnsi="Times New Roman"/>
          <w:sz w:val="20"/>
        </w:rPr>
        <w:t xml:space="preserve">. So long as any shares of Series E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E Preferred Stock given in writing or by vote at a meeting, consenting or voting (as the case may be) as a single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240" w:after="0"/>
        <w:jc w:val="left"/>
        <w:rPr>
          <w:rFonts w:ascii="Times New Roman" w:hAnsi="Times New Roman"/>
          <w:sz w:val="20"/>
        </w:rPr>
      </w:pPr>
      <w:r>
        <w:rPr>
          <w:rFonts w:ascii="Times New Roman" w:hAnsi="Times New Roman"/>
          <w:sz w:val="20"/>
        </w:rPr>
        <w:t>3.6.1 amend, alter or repeal any provision of the Certificate of Incorporation, as amended, or the Bylaws of the Corporation in a manner that adversely affects the rights, preferences, privileges and restrictions, qualifications or limitations of the Series E Preferred Stock or the holders thereof with respect to the ownership thereof (</w:t>
      </w:r>
      <w:r>
        <w:rPr>
          <w:rFonts w:ascii="Times New Roman" w:hAnsi="Times New Roman"/>
          <w:sz w:val="20"/>
          <w:u w:val="single"/>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rights, preferences, privileges and restrictions, qualifications or limitations of the Series E Preferred Stock shall not be deemed to constitute an amendment that adversely affects the rights, preferences, privileges and restrictions, qualifications or limitations of the Series E Preferred Stock); or </w:t>
      </w:r>
    </w:p>
    <w:p>
      <w:pPr>
        <w:pStyle w:val="TextBody"/>
        <w:bidi w:val="0"/>
        <w:spacing w:before="240" w:after="0"/>
        <w:jc w:val="left"/>
        <w:rPr>
          <w:rFonts w:ascii="Times New Roman" w:hAnsi="Times New Roman"/>
          <w:sz w:val="20"/>
        </w:rPr>
      </w:pPr>
      <w:r>
        <w:rPr>
          <w:rFonts w:ascii="Times New Roman" w:hAnsi="Times New Roman"/>
          <w:sz w:val="20"/>
        </w:rPr>
        <w:t>3.6.2 increase the authorized number of shares of Series E Preferred Stock or issue additional shares of Series E Preferred Stock (or any securities or rights exercisable, convertible or exchangeable for any shares of Series E Preferred Stock) (</w:t>
      </w:r>
      <w:r>
        <w:rPr>
          <w:rFonts w:ascii="Times New Roman" w:hAnsi="Times New Roman"/>
          <w:sz w:val="20"/>
          <w:u w:val="single"/>
        </w:rPr>
        <w:t>provided</w:t>
      </w:r>
      <w:r>
        <w:rPr>
          <w:rFonts w:ascii="Times New Roman" w:hAnsi="Times New Roman"/>
          <w:sz w:val="20"/>
        </w:rPr>
        <w:t xml:space="preserve">, that for the avoidance of doubt, the Corporation may create, authorize or issue any shares of Preferred Stock except the Series 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Series D Preferred Stock Protective Provisions</w:t>
      </w:r>
      <w:r>
        <w:rPr>
          <w:rFonts w:ascii="Times New Roman" w:hAnsi="Times New Roman"/>
          <w:sz w:val="20"/>
        </w:rPr>
        <w:t xml:space="preserve">. So long as any shares of Series D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D Preferred Stock given in writing or by vote at a meeting, consenting or voting (as the case may be) as a single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240" w:after="0"/>
        <w:jc w:val="left"/>
        <w:rPr>
          <w:rFonts w:ascii="Times New Roman" w:hAnsi="Times New Roman"/>
          <w:sz w:val="20"/>
        </w:rPr>
      </w:pPr>
      <w:r>
        <w:rPr>
          <w:rFonts w:ascii="Times New Roman" w:hAnsi="Times New Roman"/>
          <w:sz w:val="20"/>
        </w:rPr>
        <w:t>3.7.1 amend, alter or repeal any provision of the Certificate of Incorporation, as amended, or the Bylaws of the Corporation in a manner that adversely affects the rights, preferences, privileges and restrictions, qualifications or limitations of the Series D Preferred Stock or the holders thereof with respect to the ownership thereof (</w:t>
      </w:r>
      <w:r>
        <w:rPr>
          <w:rFonts w:ascii="Times New Roman" w:hAnsi="Times New Roman"/>
          <w:sz w:val="20"/>
          <w:u w:val="single"/>
        </w:rPr>
        <w:t>provided</w:t>
      </w:r>
      <w:r>
        <w:rPr>
          <w:rFonts w:ascii="Times New Roman" w:hAnsi="Times New Roman"/>
          <w:sz w:val="20"/>
        </w:rPr>
        <w:t xml:space="preserve">, that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rights, preferences, privileges and restrictions, qualifications or limitations of the Series D Preferred Stock shall not be deemed to constitute an amendment that adversely affects the rights, preferences, privileges and restrictions, qualifications or limitations of the Series D Preferred Stock); </w:t>
      </w:r>
    </w:p>
    <w:p>
      <w:pPr>
        <w:pStyle w:val="TextBody"/>
        <w:bidi w:val="0"/>
        <w:spacing w:before="120" w:after="0"/>
        <w:jc w:val="left"/>
        <w:rPr>
          <w:rFonts w:ascii="Times New Roman" w:hAnsi="Times New Roman"/>
          <w:sz w:val="20"/>
        </w:rPr>
      </w:pPr>
      <w:r>
        <w:rPr>
          <w:rFonts w:ascii="Times New Roman" w:hAnsi="Times New Roman"/>
          <w:sz w:val="20"/>
        </w:rPr>
        <w:t>3.7.2 increase the authorized number of shares of Series D Preferred Stock or issue additional shares of Series D Preferred Stock (or any securities or rights exercisable, convertible or exchangeable for any shares of Series D Preferred Stock) (</w:t>
      </w:r>
      <w:r>
        <w:rPr>
          <w:rFonts w:ascii="Times New Roman" w:hAnsi="Times New Roman"/>
          <w:sz w:val="20"/>
          <w:u w:val="single"/>
        </w:rPr>
        <w:t>provided</w:t>
      </w:r>
      <w:r>
        <w:rPr>
          <w:rFonts w:ascii="Times New Roman" w:hAnsi="Times New Roman"/>
          <w:sz w:val="20"/>
        </w:rPr>
        <w:t xml:space="preserve">, that for the avoidance of doubt, the Corporation may create, authorize or issue any shares of Preferred Stock except the Series D Preferred Stock); or </w:t>
      </w:r>
    </w:p>
    <w:p>
      <w:pPr>
        <w:pStyle w:val="TextBody"/>
        <w:bidi w:val="0"/>
        <w:spacing w:before="120" w:after="0"/>
        <w:jc w:val="left"/>
        <w:rPr>
          <w:rFonts w:ascii="Times New Roman" w:hAnsi="Times New Roman"/>
          <w:sz w:val="20"/>
        </w:rPr>
      </w:pPr>
      <w:r>
        <w:rPr>
          <w:rFonts w:ascii="Times New Roman" w:hAnsi="Times New Roman"/>
          <w:sz w:val="20"/>
        </w:rPr>
        <w:t xml:space="preserve">3.7.3 approve or enter into any agreement with respect to a Deemed Liquidation Event, or consummate a Deemed Liquidation Event, in which the per share amount paid with respect to each share of Series D Preferred Stock is less than $9.3739 (as adjusted for any stock splits, stock dividends, combinations, subdivisions, recapitalizations or the like). </w:t>
      </w:r>
    </w:p>
    <w:p>
      <w:pPr>
        <w:pStyle w:val="TextBody"/>
        <w:bidi w:val="0"/>
        <w:spacing w:before="12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Series C Preferred Stock Protective Provisions</w:t>
      </w:r>
      <w:r>
        <w:rPr>
          <w:rFonts w:ascii="Times New Roman" w:hAnsi="Times New Roman"/>
          <w:sz w:val="20"/>
        </w:rPr>
        <w:t xml:space="preserve">. So long as any shares of Series C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C Preferred Stock given in writing or by vote at a meeting, consenting or voting (as the case may be) as a single class,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3.8.1 amend, alter or repeal any provision of the Certificate of Incorporation, as amended, or the Bylaws of the Corporation in a manner that adversely affects the rights, preferences, privileges and restrictions, qualifications or limitations of the Series C Preferred Stock or the holders thereof with respect to the ownership thereof (</w:t>
      </w:r>
      <w:r>
        <w:rPr>
          <w:rFonts w:ascii="Times New Roman" w:hAnsi="Times New Roman"/>
          <w:sz w:val="20"/>
          <w:u w:val="single"/>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rights, preferences, privileges and restrictions, qualifications or limitations of the Series C Preferred Stock shall not be deemed to constitute an amendment that adversely affects the rights, preferences, privileges and restrictions, qualifications or limitations of the Series C Preferred Stock); or </w:t>
      </w:r>
    </w:p>
    <w:p>
      <w:pPr>
        <w:pStyle w:val="TextBody"/>
        <w:bidi w:val="0"/>
        <w:spacing w:before="120" w:after="0"/>
        <w:jc w:val="left"/>
        <w:rPr>
          <w:rFonts w:ascii="Times New Roman" w:hAnsi="Times New Roman"/>
          <w:sz w:val="20"/>
        </w:rPr>
      </w:pPr>
      <w:r>
        <w:rPr>
          <w:rFonts w:ascii="Times New Roman" w:hAnsi="Times New Roman"/>
          <w:sz w:val="20"/>
        </w:rPr>
        <w:t>3.8.2 increase the authorized number of shares of Series C Preferred Stock or issue additional shares of Series C Preferred Stock (or any securities or rights exercisable, convertible or exchangeable for any shares of Series C Preferred Stock) (</w:t>
      </w:r>
      <w:r>
        <w:rPr>
          <w:rFonts w:ascii="Times New Roman" w:hAnsi="Times New Roman"/>
          <w:sz w:val="20"/>
          <w:u w:val="single"/>
        </w:rPr>
        <w:t>provided</w:t>
      </w:r>
      <w:r>
        <w:rPr>
          <w:rFonts w:ascii="Times New Roman" w:hAnsi="Times New Roman"/>
          <w:sz w:val="20"/>
        </w:rPr>
        <w:t xml:space="preserve">, that for the avoidance of doubt, the Corporation may create, authorize or issue any shares of Preferred Stock except the Series C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Other Preferred Stock Protective Provisions</w:t>
      </w:r>
      <w:r>
        <w:rPr>
          <w:rFonts w:ascii="Times New Roman" w:hAnsi="Times New Roman"/>
          <w:sz w:val="20"/>
        </w:rPr>
        <w:t xml:space="preserve">. So long as any shares of Series B-2 Preferred Stock, Series B-1 Preferred Stock, Series B Preferred Stock and Series A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holders of at least a majority of the then-outstanding shares of Series B-2 Preferred Stock, Series B-1 Preferred Stock, Series B Preferred Stock and Series A Preferred Stock given in writing or by vote at a meeting, consenting or voting (as the case may be) together as a single class as measured on the basis of voting power set forth in this Restated Certificate, and any such act or transaction entered into without such consent or vote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3.9.1 amend, alter or repeal any provision of the Certificate of Incorporation, as amended, or the Bylaws of the Corporation in a manner that adversely affects the rights, preferences, privileges and restrictions, qualifications or limitations of the Series B-2 Preferred Stock, Series B-1 Preferred Stock, Series B Preferred Stock and Series A Preferred Stock or the holders thereof with respect to the ownership thereof (</w:t>
      </w:r>
      <w:r>
        <w:rPr>
          <w:rFonts w:ascii="Times New Roman" w:hAnsi="Times New Roman"/>
          <w:sz w:val="20"/>
          <w:u w:val="single"/>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rights, preferences, privileges and restrictions, qualifications or limitations of the Series B-2 Preferred Stock, Series B-1 Preferred Stock, Series B Preferred Stock or Series A Preferred Stock shall not be deemed to constitute an amendment that adversely affects the rights, preferences, privileges and restrictions, qualifications or limitations of the Series B-2 Preferred Stock, Series B-1 Preferred Stock, Series B Preferred Stock and Series A Preferred Stock; or </w:t>
      </w:r>
    </w:p>
    <w:p>
      <w:pPr>
        <w:pStyle w:val="TextBody"/>
        <w:bidi w:val="0"/>
        <w:spacing w:before="120" w:after="0"/>
        <w:jc w:val="left"/>
        <w:rPr>
          <w:rFonts w:ascii="Times New Roman" w:hAnsi="Times New Roman"/>
          <w:sz w:val="20"/>
        </w:rPr>
      </w:pPr>
      <w:r>
        <w:rPr>
          <w:rFonts w:ascii="Times New Roman" w:hAnsi="Times New Roman"/>
          <w:sz w:val="20"/>
        </w:rPr>
        <w:t>3.9.2 increase the authorized number of shares of Series B-2 Preferred Stock, Series B-1 Preferred Stock, Series B Preferred Stock or Series A Preferred Stock or issue additional shares of Series B-2 Preferred Stock, Series B-1 Preferred Stock, Series B Preferred Stock or Series A Preferred Stock (or any securities or rights exercisable, convertible or exchangeable for any shares of Series B-2 Preferred Stock, Series B-1 Preferred Stock, Series B Preferred Stock or Series A Preferred Stock) (</w:t>
      </w:r>
      <w:r>
        <w:rPr>
          <w:rFonts w:ascii="Times New Roman" w:hAnsi="Times New Roman"/>
          <w:sz w:val="20"/>
          <w:u w:val="single"/>
        </w:rPr>
        <w:t>provided</w:t>
      </w:r>
      <w:r>
        <w:rPr>
          <w:rFonts w:ascii="Times New Roman" w:hAnsi="Times New Roman"/>
          <w:sz w:val="20"/>
        </w:rPr>
        <w:t xml:space="preserve">, that for the avoidance of doubt, the Corporation may create, authorize or issue any shares of Preferred Stock except the Series B-2 Preferred Stock, Series B-1 Preferred Stock, Series B Preferred Stock or Series A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Optional Conversion</w:t>
      </w:r>
      <w:r>
        <w:rPr>
          <w:rFonts w:ascii="Times New Roman" w:hAnsi="Times New Roman"/>
          <w:sz w:val="20"/>
        </w:rPr>
        <w:t>. The holders of the Preferred Stock shall have conversion rights as follows (the </w:t>
      </w:r>
      <w:r>
        <w:rPr>
          <w:rFonts w:ascii="Times New Roman" w:hAnsi="Times New Roman"/>
          <w:b/>
          <w:i/>
          <w:sz w:val="20"/>
        </w:rPr>
        <w:t>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Right to Convert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Conversion Ratio</w:t>
      </w:r>
      <w:r>
        <w:rPr>
          <w:rFonts w:ascii="Times New Roman" w:hAnsi="Times New Roman"/>
          <w:sz w:val="20"/>
        </w:rPr>
        <w:t>. Each share of Preferred Stock shall be convertible, at the option of the holder thereof, at any time and from time to time, and without the payment of additional consideration by the holder thereof, into such number of fully paid and non-assessable shares of Voting Common Stock (</w:t>
      </w:r>
      <w:r>
        <w:rPr>
          <w:rFonts w:ascii="Times New Roman" w:hAnsi="Times New Roman"/>
          <w:b/>
          <w:i/>
          <w:sz w:val="20"/>
        </w:rPr>
        <w:t>Conversion Stock</w:t>
      </w:r>
      <w:r>
        <w:rPr>
          <w:rFonts w:ascii="Times New Roman" w:hAnsi="Times New Roman"/>
          <w:sz w:val="20"/>
        </w:rPr>
        <w:t>) as is determined by dividing the Original Issue Price for such series of Preferred Stock by the Conversion Price (as defined below) for such series of Preferred Stock in effect at the time of conversion. The </w:t>
      </w:r>
      <w:r>
        <w:rPr>
          <w:rFonts w:ascii="Times New Roman" w:hAnsi="Times New Roman"/>
          <w:b/>
          <w:i/>
          <w:sz w:val="20"/>
        </w:rPr>
        <w:t>Conversion Price</w:t>
      </w:r>
      <w:r>
        <w:rPr>
          <w:rFonts w:ascii="Times New Roman" w:hAnsi="Times New Roman"/>
          <w:sz w:val="20"/>
        </w:rPr>
        <w:t xml:space="preserve"> for each series of Preferred Stock shall initially mean the Original Issue Price for such series of Preferred Stock as in effect on the filing date hereof. Such initial Conversion Price and the rate at which shares of Preferred Stock may be converted into shares of Conversion Stock, shall be subject to adjustment as provided below. </w:t>
      </w:r>
    </w:p>
    <w:p>
      <w:pPr>
        <w:pStyle w:val="TextBody"/>
        <w:bidi w:val="0"/>
        <w:spacing w:before="12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Termination of Conversion Rights</w:t>
      </w:r>
      <w:r>
        <w:rPr>
          <w:rFonts w:ascii="Times New Roman" w:hAnsi="Times New Roman"/>
          <w:sz w:val="20"/>
        </w:rPr>
        <w:t xml:space="preserve">. In the event of a notice of redemption of any shares of Series G-2 Preferred Stock, Series G Preferred Stock, Series F Preferred Stock, Series E Preferred Stock or Series D Preferred Stock pursuant to </w:t>
      </w:r>
      <w:r>
        <w:rPr>
          <w:rFonts w:ascii="Times New Roman" w:hAnsi="Times New Roman"/>
          <w:sz w:val="20"/>
          <w:u w:val="single"/>
        </w:rPr>
        <w:t>Section 6</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Rights of the shares designated for redemption shall terminate at the close of business on the last full day preceding the date fixed for redemption, unless the applicable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Fractional Shares</w:t>
      </w:r>
      <w:r>
        <w:rPr>
          <w:rFonts w:ascii="Times New Roman" w:hAnsi="Times New Roman"/>
          <w:sz w:val="20"/>
        </w:rPr>
        <w:t xml:space="preserve">. No fractional shares of Conversion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shares of Conversion Stock and the aggregate number of shares of Conversion Stock issuable upon such conversion.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Mechanics of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4.3.1 </w:t>
      </w:r>
      <w:r>
        <w:rPr>
          <w:rFonts w:ascii="Times New Roman" w:hAnsi="Times New Roman"/>
          <w:sz w:val="20"/>
          <w:u w:val="single"/>
        </w:rPr>
        <w:t>Notice of Conversion</w:t>
      </w:r>
      <w:r>
        <w:rPr>
          <w:rFonts w:ascii="Times New Roman" w:hAnsi="Times New Roman"/>
          <w:sz w:val="20"/>
        </w:rPr>
        <w:t>. In order for a holder of Preferred Stock to voluntarily convert shares of Preferred Stock into shares of Conversion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Conversion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hAnsi="Times New Roman"/>
          <w:b/>
          <w:i/>
          <w:sz w:val="20"/>
        </w:rPr>
        <w:t>Conversion Time</w:t>
      </w:r>
      <w:r>
        <w:rPr>
          <w:rFonts w:ascii="Times New Roman" w:hAnsi="Times New Roman"/>
          <w:sz w:val="20"/>
        </w:rPr>
        <w:t xml:space="preserve">), and the shares of Conversion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Conversion Stock issuable upon such conversion in accordance with the provisions hereof and a certificate for the number (if any) of the shares of Preferred Stock represented by the surrendered certificate that were not converted into Conversion Stock, (ii) pay in cash such amount as provided in </w:t>
      </w:r>
      <w:r>
        <w:rPr>
          <w:rFonts w:ascii="Times New Roman" w:hAnsi="Times New Roman"/>
          <w:sz w:val="20"/>
          <w:u w:val="single"/>
        </w:rPr>
        <w:t>Section 4.2</w:t>
      </w:r>
      <w:r>
        <w:rPr>
          <w:rFonts w:ascii="Times New Roman" w:hAnsi="Times New Roman"/>
          <w:sz w:val="20"/>
        </w:rPr>
        <w:t xml:space="preserve"> in lieu of any fraction of a share of Conversion Stock otherwise issuable upon such conversion, and (iii) pay all declared or accrued but unpaid dividends on the shares of Preferred Stock converted (including, without limitation, all accrued but unpaid Series G Accruing Dividends, Series 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Accruing Dividends, Series E Accruing Dividends, Series D Accruing Dividends, Series C Accruing Dividends, Series B-2 Accruing Dividends, Series B-1 Accruing Dividends, Series B Accruing Dividends or Series A Accruing Dividends,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4.3.2 </w:t>
      </w:r>
      <w:r>
        <w:rPr>
          <w:rFonts w:ascii="Times New Roman" w:hAnsi="Times New Roman"/>
          <w:sz w:val="20"/>
          <w:u w:val="single"/>
        </w:rPr>
        <w:t>Reservation of Shares</w:t>
      </w:r>
      <w:r>
        <w:rPr>
          <w:rFonts w:ascii="Times New Roman" w:hAnsi="Times New Roman"/>
          <w:sz w:val="20"/>
        </w:rPr>
        <w:t xml:space="preserve">. The Corporation shall at all times when the Preferred Stock shall be outstanding, reserve and keep available out of its authorized but unissued capital stock, for the purpose of effecting the conversion of the Preferred Stock, such number of its duly authorized shares of Voting Common Stock as shall from time to time be sufficient to effect the conversion of all outstanding Preferred Stock; and if at any time the number of authorized but unissued shares of Voting Common Stock shall not be sufficient to effect the conversion of all then-outstanding shares of the Preferred Stock, the Corporation shall take such corporate action as may be necessary to increase its authorized but unissued shares of Voting Common Stock, as the case may be, to such number of shares as shall be sufficient for such purposes, including, without limitation, engaging in best efforts to obtain the requisite stockholder approval of any necessary amendment to this Restated Certificate. Before taking any action which would cause an adjustment reducing the Conversion Price below the then par value of the shares of Voting Common Stock issuable upon conversion of the Preferred Stock, the Corporation will take any corporate action which may, in the opinion of its counsel, be necessary in order that the Corporation may validly and legally issue fully paid and non-assessable shares of Voting Common Stock at such adjusted Conversion Price. </w:t>
      </w:r>
    </w:p>
    <w:p>
      <w:pPr>
        <w:pStyle w:val="TextBody"/>
        <w:bidi w:val="0"/>
        <w:spacing w:before="120" w:after="0"/>
        <w:jc w:val="left"/>
        <w:rPr>
          <w:rFonts w:ascii="Times New Roman" w:hAnsi="Times New Roman"/>
          <w:sz w:val="20"/>
        </w:rPr>
      </w:pPr>
      <w:r>
        <w:rPr>
          <w:rFonts w:ascii="Times New Roman" w:hAnsi="Times New Roman"/>
          <w:sz w:val="20"/>
        </w:rPr>
        <w:t xml:space="preserve">4.3.3 </w:t>
      </w:r>
      <w:r>
        <w:rPr>
          <w:rFonts w:ascii="Times New Roman" w:hAnsi="Times New Roman"/>
          <w:sz w:val="20"/>
          <w:u w:val="single"/>
        </w:rPr>
        <w:t>Effect of Conversion</w:t>
      </w:r>
      <w:r>
        <w:rPr>
          <w:rFonts w:ascii="Times New Roman" w:hAnsi="Times New Roman"/>
          <w:sz w:val="20"/>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Conversion Stock in exchange therefor, to receive payment in lieu of any fraction of a share otherwise issuable upon such conversion as provided in </w:t>
      </w:r>
      <w:r>
        <w:rPr>
          <w:rFonts w:ascii="Times New Roman" w:hAnsi="Times New Roman"/>
          <w:sz w:val="20"/>
          <w:u w:val="single"/>
        </w:rPr>
        <w:t>Section 4.2</w:t>
      </w:r>
      <w:r>
        <w:rPr>
          <w:rFonts w:ascii="Times New Roman" w:hAnsi="Times New Roman"/>
          <w:sz w:val="20"/>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 </w:t>
      </w:r>
    </w:p>
    <w:p>
      <w:pPr>
        <w:pStyle w:val="TextBody"/>
        <w:bidi w:val="0"/>
        <w:spacing w:before="120" w:after="0"/>
        <w:jc w:val="left"/>
        <w:rPr>
          <w:rFonts w:ascii="Times New Roman" w:hAnsi="Times New Roman"/>
          <w:sz w:val="20"/>
        </w:rPr>
      </w:pPr>
      <w:r>
        <w:rPr>
          <w:rFonts w:ascii="Times New Roman" w:hAnsi="Times New Roman"/>
          <w:sz w:val="20"/>
        </w:rPr>
        <w:t xml:space="preserve">4.3.4 </w:t>
      </w:r>
      <w:r>
        <w:rPr>
          <w:rFonts w:ascii="Times New Roman" w:hAnsi="Times New Roman"/>
          <w:sz w:val="20"/>
          <w:u w:val="single"/>
        </w:rPr>
        <w:t>No Further Adjustment</w:t>
      </w:r>
      <w:r>
        <w:rPr>
          <w:rFonts w:ascii="Times New Roman" w:hAnsi="Times New Roman"/>
          <w:sz w:val="20"/>
        </w:rPr>
        <w:t xml:space="preserve">. Upon any such conversion, no adjustment to the Conversion Price shall be made for any declared or accrued but unpaid dividends on the Preferred Stock surrendered for conversion or on the Conversion Stock delivered upon conversion. </w:t>
      </w:r>
    </w:p>
    <w:p>
      <w:pPr>
        <w:pStyle w:val="TextBody"/>
        <w:bidi w:val="0"/>
        <w:spacing w:before="120" w:after="0"/>
        <w:jc w:val="left"/>
        <w:rPr>
          <w:rFonts w:ascii="Times New Roman" w:hAnsi="Times New Roman"/>
          <w:sz w:val="20"/>
        </w:rPr>
      </w:pPr>
      <w:r>
        <w:rPr>
          <w:rFonts w:ascii="Times New Roman" w:hAnsi="Times New Roman"/>
          <w:sz w:val="20"/>
        </w:rPr>
        <w:t xml:space="preserve">4.3.5 </w:t>
      </w:r>
      <w:r>
        <w:rPr>
          <w:rFonts w:ascii="Times New Roman" w:hAnsi="Times New Roman"/>
          <w:sz w:val="20"/>
          <w:u w:val="single"/>
        </w:rPr>
        <w:t>Taxes</w:t>
      </w:r>
      <w:r>
        <w:rPr>
          <w:rFonts w:ascii="Times New Roman" w:hAnsi="Times New Roman"/>
          <w:sz w:val="20"/>
        </w:rPr>
        <w:t xml:space="preserve">. The Corporation shall pay any and all issue and other similar taxes that may be payable in respect of any issuance or delivery of shares of Conversion Stock upon conversion of shares of Preferred Stock pursuant to this </w:t>
      </w:r>
      <w:r>
        <w:rPr>
          <w:rFonts w:ascii="Times New Roman" w:hAnsi="Times New Roman"/>
          <w:sz w:val="20"/>
          <w:u w:val="single"/>
        </w:rPr>
        <w:t>Section 4</w:t>
      </w:r>
      <w:r>
        <w:rPr>
          <w:rFonts w:ascii="Times New Roman" w:hAnsi="Times New Roman"/>
          <w:sz w:val="20"/>
        </w:rPr>
        <w:t xml:space="preserve">. The Corporation shall not, however, be required to pay any tax which may be payable in respect of any transfer involved in the issuance and delivery of shares of Conversion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Adjustments to Conversion Price for Diluting Issues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4.4.1 </w:t>
      </w:r>
      <w:r>
        <w:rPr>
          <w:rFonts w:ascii="Times New Roman" w:hAnsi="Times New Roman"/>
          <w:sz w:val="20"/>
          <w:u w:val="single"/>
        </w:rPr>
        <w:t>Special Definitions</w:t>
      </w:r>
      <w:r>
        <w:rPr>
          <w:rFonts w:ascii="Times New Roman" w:hAnsi="Times New Roman"/>
          <w:sz w:val="20"/>
        </w:rPr>
        <w:t xml:space="preserve">. For purposes of this Article Seventh,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Option</w:t>
      </w:r>
      <w:r>
        <w:rPr>
          <w:rFonts w:ascii="Times New Roman" w:hAnsi="Times New Roman"/>
          <w:sz w:val="20"/>
        </w:rPr>
        <w:t xml:space="preserve"> means rights, options or warrants to subscribe for, purchase or otherwise acquire Common Stock or Convertible Securities.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i/>
          <w:sz w:val="20"/>
        </w:rPr>
        <w:t>Original Issue Date</w:t>
      </w:r>
      <w:r>
        <w:rPr>
          <w:rFonts w:ascii="Times New Roman" w:hAnsi="Times New Roman"/>
          <w:sz w:val="20"/>
        </w:rPr>
        <w:t xml:space="preserve"> for a series of Preferred Stock means the date on which the first share of such series of Preferred Stock was issued.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Convertible Securities</w:t>
      </w:r>
      <w:r>
        <w:rPr>
          <w:rFonts w:ascii="Times New Roman" w:hAnsi="Times New Roman"/>
          <w:sz w:val="20"/>
        </w:rPr>
        <w:t xml:space="preserve"> means any evidences of indebtedness, shares or other securities directly or indirectly convertible into or exchangeable for Common Stock, but excluding Options.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Additional Shares of Common Stock</w:t>
      </w:r>
      <w:r>
        <w:rPr>
          <w:rFonts w:ascii="Times New Roman" w:hAnsi="Times New Roman"/>
          <w:sz w:val="20"/>
        </w:rPr>
        <w:t xml:space="preserve"> means all shares of Common Stock issued (or, pursuant to </w:t>
      </w:r>
      <w:r>
        <w:rPr>
          <w:rFonts w:ascii="Times New Roman" w:hAnsi="Times New Roman"/>
          <w:sz w:val="20"/>
          <w:u w:val="single"/>
        </w:rPr>
        <w:t>Section 4.4.3</w:t>
      </w:r>
      <w:r>
        <w:rPr>
          <w:rFonts w:ascii="Times New Roman" w:hAnsi="Times New Roman"/>
          <w:sz w:val="20"/>
        </w:rPr>
        <w:t xml:space="preserve"> below, deemed to be issued) by the Corporation after the Original Issue Date of the Series G-2 Preferred Stock, other than (1) the following shares of Common Stock and (2) shares of Common Stock deemed issued pursuant to the following Options and Convertible Securities (clauses (1) and (2), collectively, </w:t>
      </w:r>
      <w:r>
        <w:rPr>
          <w:rFonts w:ascii="Times New Roman" w:hAnsi="Times New Roman"/>
          <w:b/>
          <w:i/>
          <w:sz w:val="20"/>
        </w:rPr>
        <w:t>Exempted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shares of Common Stock, Options or Convertible Securities issued as a dividend or distribution on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(ii) shares of Common Stock, Options or Convertible Securities issued by reason of a dividend, stock split, split-up or other distribution on shares of Common Stock that is covered by </w:t>
      </w:r>
      <w:r>
        <w:rPr>
          <w:rFonts w:ascii="Times New Roman" w:hAnsi="Times New Roman"/>
          <w:sz w:val="20"/>
          <w:u w:val="single"/>
        </w:rPr>
        <w:t>Section 4.6</w:t>
      </w:r>
      <w:r>
        <w:rPr>
          <w:rFonts w:ascii="Times New Roman" w:hAnsi="Times New Roman"/>
          <w:sz w:val="20"/>
        </w:rPr>
        <w:t xml:space="preserve">, </w:t>
      </w:r>
      <w:r>
        <w:rPr>
          <w:rFonts w:ascii="Times New Roman" w:hAnsi="Times New Roman"/>
          <w:sz w:val="20"/>
          <w:u w:val="single"/>
        </w:rPr>
        <w:t>4.7</w:t>
      </w:r>
      <w:r>
        <w:rPr>
          <w:rFonts w:ascii="Times New Roman" w:hAnsi="Times New Roman"/>
          <w:sz w:val="20"/>
        </w:rPr>
        <w:t xml:space="preserve">, </w:t>
      </w:r>
      <w:r>
        <w:rPr>
          <w:rFonts w:ascii="Times New Roman" w:hAnsi="Times New Roman"/>
          <w:sz w:val="20"/>
          <w:u w:val="single"/>
        </w:rPr>
        <w:t>4.8</w:t>
      </w:r>
      <w:r>
        <w:rPr>
          <w:rFonts w:ascii="Times New Roman" w:hAnsi="Times New Roman"/>
          <w:sz w:val="20"/>
        </w:rPr>
        <w:t xml:space="preserve"> or </w:t>
      </w:r>
      <w:r>
        <w:rPr>
          <w:rFonts w:ascii="Times New Roman" w:hAnsi="Times New Roman"/>
          <w:sz w:val="20"/>
          <w:u w:val="single"/>
        </w:rPr>
        <w:t>4.9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shares of Common Stock, Options or Convertible Securities issued upon the conversion or exercise of Options, Convertible Securities or other rights to acquire securities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(iv) shares of Nonvoting Common Stock or Options issued to employees or directors of, or consultants or advisors to, the Corporation or any of its subsidiaries pursuant to an equity incentive plan, agreement or arrangement approved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(v) shares of Common Stock, Options or Convertible Securities issued to banks, equipment lessors or other financial institutions, or to real property lessors, pursuant to a debt financing, equipment leasing or real property leasing transaction approved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(vi) shares of Common Stock, Options or Convertible Securities issued to suppliers or third-party service-providers in connection with the provision of goods or services pursuant to transactions approved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(viii) shares of Common Stock, Options or Convertible Securities issued in connection with sponsored research collaboration, technology license, development, OEM, marketing or other similar agreements or strategic partnerships approved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(ix) shares of Common Stock, Options or Convertible Securities issued in connection with a Deemed Liquidation Event; or </w:t>
      </w:r>
    </w:p>
    <w:p>
      <w:pPr>
        <w:pStyle w:val="TextBody"/>
        <w:bidi w:val="0"/>
        <w:spacing w:before="120" w:after="0"/>
        <w:jc w:val="left"/>
        <w:rPr>
          <w:rFonts w:ascii="Times New Roman" w:hAnsi="Times New Roman"/>
          <w:sz w:val="20"/>
        </w:rPr>
      </w:pPr>
      <w:r>
        <w:rPr>
          <w:rFonts w:ascii="Times New Roman" w:hAnsi="Times New Roman"/>
          <w:sz w:val="20"/>
        </w:rPr>
        <w:t xml:space="preserve">(x) shares of Common Stock sold to the public in a Qualifying Public Offering (as defined in </w:t>
      </w:r>
      <w:r>
        <w:rPr>
          <w:rFonts w:ascii="Times New Roman" w:hAnsi="Times New Roman"/>
          <w:sz w:val="20"/>
          <w:u w:val="single"/>
        </w:rPr>
        <w:t>Section 5.1.1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4.4.2 </w:t>
      </w:r>
      <w:r>
        <w:rPr>
          <w:rFonts w:ascii="Times New Roman" w:hAnsi="Times New Roman"/>
          <w:sz w:val="20"/>
          <w:u w:val="single"/>
        </w:rPr>
        <w:t>No Adjustment of Conversion Price</w:t>
      </w:r>
      <w:r>
        <w:rPr>
          <w:rFonts w:ascii="Times New Roman" w:hAnsi="Times New Roman"/>
          <w:sz w:val="20"/>
        </w:rPr>
        <w:t xml:space="preserve">. No adjustment (A) in the Series A Conversion. Price, Series B Conversion Price, Series B-1 Conversion Price, or Series B-2 Conversion Price, as the case may be, shall be made as the result of the issuance or deemed issuance of Additional Shares of Common Stock if the Corporation receives written notice from the holders of a majority of the then outstanding shares of Series A Preferred Stock, Series B Preferred Stock, Series B-1 Preferred Stock and Series B-2 Preferred Stock, voting together as a single class as measured on the basis of voting power set forth in this Restated Certificate, (B) in the Series C Conversion Price shall be made as the result of the issuance or deemed issuance of Additional Shares of Common Stock if the Corporation receives written notice from the holders of at least sixty percent (60%) of the then outstanding shares of Series C Preferred Stock, (C) in the Series D Conversion Price shall be made as the result of the issuance or deemed issuance of Additional Shares of Common Stock if the Corporation receives written notice from the holders of at least sixty percent (60%) of the then outstanding shares of Series D Preferred Stock, (D) in the Series E Conversion Price shall be made as the result of the issuance or deemed issuance of Additional Shares of Common Stock if the Corporation receives written notice from the holders of a majority of the then outstanding shares of Series E Preferred Stock, (E) in the Series F Conversion Price shall be made as the result of the issuance or deemed issuance of Additional Shares of Common Stock if the Corporation receives written notice from the holders of a majority of the then outstanding shares of Series F Preferred Stock, (F) in the Series G Conversion Price shall be made as the result of the issuance or deemed issuance of Additional Shares of Common Stock if the Corporation receives written notice from the holders of a majority of the then outstanding shares of Series G Preferred Stock, and (G) in the Series G-2 Conversion Price shall be made as the result of the issuance or deemed issuance of Additional Shares of Common Stock if the Corporation receives written notice from the holders of a majority of the then outstanding shares of Series G-2 Preferred Stock, respectively, agreeing that no such adjustment shall be made as the result of the issuance or deemed issuance of such Additional Shares of Common Stock, which election may be applied prospectively or retroactively and either generally or in a particular instance.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4.4.3 </w:t>
      </w:r>
      <w:r>
        <w:rPr>
          <w:rFonts w:ascii="Times New Roman" w:hAnsi="Times New Roman"/>
          <w:sz w:val="20"/>
          <w:u w:val="single"/>
        </w:rPr>
        <w:t>Deemed Issue of Additional Shares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Corporation at any time or from time to time after the Original Issue Date of the Series G-2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 </w:t>
      </w:r>
    </w:p>
    <w:p>
      <w:pPr>
        <w:pStyle w:val="TextBody"/>
        <w:bidi w:val="0"/>
        <w:spacing w:before="120" w:after="0"/>
        <w:jc w:val="left"/>
        <w:rPr>
          <w:rFonts w:ascii="Times New Roman" w:hAnsi="Times New Roman"/>
          <w:sz w:val="20"/>
        </w:rPr>
      </w:pPr>
      <w:r>
        <w:rPr>
          <w:rFonts w:ascii="Times New Roman" w:hAnsi="Times New Roman"/>
          <w:sz w:val="20"/>
        </w:rPr>
        <w:t xml:space="preserve">(b) If the terms of any Option or Convertible Security, the issuance of which resulted in an adjustment to the Conversion Price pursuant to the terms of </w:t>
      </w:r>
      <w:r>
        <w:rPr>
          <w:rFonts w:ascii="Times New Roman" w:hAnsi="Times New Roman"/>
          <w:sz w:val="20"/>
          <w:u w:val="single"/>
        </w:rPr>
        <w:t>Section 4.4.4</w:t>
      </w:r>
      <w:r>
        <w:rPr>
          <w:rFonts w:ascii="Times New Roman" w:hAnsi="Times New Roman"/>
          <w:sz w:val="20"/>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a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 </w:t>
      </w:r>
    </w:p>
    <w:p>
      <w:pPr>
        <w:pStyle w:val="TextBody"/>
        <w:bidi w:val="0"/>
        <w:spacing w:before="120" w:after="0"/>
        <w:jc w:val="left"/>
        <w:rPr>
          <w:rFonts w:ascii="Times New Roman" w:hAnsi="Times New Roman"/>
          <w:sz w:val="20"/>
        </w:rPr>
      </w:pPr>
      <w:r>
        <w:rPr>
          <w:rFonts w:ascii="Times New Roman" w:hAnsi="Times New Roman"/>
          <w:sz w:val="20"/>
        </w:rPr>
        <w:t xml:space="preserve">(c) 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hAnsi="Times New Roman"/>
          <w:sz w:val="20"/>
          <w:u w:val="single"/>
        </w:rPr>
        <w:t>Section 4.4.4</w:t>
      </w:r>
      <w:r>
        <w:rPr>
          <w:rFonts w:ascii="Times New Roman" w:hAnsi="Times New Roman"/>
          <w:sz w:val="20"/>
        </w:rPr>
        <w:t xml:space="preserve"> (either because the consideration per share (determined pursuant to </w:t>
      </w:r>
      <w:r>
        <w:rPr>
          <w:rFonts w:ascii="Times New Roman" w:hAnsi="Times New Roman"/>
          <w:sz w:val="20"/>
          <w:u w:val="single"/>
        </w:rPr>
        <w:t>Section 4.4.5</w:t>
      </w:r>
      <w:r>
        <w:rPr>
          <w:rFonts w:ascii="Times New Roman" w:hAnsi="Times New Roman"/>
          <w:sz w:val="20"/>
        </w:rPr>
        <w:t xml:space="preserve">) of the Additional Shares of Common Stock subject thereto was equal to or greater than the applicable Conversion Price then in effect, or because such Option or Convertible Security was issued before the Original Issue Date of the Series G-2 Preferred Stock), are revised after the Original Issue Date of the Series G-2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hAnsi="Times New Roman"/>
          <w:sz w:val="20"/>
          <w:u w:val="single"/>
        </w:rPr>
        <w:t>Section 4.4.3(a)</w:t>
      </w:r>
      <w:r>
        <w:rPr>
          <w:rFonts w:ascii="Times New Roman" w:hAnsi="Times New Roman"/>
          <w:sz w:val="20"/>
        </w:rPr>
        <w:t xml:space="preserve">) shall be deemed to have been issued effective upon such increase or decrease becoming effective. </w:t>
      </w:r>
    </w:p>
    <w:p>
      <w:pPr>
        <w:pStyle w:val="TextBody"/>
        <w:bidi w:val="0"/>
        <w:spacing w:before="120" w:after="0"/>
        <w:jc w:val="left"/>
        <w:rPr>
          <w:rFonts w:ascii="Times New Roman" w:hAnsi="Times New Roman"/>
          <w:sz w:val="20"/>
        </w:rPr>
      </w:pPr>
      <w:r>
        <w:rPr>
          <w:rFonts w:ascii="Times New Roman" w:hAnsi="Times New Roman"/>
          <w:sz w:val="20"/>
        </w:rPr>
        <w:t xml:space="preserve">(d) Upon the expiration or termination of any unexercised Option or unconverted or unexchanged Convertible Security (or portion thereof) which resulted (either upon its original issuance or upon a revision of its terms) in an adjustment to a Conversion Price pursuant to the terms of </w:t>
      </w:r>
      <w:r>
        <w:rPr>
          <w:rFonts w:ascii="Times New Roman" w:hAnsi="Times New Roman"/>
          <w:sz w:val="20"/>
          <w:u w:val="single"/>
        </w:rPr>
        <w:t>Section 4.4.4</w:t>
      </w:r>
      <w:r>
        <w:rPr>
          <w:rFonts w:ascii="Times New Roman" w:hAnsi="Times New Roman"/>
          <w:sz w:val="20"/>
        </w:rPr>
        <w:t xml:space="preserve">, the applicable Conversion Price shall be readjusted to such Conversion Price as would have obtained had such Option or Convertible Security (or portion thereof) never been issued. </w:t>
      </w:r>
    </w:p>
    <w:p>
      <w:pPr>
        <w:pStyle w:val="TextBody"/>
        <w:bidi w:val="0"/>
        <w:spacing w:before="120" w:after="0"/>
        <w:jc w:val="left"/>
        <w:rPr>
          <w:rFonts w:ascii="Times New Roman" w:hAnsi="Times New Roman"/>
          <w:sz w:val="20"/>
        </w:rPr>
      </w:pPr>
      <w:r>
        <w:rPr>
          <w:rFonts w:ascii="Times New Roman" w:hAnsi="Times New Roman"/>
          <w:sz w:val="20"/>
        </w:rPr>
        <w:t xml:space="preserve">(e) 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hAnsi="Times New Roman"/>
          <w:sz w:val="20"/>
          <w:u w:val="single"/>
        </w:rPr>
        <w:t>Section 4.4.3</w:t>
      </w:r>
      <w:r>
        <w:rPr>
          <w:rFonts w:ascii="Times New Roman" w:hAnsi="Times New Roman"/>
          <w:sz w:val="20"/>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this </w:t>
      </w:r>
      <w:r>
        <w:rPr>
          <w:rFonts w:ascii="Times New Roman" w:hAnsi="Times New Roman"/>
          <w:sz w:val="20"/>
          <w:u w:val="single"/>
        </w:rPr>
        <w:t>Section 4.4.3</w:t>
      </w:r>
      <w:r>
        <w:rPr>
          <w:rFonts w:ascii="Times New Roman" w:hAnsi="Times New Roman"/>
          <w:sz w:val="20"/>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hAnsi="Times New Roman"/>
          <w:sz w:val="20"/>
          <w:u w:val="single"/>
        </w:rPr>
        <w:t>Section 4.4.3</w:t>
      </w:r>
      <w:r>
        <w:rPr>
          <w:rFonts w:ascii="Times New Roman" w:hAnsi="Times New Roman"/>
          <w:sz w:val="20"/>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 </w:t>
      </w:r>
    </w:p>
    <w:p>
      <w:pPr>
        <w:pStyle w:val="TextBody"/>
        <w:bidi w:val="0"/>
        <w:spacing w:before="120" w:after="0"/>
        <w:jc w:val="left"/>
        <w:rPr>
          <w:rFonts w:ascii="Times New Roman" w:hAnsi="Times New Roman"/>
          <w:sz w:val="20"/>
        </w:rPr>
      </w:pPr>
      <w:r>
        <w:rPr>
          <w:rFonts w:ascii="Times New Roman" w:hAnsi="Times New Roman"/>
          <w:sz w:val="20"/>
        </w:rPr>
        <w:t xml:space="preserve">4.4.4 </w:t>
      </w:r>
      <w:r>
        <w:rPr>
          <w:rFonts w:ascii="Times New Roman" w:hAnsi="Times New Roman"/>
          <w:sz w:val="20"/>
          <w:u w:val="single"/>
        </w:rPr>
        <w:t>Adjustment of Conversion Price Upon Issuance of Additional Shares of Common Stock</w:t>
      </w:r>
      <w:r>
        <w:rPr>
          <w:rFonts w:ascii="Times New Roman" w:hAnsi="Times New Roman"/>
          <w:sz w:val="20"/>
        </w:rPr>
        <w:t xml:space="preserve">. In the event the Corporation shall at any time after the Original Issue Date of the Series G-2 Preferred Stock issue Additional Shares of Common Stock (including Additional Shares of Common Stock deemed to be issued pursuant to </w:t>
      </w:r>
      <w:r>
        <w:rPr>
          <w:rFonts w:ascii="Times New Roman" w:hAnsi="Times New Roman"/>
          <w:sz w:val="20"/>
          <w:u w:val="single"/>
        </w:rPr>
        <w:t>Section 4.4.3</w:t>
      </w:r>
      <w:r>
        <w:rPr>
          <w:rFonts w:ascii="Times New Roman" w:hAnsi="Times New Roman"/>
          <w:sz w:val="20"/>
        </w:rPr>
        <w:t xml:space="preserve">), without consideration or for a consideration per share less than the applicable Conversion Price in effect immediately prior to such issue, then such Conversion Price shall be reduced, concurrently with such issue, to a price (calculated to the nearest one-hundredth of a cent) determined in accordance with the following formula: </w:t>
      </w:r>
    </w:p>
    <w:p>
      <w:pPr>
        <w:pStyle w:val="TextBody"/>
        <w:bidi w:val="0"/>
        <w:spacing w:before="120" w:after="0"/>
        <w:jc w:val="center"/>
        <w:rPr>
          <w:rFonts w:ascii="Times New Roman" w:hAnsi="Times New Roman"/>
          <w:sz w:val="20"/>
        </w:rPr>
      </w:pPr>
      <w:r>
        <w:rPr>
          <w:rFonts w:ascii="Times New Roman" w:hAnsi="Times New Roman"/>
          <w:sz w:val="20"/>
        </w:rPr>
        <w:t xml:space="preserve">CP2 = CP1 * (A + B) ÷ (A + C).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formula, the following definitions shall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CP2</w:t>
      </w:r>
      <w:r>
        <w:rPr>
          <w:rFonts w:ascii="Times New Roman" w:hAnsi="Times New Roman"/>
          <w:sz w:val="20"/>
        </w:rPr>
        <w:t xml:space="preserve"> shall mean the applicable Conversion Price in effect immediately after such issue of Additional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i/>
          <w:sz w:val="20"/>
        </w:rPr>
        <w:t>CP1</w:t>
      </w:r>
      <w:r>
        <w:rPr>
          <w:rFonts w:ascii="Times New Roman" w:hAnsi="Times New Roman"/>
          <w:sz w:val="20"/>
        </w:rPr>
        <w:t xml:space="preserve"> shall mean the applicable Conversion Price in effect immediately prior to such issue of Additional Shares of Common Stock;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i/>
          <w:sz w:val="20"/>
        </w:rPr>
        <w:t>A</w:t>
      </w:r>
      <w:r>
        <w:rPr>
          <w:rFonts w:ascii="Times New Roman" w:hAnsi="Times New Roman"/>
          <w:sz w:val="20"/>
        </w:rPr>
        <w:t xml:space="preserve">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i/>
          <w:sz w:val="20"/>
        </w:rPr>
        <w:t>B</w:t>
      </w:r>
      <w:r>
        <w:rPr>
          <w:rFonts w:ascii="Times New Roman" w:hAnsi="Times New Roman"/>
          <w:sz w:val="20"/>
        </w:rPr>
        <w:t xml:space="preserve"> shall mean the number of shares of Common Stock that would have been issued if such Additional Shares of Common Stock had been issued at a price per share equal to CPI (determined by dividing the aggregate consideration received by the Corporation in respect of such issue by CP1); and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i/>
          <w:sz w:val="20"/>
        </w:rPr>
        <w:t>C</w:t>
      </w:r>
      <w:r>
        <w:rPr>
          <w:rFonts w:ascii="Times New Roman" w:hAnsi="Times New Roman"/>
          <w:sz w:val="20"/>
        </w:rPr>
        <w:t xml:space="preserve"> shall mean the number of such Additional Shares of Common Stock issued in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4.4.5 </w:t>
      </w:r>
      <w:r>
        <w:rPr>
          <w:rFonts w:ascii="Times New Roman" w:hAnsi="Times New Roman"/>
          <w:sz w:val="20"/>
          <w:u w:val="single"/>
        </w:rPr>
        <w:t>Determination of Consideration</w:t>
      </w:r>
      <w:r>
        <w:rPr>
          <w:rFonts w:ascii="Times New Roman" w:hAnsi="Times New Roman"/>
          <w:sz w:val="20"/>
        </w:rPr>
        <w:t xml:space="preserve">. For purposes of this </w:t>
      </w:r>
      <w:r>
        <w:rPr>
          <w:rFonts w:ascii="Times New Roman" w:hAnsi="Times New Roman"/>
          <w:sz w:val="20"/>
          <w:u w:val="single"/>
        </w:rPr>
        <w:t>Section 4.4</w:t>
      </w:r>
      <w:r>
        <w:rPr>
          <w:rFonts w:ascii="Times New Roman" w:hAnsi="Times New Roman"/>
          <w:sz w:val="20"/>
        </w:rPr>
        <w:t xml:space="preserve">, the consideration received by the Corporation for the issue of any Additional Shares of Common Stock shall be computed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Cash and Property</w:t>
      </w:r>
      <w:r>
        <w:rPr>
          <w:rFonts w:ascii="Times New Roman" w:hAnsi="Times New Roman"/>
          <w:sz w:val="20"/>
        </w:rPr>
        <w:t xml:space="preserve">: Such consideration shall: </w:t>
      </w:r>
    </w:p>
    <w:p>
      <w:pPr>
        <w:pStyle w:val="TextBody"/>
        <w:bidi w:val="0"/>
        <w:spacing w:before="120" w:after="0"/>
        <w:jc w:val="left"/>
        <w:rPr>
          <w:rFonts w:ascii="Times New Roman" w:hAnsi="Times New Roman"/>
          <w:sz w:val="20"/>
        </w:rPr>
      </w:pPr>
      <w:r>
        <w:rPr>
          <w:rFonts w:ascii="Times New Roman" w:hAnsi="Times New Roman"/>
          <w:sz w:val="20"/>
        </w:rPr>
        <w:t xml:space="preserve">(i) insofar as it consists of cash, be computed at the aggregate amount of cash received by the Corporation, excluding amounts paid or payable for accrued interest; </w:t>
      </w:r>
    </w:p>
    <w:p>
      <w:pPr>
        <w:pStyle w:val="TextBody"/>
        <w:bidi w:val="0"/>
        <w:spacing w:before="120" w:after="0"/>
        <w:jc w:val="left"/>
        <w:rPr>
          <w:rFonts w:ascii="Times New Roman" w:hAnsi="Times New Roman"/>
          <w:sz w:val="20"/>
        </w:rPr>
      </w:pPr>
      <w:r>
        <w:rPr>
          <w:rFonts w:ascii="Times New Roman" w:hAnsi="Times New Roman"/>
          <w:sz w:val="20"/>
        </w:rPr>
        <w:t xml:space="preserve">(ii) insofar as it consists of property other than cash, be computed at the fair market value thereof at the time of such issue, as determined in good faith by the Board; and </w:t>
      </w:r>
    </w:p>
    <w:p>
      <w:pPr>
        <w:pStyle w:val="TextBody"/>
        <w:bidi w:val="0"/>
        <w:spacing w:before="120" w:after="0"/>
        <w:jc w:val="left"/>
        <w:rPr>
          <w:rFonts w:ascii="Times New Roman" w:hAnsi="Times New Roman"/>
          <w:sz w:val="20"/>
        </w:rPr>
      </w:pPr>
      <w:r>
        <w:rPr>
          <w:rFonts w:ascii="Times New Roman" w:hAnsi="Times New Roman"/>
          <w:sz w:val="20"/>
        </w:rPr>
        <w:t xml:space="preserve">(iii) 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as determined in good faith by the Board.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Options and Convertible Securities</w:t>
      </w:r>
      <w:r>
        <w:rPr>
          <w:rFonts w:ascii="Times New Roman" w:hAnsi="Times New Roman"/>
          <w:sz w:val="20"/>
        </w:rPr>
        <w:t xml:space="preserve">. The consideration per share received by the Corporation for Additional Shares of Common Stock deemed to have been issued pursuant to </w:t>
      </w:r>
      <w:r>
        <w:rPr>
          <w:rFonts w:ascii="Times New Roman" w:hAnsi="Times New Roman"/>
          <w:sz w:val="20"/>
          <w:u w:val="single"/>
        </w:rPr>
        <w:t>Section 4.4.3</w:t>
      </w:r>
      <w:r>
        <w:rPr>
          <w:rFonts w:ascii="Times New Roman" w:hAnsi="Times New Roman"/>
          <w:sz w:val="20"/>
        </w:rPr>
        <w:t xml:space="preserve">, relating to Options and Convertible Securities, shall be determined by dividing: </w:t>
      </w:r>
    </w:p>
    <w:p>
      <w:pPr>
        <w:pStyle w:val="TextBody"/>
        <w:bidi w:val="0"/>
        <w:spacing w:before="120" w:after="0"/>
        <w:jc w:val="left"/>
        <w:rPr>
          <w:rFonts w:ascii="Times New Roman" w:hAnsi="Times New Roman"/>
          <w:sz w:val="20"/>
        </w:rPr>
      </w:pPr>
      <w:r>
        <w:rPr>
          <w:rFonts w:ascii="Times New Roman" w:hAnsi="Times New Roman"/>
          <w:sz w:val="20"/>
        </w:rPr>
        <w:t xml:space="preserve">(i)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Multiple Closing Dates</w:t>
      </w:r>
      <w:r>
        <w:rPr>
          <w:rFonts w:ascii="Times New Roman" w:hAnsi="Times New Roman"/>
          <w:sz w:val="20"/>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hAnsi="Times New Roman"/>
          <w:sz w:val="20"/>
          <w:u w:val="single"/>
        </w:rPr>
        <w:t>Subsection 4.4.4</w:t>
      </w:r>
      <w:r>
        <w:rPr>
          <w:rFonts w:ascii="Times New Roman" w:hAnsi="Times New Roman"/>
          <w:sz w:val="20"/>
        </w:rPr>
        <w:t xml:space="preserv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Adjustment for Stock Splits and Combinations</w:t>
      </w:r>
      <w:r>
        <w:rPr>
          <w:rFonts w:ascii="Times New Roman" w:hAnsi="Times New Roman"/>
          <w:sz w:val="20"/>
        </w:rPr>
        <w:t xml:space="preserve">. If the Corporation shall at any time or from time to time after the Original Issue Date of the Series G-2 Preferred Stock effect a subdivision of the outstanding Voting Common Stock, the applicable Conversion Price in effect immediately before that subdivision shall be proportionately decreased so that the number of shares of Voting Common Stock issuable on conversion of each share of such series shall be increased in proportion to such increase in the aggregate number of shares of Voting Common Stock outstanding. If the Corporation shall at any time or from time to time after the Original Issue Date of the Series G-2 Preferred Stock combine the outstanding shares of Voting Common Stock, the applicable Conversion Price in effect immediately before the combination shall be proportionately increased so that the number of shares of Voting Common Stock issuable on conversion of each share of such series shall be decreased in proportion to such decrease in the aggregate number of shares of Voting Common Stock outstanding. Any adjustment under this subsection shall become effective at the close of business on the date the subdivision or combination becomes effective. The Corporation shall not effect a subdivision or combination of the outstanding Voting Common Stock or Nonvoting Common Stock, as the case may be, without effecting the same subdivision or combination of the outstanding Nonvoting Common Stock or Voting Common Stock, respectively.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Adjustment for Certain Dividends and Distributions</w:t>
      </w:r>
      <w:r>
        <w:rPr>
          <w:rFonts w:ascii="Times New Roman" w:hAnsi="Times New Roman"/>
          <w:sz w:val="20"/>
        </w:rPr>
        <w:t xml:space="preserve">. In the event the Corporation at any time or from time to time after the Original Issue Date of the Series G-2 Preferred Stock shall make or issue, or fix a record date for the determination of holders of Voting Common Stock entitled to receive, a dividend or other distribution payable on the Common Stock in additional shares of Voting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numerator of which shall be the total number of shares of Voting Common Stock issued and outstanding immediately prior to the time of such issuance or the close of business on such record date, and </w:t>
      </w:r>
    </w:p>
    <w:p>
      <w:pPr>
        <w:pStyle w:val="TextBody"/>
        <w:bidi w:val="0"/>
        <w:spacing w:before="120" w:after="0"/>
        <w:jc w:val="left"/>
        <w:rPr>
          <w:rFonts w:ascii="Times New Roman" w:hAnsi="Times New Roman"/>
          <w:sz w:val="20"/>
        </w:rPr>
      </w:pPr>
      <w:r>
        <w:rPr>
          <w:rFonts w:ascii="Times New Roman" w:hAnsi="Times New Roman"/>
          <w:sz w:val="20"/>
        </w:rPr>
        <w:t xml:space="preserve">(2) the denominator of which shall be the total number of shares of Voting Common Stock issued and outstanding immediately prior to the time of such issuance or the close of business on such record date plus the number of shares of Common Stock issuable in payment of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Voting Common Stock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additional shares of Common Stock, without making or issuing, or fixing a record date for the determination of the holders of Nonvoting Common Stock or Voting Common Stock, respectively, a dividend or other distribution payable on the Nonvoting Common Stock or Voting Common Stock, respectively, in the same number of additional shares of Common Stock per share of Nonvoting Common Stock or Voting Common Stock, respectively, as payable per share of Voting Common Stock or Nonvoting Common Stock, respectively.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Adjustments for Other Dividends and Distributions</w:t>
      </w:r>
      <w:r>
        <w:rPr>
          <w:rFonts w:ascii="Times New Roman" w:hAnsi="Times New Roman"/>
          <w:sz w:val="20"/>
        </w:rPr>
        <w:t xml:space="preserve">. In the event the Corporation at any time or from time to time after the Original Issue Date of the Series G-2 Preferred Stock shall make or issue, or fix a record date for the determination of holders of Common Stock entitled to receive, a dividend or other distribution payable in securities of the Corporation (other than a distribution of shares of Voting Common Stock in respect of outstanding shares of Common Stock) or in other property and the provisions of </w:t>
      </w:r>
      <w:r>
        <w:rPr>
          <w:rFonts w:ascii="Times New Roman" w:hAnsi="Times New Roman"/>
          <w:sz w:val="20"/>
          <w:u w:val="single"/>
        </w:rPr>
        <w:t>Section 1</w:t>
      </w:r>
      <w:r>
        <w:rPr>
          <w:rFonts w:ascii="Times New Roman" w:hAnsi="Times New Roman"/>
          <w:sz w:val="20"/>
        </w:rPr>
        <w:t xml:space="preserve"> do not apply to such dividend or distribution, then and in each such event the holders of Preferred Stock shall receive, simultaneously with the distribution to the holders of Voting Common Stock, a dividend or other distribution of such securities or other property in an amount equal to the amount of such securities or other property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securities of the Corporation or other property, without making or issuing, or fixing a record date for the determination of the holders of Nonvoting Common Stock or Voting Common Stock, respectively, a dividend or other distribution payable on the Nonvoting Common Stock or Voting Common Stock, respectively, in the same number of securities of the Corporation or other property per share of Nonvoting Common Stock or Voting Common Stock, respectively, as payable per share of Voting Common Stock or Nonvoting Common Stock, respectively.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Adjustment for Merger or Reorganization, etc.</w:t>
      </w:r>
      <w:r>
        <w:rPr>
          <w:rFonts w:ascii="Times New Roman" w:hAnsi="Times New Roman"/>
          <w:sz w:val="20"/>
        </w:rPr>
        <w:t xml:space="preserve"> Subject to the provisions of </w:t>
      </w:r>
      <w:r>
        <w:rPr>
          <w:rFonts w:ascii="Times New Roman" w:hAnsi="Times New Roman"/>
          <w:sz w:val="20"/>
          <w:u w:val="single"/>
        </w:rPr>
        <w:t>Section 2.10</w:t>
      </w:r>
      <w:r>
        <w:rPr>
          <w:rFonts w:ascii="Times New Roman" w:hAnsi="Times New Roman"/>
          <w:sz w:val="20"/>
        </w:rPr>
        <w:t xml:space="preserve">, if there shall occur any reorganization, recapitalization, reclassification, consolidation or merger involving the Corporation in which the Voting Common Stock (but not the Preferred Stock) is converted into or exchanged for securities, cash or other property (other than a transaction covered by </w:t>
      </w:r>
      <w:r>
        <w:rPr>
          <w:rFonts w:ascii="Times New Roman" w:hAnsi="Times New Roman"/>
          <w:sz w:val="20"/>
          <w:u w:val="single"/>
        </w:rPr>
        <w:t>Sections 4.4</w:t>
      </w:r>
      <w:r>
        <w:rPr>
          <w:rFonts w:ascii="Times New Roman" w:hAnsi="Times New Roman"/>
          <w:sz w:val="20"/>
        </w:rPr>
        <w:t xml:space="preserve">, </w:t>
      </w:r>
      <w:r>
        <w:rPr>
          <w:rFonts w:ascii="Times New Roman" w:hAnsi="Times New Roman"/>
          <w:sz w:val="20"/>
          <w:u w:val="single"/>
        </w:rPr>
        <w:t>4.7</w:t>
      </w:r>
      <w:r>
        <w:rPr>
          <w:rFonts w:ascii="Times New Roman" w:hAnsi="Times New Roman"/>
          <w:sz w:val="20"/>
        </w:rPr>
        <w:t xml:space="preserve"> or </w:t>
      </w:r>
      <w:r>
        <w:rPr>
          <w:rFonts w:ascii="Times New Roman" w:hAnsi="Times New Roman"/>
          <w:sz w:val="20"/>
          <w:u w:val="single"/>
        </w:rPr>
        <w:t>4.8</w:t>
      </w:r>
      <w:r>
        <w:rPr>
          <w:rFonts w:ascii="Times New Roman" w:hAnsi="Times New Roman"/>
          <w:sz w:val="20"/>
        </w:rPr>
        <w:t xml:space="preserve">), then, following any such reorganization, recapitalization, reclassification, consolidation or merger, each share of Preferred Stock shall thereafter be convertible in lieu of the Voting Common Stock into which it was convertible prior to such event into the kind and amount of securities, cash or other property which a holder of the number of shares of Voting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Times New Roman" w:hAnsi="Times New Roman"/>
          <w:sz w:val="20"/>
          <w:u w:val="single"/>
        </w:rPr>
        <w:t>Section 4</w:t>
      </w:r>
      <w:r>
        <w:rPr>
          <w:rFonts w:ascii="Times New Roman" w:hAnsi="Times New Roman"/>
          <w:sz w:val="20"/>
        </w:rPr>
        <w:t xml:space="preserve"> with respect to the rights and interests thereafter of the holders of the Preferred Stock, to the end that the provisions set forth in this </w:t>
      </w:r>
      <w:r>
        <w:rPr>
          <w:rFonts w:ascii="Times New Roman" w:hAnsi="Times New Roman"/>
          <w:sz w:val="20"/>
          <w:u w:val="single"/>
        </w:rPr>
        <w:t>Section 4</w:t>
      </w:r>
      <w:r>
        <w:rPr>
          <w:rFonts w:ascii="Times New Roman" w:hAnsi="Times New Roman"/>
          <w:sz w:val="20"/>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Certificate as to Adjustments</w:t>
      </w:r>
      <w:r>
        <w:rPr>
          <w:rFonts w:ascii="Times New Roman" w:hAnsi="Times New Roman"/>
          <w:sz w:val="20"/>
        </w:rPr>
        <w:t xml:space="preserve">. Upon the occurrence of each adjustment or readjustment of the applicable Conversion Price pursuant to this </w:t>
      </w:r>
      <w:r>
        <w:rPr>
          <w:rFonts w:ascii="Times New Roman" w:hAnsi="Times New Roman"/>
          <w:sz w:val="20"/>
          <w:u w:val="single"/>
        </w:rPr>
        <w:t>Section 4</w:t>
      </w:r>
      <w:r>
        <w:rPr>
          <w:rFonts w:ascii="Times New Roman" w:hAnsi="Times New Roman"/>
          <w:sz w:val="20"/>
        </w:rPr>
        <w:t xml:space="preserve">, the Corporation at its expense shall, as promptly as reasonably practicable,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furnish or cause to be furnished to such holder a certificate setting forth (i) the applicable Conversion Price then in effect, and (ii) the number of shares of Voting Common Stock and the amount, if any, of other securities, cash or property which then would be received upon the conversion of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Notice of Record Date</w:t>
      </w:r>
      <w:r>
        <w:rPr>
          <w:rFonts w:ascii="Times New Roman" w:hAnsi="Times New Roman"/>
          <w:sz w:val="20"/>
        </w:rPr>
        <w:t xml:space="preserve">. In the event: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 </w:t>
      </w:r>
    </w:p>
    <w:p>
      <w:pPr>
        <w:pStyle w:val="TextBody"/>
        <w:bidi w:val="0"/>
        <w:spacing w:before="120" w:after="0"/>
        <w:jc w:val="left"/>
        <w:rPr>
          <w:rFonts w:ascii="Times New Roman" w:hAnsi="Times New Roman"/>
          <w:sz w:val="20"/>
        </w:rPr>
      </w:pPr>
      <w:r>
        <w:rPr>
          <w:rFonts w:ascii="Times New Roman" w:hAnsi="Times New Roman"/>
          <w:sz w:val="20"/>
        </w:rPr>
        <w:t xml:space="preserve">(b) of any capital reorganization of the Corporation, any reclassification of the Common Stock of the Corporation, or any Deemed Liquidation Event; or </w:t>
      </w:r>
    </w:p>
    <w:p>
      <w:pPr>
        <w:pStyle w:val="TextBody"/>
        <w:bidi w:val="0"/>
        <w:spacing w:before="120" w:after="0"/>
        <w:jc w:val="left"/>
        <w:rPr>
          <w:rFonts w:ascii="Times New Roman" w:hAnsi="Times New Roman"/>
          <w:sz w:val="20"/>
        </w:rPr>
      </w:pPr>
      <w:r>
        <w:rPr>
          <w:rFonts w:ascii="Times New Roman" w:hAnsi="Times New Roman"/>
          <w:sz w:val="20"/>
        </w:rPr>
        <w:t xml:space="preserve">(c) of the voluntary or involuntary dissolution, liquidation or winding-up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Mandatory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Trigger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either (i) the closing of the sale of shares of Voting Common Stock to the public in a firm-commitment underwritten public offering pursuant to an effective registration statement under the Securities Act of 1933, as amended, at an offering price per share of not less than $68.7683 (subject to appropriate adjustment in the event of any stock dividend, stock split, combination or other similar recapitalization with respect to the Voting Common Stock), resulting in at least $100,000,000 of gross proceeds to the Corporation, before deductions of the underwriting discount and commissions (a </w:t>
      </w:r>
      <w:r>
        <w:rPr>
          <w:rFonts w:ascii="Times New Roman" w:hAnsi="Times New Roman"/>
          <w:b/>
          <w:i/>
          <w:sz w:val="20"/>
        </w:rPr>
        <w:t>Qualifying Public Offering</w:t>
      </w:r>
      <w:r>
        <w:rPr>
          <w:rFonts w:ascii="Times New Roman" w:hAnsi="Times New Roman"/>
          <w:sz w:val="20"/>
        </w:rPr>
        <w:t>), or (ii) the date and time, or the occurrence of an event, specified by vote or written consent of the holders of a majority of the outstanding shares of Series G-2 Preferred Stock, voting as a separate class (the time of such closing or the date and time specified or the time of the event specified in such vote or written consent is referred to herein as the </w:t>
      </w:r>
      <w:r>
        <w:rPr>
          <w:rFonts w:ascii="Times New Roman" w:hAnsi="Times New Roman"/>
          <w:b/>
          <w:i/>
          <w:sz w:val="20"/>
        </w:rPr>
        <w:t>Series G-2 Preferred Stock Mandatory Conversion Time</w:t>
      </w:r>
      <w:r>
        <w:rPr>
          <w:rFonts w:ascii="Times New Roman" w:hAnsi="Times New Roman"/>
          <w:sz w:val="20"/>
        </w:rPr>
        <w:t xml:space="preserve">), (A) all outstanding shares of Series G-2 Preferred Stock shall automatically be converted into shares of Voting Common Stock, in each case at the then effective conversion rate and (B) such shares may not be reissued by the Corporation. </w:t>
      </w:r>
    </w:p>
    <w:p>
      <w:pPr>
        <w:pStyle w:val="TextBody"/>
        <w:bidi w:val="0"/>
        <w:spacing w:before="240" w:after="0"/>
        <w:jc w:val="left"/>
        <w:rPr>
          <w:rFonts w:ascii="Times New Roman" w:hAnsi="Times New Roman"/>
          <w:sz w:val="20"/>
        </w:rPr>
      </w:pPr>
      <w:r>
        <w:rPr>
          <w:rFonts w:ascii="Times New Roman" w:hAnsi="Times New Roman"/>
          <w:sz w:val="20"/>
        </w:rPr>
        <w:t>(b) Upon either (i) the closing of a Qualifying Public Offering, or (ii) the date and time, or the occurrence of an event, specified by vote or written consent of the holders of a majority of the outstanding shares of Series G Preferred Stock, voting as a separate class (the time of such closing or the date and time specified or the time of the event specified in such vote or written consent is referred to herein as the </w:t>
      </w:r>
      <w:r>
        <w:rPr>
          <w:rFonts w:ascii="Times New Roman" w:hAnsi="Times New Roman"/>
          <w:b/>
          <w:i/>
          <w:sz w:val="20"/>
        </w:rPr>
        <w:t>Series G Preferred Stock Mandatory Conversion Time</w:t>
      </w:r>
      <w:r>
        <w:rPr>
          <w:rFonts w:ascii="Times New Roman" w:hAnsi="Times New Roman"/>
          <w:sz w:val="20"/>
        </w:rPr>
        <w:t xml:space="preserve">), (A) all outstanding shares of Series G Preferred Stock shall automatically be converted into shares of Voting Common Stock, in each case at the then effective conversion rate and (B) such shares may not be reissued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 Upon either (i) the closing of a Qualifying Public Offering, or (ii) the date and time, or the occurrence of an event, specified by vote or written consent of the holders of a majority of the outstanding shares of Series F Preferred Stock, voting as a separate class (the time of such closing or the date and time specified or the time of the event specified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vote or written consent is referred to herein as the </w:t>
      </w:r>
      <w:r>
        <w:rPr>
          <w:rFonts w:ascii="Times New Roman" w:hAnsi="Times New Roman"/>
          <w:b/>
          <w:i/>
          <w:sz w:val="20"/>
        </w:rPr>
        <w:t>Series F Preferred Stock Mandatory Conversion Time</w:t>
      </w:r>
      <w:r>
        <w:rPr>
          <w:rFonts w:ascii="Times New Roman" w:hAnsi="Times New Roman"/>
          <w:sz w:val="20"/>
        </w:rPr>
        <w:t xml:space="preserve">), (A) all outstanding shares of Series F Preferred Stock shall automatically be converted into shares of Voting Common Stock, in each case at the then effective conversion rate and (B) such shares may not be reissued by the Corporation. </w:t>
      </w:r>
    </w:p>
    <w:p>
      <w:pPr>
        <w:pStyle w:val="TextBody"/>
        <w:bidi w:val="0"/>
        <w:spacing w:before="120" w:after="0"/>
        <w:jc w:val="left"/>
        <w:rPr>
          <w:rFonts w:ascii="Times New Roman" w:hAnsi="Times New Roman"/>
          <w:sz w:val="20"/>
        </w:rPr>
      </w:pPr>
      <w:r>
        <w:rPr>
          <w:rFonts w:ascii="Times New Roman" w:hAnsi="Times New Roman"/>
          <w:sz w:val="20"/>
        </w:rPr>
        <w:t>(d) Upon either (i) the closing of a Qualifying Public Offering, or (ii) the date and time, or the occurrence of an event, specified by vote or written consent of the holders of at least a majority of the outstanding shares of Series E Preferred Stock, voting as a separate class (the time of such closing or the date and time specified or the time of the event specified in such vote or written consent is referred to herein as the </w:t>
      </w:r>
      <w:r>
        <w:rPr>
          <w:rFonts w:ascii="Times New Roman" w:hAnsi="Times New Roman"/>
          <w:b/>
          <w:i/>
          <w:sz w:val="20"/>
        </w:rPr>
        <w:t>Series E Preferred Stock Mandatory Conversion Time</w:t>
      </w:r>
      <w:r>
        <w:rPr>
          <w:rFonts w:ascii="Times New Roman" w:hAnsi="Times New Roman"/>
          <w:sz w:val="20"/>
        </w:rPr>
        <w:t xml:space="preserve">), (A) all outstanding shares of Series E Preferred Stock shall automatically be converted into shares of Voting Common Stock, in each case at the then effective conversion rate and (B) such shares may not be reissued by the Corporation. </w:t>
      </w:r>
    </w:p>
    <w:p>
      <w:pPr>
        <w:pStyle w:val="TextBody"/>
        <w:bidi w:val="0"/>
        <w:spacing w:before="120" w:after="0"/>
        <w:jc w:val="left"/>
        <w:rPr>
          <w:rFonts w:ascii="Times New Roman" w:hAnsi="Times New Roman"/>
          <w:sz w:val="20"/>
        </w:rPr>
      </w:pPr>
      <w:r>
        <w:rPr>
          <w:rFonts w:ascii="Times New Roman" w:hAnsi="Times New Roman"/>
          <w:sz w:val="20"/>
        </w:rPr>
        <w:t>(e) Upon either (i) the closing of a Qualifying Public Offering, or (ii) the date and time, or the occurrence of an event, specified by vote or written consent of the holders of at least sixty percent (60%) of the outstanding shares of Series D Preferred Stock, voting as a separate class (the time of such closing or the date and time specified or the time of the event specified in such vote or written consent is referred to herein as the </w:t>
      </w:r>
      <w:r>
        <w:rPr>
          <w:rFonts w:ascii="Times New Roman" w:hAnsi="Times New Roman"/>
          <w:b/>
          <w:i/>
          <w:sz w:val="20"/>
        </w:rPr>
        <w:t>Series D Preferred Stock Mandatory Conversion Time</w:t>
      </w:r>
      <w:r>
        <w:rPr>
          <w:rFonts w:ascii="Times New Roman" w:hAnsi="Times New Roman"/>
          <w:sz w:val="20"/>
        </w:rPr>
        <w:t xml:space="preserve">), (A) all outstanding shares of Series D Preferred Stock shall automatically be converted into shares of Voting Common Stock, in each case at the then effective conversion rate and (B) such shares may not be reissued by the Corporation. </w:t>
      </w:r>
    </w:p>
    <w:p>
      <w:pPr>
        <w:pStyle w:val="TextBody"/>
        <w:bidi w:val="0"/>
        <w:spacing w:before="120" w:after="0"/>
        <w:jc w:val="left"/>
        <w:rPr>
          <w:rFonts w:ascii="Times New Roman" w:hAnsi="Times New Roman"/>
          <w:sz w:val="20"/>
        </w:rPr>
      </w:pPr>
      <w:r>
        <w:rPr>
          <w:rFonts w:ascii="Times New Roman" w:hAnsi="Times New Roman"/>
          <w:sz w:val="20"/>
        </w:rPr>
        <w:t>(f) Upon either (i) the closing of a Qualifying Public Offering, or (ii) the date and time, or the occurrence of an event, specified by vote or written consent of the holders of at least sixty percent (60%) of the outstanding shares of Series C Preferred Stock, voting as a separate class (the time of such closing or the date and time specified or the time of the event specified in such vote or written consent is referred to herein as the </w:t>
      </w:r>
      <w:r>
        <w:rPr>
          <w:rFonts w:ascii="Times New Roman" w:hAnsi="Times New Roman"/>
          <w:b/>
          <w:i/>
          <w:sz w:val="20"/>
        </w:rPr>
        <w:t>Series C Preferred Stock Mandatory Conversion Time</w:t>
      </w:r>
      <w:r>
        <w:rPr>
          <w:rFonts w:ascii="Times New Roman" w:hAnsi="Times New Roman"/>
          <w:sz w:val="20"/>
        </w:rPr>
        <w:t xml:space="preserve">), (A) all outstanding shares of Series C Preferred Stock shall automatically be converted into shares of Voting Common Stock, in each case at the then effective conversion rate and (B) such shares may not be reissued by the Corporation. </w:t>
      </w:r>
    </w:p>
    <w:p>
      <w:pPr>
        <w:pStyle w:val="TextBody"/>
        <w:bidi w:val="0"/>
        <w:spacing w:before="120" w:after="0"/>
        <w:jc w:val="left"/>
        <w:rPr>
          <w:rFonts w:ascii="Times New Roman" w:hAnsi="Times New Roman"/>
          <w:sz w:val="20"/>
        </w:rPr>
      </w:pPr>
      <w:r>
        <w:rPr>
          <w:rFonts w:ascii="Times New Roman" w:hAnsi="Times New Roman"/>
          <w:sz w:val="20"/>
        </w:rPr>
        <w:t>(g) Upon either (i) the closing of the sale of shares of Voting Common Stock to the public in a firm-commitment underwritten public offering pursuant to an effective registration statement under the Securities Act of 1933, as amended, at an offering price of not less than the Series B-2 Original Issue Price, resulting in at least $20,000,000 of gross proceeds to the Corporation, before deductions of the underwriting discount and commissions, or (ii) the date and time, or the occurrence of an event, specified by vote or written consent of the holders of a majority of the outstanding shares of Series B-2 Preferred Stock, Series B-1 Preferred Stock, Series B Preferred Stock and Series A Preferred Stock, voting together as a single class as measured on the basis of voting power set forth in this Restated Certificate (the time of such closing or the date and time specified or the time of the event specified in such vote or written consent is referred to herein as the </w:t>
      </w:r>
      <w:r>
        <w:rPr>
          <w:rFonts w:ascii="Times New Roman" w:hAnsi="Times New Roman"/>
          <w:b/>
          <w:i/>
          <w:sz w:val="20"/>
        </w:rPr>
        <w:t>Preferred Stock Mandatory Conversion Time</w:t>
      </w:r>
      <w:r>
        <w:rPr>
          <w:rFonts w:ascii="Times New Roman" w:hAnsi="Times New Roman"/>
          <w:sz w:val="20"/>
        </w:rPr>
        <w:t xml:space="preserve">), (A) all outstanding shares of Series B-2 Preferred Stock, Series B-1 Preferred Stock, Series B Preferred Stock and Series A Preferred Stock shall automatically be converted into shares of Voting Common Stock, in each case at the then effective conversion rate and (B) such shares may not be reissued by the Corporation. In addition, each share of Series B Preferred Stock shall automatically be converted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into shares of Voting Common Stock, based on the then-effective Conversion Price, upon any sale, assignment, transfer, conveyance, hypothecation or other disposition of any legal or beneficial interest in such share, whether or not for value and whether voluntary or involuntary or by operation of law (a </w:t>
      </w:r>
      <w:r>
        <w:rPr>
          <w:rFonts w:ascii="Times New Roman" w:hAnsi="Times New Roman"/>
          <w:b/>
          <w:i/>
          <w:sz w:val="20"/>
        </w:rPr>
        <w:t>Transfer</w:t>
      </w:r>
      <w:r>
        <w:rPr>
          <w:rFonts w:ascii="Times New Roman" w:hAnsi="Times New Roman"/>
          <w:sz w:val="20"/>
        </w:rPr>
        <w:t>), other than (i) any Transfer without consideration by a holder of Series B Preferred Stock to such holders ancestors, descendants, siblings or spouse or to trusts or other entities established primarily for the purpose of estate planning for the benefit of such persons or such holder, (ii) any Transfer or Transfers by a holder of Series B Preferred Stock to another holder of Series B Preferred Stock or its Controlled Affiliate (as defined below), (iii) any Transfer or Transfers to Controlled Affiliates, or (iv) any Transfers by (A) a partnership transferring to its partners or former partners in accordance with their interest in the partnership, (B) a corporation transferring to a wholly-owned subsidiary, its stockholders or to former stockholders in accordance with their interest in the corporation, or (C) a limited liability company transferring to its members or former members in accordance with their interest in the limited liability company. For purposes of this Restated Certificate, </w:t>
      </w:r>
      <w:r>
        <w:rPr>
          <w:rFonts w:ascii="Times New Roman" w:hAnsi="Times New Roman"/>
          <w:b/>
          <w:i/>
          <w:sz w:val="20"/>
        </w:rPr>
        <w:t>Controlled Affiliate</w:t>
      </w:r>
      <w:r>
        <w:rPr>
          <w:rFonts w:ascii="Times New Roman" w:hAnsi="Times New Roman"/>
          <w:sz w:val="20"/>
        </w:rPr>
        <w:t xml:space="preserve"> shall mean, with respect to any person or entity, any other person or entity which, directly or indirectly, is controlled by, or is under common control with, such person or entity, where control shall mean and include the ownership or eighty percent (80%) or more of the voting securities or other voting interest of another person or entity. </w:t>
      </w:r>
    </w:p>
    <w:p>
      <w:pPr>
        <w:pStyle w:val="TextBody"/>
        <w:bidi w:val="0"/>
        <w:spacing w:before="12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Nonvoting Common Stock</w:t>
      </w:r>
      <w:r>
        <w:rPr>
          <w:rFonts w:ascii="Times New Roman" w:hAnsi="Times New Roman"/>
          <w:sz w:val="20"/>
        </w:rPr>
        <w:t>. Upon the closing of the sale of shares of Voting Common Stock to the public in a firm-commitment underwritten public offering pursuant to an effective registration statement under the Securities Act of 1933, as amended (the time of such closing is referred to herein as the </w:t>
      </w:r>
      <w:r>
        <w:rPr>
          <w:rFonts w:ascii="Times New Roman" w:hAnsi="Times New Roman"/>
          <w:b/>
          <w:i/>
          <w:sz w:val="20"/>
        </w:rPr>
        <w:t>Nonvoting Mandatory Conversion Time</w:t>
      </w:r>
      <w:r>
        <w:rPr>
          <w:rFonts w:ascii="Times New Roman" w:hAnsi="Times New Roman"/>
          <w:sz w:val="20"/>
        </w:rPr>
        <w:t>), then each outstanding share of Nonvoting Stock shall automatically be converted into one (1) share of Voting Common Stock. The Series G-2 Preferred Stock Mandatory Conversion Time, Series G Preferred Stock Mandatory Conversion Time, Series F Preferred Stock Mandatory Conversion Time, Series E Preferred Stock Mandatory Conversion Time, Series D Preferred Stock Mandatory Conversion Time, Series C Preferred Stock Mandatory Conversion Time, Preferred Stock Mandatory Conversion Time and the Nonvoting Mandatory Conversion Time shall each be referred to as the </w:t>
      </w:r>
      <w:r>
        <w:rPr>
          <w:rFonts w:ascii="Times New Roman" w:hAnsi="Times New Roman"/>
          <w:b/>
          <w:i/>
          <w:sz w:val="20"/>
        </w:rPr>
        <w:t>Mandatory Conversion Time</w:t>
      </w:r>
      <w:r>
        <w:rPr>
          <w:rFonts w:ascii="Times New Roman" w:hAnsi="Times New Roman"/>
          <w:sz w:val="20"/>
        </w:rPr>
        <w:t xml:space="preserv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Procedural Requirements</w:t>
      </w:r>
      <w:r>
        <w:rPr>
          <w:rFonts w:ascii="Times New Roman" w:hAnsi="Times New Roman"/>
          <w:sz w:val="20"/>
        </w:rPr>
        <w:t xml:space="preserve">. All holders of record of shares of each series of Preferred Stock and Nonvoting Common Stock shall be sent written notice of the applicable Mandatory Conversion Time and the place designated for mandatory conversion of all such shares of such series of Preferred Stock and Nonvoting Common Stock pursuant to this </w:t>
      </w:r>
      <w:r>
        <w:rPr>
          <w:rFonts w:ascii="Times New Roman" w:hAnsi="Times New Roman"/>
          <w:sz w:val="20"/>
          <w:u w:val="single"/>
        </w:rPr>
        <w:t>Section 5</w:t>
      </w:r>
      <w:r>
        <w:rPr>
          <w:rFonts w:ascii="Times New Roman" w:hAnsi="Times New Roman"/>
          <w:sz w:val="20"/>
        </w:rPr>
        <w:t xml:space="preserve">. Such notice need not be sent in advance of the occurrence of the Mandatory Conversion Time. Upon receipt of such notice, each holder of shares of such series of Preferred Stock and Nonvoting Common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shalt be endorsed or accompanied by written instrument or instruments of transfer, in form satisfactory to the Corporation, duly executed by the registered holder or by his, her or its attorney duly authorized in writing. All rights with respect to the Preferred Stock and Nonvoting Common Stock converted pursuant to </w:t>
      </w:r>
      <w:r>
        <w:rPr>
          <w:rFonts w:ascii="Times New Roman" w:hAnsi="Times New Roman"/>
          <w:sz w:val="20"/>
          <w:u w:val="single"/>
        </w:rPr>
        <w:t>Section 5.1</w:t>
      </w:r>
      <w:r>
        <w:rPr>
          <w:rFonts w:ascii="Times New Roman" w:hAnsi="Times New Roman"/>
          <w:sz w:val="20"/>
        </w:rPr>
        <w:t xml:space="preserve">, including the rights, if any, to receive notices and vote (other than as a holder of Voting Common Stock), as applicable, will terminate at the applicable Mandatory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Times New Roman" w:hAnsi="Times New Roman"/>
          <w:sz w:val="20"/>
          <w:u w:val="single"/>
        </w:rPr>
        <w:t>Section 5.2</w:t>
      </w:r>
      <w:r>
        <w:rPr>
          <w:rFonts w:ascii="Times New Roman" w:hAnsi="Times New Roman"/>
          <w:sz w:val="20"/>
        </w:rPr>
        <w:t xml:space="preserve">. As soon as practicable after the applicable Mandatory Conversion Time and the surrender of the certificate or certificates (or lost certificate affidavit and agreement) for Preferred Stock or Nonvoting Common Stock, the Corporation shall (a) issue and deliver to such holder, or to his, her or its nominees, a certificate or certificates for the number of full shares of Voting Common Stock issuable on such conversion in accordance with the provisions hereof, (b) pay cash as provided in </w:t>
      </w:r>
      <w:r>
        <w:rPr>
          <w:rFonts w:ascii="Times New Roman" w:hAnsi="Times New Roman"/>
          <w:sz w:val="20"/>
          <w:u w:val="single"/>
        </w:rPr>
        <w:t>Section 4.2</w:t>
      </w:r>
      <w:r>
        <w:rPr>
          <w:rFonts w:ascii="Times New Roman" w:hAnsi="Times New Roman"/>
          <w:sz w:val="20"/>
        </w:rPr>
        <w:t xml:space="preserve"> in lieu of any fraction of a share of Voting Common Stock otherwise issuable upon such conversion, and (c) pay any declared or accrued but unpaid dividends on the shares of Preferred Stock or Nonvoting Common Stock converted (including, without limitation, all accrued but unpaid Series G Accruing Dividends, Series F Accruing Dividends, Series E Accruing Dividends, Series D Accruing Dividends, Series C Accruing Dividends, Series B-2 Accruing Dividends, Series B-1 Accruing Dividends, Series B Accruing Dividends or Series A Accruing Dividends, as applicable), at the Corporations option, in either (i) cash or (ii) in the case of a public offering, shares of Voting Common Stock determined by dividing (A) the aggregate amount of such unpaid dividends by (B) the final per share public offering price of such securities (and pay cash as provided in </w:t>
      </w:r>
      <w:r>
        <w:rPr>
          <w:rFonts w:ascii="Times New Roman" w:hAnsi="Times New Roman"/>
          <w:sz w:val="20"/>
          <w:u w:val="single"/>
        </w:rPr>
        <w:t>Section 4.2</w:t>
      </w:r>
      <w:r>
        <w:rPr>
          <w:rFonts w:ascii="Times New Roman" w:hAnsi="Times New Roman"/>
          <w:sz w:val="20"/>
        </w:rPr>
        <w:t xml:space="preserve"> in lieu of any fraction of a share of Voting Common Stock otherwise issuable upon such payment in shares of Voting Common Stock). Such converted Preferred Stock and Nonvoting Common Stock shall be retired and cancelled and may not be reissued as shares of such series, and the Corporation may thereafter take such appropriate action (without the need for stockholder action) as may be necessary to reduce the authorized number of shares of Preferred Stock or Nonvoting Common Stock accordingly.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Series G-2 Preferred Stock</w:t>
      </w:r>
      <w:r>
        <w:rPr>
          <w:rFonts w:ascii="Times New Roman" w:hAnsi="Times New Roman"/>
          <w:sz w:val="20"/>
        </w:rPr>
        <w:t>. Unless prohibited by Delaware law governing distributions to stockholders, shares of Series G-2 Preferred Stock shall be redeemed by the Corporation at a price equal to the Series G-2 Original Issue Price per share, together with any other dividends declared but unpaid thereon (the </w:t>
      </w:r>
      <w:r>
        <w:rPr>
          <w:rFonts w:ascii="Times New Roman" w:hAnsi="Times New Roman"/>
          <w:b/>
          <w:i/>
          <w:sz w:val="20"/>
        </w:rPr>
        <w:t>Series G-2 Redemption Price</w:t>
      </w:r>
      <w:r>
        <w:rPr>
          <w:rFonts w:ascii="Times New Roman" w:hAnsi="Times New Roman"/>
          <w:sz w:val="20"/>
        </w:rPr>
        <w:t>), in one (1) cash payment (such date of redemption, the </w:t>
      </w:r>
      <w:r>
        <w:rPr>
          <w:rFonts w:ascii="Times New Roman" w:hAnsi="Times New Roman"/>
          <w:b/>
          <w:i/>
          <w:sz w:val="20"/>
        </w:rPr>
        <w:t>Series G-2 Redemption Date</w:t>
      </w:r>
      <w:r>
        <w:rPr>
          <w:rFonts w:ascii="Times New Roman" w:hAnsi="Times New Roman"/>
          <w:sz w:val="20"/>
        </w:rPr>
        <w:t>) not more than sixty (60) days after receipt by the Corporation, at any time during the period commencing on the date that is seven (7) years from the Original Issue Date of the Series G-2 Preferred Stock and ending sixty (60) days thereafter, of written notice from the holders of a majority of the then outstanding shares of Series G-2 Preferred Stock, voting as a separate class and series, requesting redemption of all shares of Series G-2 Preferred Stock (the </w:t>
      </w:r>
      <w:r>
        <w:rPr>
          <w:rFonts w:ascii="Times New Roman" w:hAnsi="Times New Roman"/>
          <w:b/>
          <w:i/>
          <w:sz w:val="20"/>
        </w:rPr>
        <w:t>Series G-2 Redemption Request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Series G-2 Excluded Shares (as defined below) shall not be redeemed. Upon receipt of a Series G-2 Redemption Request, the Corporation shall apply all of its assets to any such redemption, and to no other corporate purpose, except to the extent prohibited by Delaware law governing distributions to stockholders. If, on the Series G-2 Redemption Date, Delaware law governing distributions to stockholders prevents the Corporation from redeeming all shares of Series G-2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hAnsi="Times New Roman"/>
          <w:b/>
          <w:i/>
          <w:sz w:val="20"/>
        </w:rPr>
        <w:t>Series G-2 Redemption Notice</w:t>
      </w:r>
      <w:r>
        <w:rPr>
          <w:rFonts w:ascii="Times New Roman" w:hAnsi="Times New Roman"/>
          <w:sz w:val="20"/>
        </w:rPr>
        <w:t xml:space="preserve">) to each holder of record of Series G-2 Preferred Stock, Series G Preferred Stock, Series F Preferred Stock, Series E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Series D Preferred Stock at least fifteen (15) days but no more than thirty (30) days prior to the Series G-2 Redemption Date. The Series G-2 Redemption Notice shall state (i) the number of shares of Series G-2 Preferred Stock held by the holder that the Corporation shall redeem on the Series G-2 Redemption Date, (ii) the Series G-2 Redemption Date and the Series G-2 Redemption Price, (iii) the date upon which the holders right to convert such shares terminates (as determined in accordance with </w:t>
      </w:r>
      <w:r>
        <w:rPr>
          <w:rFonts w:ascii="Times New Roman" w:hAnsi="Times New Roman"/>
          <w:sz w:val="20"/>
          <w:u w:val="single"/>
        </w:rPr>
        <w:t>Section 4.1.2</w:t>
      </w:r>
      <w:r>
        <w:rPr>
          <w:rFonts w:ascii="Times New Roman" w:hAnsi="Times New Roman"/>
          <w:sz w:val="20"/>
        </w:rPr>
        <w:t xml:space="preserve">), and (iv) for holders of shares in certificated form, that the holder is to surrender to the Corporation, in the manner and at the place designated, his, her or its certificate or certificates representing the shares of Series G-2 Preferred Stock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receives, on or prior to the tenth (10th) day after the date of delivery of the Series G-2 Redemption Notice to a holder of Series G-2 Preferred Stock, written notice from such holder that such holder elects to be excluded from the redemption provided in this </w:t>
      </w:r>
      <w:r>
        <w:rPr>
          <w:rFonts w:ascii="Times New Roman" w:hAnsi="Times New Roman"/>
          <w:sz w:val="20"/>
          <w:u w:val="single"/>
        </w:rPr>
        <w:t>Section 6.1</w:t>
      </w:r>
      <w:r>
        <w:rPr>
          <w:rFonts w:ascii="Times New Roman" w:hAnsi="Times New Roman"/>
          <w:sz w:val="20"/>
        </w:rPr>
        <w:t>, then the shares of Series G-2 Preferred Stock registered on the books of the Corporation in the name of such holder at the time of the Corporations receipt of such notice shall thereafter be </w:t>
      </w:r>
      <w:r>
        <w:rPr>
          <w:rFonts w:ascii="Times New Roman" w:hAnsi="Times New Roman"/>
          <w:b/>
          <w:i/>
          <w:sz w:val="20"/>
        </w:rPr>
        <w:t>Series G-2 Excluded Shares.</w:t>
      </w:r>
      <w:r>
        <w:rPr>
          <w:rFonts w:ascii="Times New Roman" w:hAnsi="Times New Roman"/>
          <w:sz w:val="20"/>
        </w:rPr>
        <w:t xml:space="preserve"> Series G-2 Excluded Shares shall not be redeemed or redeemable pursuant to this </w:t>
      </w:r>
      <w:r>
        <w:rPr>
          <w:rFonts w:ascii="Times New Roman" w:hAnsi="Times New Roman"/>
          <w:sz w:val="20"/>
          <w:u w:val="single"/>
        </w:rPr>
        <w:t>Section 6.1</w:t>
      </w:r>
      <w:r>
        <w:rPr>
          <w:rFonts w:ascii="Times New Roman" w:hAnsi="Times New Roman"/>
          <w:sz w:val="20"/>
        </w:rPr>
        <w:t xml:space="preserve">, whether on such Series G-2 Redemption Date or thereafter.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Series G Preferred Stock</w:t>
      </w:r>
      <w:r>
        <w:rPr>
          <w:rFonts w:ascii="Times New Roman" w:hAnsi="Times New Roman"/>
          <w:sz w:val="20"/>
        </w:rPr>
        <w:t>. Unless prohibited by Delaware law governing distributions to stockholders, shares of Series G Preferred Stock shall be redeemed by the Corporation at a price equal to the Series G Original Issue Price per share, plus any Series G Accruing Dividends accrued but unpaid thereon, whether or not declared, together with any other dividends declared but unpaid thereon (the </w:t>
      </w:r>
      <w:r>
        <w:rPr>
          <w:rFonts w:ascii="Times New Roman" w:hAnsi="Times New Roman"/>
          <w:b/>
          <w:i/>
          <w:sz w:val="20"/>
        </w:rPr>
        <w:t>Series G Redemption Price</w:t>
      </w:r>
      <w:r>
        <w:rPr>
          <w:rFonts w:ascii="Times New Roman" w:hAnsi="Times New Roman"/>
          <w:sz w:val="20"/>
        </w:rPr>
        <w:t>), in one (1) cash payment (such date of redemption, the </w:t>
      </w:r>
      <w:r>
        <w:rPr>
          <w:rFonts w:ascii="Times New Roman" w:hAnsi="Times New Roman"/>
          <w:b/>
          <w:i/>
          <w:sz w:val="20"/>
        </w:rPr>
        <w:t>Series G Redemption Date</w:t>
      </w:r>
      <w:r>
        <w:rPr>
          <w:rFonts w:ascii="Times New Roman" w:hAnsi="Times New Roman"/>
          <w:sz w:val="20"/>
        </w:rPr>
        <w:t>) not more than sixty (60) days after receipt by the Corporation, at any time during the period commencing on the date that is seven (7) years from the Original Issue Date of the Series G-2 Preferred Stock and ending sixty (60) days thereafter, of written notice from the holders of a majority of the then outstanding shares of Series G Preferred Stock, voting as a separate class and series, requesting redemption of all shares of Series G Preferred Stock (the </w:t>
      </w:r>
      <w:r>
        <w:rPr>
          <w:rFonts w:ascii="Times New Roman" w:hAnsi="Times New Roman"/>
          <w:b/>
          <w:i/>
          <w:sz w:val="20"/>
        </w:rPr>
        <w:t>Series G Redemption Request</w:t>
      </w:r>
      <w:r>
        <w:rPr>
          <w:rFonts w:ascii="Times New Roman" w:hAnsi="Times New Roman"/>
          <w:sz w:val="20"/>
        </w:rPr>
        <w:t>); provided, however, that Series G Excluded Shares (as defined below) shall not be redeemed. Upon receipt of a Series G Redemption Request, the Corporation shall apply all of its assets to any such redemption, and to no other corporate purpose, except to the extent prohibited by Delaware law governing distributions to stockholders. If, on the Series G Redemption Date, Delaware law governing distributions to stockholders prevents the Corporation from redeeming all shares of Series G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hAnsi="Times New Roman"/>
          <w:b/>
          <w:i/>
          <w:sz w:val="20"/>
        </w:rPr>
        <w:t>Series G Redemption Notice</w:t>
      </w:r>
      <w:r>
        <w:rPr>
          <w:rFonts w:ascii="Times New Roman" w:hAnsi="Times New Roman"/>
          <w:sz w:val="20"/>
        </w:rPr>
        <w:t xml:space="preserve">) to each holder of record of Series G-2 Preferred Stock, Series G Preferred Stock, Series F Preferred Stock, Series E Preferred Stock and Series D Preferred Stock at least fifteen (15) days but no more than thirty (30) days prior to the Series G Redemption Date. The Series G Redemption Notice shall state (i) the number of shares of Series G Preferred Stock held by the holder that the Corporation shall redeem on the Series G Redemption Date, (ii) the Series G Redemption Date and the Series G Redemption Price, (iii) the date upon which the holders right to convert such shares terminates (as determined in accordance with </w:t>
      </w:r>
      <w:r>
        <w:rPr>
          <w:rFonts w:ascii="Times New Roman" w:hAnsi="Times New Roman"/>
          <w:sz w:val="20"/>
          <w:u w:val="single"/>
        </w:rPr>
        <w:t>Section 4.1.2</w:t>
      </w:r>
      <w:r>
        <w:rPr>
          <w:rFonts w:ascii="Times New Roman" w:hAnsi="Times New Roman"/>
          <w:sz w:val="20"/>
        </w:rPr>
        <w:t xml:space="preserve">), and (iv) for holders of shares in certificated form, that the holder is to surrender to the Corporation, in the manner and at the place designated, his, her or its certificate or certificates representing the shares of Series G Preferred Stock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Corporation receives, on or prior to the tenth (10th) day after the date of delivery of the Series G Redemption Notice to a holder of Series G Preferred Stock, written notice from such holder that such holder elects to be excluded from the redemption provided in this </w:t>
      </w:r>
      <w:r>
        <w:rPr>
          <w:rFonts w:ascii="Times New Roman" w:hAnsi="Times New Roman"/>
          <w:sz w:val="20"/>
          <w:u w:val="single"/>
        </w:rPr>
        <w:t>Section 6.2</w:t>
      </w:r>
      <w:r>
        <w:rPr>
          <w:rFonts w:ascii="Times New Roman" w:hAnsi="Times New Roman"/>
          <w:sz w:val="20"/>
        </w:rPr>
        <w:t>, then the shares of Series G Preferred Stock registered on the books of the Corporation in the name of such holder at the time of the Corporations receipt of such notice shall thereafter be </w:t>
      </w:r>
      <w:r>
        <w:rPr>
          <w:rFonts w:ascii="Times New Roman" w:hAnsi="Times New Roman"/>
          <w:b/>
          <w:i/>
          <w:sz w:val="20"/>
        </w:rPr>
        <w:t>Series G Excluded Shares.</w:t>
      </w:r>
      <w:r>
        <w:rPr>
          <w:rFonts w:ascii="Times New Roman" w:hAnsi="Times New Roman"/>
          <w:sz w:val="20"/>
        </w:rPr>
        <w:t xml:space="preserve"> Series G Excluded Shares shall not be redeemed or redeemable pursuant to this </w:t>
      </w:r>
      <w:r>
        <w:rPr>
          <w:rFonts w:ascii="Times New Roman" w:hAnsi="Times New Roman"/>
          <w:sz w:val="20"/>
          <w:u w:val="single"/>
        </w:rPr>
        <w:t>Section 6.2</w:t>
      </w:r>
      <w:r>
        <w:rPr>
          <w:rFonts w:ascii="Times New Roman" w:hAnsi="Times New Roman"/>
          <w:sz w:val="20"/>
        </w:rPr>
        <w:t xml:space="preserve">, whether on such Series G Redemption Date or thereafter.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Series F Preferred Stock</w:t>
      </w:r>
      <w:r>
        <w:rPr>
          <w:rFonts w:ascii="Times New Roman" w:hAnsi="Times New Roman"/>
          <w:sz w:val="20"/>
        </w:rPr>
        <w:t>. Unless prohibited by Delaware law governing distributions to stockholders, shares of Series F Preferred Stock shall be redeemed by the Corporation at a price equal to the Series F Original Issue Price per share, plus any Series F Accruing Dividends accrued but unpaid thereon, whether or not declared, together with any other dividends declared but unpaid thereon (the </w:t>
      </w:r>
      <w:r>
        <w:rPr>
          <w:rFonts w:ascii="Times New Roman" w:hAnsi="Times New Roman"/>
          <w:b/>
          <w:i/>
          <w:sz w:val="20"/>
        </w:rPr>
        <w:t>Series F Redemption Price</w:t>
      </w:r>
      <w:r>
        <w:rPr>
          <w:rFonts w:ascii="Times New Roman" w:hAnsi="Times New Roman"/>
          <w:sz w:val="20"/>
        </w:rPr>
        <w:t>), in one (1) cash payment (such date of redemption, the </w:t>
      </w:r>
      <w:r>
        <w:rPr>
          <w:rFonts w:ascii="Times New Roman" w:hAnsi="Times New Roman"/>
          <w:b/>
          <w:i/>
          <w:sz w:val="20"/>
        </w:rPr>
        <w:t>Series F Redemption Date</w:t>
      </w:r>
      <w:r>
        <w:rPr>
          <w:rFonts w:ascii="Times New Roman" w:hAnsi="Times New Roman"/>
          <w:sz w:val="20"/>
        </w:rPr>
        <w:t>) not more than sixty (60) days after receipt by the Corporation, at any time during the period commencing on the date that is seven (7) years from the Original Issue Date of the Series G-2 Preferred Stock and ending sixty (60) days thereafter, of written notice from the holders of a majority of the then outstanding shares of Series F Preferred Stock, voting as a separate class and series, requesting redemption of all shares of Series F Preferred Stock (the </w:t>
      </w:r>
      <w:r>
        <w:rPr>
          <w:rFonts w:ascii="Times New Roman" w:hAnsi="Times New Roman"/>
          <w:b/>
          <w:i/>
          <w:sz w:val="20"/>
        </w:rPr>
        <w:t>Series F Redemption Request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Series F Excluded Shares (as defined below) shall not be redeemed. Upon receipt of a Series F Redemption Request, the Corporation shall apply all of its assets to any such redemption, and to no other corporate purpose, except to the extent prohibited by Delaware law governing distributions to stockholders. If, on the Series F Redemption Date, Delaware law governing distributions to stockholders prevents the Corporation from redeeming all shares of Series F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hAnsi="Times New Roman"/>
          <w:b/>
          <w:i/>
          <w:sz w:val="20"/>
        </w:rPr>
        <w:t>Series F Redemption Notice</w:t>
      </w:r>
      <w:r>
        <w:rPr>
          <w:rFonts w:ascii="Times New Roman" w:hAnsi="Times New Roman"/>
          <w:sz w:val="20"/>
        </w:rPr>
        <w:t xml:space="preserve">) to each holder of record of Series G-2 Preferred Stock, Series G Preferred Stock, Series F Preferred Stock, Series E Preferred Stock and Series D Preferred Stock at least fifteen (15) days but no more than thirty (30) days prior to the Series F Redemption Date. The Series F Redemption Notice shall state (i) the number of shares of Series F Preferred Stock held by the holder that the Corporation shall redeem on the Series F Redemption Date, (ii) the Series F Redemption Date and the Series F Redemption Price, (iii) the date upon which the holders right to convert such shares terminates (as determined in accordance with </w:t>
      </w:r>
      <w:r>
        <w:rPr>
          <w:rFonts w:ascii="Times New Roman" w:hAnsi="Times New Roman"/>
          <w:sz w:val="20"/>
          <w:u w:val="single"/>
        </w:rPr>
        <w:t>Section 4.1.2</w:t>
      </w:r>
      <w:r>
        <w:rPr>
          <w:rFonts w:ascii="Times New Roman" w:hAnsi="Times New Roman"/>
          <w:sz w:val="20"/>
        </w:rPr>
        <w:t xml:space="preserve">), and (iv) for holders of shares in certificated form, that the holder is to surrender to the Corporation, in the manner and at the place designated, his, her or its certificate or certificates representing the shares of Series F Preferred Stock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receives, on or prior to the tenth (10th) day after the date of delivery of the Series F Redemption Notice to a holder of Series F Preferred Stock, written notice from such holder that such holder elects to be excluded from the redemption provided in this </w:t>
      </w:r>
      <w:r>
        <w:rPr>
          <w:rFonts w:ascii="Times New Roman" w:hAnsi="Times New Roman"/>
          <w:sz w:val="20"/>
          <w:u w:val="single"/>
        </w:rPr>
        <w:t>Section 6.3</w:t>
      </w:r>
      <w:r>
        <w:rPr>
          <w:rFonts w:ascii="Times New Roman" w:hAnsi="Times New Roman"/>
          <w:sz w:val="20"/>
        </w:rPr>
        <w:t>, then the shares of Series F Preferred Stock registered on the books of the Corporation in the name of such holder at the time of the Corporations receipt of such notice shall thereafter be </w:t>
      </w:r>
      <w:r>
        <w:rPr>
          <w:rFonts w:ascii="Times New Roman" w:hAnsi="Times New Roman"/>
          <w:b/>
          <w:i/>
          <w:sz w:val="20"/>
        </w:rPr>
        <w:t>Series F Excluded Shares.</w:t>
      </w:r>
      <w:r>
        <w:rPr>
          <w:rFonts w:ascii="Times New Roman" w:hAnsi="Times New Roman"/>
          <w:sz w:val="20"/>
        </w:rPr>
        <w:t xml:space="preserve"> Series F Excluded Shares shall not be redeemed or redeemable pursuant to this </w:t>
      </w:r>
      <w:r>
        <w:rPr>
          <w:rFonts w:ascii="Times New Roman" w:hAnsi="Times New Roman"/>
          <w:sz w:val="20"/>
          <w:u w:val="single"/>
        </w:rPr>
        <w:t>Section 6.3</w:t>
      </w:r>
      <w:r>
        <w:rPr>
          <w:rFonts w:ascii="Times New Roman" w:hAnsi="Times New Roman"/>
          <w:sz w:val="20"/>
        </w:rPr>
        <w:t xml:space="preserve">, whether on such Series F Redemption Date or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Series E Preferred Stock</w:t>
      </w:r>
      <w:r>
        <w:rPr>
          <w:rFonts w:ascii="Times New Roman" w:hAnsi="Times New Roman"/>
          <w:sz w:val="20"/>
        </w:rPr>
        <w:t>. Unless prohibited by Delaware law governing distributions to stockholders, shares of Series E Preferred Stock shall be redeemed by the Corporation at a price equal to the Series E Original Issue Price per share, plus any Series E Accruing Dividends accrued but unpaid thereon, whether or not declared, together with any other dividends declared but unpaid thereon (the </w:t>
      </w:r>
      <w:r>
        <w:rPr>
          <w:rFonts w:ascii="Times New Roman" w:hAnsi="Times New Roman"/>
          <w:b/>
          <w:i/>
          <w:sz w:val="20"/>
        </w:rPr>
        <w:t>Series E Redemption Price</w:t>
      </w:r>
      <w:r>
        <w:rPr>
          <w:rFonts w:ascii="Times New Roman" w:hAnsi="Times New Roman"/>
          <w:sz w:val="20"/>
        </w:rPr>
        <w:t>), in one (1) cash payment (such date of redemption, the </w:t>
      </w:r>
      <w:r>
        <w:rPr>
          <w:rFonts w:ascii="Times New Roman" w:hAnsi="Times New Roman"/>
          <w:b/>
          <w:i/>
          <w:sz w:val="20"/>
        </w:rPr>
        <w:t>Series E Redemption Date</w:t>
      </w:r>
      <w:r>
        <w:rPr>
          <w:rFonts w:ascii="Times New Roman" w:hAnsi="Times New Roman"/>
          <w:sz w:val="20"/>
        </w:rPr>
        <w:t>) not more than sixty (60) days after receipt by the Corporation, at any time during the period commencing on the date that is seven (7) years from the Original Issue Date of the Series G-2 Preferred Stock and ending sixty (60) days thereafter, of written notice from the holders of a majority of the then outstanding shares of Series E Preferred Stock, voting as a separate class and series, requesting redemption of all shares of Series E Preferred Stock (the </w:t>
      </w:r>
      <w:r>
        <w:rPr>
          <w:rFonts w:ascii="Times New Roman" w:hAnsi="Times New Roman"/>
          <w:b/>
          <w:i/>
          <w:sz w:val="20"/>
        </w:rPr>
        <w:t>Series E Redemption Request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Series E Excluded Shares (as defined below) shall not be redeemed. Upon receipt of a Series E Redemption Request, the Corporation shall apply all of its assets to any such redemption, and to no other corporate purpose, except to the extent prohibited by Delaware law governing distributions to stockholders. If, on the Series E Redemption Date, Delaware law governing distributions to stockholders prevents the Corporation from redeeming all shares of Series E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hAnsi="Times New Roman"/>
          <w:b/>
          <w:i/>
          <w:sz w:val="20"/>
        </w:rPr>
        <w:t>Series E Redemption Notice</w:t>
      </w:r>
      <w:r>
        <w:rPr>
          <w:rFonts w:ascii="Times New Roman" w:hAnsi="Times New Roman"/>
          <w:sz w:val="20"/>
        </w:rPr>
        <w:t xml:space="preserve">) to each holder of record of Series G-2 Preferred Stock, Series G Preferred Stock, Series F Preferred Stock, Series E Preferred Stock and Series D Preferred Stock at least fifteen (15) days but no more than thirty (30) days prior to the Series E Redemption Date. The Series E Redemption Notice shall state (i) the number of shares of Series E Preferred Stock held by the holder that the Corporation shall redeem on the Series E Redemption Date, (ii) the Series E Redemption Date and the Series E Redemption Price, (iii) the date upon which the holders right to convert such shares terminates (as determined in accordance with </w:t>
      </w:r>
      <w:r>
        <w:rPr>
          <w:rFonts w:ascii="Times New Roman" w:hAnsi="Times New Roman"/>
          <w:sz w:val="20"/>
          <w:u w:val="single"/>
        </w:rPr>
        <w:t>Section 4.1.2</w:t>
      </w:r>
      <w:r>
        <w:rPr>
          <w:rFonts w:ascii="Times New Roman" w:hAnsi="Times New Roman"/>
          <w:sz w:val="20"/>
        </w:rPr>
        <w:t xml:space="preserve">), and (iv) for holders of shares in certificated form, that the holder is to surrender to the Corporation, in the manner and at the place designated, his, her or its certificate or certificates representing the shares of Series E Preferred Stock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receives, on or prior to the tenth (10th) day after the date of delivery of the Series E Redemption Notice to a holder of Series E Preferred Stock, written notice from such holder that such holder elects to be excluded from the redemption provided in this </w:t>
      </w:r>
      <w:r>
        <w:rPr>
          <w:rFonts w:ascii="Times New Roman" w:hAnsi="Times New Roman"/>
          <w:sz w:val="20"/>
          <w:u w:val="single"/>
        </w:rPr>
        <w:t>Section 6.4</w:t>
      </w:r>
      <w:r>
        <w:rPr>
          <w:rFonts w:ascii="Times New Roman" w:hAnsi="Times New Roman"/>
          <w:sz w:val="20"/>
        </w:rPr>
        <w:t>, then the shares of Series E Preferred Stock registered on the books of the Corporation in the name of such holder at the time of the Corporations receipt of such notice shall thereafter be </w:t>
      </w:r>
      <w:r>
        <w:rPr>
          <w:rFonts w:ascii="Times New Roman" w:hAnsi="Times New Roman"/>
          <w:b/>
          <w:i/>
          <w:sz w:val="20"/>
        </w:rPr>
        <w:t>Series E Excluded Shares.</w:t>
      </w:r>
      <w:r>
        <w:rPr>
          <w:rFonts w:ascii="Times New Roman" w:hAnsi="Times New Roman"/>
          <w:sz w:val="20"/>
        </w:rPr>
        <w:t xml:space="preserve"> Series E Excluded Shares shall not be redeemed or redeemable pursuant to this </w:t>
      </w:r>
      <w:r>
        <w:rPr>
          <w:rFonts w:ascii="Times New Roman" w:hAnsi="Times New Roman"/>
          <w:sz w:val="20"/>
          <w:u w:val="single"/>
        </w:rPr>
        <w:t>Section 6.4</w:t>
      </w:r>
      <w:r>
        <w:rPr>
          <w:rFonts w:ascii="Times New Roman" w:hAnsi="Times New Roman"/>
          <w:sz w:val="20"/>
        </w:rPr>
        <w:t xml:space="preserve">, whether on such Series E Redemption Date or thereafter.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Series D Preferred Stock</w:t>
      </w:r>
      <w:r>
        <w:rPr>
          <w:rFonts w:ascii="Times New Roman" w:hAnsi="Times New Roman"/>
          <w:sz w:val="20"/>
        </w:rPr>
        <w:t>. Unless prohibited by Delaware law governing distributions to stockholders, shares of Series D Preferred Stock shall be redeemed by the Corporation at a price equal to the Series D Original Issue Price per share, plus any Series D Accruing Dividends accrued but unpaid thereon, whether or not declared, together with any other dividends declared but unpaid thereon (the </w:t>
      </w:r>
      <w:r>
        <w:rPr>
          <w:rFonts w:ascii="Times New Roman" w:hAnsi="Times New Roman"/>
          <w:b/>
          <w:i/>
          <w:sz w:val="20"/>
        </w:rPr>
        <w:t>Series D Redemption Price</w:t>
      </w:r>
      <w:r>
        <w:rPr>
          <w:rFonts w:ascii="Times New Roman" w:hAnsi="Times New Roman"/>
          <w:sz w:val="20"/>
        </w:rPr>
        <w:t>), in one (1) cash payment (such date of redemption, the </w:t>
      </w:r>
      <w:r>
        <w:rPr>
          <w:rFonts w:ascii="Times New Roman" w:hAnsi="Times New Roman"/>
          <w:b/>
          <w:i/>
          <w:sz w:val="20"/>
        </w:rPr>
        <w:t>Series D Redemption Date</w:t>
      </w:r>
      <w:r>
        <w:rPr>
          <w:rFonts w:ascii="Times New Roman" w:hAnsi="Times New Roman"/>
          <w:sz w:val="20"/>
        </w:rPr>
        <w:t> and together with each of the Series G Redemption Date, the Series F Redemption Date and the Series E Redemption Date, a </w:t>
      </w:r>
      <w:r>
        <w:rPr>
          <w:rFonts w:ascii="Times New Roman" w:hAnsi="Times New Roman"/>
          <w:b/>
          <w:i/>
          <w:sz w:val="20"/>
        </w:rPr>
        <w:t>Redemption Date</w:t>
      </w:r>
      <w:r>
        <w:rPr>
          <w:rFonts w:ascii="Times New Roman" w:hAnsi="Times New Roman"/>
          <w:sz w:val="20"/>
        </w:rPr>
        <w:t xml:space="preserve">) not more than sixty (60) days after receipt by the Corporation, at any time during the period commencing on the date that is seven (7) years from the Original Issue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Series G-2 Preferred Stock and ending sixty (60) days thereafter, of written notice from the holders of at least sixty percent (60%) of the then outstanding shares of Series D Preferred Stock, voting as a separate class and series, requesting redemption of all shares of Series D Preferred Stock (the </w:t>
      </w:r>
      <w:r>
        <w:rPr>
          <w:rFonts w:ascii="Times New Roman" w:hAnsi="Times New Roman"/>
          <w:b/>
          <w:i/>
          <w:sz w:val="20"/>
        </w:rPr>
        <w:t>Series D Redemption Request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Series D Excluded Shares (as defined below) shall not be redeemed. Upon receipt of a Series D Redemption Request, the Corporation shall apply all of its assets to any such redemption, and to no other corporate purpose, except to the extent prohibited by Delaware law governing distributions to stockholders. If, on the Series D Redemption Date, Delaware law governing distributions to stockholders prevents the Corporation from redeeming all shares of Series D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hAnsi="Times New Roman"/>
          <w:b/>
          <w:i/>
          <w:sz w:val="20"/>
        </w:rPr>
        <w:t>Series D Redemption Notice</w:t>
      </w:r>
      <w:r>
        <w:rPr>
          <w:rFonts w:ascii="Times New Roman" w:hAnsi="Times New Roman"/>
          <w:sz w:val="20"/>
        </w:rPr>
        <w:t xml:space="preserve">) to each holder of record of Series G-2 Preferred Stock, Series G Preferred Stock, Series F Preferred Stock, Series E Preferred Stock and Series D Preferred Stock at least fifteen (15) days but no more than thirty (30) days prior to the Series D Redemption Date. The Series D Redemption Notice shall state (i) the number of shares of Series D Preferred Stock held by the holder that the Corporation shall redeem on the Series D Redemption Date, (ii) the Series D Redemption Date and the Series D Redemption Price, (iii) the date upon which the holders right to convert such shares terminates (as determined in accordance with </w:t>
      </w:r>
      <w:r>
        <w:rPr>
          <w:rFonts w:ascii="Times New Roman" w:hAnsi="Times New Roman"/>
          <w:sz w:val="20"/>
          <w:u w:val="single"/>
        </w:rPr>
        <w:t>Section 4.1.2</w:t>
      </w:r>
      <w:r>
        <w:rPr>
          <w:rFonts w:ascii="Times New Roman" w:hAnsi="Times New Roman"/>
          <w:sz w:val="20"/>
        </w:rPr>
        <w:t xml:space="preserve">), and (iv) for holders of shares in certificated form, that the holder is to surrender to the Corporation, in the manner and at the place designated, his, her or its certificate or certificates representing the shares of Series D Preferred Stock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receives, on or prior to the tenth (10th) day after the date of delivery of the Series D Redemption Notice to a holder of Series D Preferred Stock, written notice from such holder that such holder elects to be excluded from the redemption provided in this </w:t>
      </w:r>
      <w:r>
        <w:rPr>
          <w:rFonts w:ascii="Times New Roman" w:hAnsi="Times New Roman"/>
          <w:sz w:val="20"/>
          <w:u w:val="single"/>
        </w:rPr>
        <w:t>Section 6.5</w:t>
      </w:r>
      <w:r>
        <w:rPr>
          <w:rFonts w:ascii="Times New Roman" w:hAnsi="Times New Roman"/>
          <w:sz w:val="20"/>
        </w:rPr>
        <w:t>, then the shares of Series D Preferred Stock registered on the books of the Corporation in the name of such holder at the time of the Corporations receipt of such notice shall thereafter be </w:t>
      </w:r>
      <w:r>
        <w:rPr>
          <w:rFonts w:ascii="Times New Roman" w:hAnsi="Times New Roman"/>
          <w:b/>
          <w:i/>
          <w:sz w:val="20"/>
        </w:rPr>
        <w:t>Series D Excluded Shares.</w:t>
      </w:r>
      <w:r>
        <w:rPr>
          <w:rFonts w:ascii="Times New Roman" w:hAnsi="Times New Roman"/>
          <w:sz w:val="20"/>
        </w:rPr>
        <w:t xml:space="preserve"> Series D Excluded Shares shall not be redeemed or redeemable pursuant to this </w:t>
      </w:r>
      <w:r>
        <w:rPr>
          <w:rFonts w:ascii="Times New Roman" w:hAnsi="Times New Roman"/>
          <w:sz w:val="20"/>
          <w:u w:val="single"/>
        </w:rPr>
        <w:t>Section 6.5</w:t>
      </w:r>
      <w:r>
        <w:rPr>
          <w:rFonts w:ascii="Times New Roman" w:hAnsi="Times New Roman"/>
          <w:sz w:val="20"/>
        </w:rPr>
        <w:t xml:space="preserve">, whether on such Series D Redemption Date or thereafter. </w:t>
      </w:r>
    </w:p>
    <w:p>
      <w:pPr>
        <w:pStyle w:val="TextBody"/>
        <w:bidi w:val="0"/>
        <w:spacing w:before="12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Priority of Redemption Payments</w:t>
      </w:r>
      <w:r>
        <w:rPr>
          <w:rFonts w:ascii="Times New Roman" w:hAnsi="Times New Roman"/>
          <w:sz w:val="20"/>
        </w:rPr>
        <w:t xml:space="preserve">. Notwithstanding anything in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Section 6.4</w:t>
      </w:r>
      <w:r>
        <w:rPr>
          <w:rFonts w:ascii="Times New Roman" w:hAnsi="Times New Roman"/>
          <w:sz w:val="20"/>
        </w:rPr>
        <w:t xml:space="preserve"> or </w:t>
      </w:r>
      <w:r>
        <w:rPr>
          <w:rFonts w:ascii="Times New Roman" w:hAnsi="Times New Roman"/>
          <w:sz w:val="20"/>
          <w:u w:val="single"/>
        </w:rPr>
        <w:t>Section 6.5</w:t>
      </w:r>
      <w:r>
        <w:rPr>
          <w:rFonts w:ascii="Times New Roman" w:hAnsi="Times New Roman"/>
          <w:sz w:val="20"/>
        </w:rPr>
        <w:t xml:space="preserve"> to the contrary, if (i) the Corporation receives a Series G-2 Redemption Request, Series G Redemption Request, Series F Redemption Request, Series E Redemption Request and/or a Series D Redemption Request, and (ii) on the applicable Redemption Date, Delaware law governing distributions to stockholders prevents the Corporation from redeeming all of the shares of Series G-2 Preferred Stock, Series G Preferred Stock, Series F Preferred Stock, Series E Preferred Stock and/or Series D Preferred Stock, then the Corporation shall so notify the holders of shares of Series G-2 Preferred Stock, Series G Preferred Stock, Series F Preferred Stock, Series E Preferred Stock and/or Series D Preferred Stock, as applicable, and the Corporation shall redeem such shares of Series G-2 Preferred Stock, Series G Preferred Stock, Series F Preferred Stock, Series E Preferred Stock and/or Series D Preferred Stock in the following order of priority: (A) </w:t>
      </w:r>
      <w:r>
        <w:rPr>
          <w:rFonts w:ascii="Times New Roman" w:hAnsi="Times New Roman"/>
          <w:i/>
          <w:sz w:val="20"/>
        </w:rPr>
        <w:t>first</w:t>
      </w:r>
      <w:r>
        <w:rPr>
          <w:rFonts w:ascii="Times New Roman" w:hAnsi="Times New Roman"/>
          <w:sz w:val="20"/>
        </w:rPr>
        <w:t xml:space="preserve">, the Corporation shall redeem the number of shares of Series G-2 Preferred Stock which the Corporation may redeem in a manner consistent with such law, </w:t>
      </w:r>
      <w:r>
        <w:rPr>
          <w:rFonts w:ascii="Times New Roman" w:hAnsi="Times New Roman"/>
          <w:i/>
          <w:sz w:val="20"/>
        </w:rPr>
        <w:t>pro rata</w:t>
      </w:r>
      <w:r>
        <w:rPr>
          <w:rFonts w:ascii="Times New Roman" w:hAnsi="Times New Roman"/>
          <w:sz w:val="20"/>
        </w:rPr>
        <w:t xml:space="preserve"> among all holders of Series G-2 Preferred Stock, and shall redeem the remaining shares of Series G-2 Preferred Stock as soon as it may lawfully do so under such law; (B) </w:t>
      </w:r>
      <w:r>
        <w:rPr>
          <w:rFonts w:ascii="Times New Roman" w:hAnsi="Times New Roman"/>
          <w:i/>
          <w:sz w:val="20"/>
        </w:rPr>
        <w:t>second</w:t>
      </w:r>
      <w:r>
        <w:rPr>
          <w:rFonts w:ascii="Times New Roman" w:hAnsi="Times New Roman"/>
          <w:sz w:val="20"/>
        </w:rPr>
        <w:t xml:space="preserve">, after redemption of all shares of Series G-2 Preferred Stock,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shall redeem the number of shares of Series G Preferred Stock which the Corporation may redeem in a manner consistent with such law, </w:t>
      </w:r>
      <w:r>
        <w:rPr>
          <w:rFonts w:ascii="Times New Roman" w:hAnsi="Times New Roman"/>
          <w:i/>
          <w:sz w:val="20"/>
        </w:rPr>
        <w:t>pro rata</w:t>
      </w:r>
      <w:r>
        <w:rPr>
          <w:rFonts w:ascii="Times New Roman" w:hAnsi="Times New Roman"/>
          <w:sz w:val="20"/>
        </w:rPr>
        <w:t xml:space="preserve"> among all holders of Series G Preferred Stock, and shall redeem the remaining shares of Series G Preferred Stock as soon as it may lawfully do so under such law; (C) </w:t>
      </w:r>
      <w:r>
        <w:rPr>
          <w:rFonts w:ascii="Times New Roman" w:hAnsi="Times New Roman"/>
          <w:i/>
          <w:sz w:val="20"/>
        </w:rPr>
        <w:t>third</w:t>
      </w:r>
      <w:r>
        <w:rPr>
          <w:rFonts w:ascii="Times New Roman" w:hAnsi="Times New Roman"/>
          <w:sz w:val="20"/>
        </w:rPr>
        <w:t xml:space="preserve">, after redemption of all shares of Series G-2 Preferred Stock and Series G Preferred Stock, the Corporation shall redeem the number of shares of Series F Preferred Stock which the Corporation may redeem in a manner consistent with such law, </w:t>
      </w:r>
      <w:r>
        <w:rPr>
          <w:rFonts w:ascii="Times New Roman" w:hAnsi="Times New Roman"/>
          <w:i/>
          <w:sz w:val="20"/>
        </w:rPr>
        <w:t>pro rata</w:t>
      </w:r>
      <w:r>
        <w:rPr>
          <w:rFonts w:ascii="Times New Roman" w:hAnsi="Times New Roman"/>
          <w:sz w:val="20"/>
        </w:rPr>
        <w:t xml:space="preserve"> among all holders of Series F Preferred Stock, and shall redeem the remaining shares of Series F Preferred Stock as soon as it may lawfully do so under such law; (D) </w:t>
      </w:r>
      <w:r>
        <w:rPr>
          <w:rFonts w:ascii="Times New Roman" w:hAnsi="Times New Roman"/>
          <w:i/>
          <w:sz w:val="20"/>
        </w:rPr>
        <w:t>fourth</w:t>
      </w:r>
      <w:r>
        <w:rPr>
          <w:rFonts w:ascii="Times New Roman" w:hAnsi="Times New Roman"/>
          <w:sz w:val="20"/>
        </w:rPr>
        <w:t xml:space="preserve">, after redemption of all shares of Series G-2 Preferred Stock, Series G Preferred Stock and Series F Preferred Stock, the Corporation shall redeem the number of shares of Series E Preferred Stock which the Corporation may redeem in a manner consistent with such law, </w:t>
      </w:r>
      <w:r>
        <w:rPr>
          <w:rFonts w:ascii="Times New Roman" w:hAnsi="Times New Roman"/>
          <w:i/>
          <w:sz w:val="20"/>
        </w:rPr>
        <w:t>pro rata</w:t>
      </w:r>
      <w:r>
        <w:rPr>
          <w:rFonts w:ascii="Times New Roman" w:hAnsi="Times New Roman"/>
          <w:sz w:val="20"/>
        </w:rPr>
        <w:t xml:space="preserve"> among all holders of Series E Preferred Stock, and shall redeem the remaining shares of Series E Preferred Stock as soon as it may lawfully do so under such law; and (E) </w:t>
      </w:r>
      <w:r>
        <w:rPr>
          <w:rFonts w:ascii="Times New Roman" w:hAnsi="Times New Roman"/>
          <w:i/>
          <w:sz w:val="20"/>
        </w:rPr>
        <w:t>fifth</w:t>
      </w:r>
      <w:r>
        <w:rPr>
          <w:rFonts w:ascii="Times New Roman" w:hAnsi="Times New Roman"/>
          <w:sz w:val="20"/>
        </w:rPr>
        <w:t xml:space="preserve">, after redemption of all shares of Series G-2 Preferred Stock, Series G Preferred Stock, Series F Preferred Stock and Series E Preferred Stock, the Corporation shall redeem the number of shares of Series D Preferred Stock which the Corporation may redeem in a manner consistent with such law, </w:t>
      </w:r>
      <w:r>
        <w:rPr>
          <w:rFonts w:ascii="Times New Roman" w:hAnsi="Times New Roman"/>
          <w:i/>
          <w:sz w:val="20"/>
        </w:rPr>
        <w:t>pro rata</w:t>
      </w:r>
      <w:r>
        <w:rPr>
          <w:rFonts w:ascii="Times New Roman" w:hAnsi="Times New Roman"/>
          <w:sz w:val="20"/>
        </w:rPr>
        <w:t xml:space="preserve"> among all holders of Series D Preferred Stock, and shall redeem the remaining shares of Series D Preferred Stock as soon as it may lawfully do so under such law. </w:t>
      </w:r>
    </w:p>
    <w:p>
      <w:pPr>
        <w:pStyle w:val="TextBody"/>
        <w:bidi w:val="0"/>
        <w:spacing w:before="12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Surrender of Certificates; Payment</w:t>
      </w:r>
      <w:r>
        <w:rPr>
          <w:rFonts w:ascii="Times New Roman" w:hAnsi="Times New Roman"/>
          <w:sz w:val="20"/>
        </w:rPr>
        <w:t xml:space="preserve">. On or before the Series G-2 Redemption Date, Series G Redemption Date, Series F Redemption Date, Series E Redemption Date and/or the Series D Redemption Date, each holder of Series G-2 Preferred Stock, Series G Preferred Stock, Series F Preferred Stock, Series E Preferred Stock or Series D Preferred Stock, as applicable, having shares redeemed shall, if a holder of shares in certificated font,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Series G-2 Redemption Notice, Series G Redemption Notice, Series F Redemption Notice, Series E Redemption Notice or the Series D Redemption Notice, and thereupon the Series G-2 Redemption Notice, Series G Redemption Notice, Series F Redemption Price, Series E Redemption Price or the Series D Redemption Price for such shares shall be payable to the order of the person whose name appears on such certificate or certificates as the owner thereof. </w:t>
      </w:r>
    </w:p>
    <w:p>
      <w:pPr>
        <w:pStyle w:val="TextBody"/>
        <w:bidi w:val="0"/>
        <w:spacing w:before="12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Rights Subsequent to Redemption</w:t>
      </w:r>
      <w:r>
        <w:rPr>
          <w:rFonts w:ascii="Times New Roman" w:hAnsi="Times New Roman"/>
          <w:sz w:val="20"/>
        </w:rPr>
        <w:t xml:space="preserve">. If the Series G-2 Redemption Notice, Series G Redemption Notice, the Series F Redemption Notice, the Series E Redemption Notice or the Series D Redemption Notice shall have been duly given, and if the Series G-2 Redemption Price, Series G Redemption Price, the Series F Redemption Price, the Series E Redemption Price or the Series D Redemption Price payable upon redemption of the shares of Series G-2 Preferred Stock, Series G Preferred Stock, Series F Preferred Stock, Series E Preferred Stock or Series D Preferred Stock to be redeemed (or shares of Voting Common Stock into which such shares of Series G-2 Preferred Stock, Series G Preferred Stock, Series F Preferred Stock, Series E Preferred Stock or Series D Preferred Stock have been converted) is paid or tendered for payment or deposited with an independent payment agent so as to be available therefor in a timely manner, then notwithstanding that any certificates evidencing any of the shares of Series G-2 Preferred Stock, Series G Preferred Stock, Series F Preferred Stock, Series E Preferred Stock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D Preferred Stock (or shares of Voting Common Stock into which such shares of Series G-2 Preferred Stock, Series G Preferred Stock, Series F Preferred Stock, Series E Preferred Stock or Series D Preferred Stock have been converted) so called for redemption shall not have been surrendered, dividends with respect to such shares shall cease to accrue after such date and all rights with respect to such shares shall forthwith after such date terminate, except only the right of the holders to receive the Series G-2 Redemption Price, Series G Redemption Price, Series F Redemption Price, the Series E Redemption Price or the Series D Redemption Price, as applicable, without interest upon surrender of any such certificate or certificates therefor. </w:t>
      </w:r>
    </w:p>
    <w:p>
      <w:pPr>
        <w:pStyle w:val="TextBody"/>
        <w:bidi w:val="0"/>
        <w:spacing w:before="12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Failure to Pay Redemption Price</w:t>
      </w:r>
      <w:r>
        <w:rPr>
          <w:rFonts w:ascii="Times New Roman" w:hAnsi="Times New Roman"/>
          <w:sz w:val="20"/>
        </w:rPr>
        <w:t xml:space="preserve">. If, for any reason, the Corporation fails to pay the Series G-2 Redemption Price, Series G Redemption Price, the Series F Redemption Price, the Series E Redemption Price and/or the Series D Redemption Price when due (including as a result of any applicable law prohibiting payment), then: </w:t>
      </w:r>
    </w:p>
    <w:p>
      <w:pPr>
        <w:pStyle w:val="TextBody"/>
        <w:bidi w:val="0"/>
        <w:spacing w:before="120" w:after="0"/>
        <w:jc w:val="left"/>
        <w:rPr>
          <w:rFonts w:ascii="Times New Roman" w:hAnsi="Times New Roman"/>
          <w:sz w:val="20"/>
        </w:rPr>
      </w:pPr>
      <w:r>
        <w:rPr>
          <w:rFonts w:ascii="Times New Roman" w:hAnsi="Times New Roman"/>
          <w:sz w:val="20"/>
        </w:rPr>
        <w:t>6.9.1 The Corporation shall, if requested by (i) the holders of a majority of the outstanding shares of Series G-2 Preferred Stock subject to redemption, voting as a separate class and series, upon failure to pay the Series G-2 Redemption Price, (ii) the holders of a majority of the outstanding shares of Series G Preferred Stock subject to redemption, voting as a separate class and series, upon failure to pay the Series G Redemption Price, (iii) the holders of a majority of the outstanding shares of Series F Preferred Stock subject to redemption, voting as a separate class and series, upon failure to pay the Series F Redemption Price, (iv) the holders of a majority of the outstanding shares of Series E Preferred Stock subject to redemption, voting as a separate class and series, upon failure to pay the Series E Redemption Price, or (v) the holders of at least sixty percent (60%) of the outstanding shares of Series D Preferred Stock subject to redemption, voting as a separate class and series, upon failure to pay the Series D Redemption Price, in each case by delivery of written notice to the Corporation, initiate a sale process (the </w:t>
      </w:r>
      <w:r>
        <w:rPr>
          <w:rFonts w:ascii="Times New Roman" w:hAnsi="Times New Roman"/>
          <w:b/>
          <w:i/>
          <w:sz w:val="20"/>
        </w:rPr>
        <w:t>Sale Process</w:t>
      </w:r>
      <w:r>
        <w:rPr>
          <w:rFonts w:ascii="Times New Roman" w:hAnsi="Times New Roman"/>
          <w:sz w:val="20"/>
        </w:rPr>
        <w:t xml:space="preserve">) in accordance with this </w:t>
      </w:r>
      <w:r>
        <w:rPr>
          <w:rFonts w:ascii="Times New Roman" w:hAnsi="Times New Roman"/>
          <w:sz w:val="20"/>
          <w:u w:val="single"/>
        </w:rPr>
        <w:t>Section 6.9</w:t>
      </w:r>
      <w:r>
        <w:rPr>
          <w:rFonts w:ascii="Times New Roman" w:hAnsi="Times New Roman"/>
          <w:sz w:val="20"/>
        </w:rPr>
        <w:t xml:space="preserve">, intended to result in a transaction constituting a Deemed Liquidation Event. In furtherance of the foregoing, upon receipt of such written notice, the Corporation shall, and shall cause its officers, employees, consultants, counsel and advisors to use all commercially reasonable efforts to consummate a transaction that would constitute a Deemed Liquidation Event, including without limitation by taking (or causing to be taken) the actions set forth in this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this obligation and the obligations set forth in </w:t>
      </w:r>
      <w:r>
        <w:rPr>
          <w:rFonts w:ascii="Times New Roman" w:hAnsi="Times New Roman"/>
          <w:sz w:val="20"/>
          <w:u w:val="single"/>
        </w:rPr>
        <w:t>Subsections 6.9.2</w:t>
      </w:r>
      <w:r>
        <w:rPr>
          <w:rFonts w:ascii="Times New Roman" w:hAnsi="Times New Roman"/>
          <w:sz w:val="20"/>
        </w:rPr>
        <w:t xml:space="preserve"> and </w:t>
      </w:r>
      <w:r>
        <w:rPr>
          <w:rFonts w:ascii="Times New Roman" w:hAnsi="Times New Roman"/>
          <w:sz w:val="20"/>
          <w:u w:val="single"/>
        </w:rPr>
        <w:t>6.9.3</w:t>
      </w:r>
      <w:r>
        <w:rPr>
          <w:rFonts w:ascii="Times New Roman" w:hAnsi="Times New Roman"/>
          <w:sz w:val="20"/>
        </w:rPr>
        <w:t xml:space="preserve"> shall not require the Board or the stockholders of the Corporation to approve any transaction that would constitute a Deemed Liquidation Event. </w:t>
      </w:r>
    </w:p>
    <w:p>
      <w:pPr>
        <w:pStyle w:val="TextBody"/>
        <w:bidi w:val="0"/>
        <w:spacing w:before="120" w:after="0"/>
        <w:jc w:val="left"/>
        <w:rPr>
          <w:rFonts w:ascii="Times New Roman" w:hAnsi="Times New Roman"/>
          <w:sz w:val="20"/>
        </w:rPr>
      </w:pPr>
      <w:r>
        <w:rPr>
          <w:rFonts w:ascii="Times New Roman" w:hAnsi="Times New Roman"/>
          <w:sz w:val="20"/>
        </w:rPr>
        <w:t>6.9.2 The Corporation shall engage a reputable investment bank (the </w:t>
      </w:r>
      <w:r>
        <w:rPr>
          <w:rFonts w:ascii="Times New Roman" w:hAnsi="Times New Roman"/>
          <w:b/>
          <w:i/>
          <w:sz w:val="20"/>
        </w:rPr>
        <w:t>Financial Advisor</w:t>
      </w:r>
      <w:r>
        <w:rPr>
          <w:rFonts w:ascii="Times New Roman" w:hAnsi="Times New Roman"/>
          <w:sz w:val="20"/>
        </w:rPr>
        <w:t xml:space="preserve">) to assist with the Sale Process. The Financial Advisor, as well as any other advisors engaged pursuant to this </w:t>
      </w:r>
      <w:r>
        <w:rPr>
          <w:rFonts w:ascii="Times New Roman" w:hAnsi="Times New Roman"/>
          <w:sz w:val="20"/>
          <w:u w:val="single"/>
        </w:rPr>
        <w:t>Subsection 6.9.2</w:t>
      </w:r>
      <w:r>
        <w:rPr>
          <w:rFonts w:ascii="Times New Roman" w:hAnsi="Times New Roman"/>
          <w:sz w:val="20"/>
        </w:rPr>
        <w:t xml:space="preserve">, shall represent the Corporation, and only the Corporation, in the Sale Process, and the costs, fees and expenses of such advisors shall be paid by the Corporation (or may be paid through a reduction from the sale proceeds payable to the stockholders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6.9.3 Without limiting the generality of the provisions of </w:t>
      </w:r>
      <w:r>
        <w:rPr>
          <w:rFonts w:ascii="Times New Roman" w:hAnsi="Times New Roman"/>
          <w:sz w:val="20"/>
          <w:u w:val="single"/>
        </w:rPr>
        <w:t>Subsection 6.9.1</w:t>
      </w:r>
      <w:r>
        <w:rPr>
          <w:rFonts w:ascii="Times New Roman" w:hAnsi="Times New Roman"/>
          <w:sz w:val="20"/>
        </w:rPr>
        <w:t xml:space="preserve">, the Corporation shall, at the request of (i) the holders of a majority of the outstanding shares of Series G-2 Preferred Stock subject to redemption, voting as a separate class and series, (ii) the holders of a majority of the outstanding shares of Series G Preferred Stock subject to redemption, voting as a separate class and series, (iii) the holders of a majority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shares of Series F Preferred Stock subject to redemption, voting as a separate class and series, (iv) the holders of a majority of the outstanding shares of Series E Preferred Stock subject to redemption, voting as a separate class and series, or (v) the holders of at least sixty percent (60%) of the outstanding shares of Series D Preferred Stock subject to redemption, voting as a separate class and series, as applicable, and shall cause its employees, officers, consultants, counsel and advisors to: </w:t>
      </w:r>
    </w:p>
    <w:p>
      <w:pPr>
        <w:pStyle w:val="TextBody"/>
        <w:bidi w:val="0"/>
        <w:spacing w:before="120" w:after="0"/>
        <w:jc w:val="left"/>
        <w:rPr>
          <w:rFonts w:ascii="Times New Roman" w:hAnsi="Times New Roman"/>
          <w:sz w:val="20"/>
        </w:rPr>
      </w:pPr>
      <w:r>
        <w:rPr>
          <w:rFonts w:ascii="Times New Roman" w:hAnsi="Times New Roman"/>
          <w:sz w:val="20"/>
        </w:rPr>
        <w:t xml:space="preserve">(a) engage the Financial Advisor to provide a valuation of the Corporation and create a list of potential acquirers; </w:t>
      </w:r>
    </w:p>
    <w:p>
      <w:pPr>
        <w:pStyle w:val="TextBody"/>
        <w:bidi w:val="0"/>
        <w:spacing w:before="120" w:after="0"/>
        <w:jc w:val="left"/>
        <w:rPr>
          <w:rFonts w:ascii="Times New Roman" w:hAnsi="Times New Roman"/>
          <w:sz w:val="20"/>
        </w:rPr>
      </w:pPr>
      <w:r>
        <w:rPr>
          <w:rFonts w:ascii="Times New Roman" w:hAnsi="Times New Roman"/>
          <w:sz w:val="20"/>
        </w:rPr>
        <w:t xml:space="preserve">(b) assist the Financial Advisor in creating a list of potential acquirers; </w:t>
      </w:r>
    </w:p>
    <w:p>
      <w:pPr>
        <w:pStyle w:val="TextBody"/>
        <w:bidi w:val="0"/>
        <w:spacing w:before="120" w:after="0"/>
        <w:jc w:val="left"/>
        <w:rPr>
          <w:rFonts w:ascii="Times New Roman" w:hAnsi="Times New Roman"/>
          <w:sz w:val="20"/>
        </w:rPr>
      </w:pPr>
      <w:r>
        <w:rPr>
          <w:rFonts w:ascii="Times New Roman" w:hAnsi="Times New Roman"/>
          <w:sz w:val="20"/>
        </w:rPr>
        <w:t xml:space="preserve">(c) cause the Financial Advisor to contact potential acquirers and solicit offers with respect to the Sale Process from such potential acquirers as identified by the Financial Advisor and approved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(d) set up and maintain a virtual or actual data room containing due diligence materials customarily provided in connection with a Sale Process, together with any other due diligence materials reasonably requested by any potential acquirer; </w:t>
      </w:r>
    </w:p>
    <w:p>
      <w:pPr>
        <w:pStyle w:val="TextBody"/>
        <w:bidi w:val="0"/>
        <w:spacing w:before="120" w:after="0"/>
        <w:jc w:val="left"/>
        <w:rPr>
          <w:rFonts w:ascii="Times New Roman" w:hAnsi="Times New Roman"/>
          <w:sz w:val="20"/>
        </w:rPr>
      </w:pPr>
      <w:r>
        <w:rPr>
          <w:rFonts w:ascii="Times New Roman" w:hAnsi="Times New Roman"/>
          <w:sz w:val="20"/>
        </w:rPr>
        <w:t xml:space="preserve">(e) execute customary non-disclosure agreements with potential acquirers; </w:t>
      </w:r>
    </w:p>
    <w:p>
      <w:pPr>
        <w:pStyle w:val="TextBody"/>
        <w:bidi w:val="0"/>
        <w:spacing w:before="120" w:after="0"/>
        <w:jc w:val="left"/>
        <w:rPr>
          <w:rFonts w:ascii="Times New Roman" w:hAnsi="Times New Roman"/>
          <w:sz w:val="20"/>
        </w:rPr>
      </w:pPr>
      <w:r>
        <w:rPr>
          <w:rFonts w:ascii="Times New Roman" w:hAnsi="Times New Roman"/>
          <w:sz w:val="20"/>
        </w:rPr>
        <w:t xml:space="preserve">(f) prepare, or assist the Financial Advisor with the preparation of, any marketing, financial or other materials deemed by the Financial Advisor to be necessary or helpful in connection with the Sale Process; </w:t>
      </w:r>
    </w:p>
    <w:p>
      <w:pPr>
        <w:pStyle w:val="TextBody"/>
        <w:bidi w:val="0"/>
        <w:spacing w:before="120" w:after="0"/>
        <w:jc w:val="left"/>
        <w:rPr>
          <w:rFonts w:ascii="Times New Roman" w:hAnsi="Times New Roman"/>
          <w:sz w:val="20"/>
        </w:rPr>
      </w:pPr>
      <w:r>
        <w:rPr>
          <w:rFonts w:ascii="Times New Roman" w:hAnsi="Times New Roman"/>
          <w:sz w:val="20"/>
        </w:rPr>
        <w:t xml:space="preserve">(g) attend and participate in any meetings, conference calls, or presentations regarding the Corporation and its business with potential acquirers; and </w:t>
      </w:r>
    </w:p>
    <w:p>
      <w:pPr>
        <w:pStyle w:val="TextBody"/>
        <w:bidi w:val="0"/>
        <w:spacing w:before="120" w:after="0"/>
        <w:jc w:val="left"/>
        <w:rPr>
          <w:rFonts w:ascii="Times New Roman" w:hAnsi="Times New Roman"/>
          <w:sz w:val="20"/>
        </w:rPr>
      </w:pPr>
      <w:r>
        <w:rPr>
          <w:rFonts w:ascii="Times New Roman" w:hAnsi="Times New Roman"/>
          <w:sz w:val="20"/>
        </w:rPr>
        <w:t xml:space="preserve">(h) subject to approval of the Corporations Board of Directors, execute a letter of intent or term sheet on terms and conditions reasonably acceptable to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6.9.4 The Corporation shall, upon the request of (i) the holders of a majority of the outstanding shares of Series G-2 Preferred Stock subject to redemption, voting as a separate class and series, (ii) the holders of a majority of the outstanding shares of Series G Preferred Stock subject to redemption, voting as a separate class and series, (iii) the holders of a majority of the outstanding shares of Series F Preferred Stock subject to redemption, voting as a separate class and series, (iv) the holders of a majority of the outstanding shares of Series E Preferred Stock subject to redemption, voting as a separate class and series, or (v) the holders of at least sixty percent (60%) of the outstanding shares of Series D Preferred Stock subject to redemption, voting as a separate class and series, as applicable, call a meeting of the Corporations Board of Directors to discuss or vote on a proposed transaction constituting a Deemed Liquidation Event or other matters relating to the Sale Process; </w:t>
      </w:r>
      <w:r>
        <w:rPr>
          <w:rFonts w:ascii="Times New Roman" w:hAnsi="Times New Roman"/>
          <w:sz w:val="20"/>
          <w:u w:val="single"/>
        </w:rPr>
        <w:t>provided</w:t>
      </w:r>
      <w:r>
        <w:rPr>
          <w:rFonts w:ascii="Times New Roman" w:hAnsi="Times New Roman"/>
          <w:sz w:val="20"/>
        </w:rPr>
        <w:t xml:space="preserve">, that nothing herein shall require the Corporations Board of Directors to approve any Deemed Liquidation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6.9.5 The covenants set forth in this </w:t>
      </w:r>
      <w:r>
        <w:rPr>
          <w:rFonts w:ascii="Times New Roman" w:hAnsi="Times New Roman"/>
          <w:sz w:val="20"/>
          <w:u w:val="single"/>
        </w:rPr>
        <w:t>Section 6.9</w:t>
      </w:r>
      <w:r>
        <w:rPr>
          <w:rFonts w:ascii="Times New Roman" w:hAnsi="Times New Roman"/>
          <w:sz w:val="20"/>
        </w:rPr>
        <w:t xml:space="preserve"> shall terminate and be of no further force or effect upon the earlier of (i) the date immediately prior to the consummation of a Public Offering, (ii) the date when the Corporation first becomes subject to the periodic reporting requirements of Section 12(g) or 15(d) of the Securities Exchange Act of 1934, as amended, or (iii) a Deemed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Converted, Redeemed or Otherwise Acquired Shares</w:t>
      </w:r>
      <w:r>
        <w:rPr>
          <w:rFonts w:ascii="Times New Roman" w:hAnsi="Times New Roman"/>
          <w:sz w:val="20"/>
        </w:rPr>
        <w:t xml:space="preserve">. Any shares of Preferred Stock that are converted,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Waiver</w:t>
      </w:r>
      <w:r>
        <w:rPr>
          <w:rFonts w:ascii="Times New Roman" w:hAnsi="Times New Roman"/>
          <w:sz w:val="20"/>
        </w:rPr>
        <w:t xml:space="preserve">. Any of the rights, powers, preferences and other terms of the Series G-2 Preferred Stock set forth herein may be waived on behalf of all holders of Series G-2 Preferred Stock by the affirmative written consent or vote of the holders of a majority of the shares of Series G-2 Preferred Stock then outstanding, voting as a separate class. Any of the rights, powers, preferences and other terms of the Series G Preferred Stock set forth herein may be waived on behalf of all holders of Series G Preferred Stock by the affirmative written consent or vote of the holders of a majority of the shares of Series G Preferred Stock then outstanding, voting as a separate class. Any of the rights, powers, preferences and other terms of the Series F Preferred Stock set forth herein may be waived on behalf of all holders of Series F Preferred Stock by the affirmative written consent or vote of the holders of a majority of the shares of Series F Preferred Stock then outstanding, voting as a separate class. Any of the rights, powers, preferences and other terms of the Series E Preferred Stock set forth herein may be waived on behalf of all holders of Series E Preferred Stock by the affirmative written consent or vote of the holders of a majority of the shares of Series E Preferred Stock then outstanding, voting as a separate class. Any of the rights, powers, preferences and other terms of the Series D Preferred Stock set forth herein may be waived on behalf of all holders of Series D Preferred Stock by the affirmative written consent or vote of the holders of at least sixty percent (60%) of the shares of Series D Preferred Stock then outstanding, voting as a separate class. Any of the rights, powers, preferences and other terms of the Series C Preferred Stock set forth herein may be waived on behalf of all holders of Series C Preferred Stock by the affirmative written consent or vote of the holders of at least sixty percent (60%) of the shares of Series C Preferred Stock then outstanding, voting as a separate class. Any of the rights, powers, preferences and other terms of any other series of Preferred Stock (other than the Series E Preferred Stock, Series D Preferred Stock and Series C Preferred Stock) set forth herein may be waived on behalf of all holders of such series of Preferred Stock by the affirmative written consent or vote of the holders of a majority of the shares of such series of Preferred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Notices</w:t>
      </w:r>
      <w:r>
        <w:rPr>
          <w:rFonts w:ascii="Times New Roman" w:hAnsi="Times New Roman"/>
          <w:sz w:val="20"/>
        </w:rPr>
        <w:t xml:space="preserve">. Any notice required or permitted by the provisions of this Article Seventh to be given to a holder of shares of Preferred Stock shall be mailed, postage prepaid, to the post office address last shown on the records of the Corporation, or given by electronic communication in compliance with the provisions of the DGCL, and shall be deemed sent upon such mailing or electronic 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EIGHTH: </w:t>
      </w:r>
      <w:r>
        <w:rPr>
          <w:rFonts w:ascii="Times New Roman" w:hAnsi="Times New Roman"/>
          <w:sz w:val="20"/>
        </w:rPr>
        <w:t xml:space="preserve">Subject to any additional vote required by this Restated Certificate or Bylaws, in furtherance and not in limitation of the powers conferred by statute, the Board is expressly authorized to make, repeal, alter, amend and rescind any or all of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 xml:space="preserve">NINTH: </w:t>
      </w:r>
      <w:r>
        <w:rPr>
          <w:rFonts w:ascii="Times New Roman" w:hAnsi="Times New Roman"/>
          <w:sz w:val="20"/>
        </w:rPr>
        <w:t xml:space="preserve">Subject to any additional vote required by this Restated Certificate, the number of directors of the Corporation shall be determined in the manner set forth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 xml:space="preserve">TENTH: </w:t>
      </w:r>
      <w:r>
        <w:rPr>
          <w:rFonts w:ascii="Times New Roman" w:hAnsi="Times New Roman"/>
          <w:sz w:val="20"/>
        </w:rPr>
        <w:t xml:space="preserve">Elections of directors need not be by written ballot unless the Bylaws of the Corporation shall so provide. </w:t>
      </w:r>
    </w:p>
    <w:p>
      <w:pPr>
        <w:pStyle w:val="TextBody"/>
        <w:bidi w:val="0"/>
        <w:spacing w:before="240" w:after="0"/>
        <w:jc w:val="left"/>
        <w:rPr>
          <w:rFonts w:ascii="Times New Roman" w:hAnsi="Times New Roman"/>
          <w:sz w:val="20"/>
        </w:rPr>
      </w:pPr>
      <w:r>
        <w:rPr>
          <w:rFonts w:ascii="Times New Roman" w:hAnsi="Times New Roman"/>
          <w:b/>
          <w:sz w:val="20"/>
        </w:rPr>
        <w:t xml:space="preserve">ELEVENTH: </w:t>
      </w:r>
      <w:r>
        <w:rPr>
          <w:rFonts w:ascii="Times New Roman" w:hAnsi="Times New Roman"/>
          <w:sz w:val="20"/>
        </w:rPr>
        <w:t xml:space="preserve">Meetings of stockholders may be held within or without the State of Delaware, as the Bylaws of the Corporation may provide. The books of the Corporation may be kept outside the State of Delaware at such place or places as may be designated from time to time by the Board or in the Bylaws of the Corporation. </w:t>
      </w:r>
    </w:p>
    <w:p>
      <w:pPr>
        <w:pStyle w:val="TextBody"/>
        <w:bidi w:val="0"/>
        <w:spacing w:before="240" w:after="0"/>
        <w:jc w:val="left"/>
        <w:rPr>
          <w:rFonts w:ascii="Times New Roman" w:hAnsi="Times New Roman"/>
          <w:sz w:val="20"/>
        </w:rPr>
      </w:pPr>
      <w:r>
        <w:rPr>
          <w:rFonts w:ascii="Times New Roman" w:hAnsi="Times New Roman"/>
          <w:b/>
          <w:sz w:val="20"/>
        </w:rPr>
        <w:t xml:space="preserve">TWELFTH: </w:t>
      </w:r>
      <w:r>
        <w:rPr>
          <w:rFonts w:ascii="Times New Roman" w:hAnsi="Times New Roman"/>
          <w:sz w:val="20"/>
        </w:rPr>
        <w:t xml:space="preserve">To the fullest extent permitted by law, a director of the Corporation shall not be personally liable to the Corporation or its stockholders for monetary damages for breach of fiduciary duty as a director. If the DGCL or any other law of the State of Delaware is amended after approval by the stockholders of this Article Twelfth to authorize corporate action further eliminating or limiting the personal liability of directors, then the liability of a director of the Corporation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repeal or modification of the foregoing provisions of this Article Twelfth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 </w:t>
      </w:r>
    </w:p>
    <w:p>
      <w:pPr>
        <w:pStyle w:val="TextBody"/>
        <w:bidi w:val="0"/>
        <w:spacing w:before="240" w:after="0"/>
        <w:jc w:val="left"/>
        <w:rPr>
          <w:rFonts w:ascii="Times New Roman" w:hAnsi="Times New Roman"/>
          <w:sz w:val="20"/>
        </w:rPr>
      </w:pPr>
      <w:r>
        <w:rPr>
          <w:rFonts w:ascii="Times New Roman" w:hAnsi="Times New Roman"/>
          <w:b/>
          <w:sz w:val="20"/>
        </w:rPr>
        <w:t xml:space="preserve">THIRTEENTH: </w:t>
      </w:r>
      <w:r>
        <w:rPr>
          <w:rFonts w:ascii="Times New Roman" w:hAnsi="Times New Roman"/>
          <w:sz w:val="20"/>
        </w:rPr>
        <w:t xml:space="preserve">To the fullest extent permitted by applicable law, the Corporation is authorized to provide indemnification of (and advancement of expenses to) directors, officers and agents of the Corporation (and any other persons to which the DGCL permits the Corporation to provide indemnification) through Bylaw provisions, agreements with such agents or other persons, vote of stockholders or disinterested directors or otherwise, in excess of the indemnification and advancement otherwise permitted by Section 145 of the DGCL.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Thirteenth shall not adversely affect any right or protection of any director, officer or other agent of the Corporation existing at the time of such amendment, repeal or modification. </w:t>
      </w:r>
    </w:p>
    <w:p>
      <w:pPr>
        <w:pStyle w:val="TextBody"/>
        <w:bidi w:val="0"/>
        <w:spacing w:before="240" w:after="0"/>
        <w:jc w:val="left"/>
        <w:rPr>
          <w:rFonts w:ascii="Times New Roman" w:hAnsi="Times New Roman"/>
          <w:sz w:val="20"/>
        </w:rPr>
      </w:pPr>
      <w:r>
        <w:rPr>
          <w:rFonts w:ascii="Times New Roman" w:hAnsi="Times New Roman"/>
          <w:b/>
          <w:sz w:val="20"/>
        </w:rPr>
        <w:t xml:space="preserve">FOURTEENTH: </w:t>
      </w:r>
      <w:r>
        <w:rPr>
          <w:rFonts w:ascii="Times New Roman" w:hAnsi="Times New Roman"/>
          <w:sz w:val="20"/>
        </w:rPr>
        <w:t>The Corporation renounces, to the fullest extent permitted by law, any interest or expectancy of the Corporation in, or in being offered an opportunity to participate in, any Excluded Opportunity. An </w:t>
      </w:r>
      <w:r>
        <w:rPr>
          <w:rFonts w:ascii="Times New Roman" w:hAnsi="Times New Roman"/>
          <w:b/>
          <w:i/>
          <w:sz w:val="20"/>
        </w:rPr>
        <w:t>Excluded Opportunity</w:t>
      </w:r>
      <w:r>
        <w:rPr>
          <w:rFonts w:ascii="Times New Roman" w:hAnsi="Times New Roman"/>
          <w:sz w:val="20"/>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any of its subsidiaries (collectively, </w:t>
      </w:r>
      <w:r>
        <w:rPr>
          <w:rFonts w:ascii="Times New Roman" w:hAnsi="Times New Roman"/>
          <w:b/>
          <w:i/>
          <w:sz w:val="20"/>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Fourteenth will only be prospective and will not affect the rights under this Article Fourteenth in effect at the time of the occurrence or of any actions or omissions to act giving rise to liability. Notwithstanding anything to the contrary contained elsewhere in this Amended and Restated Certificate of Incorporation, the affirmative vote of the Requisite Preferred Holders will be required to amend or repeal or to adopt any provisions inconsistent with this Article Fourteenth. </w:t>
      </w:r>
    </w:p>
    <w:p>
      <w:pPr>
        <w:pStyle w:val="TextBody"/>
        <w:bidi w:val="0"/>
        <w:spacing w:before="240" w:after="0"/>
        <w:jc w:val="left"/>
        <w:rPr>
          <w:rFonts w:ascii="Times New Roman" w:hAnsi="Times New Roman"/>
          <w:sz w:val="20"/>
        </w:rPr>
      </w:pPr>
      <w:r>
        <w:rPr>
          <w:rFonts w:ascii="Times New Roman" w:hAnsi="Times New Roman"/>
          <w:b/>
          <w:sz w:val="20"/>
        </w:rPr>
        <w:t xml:space="preserve">FIFTEENTH: </w:t>
      </w:r>
      <w:r>
        <w:rPr>
          <w:rFonts w:ascii="Times New Roman" w:hAnsi="Times New Roman"/>
          <w:sz w:val="20"/>
        </w:rPr>
        <w:t xml:space="preserve">The following indemnification provisions shall apply to the persons enumerated below.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Right to Indemnification of Directors and Officers</w:t>
      </w:r>
      <w:r>
        <w:rPr>
          <w:rFonts w:ascii="Times New Roman" w:hAnsi="Times New Roman"/>
          <w:sz w:val="20"/>
        </w:rPr>
        <w:t>. The Corporation shall indemnify and hold harmless, to the fullest extent permitted by applicable law as it presently exists or may hereafter be amended, any person (an </w:t>
      </w:r>
      <w:r>
        <w:rPr>
          <w:rFonts w:ascii="Times New Roman" w:hAnsi="Times New Roman"/>
          <w:b/>
          <w:i/>
          <w:sz w:val="20"/>
        </w:rPr>
        <w:t>Indemnified Person</w:t>
      </w:r>
      <w:r>
        <w:rPr>
          <w:rFonts w:ascii="Times New Roman" w:hAnsi="Times New Roman"/>
          <w:sz w:val="20"/>
        </w:rPr>
        <w:t>) who was or is made or is threatened to be made a party or is otherwise involved in any action, suit or proceeding, whether civil, criminal, administrative or investigative (a </w:t>
      </w:r>
      <w:r>
        <w:rPr>
          <w:rFonts w:ascii="Times New Roman" w:hAnsi="Times New Roman"/>
          <w:b/>
          <w:i/>
          <w:sz w:val="20"/>
        </w:rPr>
        <w:t>Proceeding</w:t>
      </w:r>
      <w:r>
        <w:rPr>
          <w:rFonts w:ascii="Times New Roman" w:hAnsi="Times New Roman"/>
          <w:sz w:val="20"/>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Times New Roman" w:hAnsi="Times New Roman"/>
          <w:sz w:val="20"/>
          <w:u w:val="single"/>
        </w:rPr>
        <w:t>Section 3</w:t>
      </w:r>
      <w:r>
        <w:rPr>
          <w:rFonts w:ascii="Times New Roman" w:hAnsi="Times New Roman"/>
          <w:sz w:val="20"/>
        </w:rPr>
        <w:t xml:space="preserve"> of this Article Fifteenth,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Prepayment of Expenses of Directors and Officers</w:t>
      </w:r>
      <w:r>
        <w:rPr>
          <w:rFonts w:ascii="Times New Roman" w:hAnsi="Times New Roman"/>
          <w:sz w:val="20"/>
        </w:rPr>
        <w:t xml:space="preserve">. The Corporation shall pay the expenses (including attorneys fees) incurred by an Indemnified Person in defending any Proceeding in advance of its final disposition, provided, however,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Fifteenth or otherwise.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Claims by Directors and Officers</w:t>
      </w:r>
      <w:r>
        <w:rPr>
          <w:rFonts w:ascii="Times New Roman" w:hAnsi="Times New Roman"/>
          <w:sz w:val="20"/>
        </w:rPr>
        <w:t xml:space="preserve">. If a claim for indemnification or advancement of expenses under this Article Fifteenth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Indemnification of Employees and Agents</w:t>
      </w:r>
      <w:r>
        <w:rPr>
          <w:rFonts w:ascii="Times New Roman" w:hAnsi="Times New Roman"/>
          <w:sz w:val="20"/>
        </w:rPr>
        <w:t xml:space="preserve">.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of the Corporation in its sole discretion. Notwithstanding the foregoing sentence, the Corporation shall not be required to indemnify a person in connection with a Proceeding initiated by such person if the Proceeding was not authorized in advance by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Advancement of Expenses of Employees and Agents</w:t>
      </w:r>
      <w:r>
        <w:rPr>
          <w:rFonts w:ascii="Times New Roman" w:hAnsi="Times New Roman"/>
          <w:sz w:val="20"/>
        </w:rPr>
        <w:t xml:space="preserve">. The Corporation may pay the expenses (including attorneys fees) incurred by an employee or agent in defending any Proceeding in advance of its final disposition on such terms and conditions as may be determined by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Non-Exclusivity of Rights</w:t>
      </w:r>
      <w:r>
        <w:rPr>
          <w:rFonts w:ascii="Times New Roman" w:hAnsi="Times New Roman"/>
          <w:sz w:val="20"/>
        </w:rPr>
        <w:t xml:space="preserve">. The rights conferred on any person by this Article Fifteenth shall not be exclusive of any other rights which such person may have or hereafter acquire under any statute, provision of the certificate of incorporation, these by-laws, agreement, vote of stockholders or disinterested directors or otherwise.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Other Indemnification</w:t>
      </w:r>
      <w:r>
        <w:rPr>
          <w:rFonts w:ascii="Times New Roman" w:hAnsi="Times New Roman"/>
          <w:sz w:val="20"/>
        </w:rPr>
        <w:t xml:space="preserve">.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Insurance</w:t>
      </w:r>
      <w:r>
        <w:rPr>
          <w:rFonts w:ascii="Times New Roman" w:hAnsi="Times New Roman"/>
          <w:sz w:val="20"/>
        </w:rPr>
        <w:t xml:space="preserve">. The Board of Directors of the Corporation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Fifteenth; and (b) to indemnify or insure directors, officers and employees against liability in instances in which they may not otherwise be indemnified by the Corporation under the provisions of this Article Fifteenth.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 or Repeal</w:t>
      </w:r>
      <w:r>
        <w:rPr>
          <w:rFonts w:ascii="Times New Roman" w:hAnsi="Times New Roman"/>
          <w:sz w:val="20"/>
        </w:rPr>
        <w:t xml:space="preserve">. Any repeal or modification of the foregoing provisions of this Article Fifteenth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SIXTEENTH: </w:t>
      </w:r>
      <w:r>
        <w:rPr>
          <w:rFonts w:ascii="Times New Roman" w:hAnsi="Times New Roman"/>
          <w:sz w:val="20"/>
        </w:rPr>
        <w:t xml:space="preserve">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Sixteenth (including, without limitation, each portion of any sentence of this Article Sixteenth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4. That the foregoing amendment and restatement was approved by the holders of the requisite number of shares of this corporation in accordance with Section 228 of the DGCL. </w:t>
      </w:r>
    </w:p>
    <w:p>
      <w:pPr>
        <w:pStyle w:val="TextBody"/>
        <w:bidi w:val="0"/>
        <w:spacing w:before="240" w:after="0"/>
        <w:jc w:val="left"/>
        <w:rPr>
          <w:rFonts w:ascii="Times New Roman" w:hAnsi="Times New Roman"/>
          <w:sz w:val="20"/>
        </w:rPr>
      </w:pPr>
      <w:r>
        <w:rPr>
          <w:rFonts w:ascii="Times New Roman" w:hAnsi="Times New Roman"/>
          <w:sz w:val="20"/>
        </w:rPr>
        <w:t xml:space="preserve">5. That this Ninth Amended and Restated Certificate of Incorporation, which restates and integrates and further amends the provisions of this corporations Eighth Amended and Restated Certificate of Incorporation, has been duly adopted in accordance with Sections 242 and 245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Ninth Amended and Restated Certificate of Incorporation has been executed by a duly authorized officer of this corporation on this 19th day of November, 2020.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Ryan Fukushima</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Ryan Fukushima</w:t>
            </w:r>
          </w:p>
          <w:p>
            <w:pPr>
              <w:pStyle w:val="TableContents"/>
              <w:bidi w:val="0"/>
              <w:spacing w:before="0" w:after="20"/>
              <w:jc w:val="left"/>
              <w:rPr>
                <w:rFonts w:ascii="Times New Roman" w:hAnsi="Times New Roman"/>
                <w:sz w:val="20"/>
              </w:rPr>
            </w:pPr>
            <w:r>
              <w:rPr>
                <w:rFonts w:ascii="Times New Roman" w:hAnsi="Times New Roman"/>
                <w:sz w:val="20"/>
              </w:rPr>
              <w:t>Chief Operating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NINTH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left"/>
        <w:rPr>
          <w:rFonts w:ascii="Times New Roman" w:hAnsi="Times New Roman"/>
          <w:sz w:val="20"/>
        </w:rPr>
      </w:pPr>
      <w:r>
        <w:rPr>
          <w:rFonts w:ascii="Times New Roman" w:hAnsi="Times New Roman"/>
          <w:sz w:val="20"/>
        </w:rPr>
        <w:t>Tempus Labs, Inc., a corporation organized and existing under and by virtue of the provisions of the General Corporation Law of the State of Delaware (the </w:t>
      </w:r>
      <w:r>
        <w:rPr>
          <w:rFonts w:ascii="Times New Roman" w:hAnsi="Times New Roman"/>
          <w:b/>
          <w:i/>
          <w:sz w:val="20"/>
        </w:rPr>
        <w:t>DGCL</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sz w:val="20"/>
        </w:rPr>
        <w:t xml:space="preserve">That the name of this corporation is Tempus Labs, Inc., and that this corporation was originally incorporated pursuant to the DGCL on September 21, 2015 under the name Bioin, Inc. </w:t>
      </w:r>
    </w:p>
    <w:p>
      <w:pPr>
        <w:pStyle w:val="TextBody"/>
        <w:bidi w:val="0"/>
        <w:spacing w:before="240" w:after="0"/>
        <w:jc w:val="left"/>
        <w:rPr>
          <w:rFonts w:ascii="Times New Roman" w:hAnsi="Times New Roman"/>
          <w:sz w:val="20"/>
        </w:rPr>
      </w:pPr>
      <w:r>
        <w:rPr>
          <w:rFonts w:ascii="Times New Roman" w:hAnsi="Times New Roman"/>
          <w:sz w:val="20"/>
        </w:rPr>
        <w:t xml:space="preserve">That the original Certificate of Incorporation of this corporation was amended by a Certificate of Amendment filed with the Secretary of State 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That the Board of Directors duly adopted resolutions proposing to amend the Ninth Amended and Restated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Ninth Amended and Restated Certificate of Incorporation of this corporation be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Article FOURTH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b/>
          <w:sz w:val="20"/>
        </w:rPr>
        <w:t>FOURTH</w:t>
      </w:r>
      <w:r>
        <w:rPr>
          <w:rFonts w:ascii="Times New Roman" w:hAnsi="Times New Roman"/>
          <w:sz w:val="20"/>
        </w:rPr>
        <w:t>: The Corporation is authorized to issue four classes of stock to be designated, respectively,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w:t>
      </w:r>
      <w:r>
        <w:rPr>
          <w:rFonts w:ascii="Times New Roman" w:hAnsi="Times New Roman"/>
          <w:b/>
          <w:i/>
          <w:sz w:val="20"/>
        </w:rPr>
        <w:t>Nonvoting Common Stock</w:t>
      </w:r>
      <w:r>
        <w:rPr>
          <w:rFonts w:ascii="Times New Roman" w:hAnsi="Times New Roman"/>
          <w:sz w:val="20"/>
        </w:rPr>
        <w:t> and </w:t>
      </w:r>
      <w:r>
        <w:rPr>
          <w:rFonts w:ascii="Times New Roman" w:hAnsi="Times New Roman"/>
          <w:b/>
          <w:i/>
          <w:sz w:val="20"/>
        </w:rPr>
        <w:t>Preferred Stock.</w:t>
      </w:r>
      <w:r>
        <w:rPr>
          <w:rFonts w:ascii="Times New Roman" w:hAnsi="Times New Roman"/>
          <w:sz w:val="20"/>
        </w:rPr>
        <w:t> The total number of shares of all classes of stock which the Corporation is authorized to issue is 315,782,557 shares, of which (i) 181,700,285 shares shall be Class A Common Stock (the </w:t>
      </w: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Stock</w:t>
      </w:r>
      <w:r>
        <w:rPr>
          <w:rFonts w:ascii="Times New Roman" w:hAnsi="Times New Roman"/>
          <w:sz w:val="20"/>
        </w:rPr>
        <w:t>), (ii) 5,374,899 shares shall be Class B Common Stock (the </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(iii) 63,946,627 shares shall be Nonvoting Common Stock (the </w:t>
      </w:r>
      <w:r>
        <w:rPr>
          <w:rFonts w:ascii="Times New Roman" w:hAnsi="Times New Roman"/>
          <w:b/>
          <w:i/>
          <w:sz w:val="20"/>
        </w:rPr>
        <w:t>Nonvoting Common Stock</w:t>
      </w:r>
      <w:r>
        <w:rPr>
          <w:rFonts w:ascii="Times New Roman" w:hAnsi="Times New Roman"/>
          <w:sz w:val="20"/>
        </w:rPr>
        <w:t>), and (iv) 64,760,746 shares shall be Preferred Stock (</w:t>
      </w:r>
      <w:r>
        <w:rPr>
          <w:rFonts w:ascii="Times New Roman" w:hAnsi="Times New Roman"/>
          <w:b/>
          <w:i/>
          <w:sz w:val="20"/>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Article FIFTH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b/>
          <w:sz w:val="20"/>
        </w:rPr>
        <w:t>FIFTH</w:t>
      </w:r>
      <w:r>
        <w:rPr>
          <w:rFonts w:ascii="Times New Roman" w:hAnsi="Times New Roman"/>
          <w:sz w:val="20"/>
        </w:rPr>
        <w:t>: Each share of Class A Common Stock and Class B Common Stock (referred to herein, collectively, as the </w:t>
      </w:r>
      <w:r>
        <w:rPr>
          <w:rFonts w:ascii="Times New Roman" w:hAnsi="Times New Roman"/>
          <w:b/>
          <w:i/>
          <w:sz w:val="20"/>
        </w:rPr>
        <w:t>Voting Common Stock</w:t>
      </w:r>
      <w:r>
        <w:rPr>
          <w:rFonts w:ascii="Times New Roman" w:hAnsi="Times New Roman"/>
          <w:sz w:val="20"/>
        </w:rPr>
        <w:t>) shall have a par value of $0.0001 per share, Each share of Nonvoting Common Stock shall have a par value of $0.0001 per share. The Voting Common Stock and Nonvoting Common Stock are referred to herein, collectively, as the </w:t>
      </w:r>
      <w:r>
        <w:rPr>
          <w:rFonts w:ascii="Times New Roman" w:hAnsi="Times New Roman"/>
          <w:b/>
          <w:i/>
          <w:sz w:val="20"/>
        </w:rPr>
        <w:t>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Immediately upon the date upon which this Certificate of Amendment to the Ninth Amended and Restated Certificate of Incorporation is accepted for filing by the Secretary of State of the State of Delaware (the </w:t>
      </w:r>
      <w:r>
        <w:rPr>
          <w:rFonts w:ascii="Times New Roman" w:hAnsi="Times New Roman"/>
          <w:b/>
          <w:i/>
          <w:sz w:val="20"/>
        </w:rPr>
        <w:t>Effective Time</w:t>
      </w:r>
      <w:r>
        <w:rPr>
          <w:rFonts w:ascii="Times New Roman" w:hAnsi="Times New Roman"/>
          <w:sz w:val="20"/>
        </w:rPr>
        <w:t>), each share of the Corporations Voting Common Stock issued and outstanding or held as treasury stock immediately prior to the Effective Time (the </w:t>
      </w:r>
      <w:r>
        <w:rPr>
          <w:rFonts w:ascii="Times New Roman" w:hAnsi="Times New Roman"/>
          <w:b/>
          <w:i/>
          <w:sz w:val="20"/>
        </w:rPr>
        <w:t>Old Voting Common Stock</w:t>
      </w:r>
      <w:r>
        <w:rPr>
          <w:rFonts w:ascii="Times New Roman" w:hAnsi="Times New Roman"/>
          <w:sz w:val="20"/>
        </w:rPr>
        <w:t>), shall, automatically and without further action by any stockholder, be reclassified as, and shall become, one (1) share of Class A Common Stock (the </w:t>
      </w:r>
      <w:r>
        <w:rPr>
          <w:rFonts w:ascii="Times New Roman" w:hAnsi="Times New Roman"/>
          <w:b/>
          <w:i/>
          <w:sz w:val="20"/>
        </w:rPr>
        <w:t>Reclassification</w:t>
      </w:r>
      <w:r>
        <w:rPr>
          <w:rFonts w:ascii="Times New Roman" w:hAnsi="Times New Roman"/>
          <w:sz w:val="20"/>
        </w:rPr>
        <w:t>). All of the shares of Class A Common Stock issued in the Reclassification shall, pursuant to a resolution adopted by the Board of Directors (the </w:t>
      </w:r>
      <w:r>
        <w:rPr>
          <w:rFonts w:ascii="Times New Roman" w:hAnsi="Times New Roman"/>
          <w:b/>
          <w:i/>
          <w:sz w:val="20"/>
        </w:rPr>
        <w:t>Board</w:t>
      </w:r>
      <w:r>
        <w:rPr>
          <w:rFonts w:ascii="Times New Roman" w:hAnsi="Times New Roman"/>
          <w:sz w:val="20"/>
        </w:rPr>
        <w:t xml:space="preserve">), be uncertificated shares, and the person registered on the Corporations books as the owner of any share or shares of Old Voting Common Stock shall be registered on this corporations books as the owner of any share or shares of Class A Common Stock issued upon the Reclassification. Each stock certificate that immediately prior to the Effective Time represented shares of Old Voting Common Stock shall, from and after the Effective Time, be deemed to be cancelled, shall be null and void, and shall no longer represent any interest in this corporations capital stock. The Reclassification shall also apply to any outstanding securities or rights convertible into, or exchangeable or exercisable for, Old Voting Common Stock of the Corporation. The Corporation shall not be obligated to issue any certificate or certificates representing shares of Class A Common Stock issued pursuant to the Reclassification. </w:t>
      </w:r>
    </w:p>
    <w:p>
      <w:pPr>
        <w:pStyle w:val="TextBody"/>
        <w:bidi w:val="0"/>
        <w:spacing w:before="240" w:after="0"/>
        <w:jc w:val="left"/>
        <w:rPr>
          <w:rFonts w:ascii="Times New Roman" w:hAnsi="Times New Roman"/>
          <w:sz w:val="20"/>
        </w:rPr>
      </w:pPr>
      <w:r>
        <w:rPr>
          <w:rFonts w:ascii="Times New Roman" w:hAnsi="Times New Roman"/>
          <w:sz w:val="20"/>
        </w:rPr>
        <w:t xml:space="preserve">Article SEVENTH, Part A, Section 1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General</w:t>
      </w:r>
      <w:r>
        <w:rPr>
          <w:rFonts w:ascii="Times New Roman" w:hAnsi="Times New Roman"/>
          <w:sz w:val="20"/>
        </w:rPr>
        <w:t>. The voting, dividend, liquidation and other rights, powers and preferences of the holders of the Class A Common Stock, Class B Common Stock and Nonvoting Common Stock are subject to and qualified by the rights, powers and preferences of the holders of the Preferred Stock set forth herein. Except as otherwise provided in this Ninth Amended and Restated Certificate of Incorporation, as amended (the </w:t>
      </w:r>
      <w:r>
        <w:rPr>
          <w:rFonts w:ascii="Times New Roman" w:hAnsi="Times New Roman"/>
          <w:b/>
          <w:i/>
          <w:sz w:val="20"/>
        </w:rPr>
        <w:t>Restated Certificate</w:t>
      </w:r>
      <w:r>
        <w:rPr>
          <w:rFonts w:ascii="Times New Roman" w:hAnsi="Times New Roman"/>
          <w:sz w:val="20"/>
        </w:rPr>
        <w:t xml:space="preserve">), or required by applicable law, shares of Class A Common Stock, Class B Common Stock and Nonvoting Common Stock shall have the same rights, privileges and powers, rank equally (including as to dividends and distributions, and upon any liquidation, dissolution, distribution of assets or winding up of the Corporation), share ratably and be identical in all respects and as to all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Article SEVENTH, Part A, Section 2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Voting</w:t>
      </w:r>
      <w:r>
        <w:rPr>
          <w:rFonts w:ascii="Times New Roman" w:hAnsi="Times New Roman"/>
          <w:sz w:val="20"/>
        </w:rPr>
        <w:t>. Except as otherwise required by applicable law, at all meetings of stockholders and on all matters submitted to a vote of stockholders of the Corporation generally (including written actions in lieu of meetings), each holder of the Class A Common Stock shall be entitled to one (1) vote for each share of Class A Common Stock held of record by such holder, and each holder of Class B Common Stock shall be entitled to fifteen (15) votes for each share of Class B Common Stock held of record by such holder. Except as otherwise required by applicable law or provided in this Restated Certificate,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w:t>
      </w:r>
      <w:r>
        <w:rPr>
          <w:rFonts w:ascii="Times New Roman" w:hAnsi="Times New Roman"/>
          <w:b/>
          <w:i/>
          <w:sz w:val="20"/>
        </w:rPr>
        <w:t>Bylaws</w:t>
      </w:r>
      <w:r>
        <w:rPr>
          <w:rFonts w:ascii="Times New Roman" w:hAnsi="Times New Roman"/>
          <w:sz w:val="20"/>
        </w:rPr>
        <w:t xml:space="preserve">), and (c) be entitled to vote upon such matters and in such manner as may be provided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required by law, holders of Voting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the Restated Certificate or pursuant to the DGCL. The holders of Nonvoting Common Stock shall have no voting rights, except as required by law. There shall be no cumulative voting. Subject to </w:t>
      </w:r>
      <w:r>
        <w:rPr>
          <w:rFonts w:ascii="Times New Roman" w:hAnsi="Times New Roman"/>
          <w:sz w:val="20"/>
          <w:u w:val="single"/>
        </w:rPr>
        <w:t>Sections 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3.5</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w:t>
      </w:r>
      <w:r>
        <w:rPr>
          <w:rFonts w:ascii="Times New Roman" w:hAnsi="Times New Roman"/>
          <w:sz w:val="20"/>
          <w:u w:val="single"/>
        </w:rPr>
        <w:t>3.8</w:t>
      </w:r>
      <w:r>
        <w:rPr>
          <w:rFonts w:ascii="Times New Roman" w:hAnsi="Times New Roman"/>
          <w:sz w:val="20"/>
        </w:rPr>
        <w:t xml:space="preserve"> and </w:t>
      </w:r>
      <w:r>
        <w:rPr>
          <w:rFonts w:ascii="Times New Roman" w:hAnsi="Times New Roman"/>
          <w:sz w:val="20"/>
          <w:u w:val="single"/>
        </w:rPr>
        <w:t>3.9</w:t>
      </w:r>
      <w:r>
        <w:rPr>
          <w:rFonts w:ascii="Times New Roman" w:hAnsi="Times New Roman"/>
          <w:sz w:val="20"/>
        </w:rPr>
        <w:t xml:space="preserve"> of Part B below, the number of authorized shares of Class A Common Stock, Class B Common Stock, Nonvoting Common Stock or Preferred Stock may be increased or decreased (but not below (i) the number of shares thereof then outstanding and (ii) with respect to the Class A Common Stock, the number of shares of Class A Common Stock reserved pursuant to </w:t>
      </w:r>
      <w:r>
        <w:rPr>
          <w:rFonts w:ascii="Times New Roman" w:hAnsi="Times New Roman"/>
          <w:sz w:val="20"/>
          <w:u w:val="single"/>
        </w:rPr>
        <w:t>Section 4</w:t>
      </w:r>
      <w:r>
        <w:rPr>
          <w:rFonts w:ascii="Times New Roman" w:hAnsi="Times New Roman"/>
          <w:sz w:val="20"/>
        </w:rPr>
        <w:t xml:space="preserve"> of Part A of this Article Seventh) by (in addition to any vote of the holders of one or more series of Preferred Stock that may be required by the terms of this Restated Certificate) the affirmative vote of the holders of capital stock representing a majority of the voting power of all the then-outstanding shares of capital stock of the Corporation entitled to vote thereon, irrespective of the provisions of Section 242(b)(2) of DGCL, and no vote of the holders of any shares of Nonvoting Common Stock, voting as a separate class, shall be required therefor. </w:t>
      </w:r>
    </w:p>
    <w:p>
      <w:pPr>
        <w:pStyle w:val="TextBody"/>
        <w:bidi w:val="0"/>
        <w:spacing w:before="240" w:after="0"/>
        <w:jc w:val="left"/>
        <w:rPr>
          <w:rFonts w:ascii="Times New Roman" w:hAnsi="Times New Roman"/>
          <w:sz w:val="20"/>
        </w:rPr>
      </w:pPr>
      <w:r>
        <w:rPr>
          <w:rFonts w:ascii="Times New Roman" w:hAnsi="Times New Roman"/>
          <w:sz w:val="20"/>
        </w:rPr>
        <w:t xml:space="preserve">Article SEVENTH, Part A, Section 3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Optional Conversion of Class B Common Stock</w:t>
      </w:r>
      <w:r>
        <w:rPr>
          <w:rFonts w:ascii="Times New Roman" w:hAnsi="Times New Roman"/>
          <w:sz w:val="20"/>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shares of Class B Common Stock into shares of Class A Common Stock, such holder shall surrender the certificate or certificates therefor (if any), duly endorsed, at the principal corporate office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on the date of such surrender of the shares of Class B Common Stock to be converted following or contemporaneously with the provision of written notice of such conversion election as required by this </w:t>
      </w:r>
      <w:r>
        <w:rPr>
          <w:rFonts w:ascii="Times New Roman" w:hAnsi="Times New Roman"/>
          <w:sz w:val="20"/>
          <w:u w:val="single"/>
        </w:rPr>
        <w:t>Section 3.1</w:t>
      </w:r>
      <w:r>
        <w:rPr>
          <w:rFonts w:ascii="Times New Roman" w:hAnsi="Times New Roman"/>
          <w:sz w:val="20"/>
        </w:rPr>
        <w:t xml:space="preserve">,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Automatic Conversion of Class B Common Stock</w:t>
      </w:r>
      <w:r>
        <w:rPr>
          <w:rFonts w:ascii="Times New Roman" w:hAnsi="Times New Roman"/>
          <w:sz w:val="20"/>
        </w:rPr>
        <w:t xml:space="preserve">. Each share of Class B Common Stock shall automatically convert into one (1) fully paid and nonassessable share of Class A Common Stock upon the occurrence of an event described below: </w:t>
      </w:r>
    </w:p>
    <w:p>
      <w:pPr>
        <w:pStyle w:val="TextBody"/>
        <w:bidi w:val="0"/>
        <w:spacing w:before="120" w:after="0"/>
        <w:jc w:val="left"/>
        <w:rPr>
          <w:rFonts w:ascii="Times New Roman" w:hAnsi="Times New Roman"/>
          <w:sz w:val="20"/>
        </w:rPr>
      </w:pPr>
      <w:r>
        <w:rPr>
          <w:rFonts w:ascii="Times New Roman" w:hAnsi="Times New Roman"/>
          <w:sz w:val="20"/>
        </w:rPr>
        <w:t xml:space="preserve">3.2.1 Each share of Class B Common Stock shall automatically, without further action by the Corporation or the holder thereof, convert into one (1) fully paid and nonassessable share of Class A Common Stock upon the date that is twenty (20) years from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3.2.2 Each share of Class B Common Stock shall automatically, without further action by the Corporation or the holder thereof, convert into one (1) fully paid and nonassessable share of Class A Common Stock upon the upon the first date on which Eric P. Lefkofsky and his Controlled Affiliates (as defined in </w:t>
      </w:r>
      <w:r>
        <w:rPr>
          <w:rFonts w:ascii="Times New Roman" w:hAnsi="Times New Roman"/>
          <w:sz w:val="20"/>
          <w:u w:val="single"/>
        </w:rPr>
        <w:t>Section 5.1.1(g)</w:t>
      </w:r>
      <w:r>
        <w:rPr>
          <w:rFonts w:ascii="Times New Roman" w:hAnsi="Times New Roman"/>
          <w:sz w:val="20"/>
        </w:rPr>
        <w:t xml:space="preserve"> below) collectively own less than 10,000,000 shares of capital stock of the Corporation, as adjusted for any stock splits, stock dividends, combinations, subdivisions, recapitalizations or the like. </w:t>
      </w:r>
    </w:p>
    <w:p>
      <w:pPr>
        <w:pStyle w:val="TextBody"/>
        <w:bidi w:val="0"/>
        <w:spacing w:before="120" w:after="0"/>
        <w:jc w:val="left"/>
        <w:rPr>
          <w:rFonts w:ascii="Times New Roman" w:hAnsi="Times New Roman"/>
          <w:sz w:val="20"/>
        </w:rPr>
      </w:pPr>
      <w:r>
        <w:rPr>
          <w:rFonts w:ascii="Times New Roman" w:hAnsi="Times New Roman"/>
          <w:sz w:val="20"/>
        </w:rPr>
        <w:t xml:space="preserve">3.2.3 Each outstanding share of Class B Common Stock shall automatically, without further action by the Corporation or the holder thereof, convert into one (1) fully paid and nonassessable share of Class A Common Stock in the event that Eric P. Lefkofskys employment or service with the Corporation as an executive officer or member of the Board has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3.2.4 Each outstanding share of Class B Common Stock shall automatically, without further action by the Corporation or the holder thereof, convert into one (I) fully paid and nonassessable share of Class A Common Stock upon any sale, assignment, transfer, conveyance, hypothecation or other disposition of any legal or beneficial interest in such share, whether or not for value and whether voluntary or involuntary or by operation of law (a </w:t>
      </w:r>
      <w:r>
        <w:rPr>
          <w:rFonts w:ascii="Times New Roman" w:hAnsi="Times New Roman"/>
          <w:b/>
          <w:i/>
          <w:sz w:val="20"/>
        </w:rPr>
        <w:t>Transfer</w:t>
      </w:r>
      <w:r>
        <w:rPr>
          <w:rFonts w:ascii="Times New Roman" w:hAnsi="Times New Roman"/>
          <w:sz w:val="20"/>
        </w:rPr>
        <w:t xml:space="preserve">), other than a Transfer by a holder of Class B Common Stock to any of its Controlled Affiliates.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Mandatory Conversion of Nonvoting Common Stock</w:t>
      </w:r>
      <w:r>
        <w:rPr>
          <w:rFonts w:ascii="Times New Roman" w:hAnsi="Times New Roman"/>
          <w:sz w:val="20"/>
        </w:rPr>
        <w:t xml:space="preserve">. All outstanding shares of Nonvoting Common Stock shall automatically be converted into shares of Class A Common Stock at the Nonvoting Mandatory Conversion Time (as defined below). </w:t>
      </w:r>
      <w:r>
        <w:rPr>
          <w:rFonts w:ascii="Times New Roman" w:hAnsi="Times New Roman"/>
          <w:sz w:val="20"/>
          <w:u w:val="single"/>
        </w:rPr>
        <w:t>Section 5</w:t>
      </w:r>
      <w:r>
        <w:rPr>
          <w:rFonts w:ascii="Times New Roman" w:hAnsi="Times New Roman"/>
          <w:sz w:val="20"/>
        </w:rPr>
        <w:t xml:space="preserve"> of Part B of this Article Seventh states the mandatory conversion conditions and mechanics. </w:t>
      </w:r>
    </w:p>
    <w:p>
      <w:pPr>
        <w:pStyle w:val="TextBody"/>
        <w:bidi w:val="0"/>
        <w:spacing w:before="240" w:after="0"/>
        <w:jc w:val="left"/>
        <w:rPr>
          <w:rFonts w:ascii="Times New Roman" w:hAnsi="Times New Roman"/>
          <w:sz w:val="20"/>
        </w:rPr>
      </w:pPr>
      <w:r>
        <w:rPr>
          <w:rFonts w:ascii="Times New Roman" w:hAnsi="Times New Roman"/>
          <w:sz w:val="20"/>
        </w:rPr>
        <w:t xml:space="preserve">Article SEVENTH, Part A is hereby amended to insert a new Section 4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Reservation of Stock</w:t>
      </w:r>
      <w:r>
        <w:rPr>
          <w:rFonts w:ascii="Times New Roman" w:hAnsi="Times New Roman"/>
          <w:sz w:val="20"/>
        </w:rPr>
        <w:t xml:space="preserve">.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Article SEVENTH, Part B, Section 3.1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General</w:t>
      </w:r>
      <w:r>
        <w:rPr>
          <w:rFonts w:ascii="Times New Roman" w:hAnsi="Times New Roman"/>
          <w:sz w:val="20"/>
        </w:rPr>
        <w:t xml:space="preserve">. On any matter presented to the stockholders of the Corporation for their action or consideration at any meeting of stockholders of the Corporation (or by written consent of stockholders in lieu of meeting), (a) each holder of outstanding shares of Series G-2 Preferred Stock, Series G Preferred Stock, Series F Preferred Stock, Series E Preferred Stock, Series D Preferred Stock, Series C Preferred Stock, Series B-2 Preferred Stock, Series B-1 Preferred Stock, and Series A Preferred Stock shall be entitled to cast the number of votes equal to the number of whole shares of Class A Common Stock into which such shares of Preferred Stock held by such holder are convertible, based on the then-current Conversion Price (as defined below) for such shares, as of the record date for determining stockholders entitled to vote on such matter, and (b) each holder of outstanding shares of Series B Preferred Stock shall be entitled to cast the number of votes equal to the voting power of the number of whole shares of Class B Common Stock into which the shares of Series B Preferred Stock held by such holder are convertible as of the record date for determining stockholders entitled to vote on such matter. Except as provided by applicable law or by the other provisions of this Restated Certificate, holders of Preferred Stock shall vote together with the holders of Voting Common Stock as a single class on all matters (including the election of directors) submitted to a vote of the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Article SEVENTH, Part B, Section 4.1.1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Conversion Ratio</w:t>
      </w:r>
      <w:r>
        <w:rPr>
          <w:rFonts w:ascii="Times New Roman" w:hAnsi="Times New Roman"/>
          <w:sz w:val="20"/>
        </w:rPr>
        <w:t>. Each share of Preferred Stock (other than the Series B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Original Issue Price for such series of Preferred Stock by the Conversion Price (as defined below) for such series of Preferred Stock in effect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Class B Common Stock as is determined by dividing the Original Issue Price for the Series B Preferred Stock by the Conversion Price (as defined below) for the Series B Preferred Stock in effect at the time of conversion. The shares of Class A Common Stock or Class B Common Stock, as applicable, into which shares of Preferred Stock are convertible are referred to herein as the </w:t>
      </w:r>
      <w:r>
        <w:rPr>
          <w:rFonts w:ascii="Times New Roman" w:hAnsi="Times New Roman"/>
          <w:b/>
          <w:i/>
          <w:sz w:val="20"/>
        </w:rPr>
        <w:t>Conversion Stock.</w:t>
      </w:r>
      <w:r>
        <w:rPr>
          <w:rFonts w:ascii="Times New Roman" w:hAnsi="Times New Roman"/>
          <w:sz w:val="20"/>
        </w:rPr>
        <w:t> The </w:t>
      </w:r>
      <w:r>
        <w:rPr>
          <w:rFonts w:ascii="Times New Roman" w:hAnsi="Times New Roman"/>
          <w:b/>
          <w:i/>
          <w:sz w:val="20"/>
        </w:rPr>
        <w:t>Conversion Price</w:t>
      </w:r>
      <w:r>
        <w:rPr>
          <w:rFonts w:ascii="Times New Roman" w:hAnsi="Times New Roman"/>
          <w:sz w:val="20"/>
        </w:rPr>
        <w:t xml:space="preserve"> for each series of Preferred Stock shall initially mean the Original Issue Price for such series of Preferred Stock as in effect on the filing date hereof. Such initial Conversion Price and the rate at which shares of Preferred Stock may be converted into shares of Conversion Stock, shall be subject to adjustment as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Article SEVENTH, Part B, Section 5.1.1(g), clause (ii) is hereby amended and restated in its entirety to read as follows: </w:t>
      </w:r>
    </w:p>
    <w:p>
      <w:pPr>
        <w:pStyle w:val="TextBody"/>
        <w:bidi w:val="0"/>
        <w:spacing w:before="120" w:after="0"/>
        <w:jc w:val="left"/>
        <w:rPr>
          <w:rFonts w:ascii="Times New Roman" w:hAnsi="Times New Roman"/>
          <w:sz w:val="20"/>
        </w:rPr>
      </w:pPr>
      <w:r>
        <w:rPr>
          <w:rFonts w:ascii="Times New Roman" w:hAnsi="Times New Roman"/>
          <w:sz w:val="20"/>
        </w:rPr>
        <w:t>(ii) the date and time, or the occurrence of an event, specified by vote or written consent of the holders of a majority of the outstanding shares of Series B-2 Preferred Stock, Series B-1 Preferred Stock, Series B Preferred Stock and Series A Preferred Stock, voting together as a single class as measured on the basis of voting power set forth in this Restated Certificate (the time of such closing or the date and time specified or the time of the event specified in such vote or written consent is referred to herein as the </w:t>
      </w:r>
      <w:r>
        <w:rPr>
          <w:rFonts w:ascii="Times New Roman" w:hAnsi="Times New Roman"/>
          <w:b/>
          <w:i/>
          <w:sz w:val="20"/>
        </w:rPr>
        <w:t>Preferred Stock Mandatory Conversion Time</w:t>
      </w:r>
      <w:r>
        <w:rPr>
          <w:rFonts w:ascii="Times New Roman" w:hAnsi="Times New Roman"/>
          <w:sz w:val="20"/>
        </w:rPr>
        <w:t>), (A) all outstanding shares of Series B-2 Preferred Stock, Series B-1 Preferred Stock, and Series A Preferred Stock shall automatically be converted into shares of Class A Common Stock and all outstanding shares of Series B Preferred Stock shall automatically be converted into shares of Class B Common Stock, in each case at the then effective conversion rate, and (B) such shares may not be reissued by the Corporation. In addition, each share of Series B Preferred Stock shall automatically be converted into shares of Class A Common Stock, based on the then-effective Conversion Price, upon any sale, assignment, transfer, conveyance, hypothecation or other disposition of any legal or beneficial interest in such share, whether or not for value and whether voluntary or involuntary or by operation of law (a </w:t>
      </w:r>
      <w:r>
        <w:rPr>
          <w:rFonts w:ascii="Times New Roman" w:hAnsi="Times New Roman"/>
          <w:b/>
          <w:i/>
          <w:sz w:val="20"/>
        </w:rPr>
        <w:t>Series B Preferred Transfer</w:t>
      </w:r>
      <w:r>
        <w:rPr>
          <w:rFonts w:ascii="Times New Roman" w:hAnsi="Times New Roman"/>
          <w:sz w:val="20"/>
        </w:rPr>
        <w:t xml:space="preserve">), other than (i) any Series B Preferred Transfer without consideration by a holder of Series B Preferred Stock to such holders ancestors, descendants, siblings or spouse or to trusts or other entities established primarily for the purpose of estate planning for the benefit of such persons or such holder, (ii) any Series B Preferred Transfer or Transfers by a holder of Series B Preferred Stock to another holder of Series B Preferred Stock or its Controlled Affiliate (as defined below), (iii) any Series B Preferred Transfer or Transfers to Controlled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or (iv) any Series B Preferred Transfer or Transfers by (A) a partnership transferring to its partners or former partners in accordance with their interest in the partnership, (B) a corporation transferring to a wholly-owned subsidiary, its stockholders or to former stockholders in accordance with their interest in the corporation, or (C) a limited liability company transferring to its members or former members in accordance with their interest in the limited liability company.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to Voting Common Stock in Sections 5.1.1 and Section 5.1.2 in Article SEVENTH, Part B of the Restated Certificate shall be deemed to refer to Class A Common Stock.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That the foregoing amendment was approved by the holders of the requisite number of shares of this corporation in accordance with Section 228 of the DGCL and Article SEVENTH, Part B, Sections 3.3, 3.4, 3.5, 3.6, 3.7, 3.8 and 3.9 of the Ninth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That this Certificate of Amendment to the Ninth Amended and Restated Certificate of Incorporation has been duly adopted in accordance with Section 242 of the DGCL. </w:t>
      </w:r>
    </w:p>
    <w:p>
      <w:pPr>
        <w:pStyle w:val="TextBody"/>
        <w:bidi w:val="0"/>
        <w:spacing w:before="240" w:after="0"/>
        <w:jc w:val="left"/>
        <w:rPr>
          <w:rFonts w:ascii="Times New Roman" w:hAnsi="Times New Roman"/>
          <w:sz w:val="20"/>
        </w:rPr>
      </w:pPr>
      <w:r>
        <w:rPr>
          <w:rFonts w:ascii="Times New Roman" w:hAnsi="Times New Roman"/>
          <w:sz w:val="20"/>
        </w:rPr>
        <w:t xml:space="preserve">That the foregoing Certificate of Amendment to the Ninth Amended and Restated Certificate of Incorporation shall be effective on and as of the date of filing of this Certificate of Amendment with the Secretary of State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Certificate of Amendment to the Ninth Amended and Restated Certificate of Incorporation has been executed by a duly authorized officer of this Corporation on this 15th day of March, 2021.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Fukushima</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Ryan Fukushima</w:t>
            </w:r>
          </w:p>
        </w:tc>
      </w:tr>
      <w:tr>
        <w:trPr/>
        <w:tc>
          <w:tcPr>
            <w:tcW w:w="37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Chief Operating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TextBody"/>
        <w:bidi w:val="0"/>
        <w:spacing w:before="0" w:after="0"/>
        <w:jc w:val="right"/>
        <w:rPr>
          <w:rFonts w:ascii="Times New Roman" w:hAnsi="Times New Roman"/>
          <w:b/>
          <w:sz w:val="20"/>
        </w:rPr>
      </w:pPr>
      <w:bookmarkStart w:id="36" w:name="filename3.htm"/>
      <w:bookmarkStart w:id="37" w:name="ksfilename3"/>
      <w:bookmarkEnd w:id="36"/>
      <w:bookmarkEnd w:id="37"/>
      <w:r>
        <w:rPr>
          <w:rFonts w:ascii="Times New Roman" w:hAnsi="Times New Roman"/>
          <w:b/>
          <w:sz w:val="20"/>
        </w:rPr>
        <w:t xml:space="preserve">Exhibit 3.3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IDENTIFICATION; OFFICES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Name</w:t>
      </w:r>
      <w:r>
        <w:rPr>
          <w:rFonts w:ascii="Times New Roman" w:hAnsi="Times New Roman"/>
          <w:b/>
          <w:sz w:val="20"/>
        </w:rPr>
        <w:t>.</w:t>
      </w:r>
      <w:r>
        <w:rPr>
          <w:rFonts w:ascii="Times New Roman" w:hAnsi="Times New Roman"/>
          <w:sz w:val="20"/>
        </w:rPr>
        <w:t xml:space="preserve"> The name of the corporation is Tempus Labs, Inc.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Registered Offices; Other Offices</w:t>
      </w:r>
      <w:r>
        <w:rPr>
          <w:rFonts w:ascii="Times New Roman" w:hAnsi="Times New Roman"/>
          <w:b/>
          <w:sz w:val="20"/>
        </w:rPr>
        <w:t>.</w:t>
      </w:r>
      <w:r>
        <w:rPr>
          <w:rFonts w:ascii="Times New Roman" w:hAnsi="Times New Roman"/>
          <w:sz w:val="20"/>
        </w:rPr>
        <w:t xml:space="preserve"> The address of the registered office of the Corporation in the State of Delaware is 1209 Orange Street, Wilmington, New Castle County, Delaware 19801. The name of the registered agent of the Corporation at such address is The Corporation Trust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STOCKHOLDERS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Annual Meeting</w:t>
      </w:r>
      <w:r>
        <w:rPr>
          <w:rFonts w:ascii="Times New Roman" w:hAnsi="Times New Roman"/>
          <w:b/>
          <w:sz w:val="20"/>
        </w:rPr>
        <w:t>.</w:t>
      </w:r>
      <w:r>
        <w:rPr>
          <w:rFonts w:ascii="Times New Roman" w:hAnsi="Times New Roman"/>
          <w:sz w:val="20"/>
        </w:rPr>
        <w:t xml:space="preserve"> An annual meeting of the stockholders shall be held on the third Wednesday of August of each year, or on such other date as may be determined by resolution of the Board of Directors;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in any year such date is a legal holiday, such meeting shall be held on the next succeeding business day. At each annual meeting, the stockholders shall elect directors to hold office for the term provided in </w:t>
      </w:r>
      <w:r>
        <w:rPr>
          <w:rFonts w:ascii="Times New Roman" w:hAnsi="Times New Roman"/>
          <w:sz w:val="20"/>
          <w:u w:val="single"/>
        </w:rPr>
        <w:t>Section 3.1</w:t>
      </w:r>
      <w:r>
        <w:rPr>
          <w:rFonts w:ascii="Times New Roman" w:hAnsi="Times New Roman"/>
          <w:sz w:val="20"/>
        </w:rPr>
        <w:t xml:space="preserve"> of these By-laws.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Special Meeting</w:t>
      </w:r>
      <w:r>
        <w:rPr>
          <w:rFonts w:ascii="Times New Roman" w:hAnsi="Times New Roman"/>
          <w:b/>
          <w:sz w:val="20"/>
        </w:rPr>
        <w:t>.</w:t>
      </w:r>
      <w:r>
        <w:rPr>
          <w:rFonts w:ascii="Times New Roman" w:hAnsi="Times New Roman"/>
          <w:sz w:val="20"/>
        </w:rPr>
        <w:t xml:space="preserve"> A special meeting of the stockholders may be called by the Chief Executive Officer of the Corporation, the Board of Directors, or by such other officers or persons as the Board of Directors may designate.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Place of Stockholder Meetings</w:t>
      </w:r>
      <w:r>
        <w:rPr>
          <w:rFonts w:ascii="Times New Roman" w:hAnsi="Times New Roman"/>
          <w:b/>
          <w:sz w:val="20"/>
        </w:rPr>
        <w:t>.</w:t>
      </w:r>
      <w:r>
        <w:rPr>
          <w:rFonts w:ascii="Times New Roman" w:hAnsi="Times New Roman"/>
          <w:sz w:val="20"/>
        </w:rPr>
        <w:t xml:space="preserve"> The Board of Directors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Notice of Meetings</w:t>
      </w:r>
      <w:r>
        <w:rPr>
          <w:rFonts w:ascii="Times New Roman" w:hAnsi="Times New Roman"/>
          <w:b/>
          <w:sz w:val="20"/>
        </w:rPr>
        <w:t>.</w:t>
      </w:r>
      <w:r>
        <w:rPr>
          <w:rFonts w:ascii="Times New Roman" w:hAnsi="Times New Roman"/>
          <w:sz w:val="20"/>
        </w:rPr>
        <w:t xml:space="preserve"> Unless waived as herein provided, whenever stockholders are required or permitted to take any action at a meeting, written notice of the meeting shall be given stating the place, date and hour of the meeting, and, in the case of a special meeting, the purpose or purposes for which the meeting is called. Such written notice shall be given not less than ten (10) days nor more than sixty (60) days before the date of the meeting to each stockholder entitled to vote at the meeting or in the event of a merger, consolidation, share exchange, dissolution or sale, lease or exchange of all or substantially all of the Corporations property, business or assets not less than twenty (20) days before the date of the meeting. If mailed, notice is given when deposited in the United States mail, postage prepaid, directed to the stockholder at the stockholders address as it appears on the records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When a meeting is adjourned to another time or place in accordance with </w:t>
      </w:r>
      <w:r>
        <w:rPr>
          <w:rFonts w:ascii="Times New Roman" w:hAnsi="Times New Roman"/>
          <w:sz w:val="20"/>
          <w:u w:val="single"/>
        </w:rPr>
        <w:t>Section 2.5</w:t>
      </w:r>
      <w:r>
        <w:rPr>
          <w:rFonts w:ascii="Times New Roman" w:hAnsi="Times New Roman"/>
          <w:sz w:val="20"/>
        </w:rPr>
        <w:t xml:space="preserve"> of these By-laws, notice need not be given of the adjourned meeting if the time and place thereof are announced at the meeting in which the adjournment is taken. At the adjourned meeting the Corporation may conduct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Quorum and Adjourned Meetings</w:t>
      </w:r>
      <w:r>
        <w:rPr>
          <w:rFonts w:ascii="Times New Roman" w:hAnsi="Times New Roman"/>
          <w:b/>
          <w:sz w:val="20"/>
        </w:rPr>
        <w:t>.</w:t>
      </w:r>
      <w:r>
        <w:rPr>
          <w:rFonts w:ascii="Times New Roman" w:hAnsi="Times New Roman"/>
          <w:sz w:val="20"/>
        </w:rPr>
        <w:t xml:space="preserve"> A majority of the voting shares entitled to vote, present in person or represented by proxy, shall constitute a quorum at a meeting of stockholders. If less than a majority of the voting shares entitled to vote at a meeting of stockholders is present in person or represented by proxy at such meeting, a majority of the voting shares so represented may adjourn the meeting from time to time without further notice. At any adjourned meeting at which a quorum is present, any business may be transacted which might have been transacted at the original meeting. The stockholders present at a meeting may continue to transact business until adjournment, notwithstanding the withdrawal of such number of stockholders as may leave less than a quorum.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2.6 </w:t>
      </w:r>
      <w:r>
        <w:rPr>
          <w:rFonts w:ascii="Times New Roman" w:hAnsi="Times New Roman"/>
          <w:b/>
          <w:sz w:val="20"/>
          <w:u w:val="single"/>
        </w:rPr>
        <w:t>Fixing of Record Date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the purpose of determining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of Directors may fix a new record date for the adjourned meeting. </w:t>
      </w:r>
    </w:p>
    <w:p>
      <w:pPr>
        <w:pStyle w:val="TextBody"/>
        <w:bidi w:val="0"/>
        <w:spacing w:before="120" w:after="0"/>
        <w:jc w:val="left"/>
        <w:rPr>
          <w:rFonts w:ascii="Times New Roman" w:hAnsi="Times New Roman"/>
          <w:sz w:val="20"/>
        </w:rPr>
      </w:pPr>
      <w:r>
        <w:rPr>
          <w:rFonts w:ascii="Times New Roman" w:hAnsi="Times New Roman"/>
          <w:sz w:val="20"/>
        </w:rPr>
        <w:t xml:space="preserve">(b) 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ten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sixty (60) days prior to such action. If no record date is fixed, the record date for determining the stockholders for any such purpose shall be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Voting List</w:t>
      </w:r>
      <w:r>
        <w:rPr>
          <w:rFonts w:ascii="Times New Roman" w:hAnsi="Times New Roman"/>
          <w:b/>
          <w:sz w:val="20"/>
        </w:rPr>
        <w:t>.</w:t>
      </w:r>
      <w:r>
        <w:rPr>
          <w:rFonts w:ascii="Times New Roman" w:hAnsi="Times New Roman"/>
          <w:sz w:val="20"/>
        </w:rPr>
        <w:t xml:space="preserve"> The officer who has charge of the stock ledger of the Corporation shall prepare and make, at least ten (10) days before every meeting of stockholders, a complete list of stockholders entitled to vote at the meeting, arranged in alphabetical order, and showing the address of each stockholder and the number of voting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place of the meeting during the whole time thereof, and may be inspected by any stockholder who is present.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Voting</w:t>
      </w:r>
      <w:r>
        <w:rPr>
          <w:rFonts w:ascii="Times New Roman" w:hAnsi="Times New Roman"/>
          <w:b/>
          <w:sz w:val="20"/>
        </w:rPr>
        <w:t>.</w:t>
      </w:r>
      <w:r>
        <w:rPr>
          <w:rFonts w:ascii="Times New Roman" w:hAnsi="Times New Roman"/>
          <w:sz w:val="20"/>
        </w:rPr>
        <w:t xml:space="preserve"> Each stockholder shall be entitled to one vote for each share of voting common stock held by each stockholder, voting on an as-converted basis.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Proxies</w:t>
      </w:r>
      <w:r>
        <w:rPr>
          <w:rFonts w:ascii="Times New Roman" w:hAnsi="Times New Roman"/>
          <w:b/>
          <w:sz w:val="20"/>
        </w:rPr>
        <w:t>.</w:t>
      </w:r>
      <w:r>
        <w:rPr>
          <w:rFonts w:ascii="Times New Roman" w:hAnsi="Times New Roman"/>
          <w:sz w:val="20"/>
        </w:rPr>
        <w:t xml:space="preserve"> Each stockholder entitled to vote at a meeting of stockholders or to express consent or dissent to corporate action in writing without a meeting may authorize another person or persons to act for him by proxy,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Ratification of Acts of Directors and Officers</w:t>
      </w:r>
      <w:r>
        <w:rPr>
          <w:rFonts w:ascii="Times New Roman" w:hAnsi="Times New Roman"/>
          <w:b/>
          <w:sz w:val="20"/>
        </w:rPr>
        <w:t>.</w:t>
      </w:r>
      <w:r>
        <w:rPr>
          <w:rFonts w:ascii="Times New Roman" w:hAnsi="Times New Roman"/>
          <w:sz w:val="20"/>
        </w:rPr>
        <w:t xml:space="preserve"> Except as otherwise provided by law, any transaction or contract or act of the Corporation or of the directors or the officers of the Corporation may be ratified by the affirmative vote of the holders of the number of voting shares which would have been necessary to approve such transaction, contract or act at a meeting of stockholders, or by the written consent of stockholders in lieu of a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Informal Action of Stockholders</w:t>
      </w:r>
      <w:r>
        <w:rPr>
          <w:rFonts w:ascii="Times New Roman" w:hAnsi="Times New Roman"/>
          <w:b/>
          <w:sz w:val="20"/>
        </w:rPr>
        <w:t>.</w:t>
      </w:r>
      <w:r>
        <w:rPr>
          <w:rFonts w:ascii="Times New Roman" w:hAnsi="Times New Roman"/>
          <w:sz w:val="20"/>
        </w:rPr>
        <w:t xml:space="preserve">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voting shares entitled to vote thereon were present and voted. Prompt notice of the taking of the corporate action without a meeting by less than unanimous written consent shall be given to those stockholders who have not consented in writing. In the event that the action which is consented to is such as would have required the filing of a certificate with any governmental body, if such action had been voted on by stockholders at a meeting thereof, the certificate filed shall state, in lieu of any statement required by law concerning any vote of stockholders, that written consent had been given in accordance with the provisions of Section 228 of the Delaware General Corporation Law, and that written notice has been given as provided in such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2.12</w:t>
      </w:r>
      <w:r>
        <w:rPr>
          <w:rFonts w:ascii="Times New Roman" w:hAnsi="Times New Roman"/>
          <w:sz w:val="20"/>
        </w:rPr>
        <w:t xml:space="preserve"> </w:t>
      </w:r>
      <w:r>
        <w:rPr>
          <w:rFonts w:ascii="Times New Roman" w:hAnsi="Times New Roman"/>
          <w:b/>
          <w:sz w:val="20"/>
          <w:u w:val="single"/>
        </w:rPr>
        <w:t>Organization</w:t>
      </w:r>
      <w:r>
        <w:rPr>
          <w:rFonts w:ascii="Times New Roman" w:hAnsi="Times New Roman"/>
          <w:b/>
          <w:sz w:val="20"/>
        </w:rPr>
        <w:t>.</w:t>
      </w:r>
      <w:r>
        <w:rPr>
          <w:rFonts w:ascii="Times New Roman" w:hAnsi="Times New Roman"/>
          <w:sz w:val="20"/>
        </w:rPr>
        <w:t xml:space="preserve"> Such person as the Board of Directors may designate or, in the absence of such a designation, the Chief Executive Officer of the Corporation or, in his or her absence, such person as may be chosen by the holders of a majority of the voting shares entitled to vote who are present, in person or by proxy, shall call to order any meeting of the stockholders and act as chairman of such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Number and Tenure of Directors</w:t>
      </w:r>
      <w:r>
        <w:rPr>
          <w:rFonts w:ascii="Times New Roman" w:hAnsi="Times New Roman"/>
          <w:b/>
          <w:sz w:val="20"/>
        </w:rPr>
        <w:t>.</w:t>
      </w:r>
      <w:r>
        <w:rPr>
          <w:rFonts w:ascii="Times New Roman" w:hAnsi="Times New Roman"/>
          <w:sz w:val="20"/>
        </w:rPr>
        <w:t xml:space="preserve"> The number of directors of the Corporation shall consist of not less than one (1) and not more than nine (9) members as fixed or changed from time to time, within the minimum and maximum, by the directors or stockholders without further amendment of this </w:t>
      </w:r>
      <w:r>
        <w:rPr>
          <w:rFonts w:ascii="Times New Roman" w:hAnsi="Times New Roman"/>
          <w:sz w:val="20"/>
          <w:u w:val="single"/>
        </w:rPr>
        <w:t>Section 3.1</w:t>
      </w:r>
      <w:r>
        <w:rPr>
          <w:rFonts w:ascii="Times New Roman" w:hAnsi="Times New Roman"/>
          <w:sz w:val="20"/>
        </w:rPr>
        <w:t xml:space="preserve">. Each director shall hold office until such directors successor is elected and qualified or until such directors earlier resignation or removal. Any director may resign at any time upon written notice to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Election of Directors</w:t>
      </w:r>
      <w:r>
        <w:rPr>
          <w:rFonts w:ascii="Times New Roman" w:hAnsi="Times New Roman"/>
          <w:b/>
          <w:sz w:val="20"/>
        </w:rPr>
        <w:t>.</w:t>
      </w:r>
      <w:r>
        <w:rPr>
          <w:rFonts w:ascii="Times New Roman" w:hAnsi="Times New Roman"/>
          <w:sz w:val="20"/>
        </w:rPr>
        <w:t xml:space="preserve"> Directors shall be elected at the annual meeting of stockholders, and in all elections for directors, every stockholder shall have the right to vote the number of voting shares owned by such stockholder for each director to be elected.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Regular Meetings</w:t>
      </w:r>
      <w:r>
        <w:rPr>
          <w:rFonts w:ascii="Times New Roman" w:hAnsi="Times New Roman"/>
          <w:b/>
          <w:sz w:val="20"/>
        </w:rPr>
        <w:t>.</w:t>
      </w:r>
      <w:r>
        <w:rPr>
          <w:rFonts w:ascii="Times New Roman" w:hAnsi="Times New Roman"/>
          <w:sz w:val="20"/>
        </w:rPr>
        <w:t xml:space="preserve"> Regular meetings of the Board of Directors may be held without notice at such places and times as shall be determined from time to time by resolution of the Board of Directors. The Board of Directors shall hold meetings periodically, but not less than once every three (3) months.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Special Meetings</w:t>
      </w:r>
      <w:r>
        <w:rPr>
          <w:rFonts w:ascii="Times New Roman" w:hAnsi="Times New Roman"/>
          <w:b/>
          <w:sz w:val="20"/>
        </w:rPr>
        <w:t>.</w:t>
      </w:r>
      <w:r>
        <w:rPr>
          <w:rFonts w:ascii="Times New Roman" w:hAnsi="Times New Roman"/>
          <w:sz w:val="20"/>
        </w:rPr>
        <w:t xml:space="preserve"> Special meetings of the Board of Directors may be called by or at the request of at least the greater of (i) two (2) directors and (ii) one-third (1/3) of the number of directors constituting the whole board. The person or persons authorized to call special meetings of the Board of Directors may fix any place, either within or without the State of Delaware, as the place for holding any special meeting of the Board of Directors called by them.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Notice of Special Meetings of the Board of Directors</w:t>
      </w:r>
      <w:r>
        <w:rPr>
          <w:rFonts w:ascii="Times New Roman" w:hAnsi="Times New Roman"/>
          <w:b/>
          <w:sz w:val="20"/>
        </w:rPr>
        <w:t>.</w:t>
      </w:r>
      <w:r>
        <w:rPr>
          <w:rFonts w:ascii="Times New Roman" w:hAnsi="Times New Roman"/>
          <w:sz w:val="20"/>
        </w:rPr>
        <w:t xml:space="preserve"> Notice of any special meeting of the Board of Directors shall be given at least one (1) day previous thereto by written notice to each director at his or her address. If mailed, such notice shall be deemed to be delivered when deposited in the United States Mail so addressed, with first-class postage thereon prepaid. If sent by any other means (including facsimile, courier, or express mail, etc.), such notice shall be deemed to be delivered when actually delivered to the home or business address of the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b/>
          <w:sz w:val="20"/>
          <w:u w:val="single"/>
        </w:rPr>
        <w:t>Quorum</w:t>
      </w:r>
      <w:r>
        <w:rPr>
          <w:rFonts w:ascii="Times New Roman" w:hAnsi="Times New Roman"/>
          <w:b/>
          <w:sz w:val="20"/>
        </w:rPr>
        <w:t>.</w:t>
      </w:r>
      <w:r>
        <w:rPr>
          <w:rFonts w:ascii="Times New Roman" w:hAnsi="Times New Roman"/>
          <w:sz w:val="20"/>
        </w:rPr>
        <w:t xml:space="preserve"> At any meeting of the Board of Directors, directors entitled to cast a majority of the votes of the entire Board of Directors shall constitute a quorum for the transaction of business. If less than the applicable required amount of directors are present at a meeting of the Board of Directors, a majority of the directors present may adjourn the meeting from time to time without further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b/>
          <w:sz w:val="20"/>
          <w:u w:val="single"/>
        </w:rPr>
        <w:t>Voting</w:t>
      </w:r>
      <w:r>
        <w:rPr>
          <w:rFonts w:ascii="Times New Roman" w:hAnsi="Times New Roman"/>
          <w:b/>
          <w:sz w:val="20"/>
        </w:rPr>
        <w:t>.</w:t>
      </w:r>
      <w:r>
        <w:rPr>
          <w:rFonts w:ascii="Times New Roman" w:hAnsi="Times New Roman"/>
          <w:sz w:val="20"/>
        </w:rPr>
        <w:t xml:space="preserve"> Each director shall have one (1) vote on all matters submitted to the Board of Directors or any committees thereof (whether the consideration of such matter is taken at a meeting, by written consent or otherwise) unless otherwise set forth in the Corporations Voting Agreement, as the same may be amended from time to time. The vote of the directors holding at least a majority of the votes then serving on the Board of Directors shall be the act of the Board of Directors, unless the Delaware General Corporation Law requires a vote of a greater number.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b/>
          <w:sz w:val="20"/>
          <w:u w:val="single"/>
        </w:rPr>
        <w:t>Vacancies</w:t>
      </w:r>
      <w:r>
        <w:rPr>
          <w:rFonts w:ascii="Times New Roman" w:hAnsi="Times New Roman"/>
          <w:b/>
          <w:sz w:val="20"/>
        </w:rPr>
        <w:t>.</w:t>
      </w:r>
      <w:r>
        <w:rPr>
          <w:rFonts w:ascii="Times New Roman" w:hAnsi="Times New Roman"/>
          <w:sz w:val="20"/>
        </w:rPr>
        <w:t xml:space="preserve"> Vacancies in the Board of Directors may be filled by a majority vote of the Board of Directors or by an election either at an annual meeting or at a special meeting of the stockholders called for that purpose. Any directors elected by the stockholders to fill a vacancy shall hold office for the balance of the term for which he or she was elected. A director appointed by the Board of Directors to fill a vacancy shall serve until the next meeting of stockholders at which directors are elected.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b/>
          <w:sz w:val="20"/>
          <w:u w:val="single"/>
        </w:rPr>
        <w:t>Removal of Directors</w:t>
      </w:r>
      <w:r>
        <w:rPr>
          <w:rFonts w:ascii="Times New Roman" w:hAnsi="Times New Roman"/>
          <w:b/>
          <w:sz w:val="20"/>
        </w:rPr>
        <w:t>.</w:t>
      </w:r>
      <w:r>
        <w:rPr>
          <w:rFonts w:ascii="Times New Roman" w:hAnsi="Times New Roman"/>
          <w:sz w:val="20"/>
        </w:rPr>
        <w:t xml:space="preserve"> A director, or the entire Board of Directors, may be removed, with or without cause, by the holders of a majority of the voting shares then entitled to vote at an election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b/>
          <w:sz w:val="20"/>
          <w:u w:val="single"/>
        </w:rPr>
        <w:t>Informal Action of Directors</w:t>
      </w:r>
      <w:r>
        <w:rPr>
          <w:rFonts w:ascii="Times New Roman" w:hAnsi="Times New Roman"/>
          <w:b/>
          <w:sz w:val="20"/>
        </w:rPr>
        <w:t>.</w:t>
      </w:r>
      <w:r>
        <w:rPr>
          <w:rFonts w:ascii="Times New Roman" w:hAnsi="Times New Roman"/>
          <w:sz w:val="20"/>
        </w:rPr>
        <w:t xml:space="preserve">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filings shall be in paper form if the minutes are maintained in paper form and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b/>
          <w:sz w:val="20"/>
          <w:u w:val="single"/>
        </w:rPr>
        <w:t>Compensation</w:t>
      </w:r>
      <w:r>
        <w:rPr>
          <w:rFonts w:ascii="Times New Roman" w:hAnsi="Times New Roman"/>
          <w:b/>
          <w:sz w:val="20"/>
        </w:rPr>
        <w:t>.</w:t>
      </w:r>
      <w:r>
        <w:rPr>
          <w:rFonts w:ascii="Times New Roman" w:hAnsi="Times New Roman"/>
          <w:sz w:val="20"/>
        </w:rPr>
        <w:t xml:space="preserve"> Directors shall not receive any stated salary for their services as directors or as members of committees, but shall be reimbursed for all reasonable out-of-pocket expenses incurred in connection with attending Board of Directors or committee meetings of the Corporation or its subsidiaries or in performing their duties as directors of the Corporation or its subsidiaries (including expenses incurred in performing their duties as members of committees of the Board of Directors or the board of directors of any of the Corporations subsidiaries). Nothing herein contained shall be construed to preclude any director from serving the Corporation in any other capacity as an officer, agent or otherwise, and receiving compensation therefore.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b/>
          <w:sz w:val="20"/>
          <w:u w:val="single"/>
        </w:rPr>
        <w:t>Participation by Conference Telephone</w:t>
      </w:r>
      <w:r>
        <w:rPr>
          <w:rFonts w:ascii="Times New Roman" w:hAnsi="Times New Roman"/>
          <w:b/>
          <w:sz w:val="20"/>
        </w:rPr>
        <w:t>.</w:t>
      </w:r>
      <w:r>
        <w:rPr>
          <w:rFonts w:ascii="Times New Roman" w:hAnsi="Times New Roman"/>
          <w:sz w:val="20"/>
        </w:rPr>
        <w:t xml:space="preserv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w:t>
      </w:r>
      <w:r>
        <w:rPr>
          <w:rFonts w:ascii="Times New Roman" w:hAnsi="Times New Roman"/>
          <w:sz w:val="20"/>
          <w:u w:val="single"/>
        </w:rPr>
        <w:t>Section 3.12</w:t>
      </w:r>
      <w:r>
        <w:rPr>
          <w:rFonts w:ascii="Times New Roman" w:hAnsi="Times New Roman"/>
          <w:sz w:val="20"/>
        </w:rPr>
        <w:t xml:space="preserve">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3.13</w:t>
      </w:r>
      <w:r>
        <w:rPr>
          <w:rFonts w:ascii="Times New Roman" w:hAnsi="Times New Roman"/>
          <w:sz w:val="20"/>
        </w:rPr>
        <w:t xml:space="preserve"> </w:t>
      </w:r>
      <w:r>
        <w:rPr>
          <w:rFonts w:ascii="Times New Roman" w:hAnsi="Times New Roman"/>
          <w:b/>
          <w:sz w:val="20"/>
          <w:u w:val="single"/>
        </w:rPr>
        <w:t>Conflicts with Other Documents</w:t>
      </w:r>
      <w:r>
        <w:rPr>
          <w:rFonts w:ascii="Times New Roman" w:hAnsi="Times New Roman"/>
          <w:b/>
          <w:sz w:val="20"/>
        </w:rPr>
        <w:t>.</w:t>
      </w:r>
      <w:r>
        <w:rPr>
          <w:rFonts w:ascii="Times New Roman" w:hAnsi="Times New Roman"/>
          <w:sz w:val="20"/>
        </w:rPr>
        <w:t xml:space="preserve"> Anything to the contrary contained herein notwithstanding, in the event of a conflict between these bylaws and any agreement among the corporation and certain stockholders of the corporation containing the matters discussed in this </w:t>
      </w:r>
      <w:r>
        <w:rPr>
          <w:rFonts w:ascii="Times New Roman" w:hAnsi="Times New Roman"/>
          <w:sz w:val="20"/>
          <w:u w:val="single"/>
        </w:rPr>
        <w:t>Article III</w:t>
      </w:r>
      <w:r>
        <w:rPr>
          <w:rFonts w:ascii="Times New Roman" w:hAnsi="Times New Roman"/>
          <w:sz w:val="20"/>
        </w:rPr>
        <w:t xml:space="preserve">, the terms of such agreement will control and compliance with such agreement shall be deemed compliance with these bylaws in full.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WAIVER OF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Written Waiver of Notice</w:t>
      </w:r>
      <w:r>
        <w:rPr>
          <w:rFonts w:ascii="Times New Roman" w:hAnsi="Times New Roman"/>
          <w:b/>
          <w:sz w:val="20"/>
        </w:rPr>
        <w:t>.</w:t>
      </w:r>
      <w:r>
        <w:rPr>
          <w:rFonts w:ascii="Times New Roman" w:hAnsi="Times New Roman"/>
          <w:sz w:val="20"/>
        </w:rPr>
        <w:t xml:space="preserve"> A written waiver of any required notice, signed by the person entitled to notice, whether before or after the date stated therein, shall be deemed equivalent to notice. Neither the business to be transacted at, nor the purpose of, any regular or special meeting of stockholders, directors or members of a committee of directors need be specified in any written waiver of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Attendance as Waiver of Notice</w:t>
      </w:r>
      <w:r>
        <w:rPr>
          <w:rFonts w:ascii="Times New Roman" w:hAnsi="Times New Roman"/>
          <w:b/>
          <w:sz w:val="20"/>
        </w:rPr>
        <w:t>.</w:t>
      </w:r>
      <w:r>
        <w:rPr>
          <w:rFonts w:ascii="Times New Roman" w:hAnsi="Times New Roman"/>
          <w:sz w:val="20"/>
        </w:rPr>
        <w:t xml:space="preserve"> Attendance of a person at a meeting shall constitute a waiver of notice of such meeting, except when the person attends a meeting for the express purpose of objecting, and objects at the beginning of the meeting, to the transaction of any business because the meeting is not lawfully called or convened.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COMMITTEES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General Provisions</w:t>
      </w:r>
      <w:r>
        <w:rPr>
          <w:rFonts w:ascii="Times New Roman" w:hAnsi="Times New Roman"/>
          <w:b/>
          <w:sz w:val="20"/>
        </w:rPr>
        <w:t>.</w:t>
      </w:r>
      <w:r>
        <w:rPr>
          <w:rFonts w:ascii="Times New Roman" w:hAnsi="Times New Roman"/>
          <w:sz w:val="20"/>
        </w:rPr>
        <w:t xml:space="preserve"> 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assets, recommending to the stockholders a dissolution of the Corporation or a revocation of a dissolution, or amending the By-laws of the Corporation; and, unless the resolution so provides, no such committee shall have the power or authority to declare a dividend, to authorize the issuance of stock or to adopt a certificate of ownership and merger, pursuant to Section 253 of the Delaware General Corporation Law. Anything to the contrary contained herein notwithstanding, in the event of a conflict between these bylaws and any agreement among the corporation and certain stockholders of the corporation with respect to committees of the Corporation, the terms of such agreement will control and compliance with such agreement shall be deemed compliance with these bylaws in full.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General Provisions</w:t>
      </w:r>
      <w:r>
        <w:rPr>
          <w:rFonts w:ascii="Times New Roman" w:hAnsi="Times New Roman"/>
          <w:b/>
          <w:sz w:val="20"/>
        </w:rPr>
        <w:t>.</w:t>
      </w:r>
      <w:r>
        <w:rPr>
          <w:rFonts w:ascii="Times New Roman" w:hAnsi="Times New Roman"/>
          <w:sz w:val="20"/>
        </w:rPr>
        <w:t xml:space="preserve"> The officers of the Corporation shall be a Chief Executive Officer, a Vice President, a Secretary, a Treasurer, and such additional officers as the Board of Directors may deem necessary or appropriate from time to time. Any two or more offices may be held by the same person. The officers elected by the Board of Directors shall have such duties as are hereafter described and such additional duties as the Board of Directors may from time to time prescribe.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Election and Term of Office</w:t>
      </w:r>
      <w:r>
        <w:rPr>
          <w:rFonts w:ascii="Times New Roman" w:hAnsi="Times New Roman"/>
          <w:b/>
          <w:sz w:val="20"/>
        </w:rPr>
        <w:t>.</w:t>
      </w:r>
      <w:r>
        <w:rPr>
          <w:rFonts w:ascii="Times New Roman" w:hAnsi="Times New Roman"/>
          <w:sz w:val="20"/>
        </w:rPr>
        <w:t xml:space="preserve"> The officers of the Corporation shall be elected annually by the Board of Directors at the regular meeting of the Board of Directors held after each annual meeting of the stockholders. If the election of officers is not held at such meeting, such election shall be held as soon thereafter as may be convenient. New offices of the Corporation may be created and filled and vacancies in offices may be filled at any time, at a meeting or by the written consent of the Board of Directors. Unless removed pursuant to </w:t>
      </w:r>
      <w:r>
        <w:rPr>
          <w:rFonts w:ascii="Times New Roman" w:hAnsi="Times New Roman"/>
          <w:sz w:val="20"/>
          <w:u w:val="single"/>
        </w:rPr>
        <w:t>Section 6.3</w:t>
      </w:r>
      <w:r>
        <w:rPr>
          <w:rFonts w:ascii="Times New Roman" w:hAnsi="Times New Roman"/>
          <w:sz w:val="20"/>
        </w:rPr>
        <w:t xml:space="preserve"> of these By-laws, each officer shall hold office until his successor has been duly elected and qualified, or until his earlier death or resignation. Election or appointment of an officer or agent shall not of itself create contract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Removal of Officers</w:t>
      </w:r>
      <w:r>
        <w:rPr>
          <w:rFonts w:ascii="Times New Roman" w:hAnsi="Times New Roman"/>
          <w:b/>
          <w:sz w:val="20"/>
        </w:rPr>
        <w:t>.</w:t>
      </w:r>
      <w:r>
        <w:rPr>
          <w:rFonts w:ascii="Times New Roman" w:hAnsi="Times New Roman"/>
          <w:sz w:val="20"/>
        </w:rPr>
        <w:t xml:space="preserve"> Any officer or agent elected or appointed by the Board of Directors may be removed by the Board of Directors whenever, in its judgment, the best interests of the Corporation would be served thereby, but such removal shall be without prejudice to the contract rights, if any, of the person(s) so removed.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The Chief Executive Officer</w:t>
      </w:r>
      <w:r>
        <w:rPr>
          <w:rFonts w:ascii="Times New Roman" w:hAnsi="Times New Roman"/>
          <w:b/>
          <w:sz w:val="20"/>
        </w:rPr>
        <w:t>.</w:t>
      </w:r>
      <w:r>
        <w:rPr>
          <w:rFonts w:ascii="Times New Roman" w:hAnsi="Times New Roman"/>
          <w:sz w:val="20"/>
        </w:rPr>
        <w:t xml:space="preserve"> The Chief Executive Officer shall be the chief executive officer of the Corporation and shall in general supervise and control all of the business and affairs of the Corporation, unless otherwise provided by the Board of Directors. The Chief Executive Officer shall preside at all meetings of the stockholders and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The Vice President</w:t>
      </w:r>
      <w:r>
        <w:rPr>
          <w:rFonts w:ascii="Times New Roman" w:hAnsi="Times New Roman"/>
          <w:b/>
          <w:sz w:val="20"/>
        </w:rPr>
        <w:t>.</w:t>
      </w:r>
      <w:r>
        <w:rPr>
          <w:rFonts w:ascii="Times New Roman" w:hAnsi="Times New Roman"/>
          <w:sz w:val="20"/>
        </w:rPr>
        <w:t xml:space="preserve"> In the absence of the Chief Executive Officer or in the event of his or her inability or refusal to act, the Vice President shall perform the duties of the Chief Executive Officer, and when so acting, shall have all the powers of and be subject to all the restrictions upon the Chief Executive Officer. The Vice President shall perform such other duties and have such other powers as the Chief Executive Officer or the Board of Directors may from time to time prescribe.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The Secretary</w:t>
      </w:r>
      <w:r>
        <w:rPr>
          <w:rFonts w:ascii="Times New Roman" w:hAnsi="Times New Roman"/>
          <w:b/>
          <w:sz w:val="20"/>
        </w:rPr>
        <w:t>.</w:t>
      </w:r>
      <w:r>
        <w:rPr>
          <w:rFonts w:ascii="Times New Roman" w:hAnsi="Times New Roman"/>
          <w:sz w:val="20"/>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seal of the Corporation and the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The Treasurer</w:t>
      </w:r>
      <w:r>
        <w:rPr>
          <w:rFonts w:ascii="Times New Roman" w:hAnsi="Times New Roman"/>
          <w:b/>
          <w:sz w:val="20"/>
        </w:rPr>
        <w:t>.</w:t>
      </w:r>
      <w:r>
        <w:rPr>
          <w:rFonts w:ascii="Times New Roman" w:hAnsi="Times New Roman"/>
          <w:sz w:val="20"/>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 If required by the Board of Directors, the Treasurer shall give the Corporation a bond (which shall be renewed every six (6)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Duties of Officers May be Delegated</w:t>
      </w:r>
      <w:r>
        <w:rPr>
          <w:rFonts w:ascii="Times New Roman" w:hAnsi="Times New Roman"/>
          <w:b/>
          <w:sz w:val="20"/>
        </w:rPr>
        <w:t>.</w:t>
      </w:r>
      <w:r>
        <w:rPr>
          <w:rFonts w:ascii="Times New Roman" w:hAnsi="Times New Roman"/>
          <w:sz w:val="20"/>
        </w:rPr>
        <w:t xml:space="preserve"> In the absence of any officer of the Corporation, or for any other reason the Board of Directors may deem sufficient, the Board of Directors may delegate the powers or duties, or any of such powers or duties, of any officers or officer to any other officer or to any director.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Compensation</w:t>
      </w:r>
      <w:r>
        <w:rPr>
          <w:rFonts w:ascii="Times New Roman" w:hAnsi="Times New Roman"/>
          <w:b/>
          <w:sz w:val="20"/>
        </w:rPr>
        <w:t>.</w:t>
      </w:r>
      <w:r>
        <w:rPr>
          <w:rFonts w:ascii="Times New Roman" w:hAnsi="Times New Roman"/>
          <w:sz w:val="20"/>
        </w:rPr>
        <w:t xml:space="preserve"> The Board of Directors shall have the authority to establish reasonable compensation of all officers for services to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CERTIFICATES FOR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Certificates of Shares</w:t>
      </w:r>
      <w:r>
        <w:rPr>
          <w:rFonts w:ascii="Times New Roman" w:hAnsi="Times New Roman"/>
          <w:b/>
          <w:sz w:val="20"/>
        </w:rPr>
        <w:t>.</w:t>
      </w:r>
      <w:r>
        <w:rPr>
          <w:rFonts w:ascii="Times New Roman" w:hAnsi="Times New Roman"/>
          <w:sz w:val="20"/>
        </w:rPr>
        <w:t xml:space="preserve"> The shares of the Corporation shall be represented by certificates, </w:t>
      </w:r>
      <w:r>
        <w:rPr>
          <w:rFonts w:ascii="Times New Roman" w:hAnsi="Times New Roman"/>
          <w:i/>
          <w:sz w:val="20"/>
        </w:rPr>
        <w:t>provided</w:t>
      </w:r>
      <w:r>
        <w:rPr>
          <w:rFonts w:ascii="Times New Roman" w:hAnsi="Times New Roman"/>
          <w:sz w:val="20"/>
        </w:rPr>
        <w:t xml:space="preserve">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Board of Directors, the Chief Executive Officer or Vice President, the Treasurer or the Secretary of the Corporation representing the number of shares registered in certificate form. Any or all of the signatures on the certificate may be a facsimile.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Signatures of Former Officer, Transfer Agent or Registrar</w:t>
      </w:r>
      <w:r>
        <w:rPr>
          <w:rFonts w:ascii="Times New Roman" w:hAnsi="Times New Roman"/>
          <w:b/>
          <w:sz w:val="20"/>
        </w:rPr>
        <w:t>.</w:t>
      </w:r>
      <w:r>
        <w:rPr>
          <w:rFonts w:ascii="Times New Roman" w:hAnsi="Times New Roman"/>
          <w:sz w:val="20"/>
        </w:rPr>
        <w:t xml:space="preserv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Transfer of Shares</w:t>
      </w:r>
      <w:r>
        <w:rPr>
          <w:rFonts w:ascii="Times New Roman" w:hAnsi="Times New Roman"/>
          <w:b/>
          <w:sz w:val="20"/>
        </w:rPr>
        <w:t>.</w:t>
      </w:r>
      <w:r>
        <w:rPr>
          <w:rFonts w:ascii="Times New Roman" w:hAnsi="Times New Roman"/>
          <w:sz w:val="20"/>
        </w:rPr>
        <w:t xml:space="preserve"> Transfers of shares of the Corporation shall be made only on the books of the Corporation by the holder of record thereof or by his legal representative, who shall furnish proper evidence of authority to transfer, or by his or her attorney thereunto authorized by power of attorney duly executed and filed with the Secretary of the Corporation, and on surrender for cancellation of certificate for such shares. Prior to due presentment of a certificate for shares for registration of transfer, the Corporation may treat a registered owner of such shares as the person exclusively entitled to vote, to receive notifications and otherwise have and exercise all of the right and powers of an owner of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w:t>
      </w:r>
      <w:r>
        <w:rPr>
          <w:rFonts w:ascii="Times New Roman" w:hAnsi="Times New Roman"/>
          <w:sz w:val="20"/>
        </w:rPr>
        <w:t xml:space="preserve"> </w:t>
      </w:r>
      <w:r>
        <w:rPr>
          <w:rFonts w:ascii="Times New Roman" w:hAnsi="Times New Roman"/>
          <w:b/>
          <w:sz w:val="20"/>
          <w:u w:val="single"/>
        </w:rPr>
        <w:t>Lost, Destroyed or Stolen Certificates</w:t>
      </w:r>
      <w:r>
        <w:rPr>
          <w:rFonts w:ascii="Times New Roman" w:hAnsi="Times New Roman"/>
          <w:b/>
          <w:sz w:val="20"/>
        </w:rPr>
        <w:t>.</w:t>
      </w:r>
      <w:r>
        <w:rPr>
          <w:rFonts w:ascii="Times New Roman" w:hAnsi="Times New Roman"/>
          <w:sz w:val="20"/>
        </w:rPr>
        <w:t xml:space="preserve"> Whenever a certificate representing shares of the Corporation has been lost, destroyed or stolen, the holder thereof may file in the office of the Corporation an affidavit setting forth, to the best of his or her knowledge and belief, the time, place, and circumstance of such loss, destruction or theft together with a statement of indemnity sufficient in the opinion of the Board of Directors to indemnify the Corporation against any claim that may be made against it on account of the alleged loss of any such certificate. Thereupon the Board of Directors may cause to be issued to such person or such persons legal representative a new certificate or a duplicate of the certificate alleged to have been lost, destroyed or stolen. In the exercise of its discretion, the Board of Directors may waive the indemnification requirements provided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b/>
          <w:sz w:val="20"/>
          <w:u w:val="single"/>
        </w:rPr>
        <w:t>Dividends</w:t>
      </w:r>
      <w:r>
        <w:rPr>
          <w:rFonts w:ascii="Times New Roman" w:hAnsi="Times New Roman"/>
          <w:b/>
          <w:sz w:val="20"/>
        </w:rPr>
        <w:t>.</w:t>
      </w:r>
      <w:r>
        <w:rPr>
          <w:rFonts w:ascii="Times New Roman" w:hAnsi="Times New Roman"/>
          <w:sz w:val="20"/>
        </w:rPr>
        <w:t xml:space="preserve"> The Board of Directors of the Corporation may declare and pay dividends upon the shares of the Corporations capital stock in any form determined by the Board of Directors and not inconsistent with the Certificate of Incorporation, in the manner and upon the terms and conditions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CONTRACTS, LOANS, CHECKS AND DEPOSITS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Contracts</w:t>
      </w:r>
      <w:r>
        <w:rPr>
          <w:rFonts w:ascii="Times New Roman" w:hAnsi="Times New Roman"/>
          <w:b/>
          <w:sz w:val="20"/>
        </w:rPr>
        <w:t>.</w:t>
      </w:r>
      <w:r>
        <w:rPr>
          <w:rFonts w:ascii="Times New Roman" w:hAnsi="Times New Roman"/>
          <w:sz w:val="20"/>
        </w:rPr>
        <w:t xml:space="preserve"> The Board of Directors may authorize any officer or officers, agent or agents, to enter into any contract or execute and deliver any instrument in the name of and on behalf of the Corporation, and such authority may be general or confined to specific instances.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Loans</w:t>
      </w:r>
      <w:r>
        <w:rPr>
          <w:rFonts w:ascii="Times New Roman" w:hAnsi="Times New Roman"/>
          <w:b/>
          <w:sz w:val="20"/>
        </w:rPr>
        <w:t>.</w:t>
      </w:r>
      <w:r>
        <w:rPr>
          <w:rFonts w:ascii="Times New Roman" w:hAnsi="Times New Roman"/>
          <w:sz w:val="20"/>
        </w:rPr>
        <w:t xml:space="preserve"> No loans shall be contracted on behalf of the Corporation and no evidences of indebtedness shall be issued in its name unless authorized by a resolution of the Board of Directors. Such authority may be general or confined to specific instances.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Checks, Drafts, Etc</w:t>
      </w:r>
      <w:r>
        <w:rPr>
          <w:rFonts w:ascii="Times New Roman" w:hAnsi="Times New Roman"/>
          <w:b/>
          <w:sz w:val="20"/>
        </w:rPr>
        <w:t>.</w:t>
      </w:r>
      <w:r>
        <w:rPr>
          <w:rFonts w:ascii="Times New Roman" w:hAnsi="Times New Roman"/>
          <w:sz w:val="20"/>
        </w:rPr>
        <w:t xml:space="preserve">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b/>
          <w:sz w:val="20"/>
          <w:u w:val="single"/>
        </w:rPr>
        <w:t>Deposits</w:t>
      </w:r>
      <w:r>
        <w:rPr>
          <w:rFonts w:ascii="Times New Roman" w:hAnsi="Times New Roman"/>
          <w:b/>
          <w:sz w:val="20"/>
        </w:rPr>
        <w:t>.</w:t>
      </w:r>
      <w:r>
        <w:rPr>
          <w:rFonts w:ascii="Times New Roman" w:hAnsi="Times New Roman"/>
          <w:sz w:val="20"/>
        </w:rPr>
        <w:t xml:space="preserve"> The funds of the Corporation may be deposited or invested in such bank account, in such investments or with such other depositaries as determined by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Amendments</w:t>
      </w:r>
      <w:r>
        <w:rPr>
          <w:rFonts w:ascii="Times New Roman" w:hAnsi="Times New Roman"/>
          <w:b/>
          <w:sz w:val="20"/>
        </w:rPr>
        <w:t>.</w:t>
      </w:r>
      <w:r>
        <w:rPr>
          <w:rFonts w:ascii="Times New Roman" w:hAnsi="Times New Roman"/>
          <w:sz w:val="20"/>
        </w:rPr>
        <w:t xml:space="preserve"> These By-laws may be amended or repealed by the Board of Directors or by the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By-law adopted by the stockholders may be amended or repealed by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RIGHT OF FIRST REFUSAL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w:t>
      </w:r>
      <w:r>
        <w:rPr>
          <w:rFonts w:ascii="Times New Roman" w:hAnsi="Times New Roman"/>
          <w:sz w:val="20"/>
        </w:rPr>
        <w:t xml:space="preserve"> </w:t>
      </w:r>
      <w:r>
        <w:rPr>
          <w:rFonts w:ascii="Times New Roman" w:hAnsi="Times New Roman"/>
          <w:b/>
          <w:sz w:val="20"/>
          <w:u w:val="single"/>
        </w:rPr>
        <w:t>Right of First Refusal</w:t>
      </w:r>
      <w:r>
        <w:rPr>
          <w:rFonts w:ascii="Times New Roman" w:hAnsi="Times New Roman"/>
          <w:b/>
          <w:sz w:val="20"/>
        </w:rPr>
        <w:t>.</w:t>
      </w:r>
      <w:r>
        <w:rPr>
          <w:rFonts w:ascii="Times New Roman" w:hAnsi="Times New Roman"/>
          <w:sz w:val="20"/>
        </w:rPr>
        <w:t xml:space="preserve"> No stockholder shall sell, assign, pledge, or in any manner transfer any shares of common stock of the corporation or any right or interest therein, whether voluntarily or by operation of law, or by gift or otherwise, except by a transfer which meets the requirements hereinafter set forth in this bylaw: </w:t>
      </w:r>
    </w:p>
    <w:p>
      <w:pPr>
        <w:pStyle w:val="TextBody"/>
        <w:bidi w:val="0"/>
        <w:spacing w:before="120" w:after="0"/>
        <w:jc w:val="left"/>
        <w:rPr>
          <w:rFonts w:ascii="Times New Roman" w:hAnsi="Times New Roman"/>
          <w:sz w:val="20"/>
        </w:rPr>
      </w:pPr>
      <w:r>
        <w:rPr>
          <w:rFonts w:ascii="Times New Roman" w:hAnsi="Times New Roman"/>
          <w:sz w:val="20"/>
        </w:rPr>
        <w:t xml:space="preserve">(a) If the stockholder desires to sell or otherwise transfer any of its shares of common stock of the corporation, then the stockholder shall first give written notice thereof to the corporation. The notice shall name the proposed transferee and state the number of shares to be transferred, the proposed consideration, and all other terms and conditions of the proposed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thirty (30) days following receipt of such notice, the corporation shall have the option to purchase the shares specified in the notice at the price and upon the terms set forth in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w:t>
      </w:r>
      <w:r>
        <w:rPr>
          <w:rFonts w:ascii="Times New Roman" w:hAnsi="Times New Roman"/>
          <w:sz w:val="20"/>
          <w:u w:val="single"/>
        </w:rPr>
        <w:t>Section 11.1</w:t>
      </w:r>
      <w:r>
        <w:rPr>
          <w:rFonts w:ascii="Times New Roman" w:hAnsi="Times New Roman"/>
          <w:sz w:val="20"/>
        </w:rPr>
        <w:t xml:space="preserve">, the price shall be deemed to be the fair market value of the shares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in paragraph (d) below. </w:t>
      </w:r>
    </w:p>
    <w:p>
      <w:pPr>
        <w:pStyle w:val="TextBody"/>
        <w:bidi w:val="0"/>
        <w:spacing w:before="120" w:after="0"/>
        <w:jc w:val="left"/>
        <w:rPr>
          <w:rFonts w:ascii="Times New Roman" w:hAnsi="Times New Roman"/>
          <w:sz w:val="20"/>
        </w:rPr>
      </w:pPr>
      <w:r>
        <w:rPr>
          <w:rFonts w:ascii="Times New Roman" w:hAnsi="Times New Roman"/>
          <w:sz w:val="20"/>
        </w:rPr>
        <w:t xml:space="preserve">(c) The corporation may assign its rights hereunder. </w:t>
      </w:r>
    </w:p>
    <w:p>
      <w:pPr>
        <w:pStyle w:val="TextBody"/>
        <w:bidi w:val="0"/>
        <w:spacing w:before="120" w:after="0"/>
        <w:jc w:val="left"/>
        <w:rPr>
          <w:rFonts w:ascii="Times New Roman" w:hAnsi="Times New Roman"/>
          <w:sz w:val="20"/>
        </w:rPr>
      </w:pPr>
      <w:r>
        <w:rPr>
          <w:rFonts w:ascii="Times New Roman" w:hAnsi="Times New Roman"/>
          <w:sz w:val="20"/>
        </w:rPr>
        <w:t xml:space="preserve">(d) 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forty-five (45)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 </w:t>
      </w:r>
    </w:p>
    <w:p>
      <w:pPr>
        <w:pStyle w:val="TextBody"/>
        <w:bidi w:val="0"/>
        <w:spacing w:before="120" w:after="0"/>
        <w:jc w:val="left"/>
        <w:rPr>
          <w:rFonts w:ascii="Times New Roman" w:hAnsi="Times New Roman"/>
          <w:sz w:val="20"/>
        </w:rPr>
      </w:pPr>
      <w:r>
        <w:rPr>
          <w:rFonts w:ascii="Times New Roman" w:hAnsi="Times New Roman"/>
          <w:sz w:val="20"/>
        </w:rPr>
        <w:t xml:space="preserve">(e) In the event the corporation and/or its assignees(s) do not elect to acquire all of the shares specified in the transferring stockholders notice, said transferring stockholder may, within the sixty-day period following the expiration or waiver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 </w:t>
      </w:r>
    </w:p>
    <w:p>
      <w:pPr>
        <w:pStyle w:val="TextBody"/>
        <w:bidi w:val="0"/>
        <w:spacing w:before="120" w:after="0"/>
        <w:jc w:val="left"/>
        <w:rPr>
          <w:rFonts w:ascii="Times New Roman" w:hAnsi="Times New Roman"/>
          <w:sz w:val="20"/>
        </w:rPr>
      </w:pPr>
      <w:r>
        <w:rPr>
          <w:rFonts w:ascii="Times New Roman" w:hAnsi="Times New Roman"/>
          <w:sz w:val="20"/>
        </w:rPr>
        <w:t xml:space="preserve">(f) Anything to the contrary contained herein notwithstanding, the following transactions shall be exempt from the provisions of this bylaw: </w:t>
      </w:r>
    </w:p>
    <w:p>
      <w:pPr>
        <w:pStyle w:val="TextBody"/>
        <w:bidi w:val="0"/>
        <w:spacing w:before="120" w:after="0"/>
        <w:jc w:val="left"/>
        <w:rPr>
          <w:rFonts w:ascii="Times New Roman" w:hAnsi="Times New Roman"/>
          <w:sz w:val="20"/>
        </w:rPr>
      </w:pPr>
      <w:r>
        <w:rPr>
          <w:rFonts w:ascii="Times New Roman" w:hAnsi="Times New Roman"/>
          <w:sz w:val="20"/>
        </w:rPr>
        <w:t xml:space="preserve">(i) 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(or limited liability company) of which the stockholder, members of such stockholders immediate family or any trust for the account of such stockholder or such stockholders immediate family will be the general or limited partner(s) (or members) of such partnership (or limited liability company). Immediate family as used herein shall mean spouse, lineal descendant, father, mother, brother, or sister of the stockholder making such transfer. </w:t>
      </w:r>
    </w:p>
    <w:p>
      <w:pPr>
        <w:pStyle w:val="TextBody"/>
        <w:bidi w:val="0"/>
        <w:spacing w:before="120" w:after="0"/>
        <w:jc w:val="left"/>
        <w:rPr>
          <w:rFonts w:ascii="Times New Roman" w:hAnsi="Times New Roman"/>
          <w:sz w:val="20"/>
        </w:rPr>
      </w:pPr>
      <w:r>
        <w:rPr>
          <w:rFonts w:ascii="Times New Roman" w:hAnsi="Times New Roman"/>
          <w:sz w:val="20"/>
        </w:rPr>
        <w:t xml:space="preserve">(ii) A stockholders bona fide pledge or mortgage of any shares with a commercial lending institution, provided that any subsequent transfer of said shares by said institution shall be conducted in the manner set forth in this bylaw.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stockholders transfer of any or all of such stockholders shares to the corporation or to any other stockholder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(iv) A stockholders transfer of any or all of such stockholders shares to a person who, at the time of such transfer, is an officer or director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(v) 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 </w:t>
      </w:r>
    </w:p>
    <w:p>
      <w:pPr>
        <w:pStyle w:val="TextBody"/>
        <w:bidi w:val="0"/>
        <w:spacing w:before="120" w:after="0"/>
        <w:jc w:val="left"/>
        <w:rPr>
          <w:rFonts w:ascii="Times New Roman" w:hAnsi="Times New Roman"/>
          <w:sz w:val="20"/>
        </w:rPr>
      </w:pPr>
      <w:r>
        <w:rPr>
          <w:rFonts w:ascii="Times New Roman" w:hAnsi="Times New Roman"/>
          <w:sz w:val="20"/>
        </w:rPr>
        <w:t xml:space="preserve">(vi) A corporate stockholders transfer of any or all of its shares to any or all of its stockholders. </w:t>
      </w:r>
    </w:p>
    <w:p>
      <w:pPr>
        <w:pStyle w:val="TextBody"/>
        <w:bidi w:val="0"/>
        <w:spacing w:before="120" w:after="0"/>
        <w:jc w:val="left"/>
        <w:rPr>
          <w:rFonts w:ascii="Times New Roman" w:hAnsi="Times New Roman"/>
          <w:sz w:val="20"/>
        </w:rPr>
      </w:pPr>
      <w:r>
        <w:rPr>
          <w:rFonts w:ascii="Times New Roman" w:hAnsi="Times New Roman"/>
          <w:sz w:val="20"/>
        </w:rPr>
        <w:t xml:space="preserve">(vii) A transfer by a stockholder which is a limited or general partnership (or limited liability company) to any or all of its partners (or members) or former partners (or former members) in accordance with partnership (or limited liability company) interests. </w:t>
      </w:r>
    </w:p>
    <w:p>
      <w:pPr>
        <w:pStyle w:val="TextBody"/>
        <w:bidi w:val="0"/>
        <w:spacing w:before="120" w:after="0"/>
        <w:jc w:val="left"/>
        <w:rPr>
          <w:rFonts w:ascii="Times New Roman" w:hAnsi="Times New Roman"/>
          <w:sz w:val="20"/>
        </w:rPr>
      </w:pPr>
      <w:r>
        <w:rPr>
          <w:rFonts w:ascii="Times New Roman" w:hAnsi="Times New Roman"/>
          <w:sz w:val="20"/>
        </w:rPr>
        <w:t xml:space="preserve">(viii) A corporate stockholders transfer to any other individual, corporation, partnership, trust, limited liability company, association or other entity (together,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such Person or by one or more general partners or managing members of, or shares the same management company or common investment management with, such Person.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the transferee, assignee, or other recipient shall receive and hold such stock subject to the provisions of this bylaw, and there shall be no further transfer of such stock except in accord with this bylaw. </w:t>
      </w:r>
    </w:p>
    <w:p>
      <w:pPr>
        <w:pStyle w:val="TextBody"/>
        <w:bidi w:val="0"/>
        <w:spacing w:before="120" w:after="0"/>
        <w:jc w:val="left"/>
        <w:rPr>
          <w:rFonts w:ascii="Times New Roman" w:hAnsi="Times New Roman"/>
          <w:sz w:val="20"/>
        </w:rPr>
      </w:pPr>
      <w:r>
        <w:rPr>
          <w:rFonts w:ascii="Times New Roman" w:hAnsi="Times New Roman"/>
          <w:sz w:val="20"/>
        </w:rPr>
        <w:t xml:space="preserve">(g) 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the shares held by the transferring stockholder and its affiliates). This bylaw may be amended or repealed either by a duly authorized action of the Board of Directors or by the stockholders, upon the express written consent of the owners of a majority of the voting power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(h) Any sale or transfer, or purported sale or transfer, of securities of the corporation shall be null and void unless the terms, conditions, and provisions of this bylaw are strictly observed and followed. </w:t>
      </w:r>
    </w:p>
    <w:p>
      <w:pPr>
        <w:pStyle w:val="TextBody"/>
        <w:bidi w:val="0"/>
        <w:spacing w:before="120" w:after="0"/>
        <w:jc w:val="left"/>
        <w:rPr>
          <w:rFonts w:ascii="Times New Roman" w:hAnsi="Times New Roman"/>
          <w:sz w:val="20"/>
        </w:rPr>
      </w:pPr>
      <w:r>
        <w:rPr>
          <w:rFonts w:ascii="Times New Roman" w:hAnsi="Times New Roman"/>
          <w:sz w:val="20"/>
        </w:rPr>
        <w:t xml:space="preserve">(i) Anything to the contrary contained herein notwithstanding, in the event of a conflict between these bylaws and any agreement among the corporation and certain stockholders of the corporation containing a right of first refusal, the terms of such agreement will control and compliance with such agreement shall be deemed compliance with these bylaws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foregoing right of first refusal shall terminate on either of the following dates, whichever shall first occur: </w:t>
      </w:r>
    </w:p>
    <w:p>
      <w:pPr>
        <w:pStyle w:val="TextBody"/>
        <w:bidi w:val="0"/>
        <w:spacing w:before="120" w:after="0"/>
        <w:jc w:val="left"/>
        <w:rPr>
          <w:rFonts w:ascii="Times New Roman" w:hAnsi="Times New Roman"/>
          <w:sz w:val="20"/>
        </w:rPr>
      </w:pPr>
      <w:r>
        <w:rPr>
          <w:rFonts w:ascii="Times New Roman" w:hAnsi="Times New Roman"/>
          <w:sz w:val="20"/>
        </w:rPr>
        <w:t xml:space="preserve">(i) On September 1, 2027; or </w:t>
      </w:r>
    </w:p>
    <w:p>
      <w:pPr>
        <w:pStyle w:val="TextBody"/>
        <w:bidi w:val="0"/>
        <w:spacing w:before="120" w:after="0"/>
        <w:jc w:val="left"/>
        <w:rPr>
          <w:rFonts w:ascii="Times New Roman" w:hAnsi="Times New Roman"/>
          <w:sz w:val="20"/>
        </w:rPr>
      </w:pPr>
      <w:r>
        <w:rPr>
          <w:rFonts w:ascii="Times New Roman" w:hAnsi="Times New Roman"/>
          <w:sz w:val="20"/>
        </w:rPr>
        <w:t xml:space="preserve">(ii) Upon the date securities of the corporation are first offered to the public pursuant to a registration statement filed with, and declared effective by, the United States Securities and Exchange Commission under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 xml:space="preserve">(k) The certificates representing shares of stock of the corporation shall bear on their face the following legend so long as the foregoing right of first refusal remains in effect: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 RIGHT OF FIRST REFUSAL OPTION IN FAVOR OF THE CORPORATION AND/OR ITS ASSIGNEE(S), AS PROVIDED IN THE BYLAWS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INDEMNIFICATION OF OFFICERS, DIRECTORS, EMPLOYEES AND AGENTS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w:t>
      </w:r>
      <w:r>
        <w:rPr>
          <w:rFonts w:ascii="Times New Roman" w:hAnsi="Times New Roman"/>
          <w:sz w:val="20"/>
        </w:rPr>
        <w:t xml:space="preserve"> The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12.2</w:t>
      </w:r>
      <w:r>
        <w:rPr>
          <w:rFonts w:ascii="Times New Roman" w:hAnsi="Times New Roman"/>
          <w:sz w:val="20"/>
        </w:rPr>
        <w:t xml:space="preserve"> The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12.3</w:t>
      </w:r>
      <w:r>
        <w:rPr>
          <w:rFonts w:ascii="Times New Roman" w:hAnsi="Times New Roman"/>
          <w:sz w:val="20"/>
        </w:rPr>
        <w:t xml:space="preserve"> To the extent that a present or former director or officer of the Corporation has been successful on the merits or otherwise in the defense of any action, suit or proceeding referred to in </w:t>
      </w:r>
      <w:r>
        <w:rPr>
          <w:rFonts w:ascii="Times New Roman" w:hAnsi="Times New Roman"/>
          <w:sz w:val="20"/>
          <w:u w:val="single"/>
        </w:rPr>
        <w:t>Sections 12.1</w:t>
      </w:r>
      <w:r>
        <w:rPr>
          <w:rFonts w:ascii="Times New Roman" w:hAnsi="Times New Roman"/>
          <w:sz w:val="20"/>
        </w:rPr>
        <w:t xml:space="preserve"> and </w:t>
      </w:r>
      <w:r>
        <w:rPr>
          <w:rFonts w:ascii="Times New Roman" w:hAnsi="Times New Roman"/>
          <w:sz w:val="20"/>
          <w:u w:val="single"/>
        </w:rPr>
        <w:t>12.2</w:t>
      </w:r>
      <w:r>
        <w:rPr>
          <w:rFonts w:ascii="Times New Roman" w:hAnsi="Times New Roman"/>
          <w:sz w:val="20"/>
        </w:rPr>
        <w:t xml:space="preserve"> of these By-laws,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12.4</w:t>
      </w:r>
      <w:r>
        <w:rPr>
          <w:rFonts w:ascii="Times New Roman" w:hAnsi="Times New Roman"/>
          <w:sz w:val="20"/>
        </w:rPr>
        <w:t xml:space="preserve"> Any indemnification under </w:t>
      </w:r>
      <w:r>
        <w:rPr>
          <w:rFonts w:ascii="Times New Roman" w:hAnsi="Times New Roman"/>
          <w:sz w:val="20"/>
          <w:u w:val="single"/>
        </w:rPr>
        <w:t>Sections 12.1</w:t>
      </w:r>
      <w:r>
        <w:rPr>
          <w:rFonts w:ascii="Times New Roman" w:hAnsi="Times New Roman"/>
          <w:sz w:val="20"/>
        </w:rPr>
        <w:t xml:space="preserve"> and </w:t>
      </w:r>
      <w:r>
        <w:rPr>
          <w:rFonts w:ascii="Times New Roman" w:hAnsi="Times New Roman"/>
          <w:sz w:val="20"/>
          <w:u w:val="single"/>
        </w:rPr>
        <w:t>12.2</w:t>
      </w:r>
      <w:r>
        <w:rPr>
          <w:rFonts w:ascii="Times New Roman" w:hAnsi="Times New Roman"/>
          <w:sz w:val="20"/>
        </w:rPr>
        <w:t xml:space="preserve"> of these By laws (unless ordered by a court) shall be made by the Corporation only as authorized in the specific case upon a determination that indemnification of the present director, officer, employee or agent is proper in the circumstances because the person has met the applicable standard of conduct set forth in </w:t>
      </w:r>
      <w:r>
        <w:rPr>
          <w:rFonts w:ascii="Times New Roman" w:hAnsi="Times New Roman"/>
          <w:sz w:val="20"/>
          <w:u w:val="single"/>
        </w:rPr>
        <w:t>Sections 12.1</w:t>
      </w:r>
      <w:r>
        <w:rPr>
          <w:rFonts w:ascii="Times New Roman" w:hAnsi="Times New Roman"/>
          <w:sz w:val="20"/>
        </w:rPr>
        <w:t xml:space="preserve"> and </w:t>
      </w:r>
      <w:r>
        <w:rPr>
          <w:rFonts w:ascii="Times New Roman" w:hAnsi="Times New Roman"/>
          <w:sz w:val="20"/>
          <w:u w:val="single"/>
        </w:rPr>
        <w:t>12.2</w:t>
      </w:r>
      <w:r>
        <w:rPr>
          <w:rFonts w:ascii="Times New Roman" w:hAnsi="Times New Roman"/>
          <w:sz w:val="20"/>
        </w:rPr>
        <w:t xml:space="preserve"> of these By-laws. Such determination shall be made, with respect to a person who is a director or officer at the time of such determination, (a) by a majority vote of the directors who are not parties to such action, suit or proceeding, even though less than a quorum, or (b) by a committee of such directors designated by majority vote of such directors, even though less than a quorum, or (c) if there are no such directors, or if such directors so direct, by independent legal counsel in a written opinion, or (d) by the stockholders.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12.5</w:t>
      </w:r>
      <w:r>
        <w:rPr>
          <w:rFonts w:ascii="Times New Roman" w:hAnsi="Times New Roman"/>
          <w:sz w:val="20"/>
        </w:rPr>
        <w:t xml:space="preserve"> Expenses (including attorneys fees) incurred by an officer or director in defending a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XII. Such expenses (including attorneys fees) incurred by directors and officers or other employees and agents may be so paid upon such terms and conditions, if any, as the Board of Directors deems appropriate.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12.6</w:t>
      </w:r>
      <w:r>
        <w:rPr>
          <w:rFonts w:ascii="Times New Roman" w:hAnsi="Times New Roman"/>
          <w:sz w:val="20"/>
        </w:rPr>
        <w:t xml:space="preserve"> The indemnification and advancement of expenses provided by, or granted pursuant to, other sections of this </w:t>
      </w:r>
      <w:r>
        <w:rPr>
          <w:rFonts w:ascii="Times New Roman" w:hAnsi="Times New Roman"/>
          <w:sz w:val="20"/>
          <w:u w:val="single"/>
        </w:rPr>
        <w:t>Article XII</w:t>
      </w:r>
      <w:r>
        <w:rPr>
          <w:rFonts w:ascii="Times New Roman" w:hAnsi="Times New Roman"/>
          <w:sz w:val="20"/>
        </w:rPr>
        <w:t xml:space="preserve">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12.7</w:t>
      </w:r>
      <w:r>
        <w:rPr>
          <w:rFonts w:ascii="Times New Roman" w:hAnsi="Times New Roman"/>
          <w:sz w:val="20"/>
        </w:rPr>
        <w:t xml:space="preserve"> The Corporation may purchase and maintain insurance on behalf of any person who is or was a director, officer, employee or 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w:t>
      </w:r>
      <w:r>
        <w:rPr>
          <w:rFonts w:ascii="Times New Roman" w:hAnsi="Times New Roman"/>
          <w:sz w:val="20"/>
          <w:u w:val="single"/>
        </w:rPr>
        <w:t>Article XII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12.8</w:t>
      </w:r>
      <w:r>
        <w:rPr>
          <w:rFonts w:ascii="Times New Roman" w:hAnsi="Times New Roman"/>
          <w:sz w:val="20"/>
        </w:rPr>
        <w:t xml:space="preserve"> The indemnification and advancement of expenses provided by, or granted pursuant to, this </w:t>
      </w:r>
      <w:r>
        <w:rPr>
          <w:rFonts w:ascii="Times New Roman" w:hAnsi="Times New Roman"/>
          <w:sz w:val="20"/>
          <w:u w:val="single"/>
        </w:rPr>
        <w:t>Article XII</w:t>
      </w:r>
      <w:r>
        <w:rPr>
          <w:rFonts w:ascii="Times New Roman" w:hAnsi="Times New Roman"/>
          <w:sz w:val="20"/>
        </w:rPr>
        <w:t xml:space="preserve"> shall, unless otherwise provided when authorized or ratified, continue as to a person who has ceased to be a director, officer, employee or agent and shall inure to the benefit of the heirs, executors and administrators of such a person. </w:t>
      </w:r>
    </w:p>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right"/>
        <w:rPr>
          <w:rFonts w:ascii="Times New Roman" w:hAnsi="Times New Roman"/>
          <w:b/>
          <w:sz w:val="20"/>
        </w:rPr>
      </w:pPr>
      <w:bookmarkStart w:id="38" w:name="filename4.htm"/>
      <w:bookmarkStart w:id="39" w:name="ksfilename4"/>
      <w:bookmarkEnd w:id="38"/>
      <w:bookmarkEnd w:id="39"/>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NINTH AMENDED AND RESTATED INVESTORS RIGHTS AGREEMENT </w:t>
      </w:r>
    </w:p>
    <w:p>
      <w:pPr>
        <w:pStyle w:val="TextBody"/>
        <w:bidi w:val="0"/>
        <w:spacing w:before="120" w:after="0"/>
        <w:jc w:val="left"/>
        <w:rPr>
          <w:rFonts w:ascii="Times New Roman" w:hAnsi="Times New Roman"/>
          <w:sz w:val="20"/>
        </w:rPr>
      </w:pPr>
      <w:r>
        <w:rPr>
          <w:rFonts w:ascii="Times New Roman" w:hAnsi="Times New Roman"/>
          <w:sz w:val="20"/>
        </w:rPr>
        <w:t>This NINTH AMENDED AND RESTATED INVESTORS RIGHTS AGREEMENT is made as of November 19, 2020, by and among Tempus Labs, Inc., a Delaware corporation (the </w:t>
      </w:r>
      <w:r>
        <w:rPr>
          <w:rFonts w:ascii="Times New Roman" w:hAnsi="Times New Roman"/>
          <w:b/>
          <w:i/>
          <w:sz w:val="20"/>
        </w:rPr>
        <w:t>Company</w:t>
      </w:r>
      <w:r>
        <w:rPr>
          <w:rFonts w:ascii="Times New Roman" w:hAnsi="Times New Roman"/>
          <w:sz w:val="20"/>
        </w:rPr>
        <w:t xml:space="preserve">), each of the investors listed on </w:t>
      </w:r>
      <w:r>
        <w:rPr>
          <w:rFonts w:ascii="Times New Roman" w:hAnsi="Times New Roman"/>
          <w:sz w:val="20"/>
          <w:u w:val="single"/>
        </w:rPr>
        <w:t>Schedule A</w:t>
      </w:r>
      <w:r>
        <w:rPr>
          <w:rFonts w:ascii="Times New Roman" w:hAnsi="Times New Roman"/>
          <w:sz w:val="20"/>
        </w:rPr>
        <w:t xml:space="preserve"> hereto, each of whom is referred to in this Agreement as an </w:t>
      </w:r>
      <w:r>
        <w:rPr>
          <w:rFonts w:ascii="Times New Roman" w:hAnsi="Times New Roman"/>
          <w:b/>
          <w:i/>
          <w:sz w:val="20"/>
        </w:rPr>
        <w:t>Investor</w:t>
      </w:r>
      <w:r>
        <w:rPr>
          <w:rFonts w:ascii="Times New Roman" w:hAnsi="Times New Roman"/>
          <w:sz w:val="20"/>
        </w:rPr>
        <w:t xml:space="preserve"> and each of the stockholders listed on </w:t>
      </w:r>
      <w:r>
        <w:rPr>
          <w:rFonts w:ascii="Times New Roman" w:hAnsi="Times New Roman"/>
          <w:sz w:val="20"/>
          <w:u w:val="single"/>
        </w:rPr>
        <w:t>Schedule B</w:t>
      </w:r>
      <w:r>
        <w:rPr>
          <w:rFonts w:ascii="Times New Roman" w:hAnsi="Times New Roman"/>
          <w:sz w:val="20"/>
        </w:rPr>
        <w:t xml:space="preserve"> hereto, each of whom is referred to in this Agreement as a </w:t>
      </w:r>
      <w:r>
        <w:rPr>
          <w:rFonts w:ascii="Times New Roman" w:hAnsi="Times New Roman"/>
          <w:b/>
          <w:i/>
          <w:sz w:val="20"/>
        </w:rPr>
        <w:t>Common 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and certain of the Investors are parties to the Series G-2 Preferred Stock Purchase Agreement, of even date herewith (the </w:t>
      </w:r>
      <w:r>
        <w:rPr>
          <w:rFonts w:ascii="Times New Roman" w:hAnsi="Times New Roman"/>
          <w:b/>
          <w:i/>
          <w:sz w:val="20"/>
        </w:rPr>
        <w:t>Series G-2 Purchase Agreement</w:t>
      </w:r>
      <w:r>
        <w:rPr>
          <w:rFonts w:ascii="Times New Roman" w:hAnsi="Times New Roman"/>
          <w:sz w:val="20"/>
        </w:rPr>
        <w:t>), pursuant to which such Investors have agreed to purchase shares of the Series G-2 Preferred Stock of the Company, par value $0.0001 per share (</w:t>
      </w:r>
      <w:r>
        <w:rPr>
          <w:rFonts w:ascii="Times New Roman" w:hAnsi="Times New Roman"/>
          <w:b/>
          <w:i/>
          <w:sz w:val="20"/>
        </w:rPr>
        <w:t>Series G-2 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certain of the Investors hold shares of Series A Preferred Stock, par value $0.0001 per share (</w:t>
      </w:r>
      <w:r>
        <w:rPr>
          <w:rFonts w:ascii="Times New Roman" w:hAnsi="Times New Roman"/>
          <w:b/>
          <w:i/>
          <w:sz w:val="20"/>
        </w:rPr>
        <w:t>Series A Preferred Stock</w:t>
      </w:r>
      <w:r>
        <w:rPr>
          <w:rFonts w:ascii="Times New Roman" w:hAnsi="Times New Roman"/>
          <w:sz w:val="20"/>
        </w:rPr>
        <w:t>), Series B Preferred Stock of the Company, par value $0.0001 per share (</w:t>
      </w:r>
      <w:r>
        <w:rPr>
          <w:rFonts w:ascii="Times New Roman" w:hAnsi="Times New Roman"/>
          <w:b/>
          <w:i/>
          <w:sz w:val="20"/>
        </w:rPr>
        <w:t>Series B Preferred Stock</w:t>
      </w:r>
      <w:r>
        <w:rPr>
          <w:rFonts w:ascii="Times New Roman" w:hAnsi="Times New Roman"/>
          <w:sz w:val="20"/>
        </w:rPr>
        <w:t>), Series B-1 Preferred Stock of the Company, par value $0.0001 per share (</w:t>
      </w:r>
      <w:r>
        <w:rPr>
          <w:rFonts w:ascii="Times New Roman" w:hAnsi="Times New Roman"/>
          <w:b/>
          <w:i/>
          <w:sz w:val="20"/>
        </w:rPr>
        <w:t>Series B-1 Preferred Stock</w:t>
      </w:r>
      <w:r>
        <w:rPr>
          <w:rFonts w:ascii="Times New Roman" w:hAnsi="Times New Roman"/>
          <w:sz w:val="20"/>
        </w:rPr>
        <w:t>), Series B-2 Preferred Stock of the Company, par value $0.0001 per share (</w:t>
      </w:r>
      <w:r>
        <w:rPr>
          <w:rFonts w:ascii="Times New Roman" w:hAnsi="Times New Roman"/>
          <w:b/>
          <w:i/>
          <w:sz w:val="20"/>
        </w:rPr>
        <w:t>Series B-2 Preferred Stock</w:t>
      </w:r>
      <w:r>
        <w:rPr>
          <w:rFonts w:ascii="Times New Roman" w:hAnsi="Times New Roman"/>
          <w:sz w:val="20"/>
        </w:rPr>
        <w:t>), Series C Preferred Stock of the Company, par value $0.0001 per share (</w:t>
      </w:r>
      <w:r>
        <w:rPr>
          <w:rFonts w:ascii="Times New Roman" w:hAnsi="Times New Roman"/>
          <w:b/>
          <w:i/>
          <w:sz w:val="20"/>
        </w:rPr>
        <w:t>Series C Preferred Stock</w:t>
      </w:r>
      <w:r>
        <w:rPr>
          <w:rFonts w:ascii="Times New Roman" w:hAnsi="Times New Roman"/>
          <w:sz w:val="20"/>
        </w:rPr>
        <w:t>), Series D Preferred Stock of the Company, par value $0.0001 per share (</w:t>
      </w:r>
      <w:r>
        <w:rPr>
          <w:rFonts w:ascii="Times New Roman" w:hAnsi="Times New Roman"/>
          <w:b/>
          <w:i/>
          <w:sz w:val="20"/>
        </w:rPr>
        <w:t>Series D Preferred Stock</w:t>
      </w:r>
      <w:r>
        <w:rPr>
          <w:rFonts w:ascii="Times New Roman" w:hAnsi="Times New Roman"/>
          <w:sz w:val="20"/>
        </w:rPr>
        <w:t>), Series E Preferred Stock of the Company, par value $0.0001 per share (</w:t>
      </w:r>
      <w:r>
        <w:rPr>
          <w:rFonts w:ascii="Times New Roman" w:hAnsi="Times New Roman"/>
          <w:b/>
          <w:i/>
          <w:sz w:val="20"/>
        </w:rPr>
        <w:t>Series E Preferred Stock</w:t>
      </w:r>
      <w:r>
        <w:rPr>
          <w:rFonts w:ascii="Times New Roman" w:hAnsi="Times New Roman"/>
          <w:sz w:val="20"/>
        </w:rPr>
        <w:t>), Series F Preferred Stock of the Company, par value $0.0001 per share (</w:t>
      </w:r>
      <w:r>
        <w:rPr>
          <w:rFonts w:ascii="Times New Roman" w:hAnsi="Times New Roman"/>
          <w:b/>
          <w:i/>
          <w:sz w:val="20"/>
        </w:rPr>
        <w:t>Series F Preferred Stock</w:t>
      </w:r>
      <w:r>
        <w:rPr>
          <w:rFonts w:ascii="Times New Roman" w:hAnsi="Times New Roman"/>
          <w:sz w:val="20"/>
        </w:rPr>
        <w:t>), Series G Preferred Stock of the Company, par value $0.0001 per share (</w:t>
      </w:r>
      <w:r>
        <w:rPr>
          <w:rFonts w:ascii="Times New Roman" w:hAnsi="Times New Roman"/>
          <w:b/>
          <w:i/>
          <w:sz w:val="20"/>
        </w:rPr>
        <w:t>Series G Preferred Stock</w:t>
      </w:r>
      <w:r>
        <w:rPr>
          <w:rFonts w:ascii="Times New Roman" w:hAnsi="Times New Roman"/>
          <w:sz w:val="20"/>
        </w:rPr>
        <w:t>) and/or Voting Common Stock and possess registration rights, information rights, rights of first offer and other rights pursuant to that certain Eighth Amended and Restated Investors Rights Agreement dated as of February 6, 2020, by and among the parties thereto (the </w:t>
      </w:r>
      <w:r>
        <w:rPr>
          <w:rFonts w:ascii="Times New Roman" w:hAnsi="Times New Roman"/>
          <w:b/>
          <w:i/>
          <w:sz w:val="20"/>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to the Prior Agreement desire to amend and restate the Prior Agreement in its entirety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Investors, the Common Holders and the Company hereby agree that this Agreement shall govern the rights of the Investors and the Common Holders to cause the Company to register shares of Voting Common Stock issuable to the Investors, to receive certain information from the Company, and to participate in future equity offerings by the Company, and shall govern certain other matters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b/>
          <w:i/>
          <w:sz w:val="20"/>
        </w:rPr>
        <w:t>Affiliate</w:t>
      </w:r>
      <w:r>
        <w:rPr>
          <w:rFonts w:ascii="Times New Roman" w:hAnsi="Times New Roman"/>
          <w:sz w:val="20"/>
        </w:rPr>
        <w:t xml:space="preserve">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such Person or by one or more general partners or managing members of, or shares the same (or an affiliate of the same) management company, common investment management or investment adviser with, such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 </w:t>
      </w:r>
      <w:r>
        <w:rPr>
          <w:rFonts w:ascii="Times New Roman" w:hAnsi="Times New Roman"/>
          <w:b/>
          <w:i/>
          <w:sz w:val="20"/>
        </w:rPr>
        <w:t>Baillie Gifford</w:t>
      </w:r>
      <w:r>
        <w:rPr>
          <w:rFonts w:ascii="Times New Roman" w:hAnsi="Times New Roman"/>
          <w:sz w:val="20"/>
        </w:rPr>
        <w:t xml:space="preserve"> means Baillie Gifford &amp; Co., Baillie Gifford Overseas Limited and any successor or affiliated registered investment advisor to the Baillie Gifford Investors. </w:t>
      </w:r>
    </w:p>
    <w:p>
      <w:pPr>
        <w:pStyle w:val="TextBody"/>
        <w:bidi w:val="0"/>
        <w:spacing w:before="120" w:after="0"/>
        <w:jc w:val="left"/>
        <w:rPr>
          <w:rFonts w:ascii="Times New Roman" w:hAnsi="Times New Roman"/>
          <w:sz w:val="20"/>
        </w:rPr>
      </w:pPr>
      <w:r>
        <w:rPr>
          <w:rFonts w:ascii="Times New Roman" w:hAnsi="Times New Roman"/>
          <w:sz w:val="20"/>
        </w:rPr>
        <w:t>1.3 </w:t>
      </w:r>
      <w:r>
        <w:rPr>
          <w:rFonts w:ascii="Times New Roman" w:hAnsi="Times New Roman"/>
          <w:b/>
          <w:i/>
          <w:sz w:val="20"/>
        </w:rPr>
        <w:t>Baillie Gifford Investors</w:t>
      </w:r>
      <w:r>
        <w:rPr>
          <w:rFonts w:ascii="Times New Roman" w:hAnsi="Times New Roman"/>
          <w:sz w:val="20"/>
        </w:rPr>
        <w:t xml:space="preserve"> means the Investors that are advisory clients of Baillie Gifford. </w:t>
      </w:r>
    </w:p>
    <w:p>
      <w:pPr>
        <w:pStyle w:val="TextBody"/>
        <w:bidi w:val="0"/>
        <w:spacing w:before="120" w:after="0"/>
        <w:jc w:val="left"/>
        <w:rPr>
          <w:rFonts w:ascii="Times New Roman" w:hAnsi="Times New Roman"/>
          <w:sz w:val="20"/>
        </w:rPr>
      </w:pPr>
      <w:r>
        <w:rPr>
          <w:rFonts w:ascii="Times New Roman" w:hAnsi="Times New Roman"/>
          <w:sz w:val="20"/>
        </w:rPr>
        <w:t>1.4 </w:t>
      </w:r>
      <w:r>
        <w:rPr>
          <w:rFonts w:ascii="Times New Roman" w:hAnsi="Times New Roman"/>
          <w:b/>
          <w:i/>
          <w:sz w:val="20"/>
        </w:rPr>
        <w:t>Certificate</w:t>
      </w:r>
      <w:r>
        <w:rPr>
          <w:rFonts w:ascii="Times New Roman" w:hAnsi="Times New Roman"/>
          <w:sz w:val="20"/>
        </w:rPr>
        <w:t xml:space="preserve"> means the Companys Ninth Amended and Restated Certificate of Incorporation, as filed with the Office of the Secretary of State of the State of Delaware on the date hereof, as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1.5 </w:t>
      </w:r>
      <w:r>
        <w:rPr>
          <w:rFonts w:ascii="Times New Roman" w:hAnsi="Times New Roman"/>
          <w:b/>
          <w:i/>
          <w:sz w:val="20"/>
        </w:rPr>
        <w:t>CFIUS Approval</w:t>
      </w:r>
      <w:r>
        <w:rPr>
          <w:rFonts w:ascii="Times New Roman" w:hAnsi="Times New Roman"/>
          <w:i/>
          <w:sz w:val="20"/>
        </w:rPr>
        <w:t xml:space="preserve"> </w:t>
      </w:r>
      <w:r>
        <w:rPr>
          <w:rFonts w:ascii="Times New Roman" w:hAnsi="Times New Roman"/>
          <w:sz w:val="20"/>
        </w:rPr>
        <w:t>means (i) the Company and the applicable Purchaser(s) shall have received written notice from CFIUS that review under Section 721 of the Defense Production Act of 1950 as amended by the Foreign Investment Risk Review Modernization Act of 2018, including implementing regulations thereof, 31 C.F.R. Parts 800 and 801 (the </w:t>
      </w:r>
      <w:r>
        <w:rPr>
          <w:rFonts w:ascii="Times New Roman" w:hAnsi="Times New Roman"/>
          <w:b/>
          <w:i/>
          <w:sz w:val="20"/>
        </w:rPr>
        <w:t>DPA</w:t>
      </w:r>
      <w:r>
        <w:rPr>
          <w:rFonts w:ascii="Times New Roman" w:hAnsi="Times New Roman"/>
          <w:sz w:val="20"/>
        </w:rPr>
        <w:t>), of the transactions contemplated hereby has been concluded, and CFIUS shall have determined that there are no unresolved national security concerns with respect to the transactions contemplated hereby, and advised that action under Section 721 of the DPA, and any investigation related thereto, has been concluded with respect to the transactions contemplated hereby; (ii) CFIUS shall have concluded that the transactions contemplated hereby are not covered transactions and are not subject to review under Section 721 of the DPA; or (iii) CFIUS shall have sent a report to the President of the United States (the </w:t>
      </w:r>
      <w:r>
        <w:rPr>
          <w:rFonts w:ascii="Times New Roman" w:hAnsi="Times New Roman"/>
          <w:b/>
          <w:i/>
          <w:sz w:val="20"/>
        </w:rPr>
        <w:t>President</w:t>
      </w:r>
      <w:r>
        <w:rPr>
          <w:rFonts w:ascii="Times New Roman" w:hAnsi="Times New Roman"/>
          <w:sz w:val="20"/>
        </w:rPr>
        <w:t xml:space="preserve">) requesting the Presidents decision on the notice and either (1) the period under Section 721 of the DPA during which the President may announce his decision to take action to suspend or prohibit the transactions contemplated hereby shall have expired without any such action being announced or taken or (2) the President shall have announced a decision not to take any action to suspend or prohibit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1.6 </w:t>
      </w:r>
      <w:r>
        <w:rPr>
          <w:rFonts w:ascii="Times New Roman" w:hAnsi="Times New Roman"/>
          <w:b/>
          <w:i/>
          <w:sz w:val="20"/>
        </w:rPr>
        <w:t>Common Stock</w:t>
      </w:r>
      <w:r>
        <w:rPr>
          <w:rFonts w:ascii="Times New Roman" w:hAnsi="Times New Roman"/>
          <w:sz w:val="20"/>
        </w:rPr>
        <w:t xml:space="preserve"> means, collectively, the shares of the Companys Voting Common Stock and the Nonvoting Common Stock. </w:t>
      </w:r>
    </w:p>
    <w:p>
      <w:pPr>
        <w:pStyle w:val="TextBody"/>
        <w:bidi w:val="0"/>
        <w:spacing w:before="120" w:after="0"/>
        <w:jc w:val="left"/>
        <w:rPr>
          <w:rFonts w:ascii="Times New Roman" w:hAnsi="Times New Roman"/>
          <w:sz w:val="20"/>
        </w:rPr>
      </w:pPr>
      <w:r>
        <w:rPr>
          <w:rFonts w:ascii="Times New Roman" w:hAnsi="Times New Roman"/>
          <w:sz w:val="20"/>
        </w:rPr>
        <w:t>1.7 </w:t>
      </w:r>
      <w:r>
        <w:rPr>
          <w:rFonts w:ascii="Times New Roman" w:hAnsi="Times New Roman"/>
          <w:b/>
          <w:i/>
          <w:sz w:val="20"/>
        </w:rPr>
        <w:t>Damages</w:t>
      </w:r>
      <w:r>
        <w:rPr>
          <w:rFonts w:ascii="Times New Roman" w:hAnsi="Times New Roman"/>
          <w:sz w:val="20"/>
        </w:rPr>
        <w:t xml:space="preserve"> means any claim, loss, damage or liability (joint or several) to which a party hereto may become subject under the Securities Act, the Exchange Act, or other federal or state law, insofar as such claim, loss, damage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1.8 </w:t>
      </w:r>
      <w:r>
        <w:rPr>
          <w:rFonts w:ascii="Times New Roman" w:hAnsi="Times New Roman"/>
          <w:b/>
          <w:i/>
          <w:sz w:val="20"/>
        </w:rPr>
        <w:t>Derivative Securities</w:t>
      </w:r>
      <w:r>
        <w:rPr>
          <w:rFonts w:ascii="Times New Roman" w:hAnsi="Times New Roman"/>
          <w:sz w:val="20"/>
        </w:rPr>
        <w:t xml:space="preserve"> means any securities or rights convertible into, or exercisable or exchangeable for (in each case, directly or indirectly), Common Stock, including options and warrants. </w:t>
      </w:r>
    </w:p>
    <w:p>
      <w:pPr>
        <w:pStyle w:val="TextBody"/>
        <w:bidi w:val="0"/>
        <w:spacing w:before="120" w:after="0"/>
        <w:jc w:val="left"/>
        <w:rPr>
          <w:rFonts w:ascii="Times New Roman" w:hAnsi="Times New Roman"/>
          <w:sz w:val="20"/>
        </w:rPr>
      </w:pPr>
      <w:r>
        <w:rPr>
          <w:rFonts w:ascii="Times New Roman" w:hAnsi="Times New Roman"/>
          <w:sz w:val="20"/>
        </w:rPr>
        <w:t>1.9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1.10 </w:t>
      </w:r>
      <w:r>
        <w:rPr>
          <w:rFonts w:ascii="Times New Roman" w:hAnsi="Times New Roman"/>
          <w:b/>
          <w:i/>
          <w:sz w:val="20"/>
        </w:rPr>
        <w:t>Excluded Registration</w:t>
      </w:r>
      <w:r>
        <w:rPr>
          <w:rFonts w:ascii="Times New Roman" w:hAnsi="Times New Roman"/>
          <w:sz w:val="20"/>
        </w:rPr>
        <w:t xml:space="preserve"> means (i) a registration relating to the sale of securities to employees of the Company or an Affiliate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w:t>
      </w:r>
    </w:p>
    <w:p>
      <w:pPr>
        <w:pStyle w:val="TextBody"/>
        <w:bidi w:val="0"/>
        <w:spacing w:before="120" w:after="0"/>
        <w:jc w:val="left"/>
        <w:rPr>
          <w:rFonts w:ascii="Times New Roman" w:hAnsi="Times New Roman"/>
          <w:sz w:val="20"/>
        </w:rPr>
      </w:pPr>
      <w:r>
        <w:rPr>
          <w:rFonts w:ascii="Times New Roman" w:hAnsi="Times New Roman"/>
          <w:sz w:val="20"/>
        </w:rPr>
        <w:t>1.11 </w:t>
      </w:r>
      <w:r>
        <w:rPr>
          <w:rFonts w:ascii="Times New Roman" w:hAnsi="Times New Roman"/>
          <w:b/>
          <w:i/>
          <w:sz w:val="20"/>
        </w:rPr>
        <w:t>Form S-1</w:t>
      </w:r>
      <w:r>
        <w:rPr>
          <w:rFonts w:ascii="Times New Roman" w:hAnsi="Times New Roman"/>
          <w:sz w:val="20"/>
        </w:rPr>
        <w:t xml:space="preserve"> means such form under the Securities Act as in effect on the date hereof or any successor registration form under the Securities Act subsequently adopted by the SEC. </w:t>
      </w:r>
    </w:p>
    <w:p>
      <w:pPr>
        <w:pStyle w:val="TextBody"/>
        <w:bidi w:val="0"/>
        <w:spacing w:before="120" w:after="0"/>
        <w:jc w:val="left"/>
        <w:rPr>
          <w:rFonts w:ascii="Times New Roman" w:hAnsi="Times New Roman"/>
          <w:sz w:val="20"/>
        </w:rPr>
      </w:pPr>
      <w:r>
        <w:rPr>
          <w:rFonts w:ascii="Times New Roman" w:hAnsi="Times New Roman"/>
          <w:sz w:val="20"/>
        </w:rPr>
        <w:t>1.12 </w:t>
      </w:r>
      <w:r>
        <w:rPr>
          <w:rFonts w:ascii="Times New Roman" w:hAnsi="Times New Roman"/>
          <w:b/>
          <w:i/>
          <w:sz w:val="20"/>
        </w:rPr>
        <w:t>Form S-3</w:t>
      </w:r>
      <w:r>
        <w:rPr>
          <w:rFonts w:ascii="Times New Roman" w:hAnsi="Times New Roman"/>
          <w:sz w:val="20"/>
        </w:rPr>
        <w:t xml:space="preserve"> means such form under the Securities Act as in effect on the date hereof or any registration form under the Securities Act subsequently adopted by the SEC that permits incorporation of substantial information by reference to other documents filed by the Company with the SEC. </w:t>
      </w:r>
    </w:p>
    <w:p>
      <w:pPr>
        <w:pStyle w:val="TextBody"/>
        <w:bidi w:val="0"/>
        <w:spacing w:before="120" w:after="0"/>
        <w:jc w:val="left"/>
        <w:rPr>
          <w:rFonts w:ascii="Times New Roman" w:hAnsi="Times New Roman"/>
          <w:sz w:val="20"/>
        </w:rPr>
      </w:pPr>
      <w:r>
        <w:rPr>
          <w:rFonts w:ascii="Times New Roman" w:hAnsi="Times New Roman"/>
          <w:sz w:val="20"/>
        </w:rPr>
        <w:t>1.13 </w:t>
      </w:r>
      <w:r>
        <w:rPr>
          <w:rFonts w:ascii="Times New Roman" w:hAnsi="Times New Roman"/>
          <w:b/>
          <w:i/>
          <w:sz w:val="20"/>
        </w:rPr>
        <w:t>GAAP</w:t>
      </w:r>
      <w:r>
        <w:rPr>
          <w:rFonts w:ascii="Times New Roman" w:hAnsi="Times New Roman"/>
          <w:sz w:val="20"/>
        </w:rPr>
        <w:t xml:space="preserve"> means generally accepted accounting principles in the United States. </w:t>
      </w:r>
    </w:p>
    <w:p>
      <w:pPr>
        <w:pStyle w:val="TextBody"/>
        <w:bidi w:val="0"/>
        <w:spacing w:before="120" w:after="0"/>
        <w:jc w:val="left"/>
        <w:rPr>
          <w:rFonts w:ascii="Times New Roman" w:hAnsi="Times New Roman"/>
          <w:sz w:val="20"/>
        </w:rPr>
      </w:pPr>
      <w:r>
        <w:rPr>
          <w:rFonts w:ascii="Times New Roman" w:hAnsi="Times New Roman"/>
          <w:sz w:val="20"/>
        </w:rPr>
        <w:t>1.14 </w:t>
      </w:r>
      <w:r>
        <w:rPr>
          <w:rFonts w:ascii="Times New Roman" w:hAnsi="Times New Roman"/>
          <w:b/>
          <w:i/>
          <w:sz w:val="20"/>
        </w:rPr>
        <w:t>Google</w:t>
      </w:r>
      <w:r>
        <w:rPr>
          <w:rFonts w:ascii="Times New Roman" w:hAnsi="Times New Roman"/>
          <w:sz w:val="20"/>
        </w:rPr>
        <w:t xml:space="preserve"> means Google LLC, a Delaware limited liability company, together with its subsidiaries and Affiliates. </w:t>
      </w:r>
    </w:p>
    <w:p>
      <w:pPr>
        <w:pStyle w:val="TextBody"/>
        <w:bidi w:val="0"/>
        <w:spacing w:before="120" w:after="0"/>
        <w:jc w:val="left"/>
        <w:rPr>
          <w:rFonts w:ascii="Times New Roman" w:hAnsi="Times New Roman"/>
          <w:sz w:val="20"/>
        </w:rPr>
      </w:pPr>
      <w:r>
        <w:rPr>
          <w:rFonts w:ascii="Times New Roman" w:hAnsi="Times New Roman"/>
          <w:sz w:val="20"/>
        </w:rPr>
        <w:t>1.15 </w:t>
      </w:r>
      <w:r>
        <w:rPr>
          <w:rFonts w:ascii="Times New Roman" w:hAnsi="Times New Roman"/>
          <w:b/>
          <w:i/>
          <w:sz w:val="20"/>
        </w:rPr>
        <w:t>Holder</w:t>
      </w:r>
      <w:r>
        <w:rPr>
          <w:rFonts w:ascii="Times New Roman" w:hAnsi="Times New Roman"/>
          <w:sz w:val="20"/>
        </w:rPr>
        <w:t xml:space="preserve"> means any holder of Registrable Securities who is a party to this Agreement. </w:t>
      </w:r>
    </w:p>
    <w:p>
      <w:pPr>
        <w:pStyle w:val="TextBody"/>
        <w:bidi w:val="0"/>
        <w:spacing w:before="120" w:after="0"/>
        <w:jc w:val="left"/>
        <w:rPr>
          <w:rFonts w:ascii="Times New Roman" w:hAnsi="Times New Roman"/>
          <w:sz w:val="20"/>
        </w:rPr>
      </w:pPr>
      <w:r>
        <w:rPr>
          <w:rFonts w:ascii="Times New Roman" w:hAnsi="Times New Roman"/>
          <w:sz w:val="20"/>
        </w:rPr>
        <w:t>1.16 </w:t>
      </w:r>
      <w:r>
        <w:rPr>
          <w:rFonts w:ascii="Times New Roman" w:hAnsi="Times New Roman"/>
          <w:b/>
          <w:i/>
          <w:sz w:val="20"/>
        </w:rPr>
        <w:t>Immediate Family Member</w:t>
      </w:r>
      <w:r>
        <w:rPr>
          <w:rFonts w:ascii="Times New Roman" w:hAnsi="Times New Roman"/>
          <w:sz w:val="20"/>
        </w:rPr>
        <w:t xml:space="preserve"> means a child, stepchild, grandchild, parent, stepparent, grandparent, spouse, sibling, mother-in-law, father-in-law, son-in-law, daughter-in-law, brother-in-law, or sister-in-law, including adoptive relationships, of a natural person referred to herein. </w:t>
      </w:r>
    </w:p>
    <w:p>
      <w:pPr>
        <w:pStyle w:val="TextBody"/>
        <w:bidi w:val="0"/>
        <w:spacing w:before="120" w:after="0"/>
        <w:jc w:val="left"/>
        <w:rPr>
          <w:rFonts w:ascii="Times New Roman" w:hAnsi="Times New Roman"/>
          <w:sz w:val="20"/>
        </w:rPr>
      </w:pPr>
      <w:r>
        <w:rPr>
          <w:rFonts w:ascii="Times New Roman" w:hAnsi="Times New Roman"/>
          <w:sz w:val="20"/>
        </w:rPr>
        <w:t>1.17 </w:t>
      </w:r>
      <w:r>
        <w:rPr>
          <w:rFonts w:ascii="Times New Roman" w:hAnsi="Times New Roman"/>
          <w:b/>
          <w:i/>
          <w:sz w:val="20"/>
        </w:rPr>
        <w:t>Initiating Holders</w:t>
      </w:r>
      <w:r>
        <w:rPr>
          <w:rFonts w:ascii="Times New Roman" w:hAnsi="Times New Roman"/>
          <w:sz w:val="20"/>
        </w:rPr>
        <w:t xml:space="preserve"> means, collectively, Holders who properly initiate a registration request under this Agreement. </w:t>
      </w:r>
    </w:p>
    <w:p>
      <w:pPr>
        <w:pStyle w:val="TextBody"/>
        <w:bidi w:val="0"/>
        <w:spacing w:before="120" w:after="0"/>
        <w:jc w:val="left"/>
        <w:rPr>
          <w:rFonts w:ascii="Times New Roman" w:hAnsi="Times New Roman"/>
          <w:sz w:val="20"/>
        </w:rPr>
      </w:pPr>
      <w:r>
        <w:rPr>
          <w:rFonts w:ascii="Times New Roman" w:hAnsi="Times New Roman"/>
          <w:sz w:val="20"/>
        </w:rPr>
        <w:t>1.18 </w:t>
      </w:r>
      <w:r>
        <w:rPr>
          <w:rFonts w:ascii="Times New Roman" w:hAnsi="Times New Roman"/>
          <w:b/>
          <w:i/>
          <w:sz w:val="20"/>
        </w:rPr>
        <w:t>IPO</w:t>
      </w:r>
      <w:r>
        <w:rPr>
          <w:rFonts w:ascii="Times New Roman" w:hAnsi="Times New Roman"/>
          <w:sz w:val="20"/>
        </w:rPr>
        <w:t xml:space="preserve"> means the Companys first underwritten public offering of its Common Stock under the Securities Act. </w:t>
      </w:r>
    </w:p>
    <w:p>
      <w:pPr>
        <w:pStyle w:val="TextBody"/>
        <w:bidi w:val="0"/>
        <w:spacing w:before="120" w:after="0"/>
        <w:jc w:val="left"/>
        <w:rPr>
          <w:rFonts w:ascii="Times New Roman" w:hAnsi="Times New Roman"/>
          <w:sz w:val="20"/>
        </w:rPr>
      </w:pPr>
      <w:r>
        <w:rPr>
          <w:rFonts w:ascii="Times New Roman" w:hAnsi="Times New Roman"/>
          <w:sz w:val="20"/>
        </w:rPr>
        <w:t>1.19 </w:t>
      </w:r>
      <w:r>
        <w:rPr>
          <w:rFonts w:ascii="Times New Roman" w:hAnsi="Times New Roman"/>
          <w:b/>
          <w:i/>
          <w:sz w:val="20"/>
        </w:rPr>
        <w:t>Lightbank</w:t>
      </w:r>
      <w:r>
        <w:rPr>
          <w:rFonts w:ascii="Times New Roman" w:hAnsi="Times New Roman"/>
          <w:sz w:val="20"/>
        </w:rPr>
        <w:t xml:space="preserve"> means, collectively, Innovation Group Investors, L.P., Lightbank Investments 1B, LLC, Gray Media, LLC, Blue Media, LLC, Keeks, LLC, Tempus Series B Investments, LLC, Tempus Series B-1 Investments, LLC, and Tempus Series B-2 Investments, LLC, Tempus Series C Investments, LLC, Tempus Series D Investments, LLC, Tempus Series E Investments, LLC, and Tempus Series G Investments,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1.20 </w:t>
      </w:r>
      <w:r>
        <w:rPr>
          <w:rFonts w:ascii="Times New Roman" w:hAnsi="Times New Roman"/>
          <w:b/>
          <w:i/>
          <w:sz w:val="20"/>
        </w:rPr>
        <w:t>Major Investor</w:t>
      </w:r>
      <w:r>
        <w:rPr>
          <w:rFonts w:ascii="Times New Roman" w:hAnsi="Times New Roman"/>
          <w:sz w:val="20"/>
        </w:rPr>
        <w:t xml:space="preserve"> means (i) any Investor or Common Holder that, individually or together with such Investors or Common Holders Affiliates, holds at least 1,000,000 shares of Registrable Securities (as adjusted for any stock split, stock dividend, combination, or other recapitalization or reclassification effected after the date hereof), (ii) each T. Rowe Price Investor that holds any Registrable Securities, and (iii) any Baillie Gifford Investor that holds any Registrable Securities. </w:t>
      </w:r>
    </w:p>
    <w:p>
      <w:pPr>
        <w:pStyle w:val="TextBody"/>
        <w:bidi w:val="0"/>
        <w:spacing w:before="120" w:after="0"/>
        <w:jc w:val="left"/>
        <w:rPr>
          <w:rFonts w:ascii="Times New Roman" w:hAnsi="Times New Roman"/>
          <w:sz w:val="20"/>
        </w:rPr>
      </w:pPr>
      <w:r>
        <w:rPr>
          <w:rFonts w:ascii="Times New Roman" w:hAnsi="Times New Roman"/>
          <w:sz w:val="20"/>
        </w:rPr>
        <w:t>1.21 </w:t>
      </w:r>
      <w:r>
        <w:rPr>
          <w:rFonts w:ascii="Times New Roman" w:hAnsi="Times New Roman"/>
          <w:b/>
          <w:i/>
          <w:sz w:val="20"/>
        </w:rPr>
        <w:t>NEA</w:t>
      </w:r>
      <w:r>
        <w:rPr>
          <w:rFonts w:ascii="Times New Roman" w:hAnsi="Times New Roman"/>
          <w:sz w:val="20"/>
        </w:rPr>
        <w:t xml:space="preserve"> means, collectively, New Enterprise Associates 16, L.P. and any of its Affiliates. </w:t>
      </w:r>
    </w:p>
    <w:p>
      <w:pPr>
        <w:pStyle w:val="TextBody"/>
        <w:bidi w:val="0"/>
        <w:spacing w:before="120" w:after="0"/>
        <w:jc w:val="left"/>
        <w:rPr>
          <w:rFonts w:ascii="Times New Roman" w:hAnsi="Times New Roman"/>
          <w:sz w:val="20"/>
        </w:rPr>
      </w:pPr>
      <w:r>
        <w:rPr>
          <w:rFonts w:ascii="Times New Roman" w:hAnsi="Times New Roman"/>
          <w:sz w:val="20"/>
        </w:rPr>
        <w:t>1.22 </w:t>
      </w:r>
      <w:r>
        <w:rPr>
          <w:rFonts w:ascii="Times New Roman" w:hAnsi="Times New Roman"/>
          <w:b/>
          <w:i/>
          <w:sz w:val="20"/>
        </w:rPr>
        <w:t>New Securities</w:t>
      </w:r>
      <w:r>
        <w:rPr>
          <w:rFonts w:ascii="Times New Roman" w:hAnsi="Times New Roman"/>
          <w:sz w:val="20"/>
        </w:rPr>
        <w:t xml:space="preserve">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 </w:t>
      </w:r>
    </w:p>
    <w:p>
      <w:pPr>
        <w:pStyle w:val="TextBody"/>
        <w:bidi w:val="0"/>
        <w:spacing w:before="120" w:after="0"/>
        <w:jc w:val="left"/>
        <w:rPr>
          <w:rFonts w:ascii="Times New Roman" w:hAnsi="Times New Roman"/>
          <w:sz w:val="20"/>
        </w:rPr>
      </w:pPr>
      <w:r>
        <w:rPr>
          <w:rFonts w:ascii="Times New Roman" w:hAnsi="Times New Roman"/>
          <w:sz w:val="20"/>
        </w:rPr>
        <w:t>1.23 </w:t>
      </w:r>
      <w:r>
        <w:rPr>
          <w:rFonts w:ascii="Times New Roman" w:hAnsi="Times New Roman"/>
          <w:b/>
          <w:i/>
          <w:sz w:val="20"/>
        </w:rPr>
        <w:t>Nonvoting Common Stock</w:t>
      </w:r>
      <w:r>
        <w:rPr>
          <w:rFonts w:ascii="Times New Roman" w:hAnsi="Times New Roman"/>
          <w:sz w:val="20"/>
        </w:rPr>
        <w:t xml:space="preserve"> means the shares of the Companys Nonvoting Common Stock, $0.0001 par value per share. </w:t>
      </w:r>
    </w:p>
    <w:p>
      <w:pPr>
        <w:pStyle w:val="TextBody"/>
        <w:bidi w:val="0"/>
        <w:spacing w:before="120" w:after="0"/>
        <w:jc w:val="left"/>
        <w:rPr>
          <w:rFonts w:ascii="Times New Roman" w:hAnsi="Times New Roman"/>
          <w:sz w:val="20"/>
        </w:rPr>
      </w:pPr>
      <w:r>
        <w:rPr>
          <w:rFonts w:ascii="Times New Roman" w:hAnsi="Times New Roman"/>
          <w:sz w:val="20"/>
        </w:rPr>
        <w:t>1.24 </w:t>
      </w:r>
      <w:r>
        <w:rPr>
          <w:rFonts w:ascii="Times New Roman" w:hAnsi="Times New Roman"/>
          <w:b/>
          <w:i/>
          <w:sz w:val="20"/>
        </w:rPr>
        <w:t>Novo</w:t>
      </w:r>
      <w:r>
        <w:rPr>
          <w:rFonts w:ascii="Times New Roman" w:hAnsi="Times New Roman"/>
          <w:sz w:val="20"/>
        </w:rPr>
        <w:t xml:space="preserve"> means Novo Holdings A/S and any of its Affiliates. </w:t>
      </w:r>
    </w:p>
    <w:p>
      <w:pPr>
        <w:pStyle w:val="TextBody"/>
        <w:bidi w:val="0"/>
        <w:spacing w:before="120" w:after="0"/>
        <w:jc w:val="left"/>
        <w:rPr>
          <w:rFonts w:ascii="Times New Roman" w:hAnsi="Times New Roman"/>
          <w:sz w:val="20"/>
        </w:rPr>
      </w:pPr>
      <w:r>
        <w:rPr>
          <w:rFonts w:ascii="Times New Roman" w:hAnsi="Times New Roman"/>
          <w:sz w:val="20"/>
        </w:rPr>
        <w:t>1.25 </w:t>
      </w:r>
      <w:r>
        <w:rPr>
          <w:rFonts w:ascii="Times New Roman" w:hAnsi="Times New Roman"/>
          <w:b/>
          <w:i/>
          <w:sz w:val="20"/>
        </w:rPr>
        <w:t>Novo Side Letter</w:t>
      </w:r>
      <w:r>
        <w:rPr>
          <w:rFonts w:ascii="Times New Roman" w:hAnsi="Times New Roman"/>
          <w:sz w:val="20"/>
        </w:rPr>
        <w:t xml:space="preserve"> means that certain letter agreement dated May 29, 2019, by and among the Company, Novo and the Founder Stockholders (as defined therein), a copy of which is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1.26 </w:t>
      </w:r>
      <w:r>
        <w:rPr>
          <w:rFonts w:ascii="Times New Roman" w:hAnsi="Times New Roman"/>
          <w:b/>
          <w:i/>
          <w:sz w:val="20"/>
        </w:rPr>
        <w:t>Person</w:t>
      </w:r>
      <w:r>
        <w:rPr>
          <w:rFonts w:ascii="Times New Roman" w:hAnsi="Times New Roman"/>
          <w:sz w:val="20"/>
        </w:rPr>
        <w:t xml:space="preserve"> means any individual, corporation, partnership, trust, limited liability company, association or other entity. </w:t>
      </w:r>
    </w:p>
    <w:p>
      <w:pPr>
        <w:pStyle w:val="TextBody"/>
        <w:bidi w:val="0"/>
        <w:spacing w:before="120" w:after="0"/>
        <w:jc w:val="left"/>
        <w:rPr>
          <w:rFonts w:ascii="Times New Roman" w:hAnsi="Times New Roman"/>
          <w:sz w:val="20"/>
        </w:rPr>
      </w:pPr>
      <w:r>
        <w:rPr>
          <w:rFonts w:ascii="Times New Roman" w:hAnsi="Times New Roman"/>
          <w:sz w:val="20"/>
        </w:rPr>
        <w:t>1.27 </w:t>
      </w:r>
      <w:r>
        <w:rPr>
          <w:rFonts w:ascii="Times New Roman" w:hAnsi="Times New Roman"/>
          <w:b/>
          <w:i/>
          <w:sz w:val="20"/>
        </w:rPr>
        <w:t>Preferred Stock</w:t>
      </w:r>
      <w:r>
        <w:rPr>
          <w:rFonts w:ascii="Times New Roman" w:hAnsi="Times New Roman"/>
          <w:sz w:val="20"/>
        </w:rPr>
        <w:t xml:space="preserve"> means, collectively, the shares of the Companys Series A Preferred Stock, Series B Preferred Stock, Series B-1 Preferred Stock, Series B-2 Preferred Stock, Series C Preferred Stock, Series D Preferred Stock, Series E Preferred Stock, Series F Preferred Stock, Series G Preferred Stock, and Series G-2 Preferred Stock. </w:t>
      </w:r>
    </w:p>
    <w:p>
      <w:pPr>
        <w:pStyle w:val="TextBody"/>
        <w:bidi w:val="0"/>
        <w:spacing w:before="120" w:after="0"/>
        <w:jc w:val="left"/>
        <w:rPr>
          <w:rFonts w:ascii="Times New Roman" w:hAnsi="Times New Roman"/>
          <w:sz w:val="20"/>
        </w:rPr>
      </w:pPr>
      <w:r>
        <w:rPr>
          <w:rFonts w:ascii="Times New Roman" w:hAnsi="Times New Roman"/>
          <w:sz w:val="20"/>
        </w:rPr>
        <w:t>1.28 </w:t>
      </w:r>
      <w:r>
        <w:rPr>
          <w:rFonts w:ascii="Times New Roman" w:hAnsi="Times New Roman"/>
          <w:b/>
          <w:i/>
          <w:sz w:val="20"/>
        </w:rPr>
        <w:t>Registrable Securities</w:t>
      </w:r>
      <w:r>
        <w:rPr>
          <w:rFonts w:ascii="Times New Roman" w:hAnsi="Times New Roman"/>
          <w:sz w:val="20"/>
        </w:rPr>
        <w:t xml:space="preserve"> means (a) the Voting Common Stock, (b) the Voting Common Stock issuable or issued upon conversion of the Preferred Stock, (c) any Common Stock, or any Common Stock issued or issuable (directly or indirectly) upon conversion and/or exercise of any other securities of the Company, acquired or held by the Investors or the Common Holders; and (d) any Common Stock issued as (or issuable upon the conversion or exercise of any warrant, right, or other security that is issued as) a dividend or other distribution with respect to, or in exchange for or in replacement of, the shares referenced in clauses (a) or (b) above; excluding in all cases, however, (i) any Registrable Securities sold by a Person in a transaction in which the applicable rights under this Agreement are not assigned pursuant to </w:t>
      </w:r>
      <w:r>
        <w:rPr>
          <w:rFonts w:ascii="Times New Roman" w:hAnsi="Times New Roman"/>
          <w:sz w:val="20"/>
          <w:u w:val="single"/>
        </w:rPr>
        <w:t>Section 6.1</w:t>
      </w:r>
      <w:r>
        <w:rPr>
          <w:rFonts w:ascii="Times New Roman" w:hAnsi="Times New Roman"/>
          <w:sz w:val="20"/>
        </w:rPr>
        <w:t xml:space="preserve">, (ii) excluding for purposes of </w:t>
      </w:r>
      <w:r>
        <w:rPr>
          <w:rFonts w:ascii="Times New Roman" w:hAnsi="Times New Roman"/>
          <w:sz w:val="20"/>
          <w:u w:val="single"/>
        </w:rPr>
        <w:t>Section 2</w:t>
      </w:r>
      <w:r>
        <w:rPr>
          <w:rFonts w:ascii="Times New Roman" w:hAnsi="Times New Roman"/>
          <w:sz w:val="20"/>
        </w:rPr>
        <w:t xml:space="preserve"> any shares for which registration rights have terminated pursuant to </w:t>
      </w:r>
      <w:r>
        <w:rPr>
          <w:rFonts w:ascii="Times New Roman" w:hAnsi="Times New Roman"/>
          <w:sz w:val="20"/>
          <w:u w:val="single"/>
        </w:rPr>
        <w:t>Section 2.13</w:t>
      </w:r>
      <w:r>
        <w:rPr>
          <w:rFonts w:ascii="Times New Roman" w:hAnsi="Times New Roman"/>
          <w:sz w:val="20"/>
        </w:rPr>
        <w:t xml:space="preserve"> of this Agreement, and (iii) Voting Common Stock that has been converted from Nonvoting Common Stock and any Common Stock issued as (or issuable upon the conversion or exercise of any warrant, right, or other security that is issued as) a dividend or other distribution with respect to, or in exchange for or in replacement of, such Voting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1.29 </w:t>
      </w:r>
      <w:r>
        <w:rPr>
          <w:rFonts w:ascii="Times New Roman" w:hAnsi="Times New Roman"/>
          <w:b/>
          <w:i/>
          <w:sz w:val="20"/>
        </w:rPr>
        <w:t>Registrable Securities Then Outstanding</w:t>
      </w:r>
      <w:r>
        <w:rPr>
          <w:rFonts w:ascii="Times New Roman" w:hAnsi="Times New Roman"/>
          <w:sz w:val="20"/>
        </w:rPr>
        <w:t xml:space="preserve">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 </w:t>
      </w:r>
    </w:p>
    <w:p>
      <w:pPr>
        <w:pStyle w:val="TextBody"/>
        <w:bidi w:val="0"/>
        <w:spacing w:before="120" w:after="0"/>
        <w:jc w:val="left"/>
        <w:rPr>
          <w:rFonts w:ascii="Times New Roman" w:hAnsi="Times New Roman"/>
          <w:sz w:val="20"/>
        </w:rPr>
      </w:pPr>
      <w:r>
        <w:rPr>
          <w:rFonts w:ascii="Times New Roman" w:hAnsi="Times New Roman"/>
          <w:sz w:val="20"/>
        </w:rPr>
        <w:t>1.30 </w:t>
      </w:r>
      <w:r>
        <w:rPr>
          <w:rFonts w:ascii="Times New Roman" w:hAnsi="Times New Roman"/>
          <w:b/>
          <w:i/>
          <w:sz w:val="20"/>
        </w:rPr>
        <w:t>Required Approvals</w:t>
      </w:r>
      <w:r>
        <w:rPr>
          <w:rFonts w:ascii="Times New Roman" w:hAnsi="Times New Roman"/>
          <w:sz w:val="20"/>
        </w:rPr>
        <w:t xml:space="preserve"> means all consents, approvals, clearances or other authorizations of, and expiration of waiting periods required by, any governmental authorities required under applicable laws, including the CFIUS Approval. </w:t>
      </w:r>
    </w:p>
    <w:p>
      <w:pPr>
        <w:pStyle w:val="TextBody"/>
        <w:bidi w:val="0"/>
        <w:spacing w:before="120" w:after="0"/>
        <w:jc w:val="left"/>
        <w:rPr>
          <w:rFonts w:ascii="Times New Roman" w:hAnsi="Times New Roman"/>
          <w:sz w:val="20"/>
        </w:rPr>
      </w:pPr>
      <w:r>
        <w:rPr>
          <w:rFonts w:ascii="Times New Roman" w:hAnsi="Times New Roman"/>
          <w:sz w:val="20"/>
        </w:rPr>
        <w:t>1.31 </w:t>
      </w:r>
      <w:r>
        <w:rPr>
          <w:rFonts w:ascii="Times New Roman" w:hAnsi="Times New Roman"/>
          <w:b/>
          <w:i/>
          <w:sz w:val="20"/>
        </w:rPr>
        <w:t>Restricted Securities</w:t>
      </w:r>
      <w:r>
        <w:rPr>
          <w:rFonts w:ascii="Times New Roman" w:hAnsi="Times New Roman"/>
          <w:sz w:val="20"/>
        </w:rPr>
        <w:t xml:space="preserve"> means the securities of the Company required to bear the legend set forth in </w:t>
      </w:r>
      <w:r>
        <w:rPr>
          <w:rFonts w:ascii="Times New Roman" w:hAnsi="Times New Roman"/>
          <w:sz w:val="20"/>
          <w:u w:val="single"/>
        </w:rPr>
        <w:t>Section 2.12(b)</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1.32 </w:t>
      </w:r>
      <w:r>
        <w:rPr>
          <w:rFonts w:ascii="Times New Roman" w:hAnsi="Times New Roman"/>
          <w:b/>
          <w:i/>
          <w:sz w:val="20"/>
        </w:rPr>
        <w:t>Revolution</w:t>
      </w:r>
      <w:r>
        <w:rPr>
          <w:rFonts w:ascii="Times New Roman" w:hAnsi="Times New Roman"/>
          <w:sz w:val="20"/>
        </w:rPr>
        <w:t xml:space="preserve"> means, collectively, Revolution Growth III, LP and any of its Affiliates. </w:t>
      </w:r>
    </w:p>
    <w:p>
      <w:pPr>
        <w:pStyle w:val="TextBody"/>
        <w:bidi w:val="0"/>
        <w:spacing w:before="120" w:after="0"/>
        <w:jc w:val="left"/>
        <w:rPr>
          <w:rFonts w:ascii="Times New Roman" w:hAnsi="Times New Roman"/>
          <w:sz w:val="20"/>
        </w:rPr>
      </w:pPr>
      <w:r>
        <w:rPr>
          <w:rFonts w:ascii="Times New Roman" w:hAnsi="Times New Roman"/>
          <w:sz w:val="20"/>
        </w:rPr>
        <w:t>1.33 </w:t>
      </w:r>
      <w:r>
        <w:rPr>
          <w:rFonts w:ascii="Times New Roman" w:hAnsi="Times New Roman"/>
          <w:b/>
          <w:i/>
          <w:sz w:val="20"/>
        </w:rPr>
        <w:t>SEC</w:t>
      </w:r>
      <w:r>
        <w:rPr>
          <w:rFonts w:ascii="Times New Roman" w:hAnsi="Times New Roman"/>
          <w:sz w:val="20"/>
        </w:rPr>
        <w:t xml:space="preserve"> means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1.34 </w:t>
      </w:r>
      <w:r>
        <w:rPr>
          <w:rFonts w:ascii="Times New Roman" w:hAnsi="Times New Roman"/>
          <w:b/>
          <w:i/>
          <w:sz w:val="20"/>
        </w:rPr>
        <w:t>SEC Rule 144</w:t>
      </w:r>
      <w:r>
        <w:rPr>
          <w:rFonts w:ascii="Times New Roman" w:hAnsi="Times New Roman"/>
          <w:sz w:val="20"/>
        </w:rPr>
        <w:t xml:space="preserve"> means Rule 144 promulgated by the SEC under the Securities Act. </w:t>
      </w:r>
    </w:p>
    <w:p>
      <w:pPr>
        <w:pStyle w:val="TextBody"/>
        <w:bidi w:val="0"/>
        <w:spacing w:before="120" w:after="0"/>
        <w:jc w:val="left"/>
        <w:rPr>
          <w:rFonts w:ascii="Times New Roman" w:hAnsi="Times New Roman"/>
          <w:sz w:val="20"/>
        </w:rPr>
      </w:pPr>
      <w:r>
        <w:rPr>
          <w:rFonts w:ascii="Times New Roman" w:hAnsi="Times New Roman"/>
          <w:sz w:val="20"/>
        </w:rPr>
        <w:t>1.35 </w:t>
      </w:r>
      <w:r>
        <w:rPr>
          <w:rFonts w:ascii="Times New Roman" w:hAnsi="Times New Roman"/>
          <w:b/>
          <w:i/>
          <w:sz w:val="20"/>
        </w:rPr>
        <w:t>SEC Rule 145</w:t>
      </w:r>
      <w:r>
        <w:rPr>
          <w:rFonts w:ascii="Times New Roman" w:hAnsi="Times New Roman"/>
          <w:sz w:val="20"/>
        </w:rPr>
        <w:t xml:space="preserve"> means Rule 145 promulgated by the SEC under the Securities Act. </w:t>
      </w:r>
    </w:p>
    <w:p>
      <w:pPr>
        <w:pStyle w:val="TextBody"/>
        <w:bidi w:val="0"/>
        <w:spacing w:before="120" w:after="0"/>
        <w:jc w:val="left"/>
        <w:rPr>
          <w:rFonts w:ascii="Times New Roman" w:hAnsi="Times New Roman"/>
          <w:sz w:val="20"/>
        </w:rPr>
      </w:pPr>
      <w:r>
        <w:rPr>
          <w:rFonts w:ascii="Times New Roman" w:hAnsi="Times New Roman"/>
          <w:sz w:val="20"/>
        </w:rPr>
        <w:t>1.36 </w:t>
      </w:r>
      <w:r>
        <w:rPr>
          <w:rFonts w:ascii="Times New Roman" w:hAnsi="Times New Roman"/>
          <w:b/>
          <w:i/>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1.37 </w:t>
      </w:r>
      <w:r>
        <w:rPr>
          <w:rFonts w:ascii="Times New Roman" w:hAnsi="Times New Roman"/>
          <w:b/>
          <w:i/>
          <w:sz w:val="20"/>
        </w:rPr>
        <w:t>Selling Expenses</w:t>
      </w:r>
      <w:r>
        <w:rPr>
          <w:rFonts w:ascii="Times New Roman" w:hAnsi="Times New Roman"/>
          <w:sz w:val="20"/>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hAnsi="Times New Roman"/>
          <w:sz w:val="20"/>
          <w:u w:val="single"/>
        </w:rPr>
        <w:t xml:space="preserve">Section 2.6. </w:t>
      </w:r>
    </w:p>
    <w:p>
      <w:pPr>
        <w:pStyle w:val="TextBody"/>
        <w:bidi w:val="0"/>
        <w:spacing w:before="120" w:after="0"/>
        <w:jc w:val="left"/>
        <w:rPr>
          <w:rFonts w:ascii="Times New Roman" w:hAnsi="Times New Roman"/>
          <w:sz w:val="20"/>
        </w:rPr>
      </w:pPr>
      <w:r>
        <w:rPr>
          <w:rFonts w:ascii="Times New Roman" w:hAnsi="Times New Roman"/>
          <w:sz w:val="20"/>
        </w:rPr>
        <w:t>1.38 </w:t>
      </w:r>
      <w:r>
        <w:rPr>
          <w:rFonts w:ascii="Times New Roman" w:hAnsi="Times New Roman"/>
          <w:b/>
          <w:i/>
          <w:sz w:val="20"/>
        </w:rPr>
        <w:t>T. Rowe Price</w:t>
      </w:r>
      <w:r>
        <w:rPr>
          <w:rFonts w:ascii="Times New Roman" w:hAnsi="Times New Roman"/>
          <w:sz w:val="20"/>
        </w:rPr>
        <w:t xml:space="preserve"> means T. Rowe Price Associates, Inc. and any successor or affiliated registered investment advisor to the T. Rowe Price Investors. </w:t>
      </w:r>
    </w:p>
    <w:p>
      <w:pPr>
        <w:pStyle w:val="TextBody"/>
        <w:bidi w:val="0"/>
        <w:spacing w:before="120" w:after="0"/>
        <w:jc w:val="left"/>
        <w:rPr>
          <w:rFonts w:ascii="Times New Roman" w:hAnsi="Times New Roman"/>
          <w:sz w:val="20"/>
        </w:rPr>
      </w:pPr>
      <w:r>
        <w:rPr>
          <w:rFonts w:ascii="Times New Roman" w:hAnsi="Times New Roman"/>
          <w:sz w:val="20"/>
        </w:rPr>
        <w:t>1.39 </w:t>
      </w:r>
      <w:r>
        <w:rPr>
          <w:rFonts w:ascii="Times New Roman" w:hAnsi="Times New Roman"/>
          <w:b/>
          <w:i/>
          <w:sz w:val="20"/>
        </w:rPr>
        <w:t>T. Rowe Price Investors</w:t>
      </w:r>
      <w:r>
        <w:rPr>
          <w:rFonts w:ascii="Times New Roman" w:hAnsi="Times New Roman"/>
          <w:sz w:val="20"/>
        </w:rPr>
        <w:t xml:space="preserve"> means the Investors that are advisory clients of T. Rowe Price. </w:t>
      </w:r>
    </w:p>
    <w:p>
      <w:pPr>
        <w:pStyle w:val="TextBody"/>
        <w:bidi w:val="0"/>
        <w:spacing w:before="120" w:after="0"/>
        <w:jc w:val="left"/>
        <w:rPr>
          <w:rFonts w:ascii="Times New Roman" w:hAnsi="Times New Roman"/>
          <w:sz w:val="20"/>
        </w:rPr>
      </w:pPr>
      <w:r>
        <w:rPr>
          <w:rFonts w:ascii="Times New Roman" w:hAnsi="Times New Roman"/>
          <w:sz w:val="20"/>
        </w:rPr>
        <w:t>1.40 </w:t>
      </w:r>
      <w:r>
        <w:rPr>
          <w:rFonts w:ascii="Times New Roman" w:hAnsi="Times New Roman"/>
          <w:b/>
          <w:i/>
          <w:sz w:val="20"/>
        </w:rPr>
        <w:t>Voting Common Stock</w:t>
      </w:r>
      <w:r>
        <w:rPr>
          <w:rFonts w:ascii="Times New Roman" w:hAnsi="Times New Roman"/>
          <w:sz w:val="20"/>
        </w:rPr>
        <w:t xml:space="preserve"> means the shares of the Companys Voting Common Stock, $0.0001 par value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 Rights.</w:t>
      </w:r>
      <w:r>
        <w:rPr>
          <w:rFonts w:ascii="Times New Roman" w:hAnsi="Times New Roman"/>
          <w:sz w:val="20"/>
        </w:rPr>
        <w:t xml:space="preserve"> The Company covenants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Demand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at any time after one hundred eighty (180) days after the effective date of the registration statement for the IPO, the Company receives a request from Holders of at least a majority of the Registrable Securities Then Outstanding that the Company file a Form S-1 registration statement with respect to all or any portion of their Registrable Securities if the anticipated aggregate offering price, net of Selling Expenses, would exceed $15,000,000, then the Company shall (i) within ten (10) days after the date such request is given, give notice thereof (the </w:t>
      </w:r>
      <w:r>
        <w:rPr>
          <w:rFonts w:ascii="Times New Roman" w:hAnsi="Times New Roman"/>
          <w:b/>
          <w:i/>
          <w:sz w:val="20"/>
        </w:rPr>
        <w:t>Demand Notice</w:t>
      </w:r>
      <w:r>
        <w:rPr>
          <w:rFonts w:ascii="Times New Roman" w:hAnsi="Times New Roman"/>
          <w:sz w:val="20"/>
        </w:rPr>
        <w:t xml:space="preserv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hAnsi="Times New Roman"/>
          <w:sz w:val="20"/>
          <w:u w:val="single"/>
        </w:rPr>
        <w:t>Section 2.1(c)</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hAnsi="Times New Roman"/>
          <w:sz w:val="20"/>
          <w:u w:val="single"/>
        </w:rPr>
        <w:t>Section 2.1(c)</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the foregoing obligations, if the Company furnishes to Holders requesting a registration pursuant to this </w:t>
      </w:r>
      <w:r>
        <w:rPr>
          <w:rFonts w:ascii="Times New Roman" w:hAnsi="Times New Roman"/>
          <w:sz w:val="20"/>
          <w:u w:val="single"/>
        </w:rPr>
        <w:t>Section 2.1</w:t>
      </w:r>
      <w:r>
        <w:rPr>
          <w:rFonts w:ascii="Times New Roman" w:hAnsi="Times New Roman"/>
          <w:sz w:val="20"/>
        </w:rPr>
        <w:t xml:space="preserve"> a certificate signed by the Companys chief executive officer stating that in the good faith judgment of the Companys Board of Directors it would be materially detrimental to the Company and its stockholders for such registration statement to be filed and it is therefore necessary to defer the filing of such registration statement, then the Company shall have the right to defer taking action with respect to such filing, and any time periods with respect to filing or effectiveness thereof shall be tolled correspondingly, for a period of not more than sixty (60) days after the request of the Initiating Holders is given; </w:t>
      </w:r>
      <w:r>
        <w:rPr>
          <w:rFonts w:ascii="Times New Roman" w:hAnsi="Times New Roman"/>
          <w:i/>
          <w:sz w:val="20"/>
        </w:rPr>
        <w:t>provided, however</w:t>
      </w:r>
      <w:r>
        <w:rPr>
          <w:rFonts w:ascii="Times New Roman" w:hAnsi="Times New Roman"/>
          <w:sz w:val="20"/>
        </w:rPr>
        <w:t xml:space="preserve">, that the Company may not invoke this right more than once in any twelve (12) month period; and </w:t>
      </w:r>
      <w:r>
        <w:rPr>
          <w:rFonts w:ascii="Times New Roman" w:hAnsi="Times New Roman"/>
          <w:i/>
          <w:sz w:val="20"/>
        </w:rPr>
        <w:t>provided further</w:t>
      </w:r>
      <w:r>
        <w:rPr>
          <w:rFonts w:ascii="Times New Roman" w:hAnsi="Times New Roman"/>
          <w:sz w:val="20"/>
        </w:rPr>
        <w:t xml:space="preserve">, that the Company shall not register any securities for its own account or that of any other stockholder during such ninety (90)-day period other than pursuant to any Excluded Registrations.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shall not be obligated to effect, or to take any action to effect, any registration or file any registration statement pursuant to </w:t>
      </w:r>
      <w:r>
        <w:rPr>
          <w:rFonts w:ascii="Times New Roman" w:hAnsi="Times New Roman"/>
          <w:sz w:val="20"/>
          <w:u w:val="single"/>
        </w:rPr>
        <w:t>Section 2.1(a)</w:t>
      </w:r>
      <w:r>
        <w:rPr>
          <w:rFonts w:ascii="Times New Roman" w:hAnsi="Times New Roman"/>
          <w:sz w:val="20"/>
        </w:rPr>
        <w:t xml:space="preserve"> (i) during the period commencing on the date that that is ninety (90)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(ii) after the Company has effected two registrations pursuant to </w:t>
      </w:r>
      <w:r>
        <w:rPr>
          <w:rFonts w:ascii="Times New Roman" w:hAnsi="Times New Roman"/>
          <w:sz w:val="20"/>
          <w:u w:val="single"/>
        </w:rPr>
        <w:t>Section 2.1(a)</w:t>
      </w:r>
      <w:r>
        <w:rPr>
          <w:rFonts w:ascii="Times New Roman" w:hAnsi="Times New Roman"/>
          <w:sz w:val="20"/>
        </w:rPr>
        <w:t xml:space="preserve">; or (iii) if the Initiating Holders propose to dispose of shares of Registrable Securities that may be immediately registered on Form S-3 pursuant to a request made pursuant to </w:t>
      </w:r>
      <w:r>
        <w:rPr>
          <w:rFonts w:ascii="Times New Roman" w:hAnsi="Times New Roman"/>
          <w:sz w:val="20"/>
          <w:u w:val="single"/>
        </w:rPr>
        <w:t>Section 2.1(b)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not be obligated to effect, or to take any action to effect, any registration or file any registration statement pursuant to </w:t>
      </w:r>
      <w:r>
        <w:rPr>
          <w:rFonts w:ascii="Times New Roman" w:hAnsi="Times New Roman"/>
          <w:sz w:val="20"/>
          <w:u w:val="single"/>
        </w:rPr>
        <w:t>Section 2.1(b)</w:t>
      </w:r>
      <w:r>
        <w:rPr>
          <w:rFonts w:ascii="Times New Roman" w:hAnsi="Times New Roman"/>
          <w:sz w:val="20"/>
        </w:rPr>
        <w:t xml:space="preserve"> (i) during the period commencing on the date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(ii) if the Company has effected two registrations pursuant to </w:t>
      </w:r>
      <w:r>
        <w:rPr>
          <w:rFonts w:ascii="Times New Roman" w:hAnsi="Times New Roman"/>
          <w:sz w:val="20"/>
          <w:u w:val="single"/>
        </w:rPr>
        <w:t>Section 2.1(b)</w:t>
      </w:r>
      <w:r>
        <w:rPr>
          <w:rFonts w:ascii="Times New Roman" w:hAnsi="Times New Roman"/>
          <w:sz w:val="20"/>
        </w:rPr>
        <w:t xml:space="preserve"> within the twelve (12)-month period immediately preceding the date of such request; or (iii) if the Company has effected a registration pursuant to </w:t>
      </w:r>
      <w:r>
        <w:rPr>
          <w:rFonts w:ascii="Times New Roman" w:hAnsi="Times New Roman"/>
          <w:sz w:val="20"/>
          <w:u w:val="single"/>
        </w:rPr>
        <w:t>Section 2.1(b)</w:t>
      </w:r>
      <w:r>
        <w:rPr>
          <w:rFonts w:ascii="Times New Roman" w:hAnsi="Times New Roman"/>
          <w:sz w:val="20"/>
        </w:rPr>
        <w:t xml:space="preserve"> within the six (6)-month period immediately preceding the date of such request. A registration shall not be counted as effected for purposes of this </w:t>
      </w:r>
      <w:r>
        <w:rPr>
          <w:rFonts w:ascii="Times New Roman" w:hAnsi="Times New Roman"/>
          <w:sz w:val="20"/>
          <w:u w:val="single"/>
        </w:rPr>
        <w:t>Section 2.1(e)</w:t>
      </w:r>
      <w:r>
        <w:rPr>
          <w:rFonts w:ascii="Times New Roman" w:hAnsi="Times New Roman"/>
          <w:sz w:val="20"/>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Times New Roman" w:hAnsi="Times New Roman"/>
          <w:sz w:val="20"/>
          <w:u w:val="single"/>
        </w:rPr>
        <w:t>Section 2.6</w:t>
      </w:r>
      <w:r>
        <w:rPr>
          <w:rFonts w:ascii="Times New Roman" w:hAnsi="Times New Roman"/>
          <w:sz w:val="20"/>
        </w:rPr>
        <w:t xml:space="preserve">, in which case such withdrawn registration statement shall be counted as effected for purposes of this </w:t>
      </w:r>
      <w:r>
        <w:rPr>
          <w:rFonts w:ascii="Times New Roman" w:hAnsi="Times New Roman"/>
          <w:sz w:val="20"/>
          <w:u w:val="single"/>
        </w:rPr>
        <w:t>Section 2.1(e)</w:t>
      </w:r>
      <w:r>
        <w:rPr>
          <w:rFonts w:ascii="Times New Roman" w:hAnsi="Times New Roman"/>
          <w:sz w:val="20"/>
        </w:rPr>
        <w:t xml:space="preserve"> except as provided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Company Registration</w:t>
      </w:r>
      <w:r>
        <w:rPr>
          <w:rFonts w:ascii="Times New Roman" w:hAnsi="Times New Roman"/>
          <w:sz w:val="20"/>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 registration relating to a demand pursuant to </w:t>
      </w:r>
      <w:r>
        <w:rPr>
          <w:rFonts w:ascii="Times New Roman" w:hAnsi="Times New Roman"/>
          <w:sz w:val="20"/>
          <w:u w:val="single"/>
        </w:rPr>
        <w:t>Section 2.1</w:t>
      </w:r>
      <w:r>
        <w:rPr>
          <w:rFonts w:ascii="Times New Roman" w:hAnsi="Times New Roman"/>
          <w:sz w:val="20"/>
        </w:rPr>
        <w:t xml:space="preserve"> or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hAnsi="Times New Roman"/>
          <w:sz w:val="20"/>
          <w:u w:val="single"/>
        </w:rPr>
        <w:t>Section 2.3</w:t>
      </w:r>
      <w:r>
        <w:rPr>
          <w:rFonts w:ascii="Times New Roman" w:hAnsi="Times New Roman"/>
          <w:sz w:val="20"/>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hAnsi="Times New Roman"/>
          <w:sz w:val="20"/>
          <w:u w:val="single"/>
        </w:rPr>
        <w:t>Section 2.2</w:t>
      </w:r>
      <w:r>
        <w:rPr>
          <w:rFonts w:ascii="Times New Roman" w:hAnsi="Times New Roman"/>
          <w:sz w:val="20"/>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hAnsi="Times New Roman"/>
          <w:sz w:val="20"/>
          <w:u w:val="single"/>
        </w:rPr>
        <w:t>Section 2.6</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Underwriting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pursuant to </w:t>
      </w:r>
      <w:r>
        <w:rPr>
          <w:rFonts w:ascii="Times New Roman" w:hAnsi="Times New Roman"/>
          <w:sz w:val="20"/>
          <w:u w:val="single"/>
        </w:rPr>
        <w:t>Section 2.1</w:t>
      </w:r>
      <w:r>
        <w:rPr>
          <w:rFonts w:ascii="Times New Roman" w:hAnsi="Times New Roman"/>
          <w:sz w:val="20"/>
        </w:rPr>
        <w:t xml:space="preserve">, the Initiating Holders intend to distribute the Registrable Securities covered by their request by means of an underwriting, they shall so advise the Company as a part of their request made pursuant to </w:t>
      </w:r>
      <w:r>
        <w:rPr>
          <w:rFonts w:ascii="Times New Roman" w:hAnsi="Times New Roman"/>
          <w:sz w:val="20"/>
          <w:u w:val="single"/>
        </w:rPr>
        <w:t>Section 2.1</w:t>
      </w:r>
      <w:r>
        <w:rPr>
          <w:rFonts w:ascii="Times New Roman" w:hAnsi="Times New Roman"/>
          <w:sz w:val="20"/>
        </w:rPr>
        <w:t xml:space="preserve">, and the Company shall include such information in the Demand Notice. The underwriter(s) will be selected by the Company and shall be reasonably acceptable to a majority in interest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hAnsi="Times New Roman"/>
          <w:sz w:val="20"/>
          <w:u w:val="single"/>
        </w:rPr>
        <w:t>Section 2.4(e)</w:t>
      </w:r>
      <w:r>
        <w:rPr>
          <w:rFonts w:ascii="Times New Roman" w:hAnsi="Times New Roman"/>
          <w:sz w:val="20"/>
        </w:rPr>
        <w:t xml:space="preserve">) enter into and perform their obligations under an underwriting agreement in customary form with the underwriter(s) selected for such underwriting. Notwithstanding any other provision of this </w:t>
      </w:r>
      <w:r>
        <w:rPr>
          <w:rFonts w:ascii="Times New Roman" w:hAnsi="Times New Roman"/>
          <w:sz w:val="20"/>
          <w:u w:val="single"/>
        </w:rPr>
        <w:t>Section 2.3,</w:t>
      </w:r>
      <w:r>
        <w:rPr>
          <w:rFonts w:ascii="Times New Roman" w:hAnsi="Times New Roman"/>
          <w:sz w:val="20"/>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 </w:t>
      </w:r>
    </w:p>
    <w:p>
      <w:pPr>
        <w:pStyle w:val="TextBody"/>
        <w:bidi w:val="0"/>
        <w:spacing w:before="120" w:after="0"/>
        <w:jc w:val="left"/>
        <w:rPr>
          <w:rFonts w:ascii="Times New Roman" w:hAnsi="Times New Roman"/>
          <w:sz w:val="20"/>
        </w:rPr>
      </w:pPr>
      <w:r>
        <w:rPr>
          <w:rFonts w:ascii="Times New Roman" w:hAnsi="Times New Roman"/>
          <w:sz w:val="20"/>
        </w:rPr>
        <w:t xml:space="preserve">(b) In connection with any offering involving an underwriting of shares of the Companys capital stock pursuant to </w:t>
      </w:r>
      <w:r>
        <w:rPr>
          <w:rFonts w:ascii="Times New Roman" w:hAnsi="Times New Roman"/>
          <w:sz w:val="20"/>
          <w:u w:val="single"/>
        </w:rPr>
        <w:t>Section 2.2</w:t>
      </w:r>
      <w:r>
        <w:rPr>
          <w:rFonts w:ascii="Times New Roman" w:hAnsi="Times New Roman"/>
          <w:sz w:val="20"/>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comprised of shares of Common Stock issued or issuable upon conversion of the Series G-2 Preferred Stock, Series G Preferred Stock, Series F Preferred Stock, Series E Preferred Stock, Series D Preferred Stock and Series C Preferred Stock included in the offering be reduced unless all other securities ranking junior to the Series G-2 Preferred Stock, Series G Preferred Stock, Series F Preferred Stock, Series E Preferred Stock, Series D Preferred Stock and Series C Preferred Stock in respect of liquidation preferences (other than securities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sold by the Company) are first entirely excluded from the offering, or (iii) the number of Registrable Securities included in the offering be reduced below twenty-five percent (25%)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hAnsi="Times New Roman"/>
          <w:sz w:val="20"/>
          <w:u w:val="single"/>
        </w:rPr>
        <w:t>Section 2.3(b)</w:t>
      </w:r>
      <w:r>
        <w:rPr>
          <w:rFonts w:ascii="Times New Roman" w:hAnsi="Times New Roman"/>
          <w:sz w:val="20"/>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 </w:t>
      </w:r>
    </w:p>
    <w:p>
      <w:pPr>
        <w:pStyle w:val="TextBody"/>
        <w:bidi w:val="0"/>
        <w:spacing w:before="120" w:after="0"/>
        <w:jc w:val="left"/>
        <w:rPr>
          <w:rFonts w:ascii="Times New Roman" w:hAnsi="Times New Roman"/>
          <w:sz w:val="20"/>
        </w:rPr>
      </w:pPr>
      <w:r>
        <w:rPr>
          <w:rFonts w:ascii="Times New Roman" w:hAnsi="Times New Roman"/>
          <w:sz w:val="20"/>
        </w:rPr>
        <w:t xml:space="preserve">(c) For purposes of </w:t>
      </w:r>
      <w:r>
        <w:rPr>
          <w:rFonts w:ascii="Times New Roman" w:hAnsi="Times New Roman"/>
          <w:sz w:val="20"/>
          <w:u w:val="single"/>
        </w:rPr>
        <w:t>Subsection 2.1,</w:t>
      </w:r>
      <w:r>
        <w:rPr>
          <w:rFonts w:ascii="Times New Roman" w:hAnsi="Times New Roman"/>
          <w:sz w:val="20"/>
        </w:rPr>
        <w:t xml:space="preserve"> a registration shall not be counted as effected if, as a result of an exercise of the underwriters cutback provisions in </w:t>
      </w:r>
      <w:r>
        <w:rPr>
          <w:rFonts w:ascii="Times New Roman" w:hAnsi="Times New Roman"/>
          <w:sz w:val="20"/>
          <w:u w:val="single"/>
        </w:rPr>
        <w:t>Section 2.3(a)</w:t>
      </w:r>
      <w:r>
        <w:rPr>
          <w:rFonts w:ascii="Times New Roman" w:hAnsi="Times New Roman"/>
          <w:sz w:val="20"/>
        </w:rPr>
        <w:t xml:space="preserve">, fewer than fifty percent (50%) of the total number of Registrable Securities that Holders have requested to be included in such registration statement are actually included.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Obligations of the Company</w:t>
      </w:r>
      <w:r>
        <w:rPr>
          <w:rFonts w:ascii="Times New Roman" w:hAnsi="Times New Roman"/>
          <w:sz w:val="20"/>
        </w:rPr>
        <w:t xml:space="preserve">. Whenever required under this </w:t>
      </w:r>
      <w:r>
        <w:rPr>
          <w:rFonts w:ascii="Times New Roman" w:hAnsi="Times New Roman"/>
          <w:sz w:val="20"/>
          <w:u w:val="single"/>
        </w:rPr>
        <w:t>Section 2</w:t>
      </w:r>
      <w:r>
        <w:rPr>
          <w:rFonts w:ascii="Times New Roman" w:hAnsi="Times New Roman"/>
          <w:sz w:val="20"/>
        </w:rPr>
        <w:t xml:space="preserve"> to effect the registration of any Registrable Securities, the Company shall, as expeditiously as reasonably possible: </w:t>
      </w:r>
    </w:p>
    <w:p>
      <w:pPr>
        <w:pStyle w:val="TextBody"/>
        <w:bidi w:val="0"/>
        <w:spacing w:before="120" w:after="0"/>
        <w:jc w:val="left"/>
        <w:rPr>
          <w:rFonts w:ascii="Times New Roman" w:hAnsi="Times New Roman"/>
          <w:sz w:val="20"/>
        </w:rPr>
      </w:pPr>
      <w:r>
        <w:rPr>
          <w:rFonts w:ascii="Times New Roman" w:hAnsi="Times New Roman"/>
          <w:sz w:val="20"/>
        </w:rPr>
        <w:t xml:space="preserve">(a)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hAnsi="Times New Roman"/>
          <w:i/>
          <w:sz w:val="20"/>
        </w:rPr>
        <w:t>provided, however</w:t>
      </w:r>
      <w:r>
        <w:rPr>
          <w:rFonts w:ascii="Times New Roman" w:hAnsi="Times New Roman"/>
          <w:sz w:val="20"/>
        </w:rPr>
        <w:t xml:space="preserve">,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 </w:t>
      </w:r>
    </w:p>
    <w:p>
      <w:pPr>
        <w:pStyle w:val="TextBody"/>
        <w:bidi w:val="0"/>
        <w:spacing w:before="120" w:after="0"/>
        <w:jc w:val="left"/>
        <w:rPr>
          <w:rFonts w:ascii="Times New Roman" w:hAnsi="Times New Roman"/>
          <w:sz w:val="20"/>
        </w:rPr>
      </w:pPr>
      <w:r>
        <w:rPr>
          <w:rFonts w:ascii="Times New Roman" w:hAnsi="Times New Roman"/>
          <w:sz w:val="20"/>
        </w:rPr>
        <w:t xml:space="preserve">(b) 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(c) furnish to the selling Holders such numbers of copies of a prospectus, including a preliminary prospectus, as required by the Securities Act, and such other documents as the Holders may reasonably request in order to facilitate their disposition of their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hAnsi="Times New Roman"/>
          <w:i/>
          <w:sz w:val="20"/>
        </w:rPr>
        <w:t>provided</w:t>
      </w:r>
      <w:r>
        <w:rPr>
          <w:rFonts w:ascii="Times New Roman" w:hAnsi="Times New Roman"/>
          <w:sz w:val="20"/>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in the event of any underwritten public offering, enter into and perform its obligations under an underwriting agreement, in usual and customary form, with the underwriter(s) of such offering; </w:t>
      </w:r>
    </w:p>
    <w:p>
      <w:pPr>
        <w:pStyle w:val="TextBody"/>
        <w:bidi w:val="0"/>
        <w:spacing w:before="120" w:after="0"/>
        <w:jc w:val="left"/>
        <w:rPr>
          <w:rFonts w:ascii="Times New Roman" w:hAnsi="Times New Roman"/>
          <w:sz w:val="20"/>
        </w:rPr>
      </w:pPr>
      <w:r>
        <w:rPr>
          <w:rFonts w:ascii="Times New Roman" w:hAnsi="Times New Roman"/>
          <w:sz w:val="20"/>
        </w:rPr>
        <w:t xml:space="preserve">(f) 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 </w:t>
      </w:r>
    </w:p>
    <w:p>
      <w:pPr>
        <w:pStyle w:val="TextBody"/>
        <w:bidi w:val="0"/>
        <w:spacing w:before="120" w:after="0"/>
        <w:jc w:val="left"/>
        <w:rPr>
          <w:rFonts w:ascii="Times New Roman" w:hAnsi="Times New Roman"/>
          <w:sz w:val="20"/>
        </w:rPr>
      </w:pPr>
      <w:r>
        <w:rPr>
          <w:rFonts w:ascii="Times New Roman" w:hAnsi="Times New Roman"/>
          <w:sz w:val="20"/>
        </w:rPr>
        <w:t xml:space="preserve">(g) provide a transfer agent and registrar for all Registrable Securities registered pursuant to this Agreement and provide a CUSIP number for all such Registrable Securities, in each case not later than the effective date of such registration; </w:t>
      </w:r>
    </w:p>
    <w:p>
      <w:pPr>
        <w:pStyle w:val="TextBody"/>
        <w:bidi w:val="0"/>
        <w:spacing w:before="120" w:after="0"/>
        <w:jc w:val="left"/>
        <w:rPr>
          <w:rFonts w:ascii="Times New Roman" w:hAnsi="Times New Roman"/>
          <w:sz w:val="20"/>
        </w:rPr>
      </w:pPr>
      <w:r>
        <w:rPr>
          <w:rFonts w:ascii="Times New Roman" w:hAnsi="Times New Roman"/>
          <w:sz w:val="20"/>
        </w:rPr>
        <w:t xml:space="preserve">(h) 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(i) notify each selling Holder, promptly after the Company receives notice thereof, of the time when such registration statement has been declared effective or a supplement to any prospectus forming a part of such registration statement has been filed; and </w:t>
      </w:r>
    </w:p>
    <w:p>
      <w:pPr>
        <w:pStyle w:val="TextBody"/>
        <w:bidi w:val="0"/>
        <w:spacing w:before="120" w:after="0"/>
        <w:jc w:val="left"/>
        <w:rPr>
          <w:rFonts w:ascii="Times New Roman" w:hAnsi="Times New Roman"/>
          <w:sz w:val="20"/>
        </w:rPr>
      </w:pPr>
      <w:r>
        <w:rPr>
          <w:rFonts w:ascii="Times New Roman" w:hAnsi="Times New Roman"/>
          <w:sz w:val="20"/>
        </w:rPr>
        <w:t xml:space="preserve">(j) after such registration statement becomes effective, notify each selling Holder of any request by the SEC that the Company amend or supplement such registration statement or prospectus.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Furnish Information</w:t>
      </w:r>
      <w:r>
        <w:rPr>
          <w:rFonts w:ascii="Times New Roman" w:hAnsi="Times New Roman"/>
          <w:sz w:val="20"/>
        </w:rPr>
        <w:t xml:space="preserve">. It shall be a condition precedent to the obligations of the Company to take any action pursuant to this </w:t>
      </w:r>
      <w:r>
        <w:rPr>
          <w:rFonts w:ascii="Times New Roman" w:hAnsi="Times New Roman"/>
          <w:sz w:val="20"/>
          <w:u w:val="single"/>
        </w:rPr>
        <w:t>Section 2</w:t>
      </w:r>
      <w:r>
        <w:rPr>
          <w:rFonts w:ascii="Times New Roman" w:hAnsi="Times New Roman"/>
          <w:sz w:val="20"/>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Expenses of Registration</w:t>
      </w:r>
      <w:r>
        <w:rPr>
          <w:rFonts w:ascii="Times New Roman" w:hAnsi="Times New Roman"/>
          <w:sz w:val="20"/>
        </w:rPr>
        <w:t xml:space="preserve">. All expenses (other than Selling Expenses) incurred in connection with registrations, filings, or qualifications pursuant to </w:t>
      </w:r>
      <w:r>
        <w:rPr>
          <w:rFonts w:ascii="Times New Roman" w:hAnsi="Times New Roman"/>
          <w:sz w:val="20"/>
          <w:u w:val="single"/>
        </w:rPr>
        <w:t>Section 2</w:t>
      </w:r>
      <w:r>
        <w:rPr>
          <w:rFonts w:ascii="Times New Roman" w:hAnsi="Times New Roman"/>
          <w:sz w:val="20"/>
        </w:rPr>
        <w:t>, including all registration, filing, and qualification fees; printers and accounting fees; fees and disbursements of counsel for the Company; and the reasonable fees and disbursements, not to exceed $30,000, of one counsel for the selling Holders (</w:t>
      </w:r>
      <w:r>
        <w:rPr>
          <w:rFonts w:ascii="Times New Roman" w:hAnsi="Times New Roman"/>
          <w:b/>
          <w:i/>
          <w:sz w:val="20"/>
        </w:rPr>
        <w:t>Selling Holder Counsel</w:t>
      </w:r>
      <w:r>
        <w:rPr>
          <w:rFonts w:ascii="Times New Roman" w:hAnsi="Times New Roman"/>
          <w:sz w:val="20"/>
        </w:rPr>
        <w:t xml:space="preserve">), shall be borne and paid by the Company; </w:t>
      </w:r>
      <w:r>
        <w:rPr>
          <w:rFonts w:ascii="Times New Roman" w:hAnsi="Times New Roman"/>
          <w:i/>
          <w:sz w:val="20"/>
        </w:rPr>
        <w:t>provided, however</w:t>
      </w:r>
      <w:r>
        <w:rPr>
          <w:rFonts w:ascii="Times New Roman" w:hAnsi="Times New Roman"/>
          <w:sz w:val="20"/>
        </w:rPr>
        <w:t xml:space="preserve">, that the Company shall not be required to pay for any expenses of any registration proceeding begun pursuant to </w:t>
      </w:r>
      <w:r>
        <w:rPr>
          <w:rFonts w:ascii="Times New Roman" w:hAnsi="Times New Roman"/>
          <w:sz w:val="20"/>
          <w:u w:val="single"/>
        </w:rPr>
        <w:t>Section 2.1</w:t>
      </w:r>
      <w:r>
        <w:rPr>
          <w:rFonts w:ascii="Times New Roman" w:hAnsi="Times New Roman"/>
          <w:sz w:val="20"/>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hAnsi="Times New Roman"/>
          <w:sz w:val="20"/>
          <w:u w:val="single"/>
        </w:rPr>
        <w:t>Section 2.1(a)</w:t>
      </w:r>
      <w:r>
        <w:rPr>
          <w:rFonts w:ascii="Times New Roman" w:hAnsi="Times New Roman"/>
          <w:sz w:val="20"/>
        </w:rPr>
        <w:t xml:space="preserve"> or </w:t>
      </w:r>
      <w:r>
        <w:rPr>
          <w:rFonts w:ascii="Times New Roman" w:hAnsi="Times New Roman"/>
          <w:sz w:val="20"/>
          <w:u w:val="single"/>
        </w:rPr>
        <w:t>Section 2.1(b)</w:t>
      </w:r>
      <w:r>
        <w:rPr>
          <w:rFonts w:ascii="Times New Roman" w:hAnsi="Times New Roman"/>
          <w:sz w:val="20"/>
        </w:rPr>
        <w:t xml:space="preserve">, as the case may be; </w:t>
      </w:r>
      <w:r>
        <w:rPr>
          <w:rFonts w:ascii="Times New Roman" w:hAnsi="Times New Roman"/>
          <w:i/>
          <w:sz w:val="20"/>
        </w:rPr>
        <w:t>provided further</w:t>
      </w:r>
      <w:r>
        <w:rPr>
          <w:rFonts w:ascii="Times New Roman" w:hAnsi="Times New Roman"/>
          <w:sz w:val="20"/>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hAnsi="Times New Roman"/>
          <w:sz w:val="20"/>
          <w:u w:val="single"/>
        </w:rPr>
        <w:t>Section 2.1(a)</w:t>
      </w:r>
      <w:r>
        <w:rPr>
          <w:rFonts w:ascii="Times New Roman" w:hAnsi="Times New Roman"/>
          <w:sz w:val="20"/>
        </w:rPr>
        <w:t xml:space="preserve"> or </w:t>
      </w:r>
      <w:r>
        <w:rPr>
          <w:rFonts w:ascii="Times New Roman" w:hAnsi="Times New Roman"/>
          <w:sz w:val="20"/>
          <w:u w:val="single"/>
        </w:rPr>
        <w:t>Section 2.1(b)</w:t>
      </w:r>
      <w:r>
        <w:rPr>
          <w:rFonts w:ascii="Times New Roman" w:hAnsi="Times New Roman"/>
          <w:sz w:val="20"/>
        </w:rPr>
        <w:t xml:space="preserve">. All Selling Expenses relating to Registrable Securities registered pursuant to this </w:t>
      </w:r>
      <w:r>
        <w:rPr>
          <w:rFonts w:ascii="Times New Roman" w:hAnsi="Times New Roman"/>
          <w:sz w:val="20"/>
          <w:u w:val="single"/>
        </w:rPr>
        <w:t>Section 2</w:t>
      </w:r>
      <w:r>
        <w:rPr>
          <w:rFonts w:ascii="Times New Roman" w:hAnsi="Times New Roman"/>
          <w:sz w:val="20"/>
        </w:rPr>
        <w:t xml:space="preserve"> shall be borne and paid by the Holders (other than fees and dissbursements of counsel to any Holder, other than the Selling Holder Counsel, which shall be borne solely by the Holder engaging such counsel) pro rata on the basis of the number of Registrable Securities registered on their behalf.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Delay of Registration</w:t>
      </w:r>
      <w:r>
        <w:rPr>
          <w:rFonts w:ascii="Times New Roman" w:hAnsi="Times New Roman"/>
          <w:sz w:val="20"/>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Indemnification</w:t>
      </w:r>
      <w:r>
        <w:rPr>
          <w:rFonts w:ascii="Times New Roman" w:hAnsi="Times New Roman"/>
          <w:sz w:val="20"/>
        </w:rPr>
        <w:t xml:space="preserve">. If any Registrable Securities are included in a registration statement under this </w:t>
      </w:r>
      <w:r>
        <w:rPr>
          <w:rFonts w:ascii="Times New Roman" w:hAnsi="Times New Roman"/>
          <w:sz w:val="20"/>
          <w:u w:val="single"/>
        </w:rPr>
        <w:t>Section 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i/>
          <w:sz w:val="20"/>
        </w:rPr>
        <w:t>provided, however</w:t>
      </w:r>
      <w:r>
        <w:rPr>
          <w:rFonts w:ascii="Times New Roman" w:hAnsi="Times New Roman"/>
          <w:sz w:val="20"/>
        </w:rPr>
        <w:t xml:space="preserve">, that the indemnity agreement contained in this </w:t>
      </w:r>
      <w:r>
        <w:rPr>
          <w:rFonts w:ascii="Times New Roman" w:hAnsi="Times New Roman"/>
          <w:sz w:val="20"/>
          <w:u w:val="single"/>
        </w:rPr>
        <w:t>Section 2.8(a)</w:t>
      </w:r>
      <w:r>
        <w:rPr>
          <w:rFonts w:ascii="Times New Roman" w:hAnsi="Times New Roman"/>
          <w:sz w:val="20"/>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hAnsi="Times New Roman"/>
          <w:i/>
          <w:sz w:val="20"/>
        </w:rPr>
        <w:t>provided, however</w:t>
      </w:r>
      <w:r>
        <w:rPr>
          <w:rFonts w:ascii="Times New Roman" w:hAnsi="Times New Roman"/>
          <w:sz w:val="20"/>
        </w:rPr>
        <w:t xml:space="preserve">, that the indemnity agreement contained in this </w:t>
      </w:r>
      <w:r>
        <w:rPr>
          <w:rFonts w:ascii="Times New Roman" w:hAnsi="Times New Roman"/>
          <w:sz w:val="20"/>
          <w:u w:val="single"/>
        </w:rPr>
        <w:t>Section 2.8(b)</w:t>
      </w:r>
      <w:r>
        <w:rPr>
          <w:rFonts w:ascii="Times New Roman" w:hAnsi="Times New Roman"/>
          <w:sz w:val="20"/>
        </w:rPr>
        <w:t xml:space="preserve"> shall not apply to amounts paid in settlement of any such claim or proceeding if such settlement is effected without the consent of the Holder, which consent shall not be unreasonably withheld; and </w:t>
      </w:r>
      <w:r>
        <w:rPr>
          <w:rFonts w:ascii="Times New Roman" w:hAnsi="Times New Roman"/>
          <w:i/>
          <w:sz w:val="20"/>
        </w:rPr>
        <w:t>provided further</w:t>
      </w:r>
      <w:r>
        <w:rPr>
          <w:rFonts w:ascii="Times New Roman" w:hAnsi="Times New Roman"/>
          <w:sz w:val="20"/>
        </w:rPr>
        <w:t xml:space="preserve">, that in no event shall the aggregate amounts payable by any Holder by way of indemnity or contribution under </w:t>
      </w:r>
      <w:r>
        <w:rPr>
          <w:rFonts w:ascii="Times New Roman" w:hAnsi="Times New Roman"/>
          <w:sz w:val="20"/>
          <w:u w:val="single"/>
        </w:rPr>
        <w:t>Sections 2.8(b)</w:t>
      </w:r>
      <w:r>
        <w:rPr>
          <w:rFonts w:ascii="Times New Roman" w:hAnsi="Times New Roman"/>
          <w:sz w:val="20"/>
        </w:rPr>
        <w:t xml:space="preserve"> and </w:t>
      </w:r>
      <w:r>
        <w:rPr>
          <w:rFonts w:ascii="Times New Roman" w:hAnsi="Times New Roman"/>
          <w:sz w:val="20"/>
          <w:u w:val="single"/>
        </w:rPr>
        <w:t>2.8(d)</w:t>
      </w:r>
      <w:r>
        <w:rPr>
          <w:rFonts w:ascii="Times New Roman" w:hAnsi="Times New Roman"/>
          <w:sz w:val="20"/>
        </w:rPr>
        <w:t xml:space="preserve"> exceed the proceeds from the offering received by such Holder (net of any Selling Expenses paid by such Holder), except in the case of fraud or willful misconduct by such Holder.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party under this </w:t>
      </w:r>
      <w:r>
        <w:rPr>
          <w:rFonts w:ascii="Times New Roman" w:hAnsi="Times New Roman"/>
          <w:sz w:val="20"/>
          <w:u w:val="single"/>
        </w:rPr>
        <w:t>Section 2.8</w:t>
      </w:r>
      <w:r>
        <w:rPr>
          <w:rFonts w:ascii="Times New Roman" w:hAnsi="Times New Roman"/>
          <w:sz w:val="20"/>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hAnsi="Times New Roman"/>
          <w:sz w:val="20"/>
          <w:u w:val="single"/>
        </w:rPr>
        <w:t>Section 2.8</w:t>
      </w:r>
      <w:r>
        <w:rPr>
          <w:rFonts w:ascii="Times New Roman" w:hAnsi="Times New Roman"/>
          <w:sz w:val="20"/>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hAnsi="Times New Roman"/>
          <w:i/>
          <w:sz w:val="20"/>
        </w:rPr>
        <w:t>provided, however</w:t>
      </w:r>
      <w:r>
        <w:rPr>
          <w:rFonts w:ascii="Times New Roman" w:hAnsi="Times New Roman"/>
          <w:sz w:val="20"/>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not relieve such indemnifying party of any liability to the indemnified party under this </w:t>
      </w:r>
      <w:r>
        <w:rPr>
          <w:rFonts w:ascii="Times New Roman" w:hAnsi="Times New Roman"/>
          <w:sz w:val="20"/>
          <w:u w:val="single"/>
        </w:rPr>
        <w:t>Section 2.8</w:t>
      </w:r>
      <w:r>
        <w:rPr>
          <w:rFonts w:ascii="Times New Roman" w:hAnsi="Times New Roman"/>
          <w:sz w:val="20"/>
        </w:rPr>
        <w:t xml:space="preserve">, except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hAnsi="Times New Roman"/>
          <w:sz w:val="20"/>
          <w:u w:val="single"/>
        </w:rPr>
        <w:t>Section 2.8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To provide for just and equitable contribution to joint liability under the Securities Act in any case in which either (i) any party otherwise entitled to indemnification hereunder makes a claim for indemnification pursuant to this </w:t>
      </w:r>
      <w:r>
        <w:rPr>
          <w:rFonts w:ascii="Times New Roman" w:hAnsi="Times New Roman"/>
          <w:sz w:val="20"/>
          <w:u w:val="single"/>
        </w:rPr>
        <w:t>Section 2.8</w:t>
      </w:r>
      <w:r>
        <w:rPr>
          <w:rFonts w:ascii="Times New Roman" w:hAnsi="Times New Roman"/>
          <w:sz w:val="20"/>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hAnsi="Times New Roman"/>
          <w:sz w:val="20"/>
          <w:u w:val="single"/>
        </w:rPr>
        <w:t>Section 2.8</w:t>
      </w:r>
      <w:r>
        <w:rPr>
          <w:rFonts w:ascii="Times New Roman" w:hAnsi="Times New Roman"/>
          <w:sz w:val="20"/>
        </w:rPr>
        <w:t xml:space="preserve"> provides for indemnification in such case, or (ii) contribution under the Securities Act may be required on the part of any party hereto for which indemnification is provided under this </w:t>
      </w:r>
      <w:r>
        <w:rPr>
          <w:rFonts w:ascii="Times New Roman" w:hAnsi="Times New Roman"/>
          <w:sz w:val="20"/>
          <w:u w:val="single"/>
        </w:rPr>
        <w:t>Section 2.8</w:t>
      </w:r>
      <w:r>
        <w:rPr>
          <w:rFonts w:ascii="Times New Roman" w:hAnsi="Times New Roman"/>
          <w:sz w:val="20"/>
        </w:rPr>
        <w:t xml:space="preserve">, then, and in each such case, such parties will contribute to the aggregate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hAnsi="Times New Roman"/>
          <w:i/>
          <w:sz w:val="20"/>
        </w:rPr>
        <w:t>provided, however</w:t>
      </w:r>
      <w:r>
        <w:rPr>
          <w:rFonts w:ascii="Times New Roman" w:hAnsi="Times New Roman"/>
          <w:sz w:val="20"/>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hAnsi="Times New Roman"/>
          <w:i/>
          <w:sz w:val="20"/>
        </w:rPr>
        <w:t>provided further</w:t>
      </w:r>
      <w:r>
        <w:rPr>
          <w:rFonts w:ascii="Times New Roman" w:hAnsi="Times New Roman"/>
          <w:sz w:val="20"/>
        </w:rPr>
        <w:t xml:space="preserve">, that in no event shall a Holders liability pursuant to this </w:t>
      </w:r>
      <w:r>
        <w:rPr>
          <w:rFonts w:ascii="Times New Roman" w:hAnsi="Times New Roman"/>
          <w:sz w:val="20"/>
          <w:u w:val="single"/>
        </w:rPr>
        <w:t>Section 2.8(d)</w:t>
      </w:r>
      <w:r>
        <w:rPr>
          <w:rFonts w:ascii="Times New Roman" w:hAnsi="Times New Roman"/>
          <w:sz w:val="20"/>
        </w:rPr>
        <w:t xml:space="preserve">, when combined with the amounts paid or payable by such Holder pursuant to </w:t>
      </w:r>
      <w:r>
        <w:rPr>
          <w:rFonts w:ascii="Times New Roman" w:hAnsi="Times New Roman"/>
          <w:sz w:val="20"/>
          <w:u w:val="single"/>
        </w:rPr>
        <w:t>Section 2.8(b)</w:t>
      </w:r>
      <w:r>
        <w:rPr>
          <w:rFonts w:ascii="Times New Roman" w:hAnsi="Times New Roman"/>
          <w:sz w:val="20"/>
        </w:rPr>
        <w:t xml:space="preserve">, exceed the proceeds from the offering received by such Holder (net of any Selling Expenses paid by such Holder), except in the case of willful misconduct or fraud by such Holder.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(f) Unless otherwise superseded by an underwriting agreement entered into in connection with the underwritten public offering, the obligations of the Company and Holders under this </w:t>
      </w:r>
      <w:r>
        <w:rPr>
          <w:rFonts w:ascii="Times New Roman" w:hAnsi="Times New Roman"/>
          <w:sz w:val="20"/>
          <w:u w:val="single"/>
        </w:rPr>
        <w:t>Section 2.8</w:t>
      </w:r>
      <w:r>
        <w:rPr>
          <w:rFonts w:ascii="Times New Roman" w:hAnsi="Times New Roman"/>
          <w:sz w:val="20"/>
        </w:rPr>
        <w:t xml:space="preserve"> shall survive the completion of any offering of Registrable Securities in a registration under this </w:t>
      </w:r>
      <w:r>
        <w:rPr>
          <w:rFonts w:ascii="Times New Roman" w:hAnsi="Times New Roman"/>
          <w:sz w:val="20"/>
          <w:u w:val="single"/>
        </w:rPr>
        <w:t>Section 2</w:t>
      </w:r>
      <w:r>
        <w:rPr>
          <w:rFonts w:ascii="Times New Roman" w:hAnsi="Times New Roman"/>
          <w:sz w:val="20"/>
        </w:rPr>
        <w:t xml:space="preserve">, and otherwise shall survive the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Reports Under Exchange Act</w:t>
      </w:r>
      <w:r>
        <w:rPr>
          <w:rFonts w:ascii="Times New Roman" w:hAnsi="Times New Roman"/>
          <w:sz w:val="20"/>
        </w:rPr>
        <w:t xml:space="preserve">.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available adequate current public information, as those terms are understood and defined in SEC Rule 144, at all times after the effective date of the registration statement filed by the Company for the IPO; </w:t>
      </w:r>
    </w:p>
    <w:p>
      <w:pPr>
        <w:pStyle w:val="TextBody"/>
        <w:bidi w:val="0"/>
        <w:spacing w:before="120" w:after="0"/>
        <w:jc w:val="left"/>
        <w:rPr>
          <w:rFonts w:ascii="Times New Roman" w:hAnsi="Times New Roman"/>
          <w:sz w:val="20"/>
        </w:rPr>
      </w:pPr>
      <w:r>
        <w:rPr>
          <w:rFonts w:ascii="Times New Roman" w:hAnsi="Times New Roman"/>
          <w:sz w:val="20"/>
        </w:rPr>
        <w:t xml:space="preserve">(b) use commercially reasonable efforts to file with the SEC in a timely manner all reports and other documents required of the Company under the Securities Act and the Exchange Act (at any time after the Company has become subject to such reporting requirements);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 </w:t>
      </w:r>
    </w:p>
    <w:p>
      <w:pPr>
        <w:pStyle w:val="TextBody"/>
        <w:bidi w:val="0"/>
        <w:spacing w:before="12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Limitations on Subsequent Registration Rights</w:t>
      </w:r>
      <w:r>
        <w:rPr>
          <w:rFonts w:ascii="Times New Roman" w:hAnsi="Times New Roman"/>
          <w:sz w:val="20"/>
        </w:rPr>
        <w:t xml:space="preserve">. From and after the date of this Agreement, the Company shall not, without the prior written consent of the Holders of at least a majority of the Registrable Securities Then Outstanding, enter into any agreement with any holder or prospective holder of any securities of the Company that would allow such holder or prospective holder to include such securities in any registration unless (i) such other registration rights are subordinate to the registration rights granted to the Holders hereunder and the inclusion of such securities will not reduce the amount of the Registrable Securities of the Holders that are included in a given registration and (ii) the holders of such rights are subject to market standoff obligations no more favorable to such persons than those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Market Stand-off Agreement.</w:t>
      </w:r>
      <w:r>
        <w:rPr>
          <w:rFonts w:ascii="Times New Roman" w:hAnsi="Times New Roman"/>
          <w:sz w:val="20"/>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hAnsi="Times New Roman"/>
          <w:sz w:val="20"/>
          <w:u w:val="single"/>
        </w:rPr>
        <w:t>Section 2.11</w:t>
      </w:r>
      <w:r>
        <w:rPr>
          <w:rFonts w:ascii="Times New Roman" w:hAnsi="Times New Roman"/>
          <w:sz w:val="20"/>
        </w:rPr>
        <w:t xml:space="preserve"> (A) shall apply only to the IPO, (B) shall not apply to shares of Common Stock acquired in the IPO or in the open market following the IPO, (C) shall not apply to the sale of any shares to an underwriter pursuant to an underwriting agreement and (D) shall be applicable to the Holders only if all officers and directors are subject to the same restrictions and the Company obtains a similar agreement from all stockholders individually owning more than one percent (1%) of the outstanding Common Stock (after giving effect to the conversion into Common Stock of all outstanding Preferred Stock). The underwriters in connection with such registration are intended third-party beneficiaries of this </w:t>
      </w:r>
      <w:r>
        <w:rPr>
          <w:rFonts w:ascii="Times New Roman" w:hAnsi="Times New Roman"/>
          <w:sz w:val="20"/>
          <w:u w:val="single"/>
        </w:rPr>
        <w:t>Section 2.11</w:t>
      </w:r>
      <w:r>
        <w:rPr>
          <w:rFonts w:ascii="Times New Roman" w:hAnsi="Times New Roman"/>
          <w:sz w:val="20"/>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hAnsi="Times New Roman"/>
          <w:sz w:val="20"/>
          <w:u w:val="single"/>
        </w:rPr>
        <w:t>Section 2.11</w:t>
      </w:r>
      <w:r>
        <w:rPr>
          <w:rFonts w:ascii="Times New Roman" w:hAnsi="Times New Roman"/>
          <w:sz w:val="20"/>
        </w:rPr>
        <w:t xml:space="preserve"> or that are necessary to give further effect thereto. If any of the obligations described in this </w:t>
      </w:r>
      <w:r>
        <w:rPr>
          <w:rFonts w:ascii="Times New Roman" w:hAnsi="Times New Roman"/>
          <w:sz w:val="20"/>
          <w:u w:val="single"/>
        </w:rPr>
        <w:t>Section 2.11</w:t>
      </w:r>
      <w:r>
        <w:rPr>
          <w:rFonts w:ascii="Times New Roman" w:hAnsi="Times New Roman"/>
          <w:sz w:val="20"/>
        </w:rPr>
        <w:t xml:space="preserve"> are waived or terminated with respect to any of the securities of any such Holder, officer, director or greater than one-percent stockholder (in any such case, the </w:t>
      </w:r>
      <w:r>
        <w:rPr>
          <w:rFonts w:ascii="Times New Roman" w:hAnsi="Times New Roman"/>
          <w:b/>
          <w:i/>
          <w:sz w:val="20"/>
        </w:rPr>
        <w:t>Released Securities</w:t>
      </w:r>
      <w:r>
        <w:rPr>
          <w:rFonts w:ascii="Times New Roman" w:hAnsi="Times New Roman"/>
          <w:sz w:val="20"/>
        </w:rPr>
        <w:t xml:space="preserve">), the foregoing provisions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waived or terminated, as applicable, to the same extent and with respect to the same percentage of securities of each Holder as the percentage of Released Securities represent with respect to the securities held by the applicable Holder, officer, director or greater than one-percent stockholder, subject, in the case of an underwritten offering, to any applicable cut-back priority rights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Restrictions on 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shall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hAnsi="Times New Roman"/>
          <w:sz w:val="20"/>
          <w:u w:val="single"/>
        </w:rPr>
        <w:t>Section 2.12(c)</w:t>
      </w:r>
      <w:r>
        <w:rPr>
          <w:rFonts w:ascii="Times New Roman" w:hAnsi="Times New Roman"/>
          <w:sz w:val="20"/>
        </w:rPr>
        <w:t xml:space="preserve">) be stamped or otherwise imprinted with a legend substantially in the following form (in addition to any legend required under applicable state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REPRESENTED HEREBY MAY BE TRANSFERRED ONLY IN ACCORDANCE WITH THE TERMS OF A NINTH AMENDED AND RESTATED INVESTORS RIGHTS AGREEMENT BETWEEN THE COMPANY AND THE STOCKHOLDER, A COPY OF WHICH IS ON FILE WITH THE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The holder of each certificate representing Restricted Securities, by acceptance thereof, agrees to comply in all respects with the provisions of this </w:t>
      </w:r>
      <w:r>
        <w:rPr>
          <w:rFonts w:ascii="Times New Roman" w:hAnsi="Times New Roman"/>
          <w:sz w:val="20"/>
          <w:u w:val="single"/>
        </w:rPr>
        <w:t>Section 2</w:t>
      </w:r>
      <w:r>
        <w:rPr>
          <w:rFonts w:ascii="Times New Roman" w:hAnsi="Times New Roman"/>
          <w:sz w:val="20"/>
        </w:rPr>
        <w:t xml:space="preserve">. Before any proposed sale, pledge, or transfer of any Restricted Securities, unless there is in effect a registration statement under the Securities Act covering the proposed transaction or,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Times New Roman" w:hAnsi="Times New Roman"/>
          <w:i/>
          <w:sz w:val="20"/>
        </w:rPr>
        <w:t>provided</w:t>
      </w:r>
      <w:r>
        <w:rPr>
          <w:rFonts w:ascii="Times New Roman" w:hAnsi="Times New Roman"/>
          <w:sz w:val="20"/>
        </w:rPr>
        <w:t xml:space="preserve">, that, with respect to transfers under the foregoing clause (y), each transferee agrees in writing to be subject to the terms of this </w:t>
      </w:r>
      <w:r>
        <w:rPr>
          <w:rFonts w:ascii="Times New Roman" w:hAnsi="Times New Roman"/>
          <w:sz w:val="20"/>
          <w:u w:val="single"/>
        </w:rPr>
        <w:t>Section 2.12</w:t>
      </w:r>
      <w:r>
        <w:rPr>
          <w:rFonts w:ascii="Times New Roman" w:hAnsi="Times New Roman"/>
          <w:sz w:val="20"/>
        </w:rPr>
        <w:t xml:space="preserve">. Each certificate or instrument evidencing the Restricted Securities transferred as above provided shall bear, except if such transfer is made pursuant to SEC Rule 144 or pursuant to an effective registration statement, the appropriate restrictive legend set forth in </w:t>
      </w:r>
      <w:r>
        <w:rPr>
          <w:rFonts w:ascii="Times New Roman" w:hAnsi="Times New Roman"/>
          <w:sz w:val="20"/>
          <w:u w:val="single"/>
        </w:rPr>
        <w:t>Section 2.12(b)</w:t>
      </w:r>
      <w:r>
        <w:rPr>
          <w:rFonts w:ascii="Times New Roman" w:hAnsi="Times New Roman"/>
          <w:sz w:val="20"/>
        </w:rPr>
        <w:t xml:space="preserve">, except that such certificate shall not bear such restrictive legend if, in the opinion of counsel for such Holder and the Company, such legend is not required in order to establish compliance with any provisions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Termination of Registration Rights</w:t>
      </w:r>
      <w:r>
        <w:rPr>
          <w:rFonts w:ascii="Times New Roman" w:hAnsi="Times New Roman"/>
          <w:sz w:val="20"/>
        </w:rPr>
        <w:t xml:space="preserve">. The right of any Holder to request registration or inclusion of Registrable Securities in any registration pursuant to </w:t>
      </w:r>
      <w:r>
        <w:rPr>
          <w:rFonts w:ascii="Times New Roman" w:hAnsi="Times New Roman"/>
          <w:sz w:val="20"/>
          <w:u w:val="single"/>
        </w:rPr>
        <w:t>Section 2.1</w:t>
      </w:r>
      <w:r>
        <w:rPr>
          <w:rFonts w:ascii="Times New Roman" w:hAnsi="Times New Roman"/>
          <w:sz w:val="20"/>
        </w:rPr>
        <w:t xml:space="preserve"> or </w:t>
      </w:r>
      <w:r>
        <w:rPr>
          <w:rFonts w:ascii="Times New Roman" w:hAnsi="Times New Roman"/>
          <w:sz w:val="20"/>
          <w:u w:val="single"/>
        </w:rPr>
        <w:t>Section 2.2</w:t>
      </w:r>
      <w:r>
        <w:rPr>
          <w:rFonts w:ascii="Times New Roman" w:hAnsi="Times New Roman"/>
          <w:sz w:val="20"/>
        </w:rPr>
        <w:t xml:space="preserve"> shall terminate upon the earliest to occur of (a) the closing of a Deemed Liquidation Event, as such term is defined in the Certificate, (b) such time after the consummation of the IPO as Rule 144 or another similar exemption under the Securities Act is available for the sale of all of such Holders shares without limitation during a three-month period without registration (and without the requirement for the Company to be in compliance with the current public information required under Rule 144(c)(1)) and such Holder holds less than one percent (1%) of the outstanding capital stock of the Company and (c) the fifth anniversary of the consummation of the IPO (or such later date that is one hundred eighty (180) days following the expiration of all deferrals of the Companys obligations pursuant to </w:t>
      </w:r>
      <w:r>
        <w:rPr>
          <w:rFonts w:ascii="Times New Roman" w:hAnsi="Times New Roman"/>
          <w:sz w:val="20"/>
          <w:u w:val="single"/>
        </w:rPr>
        <w:t>Section 2</w:t>
      </w:r>
      <w:r>
        <w:rPr>
          <w:rFonts w:ascii="Times New Roman" w:hAnsi="Times New Roman"/>
          <w:sz w:val="20"/>
        </w:rPr>
        <w:t xml:space="preserve"> that remain in effect as of the fifth anniversary of the consummation of the IPO).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Information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Delivery of Financial Statements</w:t>
      </w:r>
      <w:r>
        <w:rPr>
          <w:rFonts w:ascii="Times New Roman" w:hAnsi="Times New Roman"/>
          <w:sz w:val="20"/>
        </w:rPr>
        <w:t>. The Company shall deliver to each Major Investor (</w:t>
      </w:r>
      <w:r>
        <w:rPr>
          <w:rFonts w:ascii="Times New Roman" w:hAnsi="Times New Roman"/>
          <w:i/>
          <w:sz w:val="20"/>
        </w:rPr>
        <w:t>provided</w:t>
      </w:r>
      <w:r>
        <w:rPr>
          <w:rFonts w:ascii="Times New Roman" w:hAnsi="Times New Roman"/>
          <w:sz w:val="20"/>
        </w:rPr>
        <w:t xml:space="preserve">, that the Board of Directors has not reasonably determined that such Major Investor is a competitor of the Company, </w:t>
      </w:r>
      <w:r>
        <w:rPr>
          <w:rFonts w:ascii="Times New Roman" w:hAnsi="Times New Roman"/>
          <w:i/>
          <w:sz w:val="20"/>
        </w:rPr>
        <w:t>provided further</w:t>
      </w:r>
      <w:r>
        <w:rPr>
          <w:rFonts w:ascii="Times New Roman" w:hAnsi="Times New Roman"/>
          <w:sz w:val="20"/>
        </w:rPr>
        <w:t xml:space="preserve">, that none of NEA, Revolution, any T. Rowe Price Investor or any Baillie Gifford Investor shall be deemed a competitor for purposes of this Agreement solely due to an investment in a portfolio company that is a competitor of the Company, and </w:t>
      </w:r>
      <w:r>
        <w:rPr>
          <w:rFonts w:ascii="Times New Roman" w:hAnsi="Times New Roman"/>
          <w:i/>
          <w:sz w:val="20"/>
        </w:rPr>
        <w:t>provided further</w:t>
      </w:r>
      <w:r>
        <w:rPr>
          <w:rFonts w:ascii="Times New Roman" w:hAnsi="Times New Roman"/>
          <w:sz w:val="20"/>
        </w:rPr>
        <w:t xml:space="preserve">, that Google LLC shall not be deemed a competitor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as soon as practicable, but in any event within ninety (90) days after the end of each fiscal year of the Company, (i) a balance sheet as of the end of such year, (ii) statements of income and of cash flows for such year, and (iii) a statement of stockholders equity as of the end of such year, all prepared in accordance with GAAP (except that such financial statements may not contain all notes thereto that may be required in accordance with GAAP), which financial statements shall be audited and certified by independent public accountants of nationally recognized standing selected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as soon as practicable, but in any event within thirty (30) days after the end of each quarter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(c) as soon as practicable, but in any event within thirty (30) days after the end of each quarter of each fiscal year of the Company, a detailed capitalization table of the Company as of the end of such fiscal quarter; and </w:t>
      </w:r>
    </w:p>
    <w:p>
      <w:pPr>
        <w:pStyle w:val="TextBody"/>
        <w:bidi w:val="0"/>
        <w:spacing w:before="120" w:after="0"/>
        <w:jc w:val="left"/>
        <w:rPr>
          <w:rFonts w:ascii="Times New Roman" w:hAnsi="Times New Roman"/>
          <w:sz w:val="20"/>
        </w:rPr>
      </w:pPr>
      <w:r>
        <w:rPr>
          <w:rFonts w:ascii="Times New Roman" w:hAnsi="Times New Roman"/>
          <w:sz w:val="20"/>
        </w:rPr>
        <w:t xml:space="preserve">(d) such other information relating to the financial condition, business, prospects or corporate affairs of the Company as any Major Investor may from time to time reasonably request, provided that the Company shall not be obligated under this </w:t>
      </w:r>
      <w:r>
        <w:rPr>
          <w:rFonts w:ascii="Times New Roman" w:hAnsi="Times New Roman"/>
          <w:sz w:val="20"/>
          <w:u w:val="single"/>
        </w:rPr>
        <w:t>Section 3.1(c)</w:t>
      </w:r>
      <w:r>
        <w:rPr>
          <w:rFonts w:ascii="Times New Roman" w:hAnsi="Times New Roman"/>
          <w:sz w:val="20"/>
        </w:rPr>
        <w:t xml:space="preserve"> to provide information (i) that the Company reasonably determines in good faith to be a trade secret or confidential information (unless covered by an enforceable confidentiality agreement, in a form reasonably acceptable to the Company); or (ii) the disclosure of which would adversely affect the attorney-client privilege between the Company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else in this </w:t>
      </w:r>
      <w:r>
        <w:rPr>
          <w:rFonts w:ascii="Times New Roman" w:hAnsi="Times New Roman"/>
          <w:sz w:val="20"/>
          <w:u w:val="single"/>
        </w:rPr>
        <w:t>Section 3.1</w:t>
      </w:r>
      <w:r>
        <w:rPr>
          <w:rFonts w:ascii="Times New Roman" w:hAnsi="Times New Roman"/>
          <w:sz w:val="20"/>
        </w:rPr>
        <w:t xml:space="preserve"> to the contrary, the Company may cease providing the information set forth in this </w:t>
      </w:r>
      <w:r>
        <w:rPr>
          <w:rFonts w:ascii="Times New Roman" w:hAnsi="Times New Roman"/>
          <w:sz w:val="20"/>
          <w:u w:val="single"/>
        </w:rPr>
        <w:t>Section 3.1</w:t>
      </w:r>
      <w:r>
        <w:rPr>
          <w:rFonts w:ascii="Times New Roman" w:hAnsi="Times New Roman"/>
          <w:sz w:val="20"/>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hAnsi="Times New Roman"/>
          <w:i/>
          <w:sz w:val="20"/>
        </w:rPr>
        <w:t>provided</w:t>
      </w:r>
      <w:r>
        <w:rPr>
          <w:rFonts w:ascii="Times New Roman" w:hAnsi="Times New Roman"/>
          <w:sz w:val="20"/>
        </w:rPr>
        <w:t xml:space="preserve">, that the Companys covenants under this </w:t>
      </w:r>
      <w:r>
        <w:rPr>
          <w:rFonts w:ascii="Times New Roman" w:hAnsi="Times New Roman"/>
          <w:sz w:val="20"/>
          <w:u w:val="single"/>
        </w:rPr>
        <w:t>Section 3.1</w:t>
      </w:r>
      <w:r>
        <w:rPr>
          <w:rFonts w:ascii="Times New Roman" w:hAnsi="Times New Roman"/>
          <w:sz w:val="20"/>
        </w:rPr>
        <w:t xml:space="preserve"> shall be reinstated at such time as the Company is no longer actively employing its commercially reasonable efforts to cause such registration statement to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promptly and accurately respond, and shall use its commercially reasonable efforts to cause its transfer agent to promptly respond, to reasonable requests for information made on behalf of any T. Rowe Price Investor or any Baillie Gifford Investor relating to (i) accounting or securities law matters required in connection with its audit or (ii) the actual holdings of the T. Rowe Price Investor or any Baillie Gifford Investor, respectively, including in relation to the total outstanding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provide any such information that could reasonably result in a violation of applicable law or conflict with a confidentiality obligation of the Company. On or immediately prior to the effectiveness of the IPO, the Company shall provide each T. Rowe Price Investor and each Baillie Gifford Investor written confirmation of its equity holdings in the Company (on an as-converted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Agreement, the Company and the Baillie Gifford Investors acknowledge and agree that, absent all Required Approvals, the Baillie Gifford Investors shall not request or obtain and Company shall not grant: (i) control (as defined in 31 C.F.R. § 800.204) of the Company; (ii) access to any material nonpublic technical information (as defined in 31 C.F.R. § 801.208) in the possession of the Company (which shall not include financial information about the Company), including access to any information not already in the public domain that is necessary to design, fabricate, develop, test, produce, or manufacture Company products or services, including processes, techniques, or methods; or (iii) any involvement (other than through voting of shares) in substantive decision making of the Company regarding the use, development, acquisition, or release of any of the Companys critical technologies (as defined in 31 C.F.R. § 801.204).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Inspection</w:t>
      </w:r>
      <w:r>
        <w:rPr>
          <w:rFonts w:ascii="Times New Roman" w:hAnsi="Times New Roman"/>
          <w:sz w:val="20"/>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such Major Investor; </w:t>
      </w:r>
      <w:r>
        <w:rPr>
          <w:rFonts w:ascii="Times New Roman" w:hAnsi="Times New Roman"/>
          <w:i/>
          <w:sz w:val="20"/>
        </w:rPr>
        <w:t>provided, however</w:t>
      </w:r>
      <w:r>
        <w:rPr>
          <w:rFonts w:ascii="Times New Roman" w:hAnsi="Times New Roman"/>
          <w:sz w:val="20"/>
        </w:rPr>
        <w:t xml:space="preserve">, that the Company shall not be obligated pursuant to this </w:t>
      </w:r>
      <w:r>
        <w:rPr>
          <w:rFonts w:ascii="Times New Roman" w:hAnsi="Times New Roman"/>
          <w:sz w:val="20"/>
          <w:u w:val="single"/>
        </w:rPr>
        <w:t>Section 3.2</w:t>
      </w:r>
      <w:r>
        <w:rPr>
          <w:rFonts w:ascii="Times New Roman" w:hAnsi="Times New Roman"/>
          <w:sz w:val="20"/>
        </w:rPr>
        <w:t xml:space="preserve"> to provide access to any information that it reasonably and in good faith considers to be a trade secret or confidential information (unless covered by an enforceable confidentiality agreement, in form reasonably acceptable to the Company) or the disclosure of which would adversely affect the attorney-client privilege between the Company and its counsel.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Observer Rights</w:t>
      </w:r>
      <w:r>
        <w:rPr>
          <w:rFonts w:ascii="Times New Roman" w:hAnsi="Times New Roman"/>
          <w:sz w:val="20"/>
        </w:rPr>
        <w:t xml:space="preserve">. For so long as the T. Rowe Price Investors own any shares of Preferred Stock or shares of capital stock issued upon conversion of such Preferred Stock, the Company shall give the T. Rowe Price Investors copies of all notices, minutes, consents and other materials that it provides to its directors at the same time and in the same manner as provided to such directors;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information so provided shall be subject to </w:t>
      </w:r>
      <w:r>
        <w:rPr>
          <w:rFonts w:ascii="Times New Roman" w:hAnsi="Times New Roman"/>
          <w:sz w:val="20"/>
          <w:u w:val="single"/>
        </w:rPr>
        <w:t>Section 3.5</w:t>
      </w:r>
      <w:r>
        <w:rPr>
          <w:rFonts w:ascii="Times New Roman" w:hAnsi="Times New Roman"/>
          <w:sz w:val="20"/>
        </w:rPr>
        <w:t xml:space="preserv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Company reserves the right to withhold any information if access to such information could adversely affect the attorney-client privilege between the Company and its counsel or would result in disclosure of trade secrets to the T. Rowe Price Investors.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Termination of Information Rights</w:t>
      </w:r>
      <w:r>
        <w:rPr>
          <w:rFonts w:ascii="Times New Roman" w:hAnsi="Times New Roman"/>
          <w:sz w:val="20"/>
        </w:rPr>
        <w:t xml:space="preserve">. The covenants set forth in </w:t>
      </w:r>
      <w:r>
        <w:rPr>
          <w:rFonts w:ascii="Times New Roman" w:hAnsi="Times New Roman"/>
          <w:sz w:val="20"/>
          <w:u w:val="single"/>
        </w:rPr>
        <w:t>Section 3.1</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and </w:t>
      </w:r>
      <w:r>
        <w:rPr>
          <w:rFonts w:ascii="Times New Roman" w:hAnsi="Times New Roman"/>
          <w:sz w:val="20"/>
          <w:u w:val="single"/>
        </w:rPr>
        <w:t>Section 3.3</w:t>
      </w:r>
      <w:r>
        <w:rPr>
          <w:rFonts w:ascii="Times New Roman" w:hAnsi="Times New Roman"/>
          <w:sz w:val="20"/>
        </w:rPr>
        <w:t xml:space="preserve"> shall terminate and be of no further force or effect (a) immediately before the consummation of the IPO, (b) when the Company first becomes subject to the periodic reporting requirements of Section 12(g) or 15(d) of the Exchange Act or (c) upon a Deemed Liquidation Event, as such term is defined in the Certificate, whichever event occurs first; </w:t>
      </w:r>
      <w:r>
        <w:rPr>
          <w:rFonts w:ascii="Times New Roman" w:hAnsi="Times New Roman"/>
          <w:sz w:val="20"/>
          <w:u w:val="single"/>
        </w:rPr>
        <w:t>provided</w:t>
      </w:r>
      <w:r>
        <w:rPr>
          <w:rFonts w:ascii="Times New Roman" w:hAnsi="Times New Roman"/>
          <w:sz w:val="20"/>
        </w:rPr>
        <w:t xml:space="preserve">, that with respect to </w:t>
      </w:r>
      <w:r>
        <w:rPr>
          <w:rFonts w:ascii="Times New Roman" w:hAnsi="Times New Roman"/>
          <w:sz w:val="20"/>
          <w:u w:val="single"/>
        </w:rPr>
        <w:t>clause (c)</w:t>
      </w:r>
      <w:r>
        <w:rPr>
          <w:rFonts w:ascii="Times New Roman" w:hAnsi="Times New Roman"/>
          <w:sz w:val="20"/>
        </w:rPr>
        <w:t xml:space="preserve">, the covenants set forth in </w:t>
      </w:r>
      <w:r>
        <w:rPr>
          <w:rFonts w:ascii="Times New Roman" w:hAnsi="Times New Roman"/>
          <w:sz w:val="20"/>
          <w:u w:val="single"/>
        </w:rPr>
        <w:t>Section 3.1</w:t>
      </w:r>
      <w:r>
        <w:rPr>
          <w:rFonts w:ascii="Times New Roman" w:hAnsi="Times New Roman"/>
          <w:sz w:val="20"/>
        </w:rPr>
        <w:t xml:space="preserve"> shall only terminate if the consideration received by the Investors in such Deemed Liquidation Event is in the form of cash and/or publicly traded securities unless the Investors receive financial information from the acquiring company or other successor to the Company comparable to those set forth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Confidentiality</w:t>
      </w:r>
      <w:r>
        <w:rPr>
          <w:rFonts w:ascii="Times New Roman" w:hAnsi="Times New Roman"/>
          <w:sz w:val="20"/>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hAnsi="Times New Roman"/>
          <w:sz w:val="20"/>
          <w:u w:val="single"/>
        </w:rPr>
        <w:t>Section 3.5</w:t>
      </w:r>
      <w:r>
        <w:rPr>
          <w:rFonts w:ascii="Times New Roman" w:hAnsi="Times New Roman"/>
          <w:sz w:val="20"/>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hAnsi="Times New Roman"/>
          <w:i/>
          <w:sz w:val="20"/>
        </w:rPr>
        <w:t>provided, however</w:t>
      </w:r>
      <w:r>
        <w:rPr>
          <w:rFonts w:ascii="Times New Roman" w:hAnsi="Times New Roman"/>
          <w:sz w:val="20"/>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hAnsi="Times New Roman"/>
          <w:sz w:val="20"/>
          <w:u w:val="single"/>
        </w:rPr>
        <w:t>Section 3.5</w:t>
      </w:r>
      <w:r>
        <w:rPr>
          <w:rFonts w:ascii="Times New Roman" w:hAnsi="Times New Roman"/>
          <w:sz w:val="20"/>
        </w:rPr>
        <w:t xml:space="preserve">; (iii) to any Affiliate, partner, partner of a partner, member, director, officer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court order or an applicable governmental or regulatory body, provided that the Investor promptly notifies the Company of such disclosure and takes reasonable steps to minimize the extent of any such required disclosure. Notwithstanding the foregoing, a T. Rowe Price Investor or a Baillie Gifford Investor may identify the Company and the value of such T. Rowe Price Investors or Baillie Gifford Investors security holdings in the Company in accordance with applicable investment reporting and disclosure regulations or internal policies and respond to examinations, demands, requests or reporting requirements of a regulatory authority without prior notice to or consent from the Company. </w:t>
      </w:r>
    </w:p>
    <w:p>
      <w:pPr>
        <w:pStyle w:val="TextBody"/>
        <w:bidi w:val="0"/>
        <w:spacing w:before="240" w:after="0"/>
        <w:jc w:val="left"/>
        <w:rPr>
          <w:rFonts w:ascii="Times New Roman" w:hAnsi="Times New Roman"/>
          <w:sz w:val="20"/>
        </w:rPr>
      </w:pPr>
      <w:r>
        <w:rPr>
          <w:rFonts w:ascii="Times New Roman" w:hAnsi="Times New Roman"/>
          <w:sz w:val="20"/>
        </w:rPr>
        <w:t>The Company understands and acknowledges that in the regular course of a T. Rowe Price Investors and a Baillie Gifford Investors business, such T. Rowe Price Investor or Baillie Gifford Investor may invest in companies that have issued securities that are publicly traded (each, a </w:t>
      </w:r>
      <w:r>
        <w:rPr>
          <w:rFonts w:ascii="Times New Roman" w:hAnsi="Times New Roman"/>
          <w:b/>
          <w:i/>
          <w:sz w:val="20"/>
        </w:rPr>
        <w:t>Public Company</w:t>
      </w:r>
      <w:r>
        <w:rPr>
          <w:rFonts w:ascii="Times New Roman" w:hAnsi="Times New Roman"/>
          <w:sz w:val="20"/>
        </w:rPr>
        <w:t>). Accordingly, the Company covenants and agrees that before providing material non-public information about a Public Company (</w:t>
      </w:r>
      <w:r>
        <w:rPr>
          <w:rFonts w:ascii="Times New Roman" w:hAnsi="Times New Roman"/>
          <w:b/>
          <w:i/>
          <w:sz w:val="20"/>
        </w:rPr>
        <w:t>Public Company Information</w:t>
      </w:r>
      <w:r>
        <w:rPr>
          <w:rFonts w:ascii="Times New Roman" w:hAnsi="Times New Roman"/>
          <w:sz w:val="20"/>
        </w:rPr>
        <w:t xml:space="preserve">) to a T. Rowe Price Investor or Baillie Gifford Investor, the Company will use commercially reasonable efforts to provide prior written notice to the following compliance personnel at such T. Rowe Price Investor or such Baillie Gifford Investor, respectively, describing such information in reasonable detail: </w:t>
      </w:r>
    </w:p>
    <w:p>
      <w:pPr>
        <w:pStyle w:val="TextBody"/>
        <w:bidi w:val="0"/>
        <w:spacing w:before="240" w:after="0"/>
        <w:jc w:val="left"/>
        <w:rPr>
          <w:rFonts w:ascii="Times New Roman" w:hAnsi="Times New Roman"/>
          <w:sz w:val="20"/>
        </w:rPr>
      </w:pPr>
      <w:r>
        <w:rPr>
          <w:rFonts w:ascii="Times New Roman" w:hAnsi="Times New Roman"/>
          <w:i/>
          <w:sz w:val="20"/>
        </w:rPr>
        <w:t>For a T. Rowe Price Investor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For a Baillie Gifford Investor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the address set forth on </w:t>
      </w:r>
      <w:r>
        <w:rPr>
          <w:rFonts w:ascii="Times New Roman" w:hAnsi="Times New Roman"/>
          <w:sz w:val="20"/>
          <w:u w:val="single"/>
        </w:rPr>
        <w:t>Schedule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not disclose Public Company Information to any T. Rowe Price Investor or Baillie Gifford Investor without written authorization from the applicable compliance personnel listed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will be permitted to disclose agreements entered into with Public Companies in the ordinary course of business, such as routine customer, supplier, advertising and publishing agreements without such written authorization.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Rights to Future Stock Issuances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Right of First Offer</w:t>
      </w:r>
      <w:r>
        <w:rPr>
          <w:rFonts w:ascii="Times New Roman" w:hAnsi="Times New Roman"/>
          <w:sz w:val="20"/>
        </w:rPr>
        <w:t xml:space="preserve">. Subject to the terms and conditions of this </w:t>
      </w:r>
      <w:r>
        <w:rPr>
          <w:rFonts w:ascii="Times New Roman" w:hAnsi="Times New Roman"/>
          <w:sz w:val="20"/>
          <w:u w:val="single"/>
        </w:rPr>
        <w:t>Section 4.1</w:t>
      </w:r>
      <w:r>
        <w:rPr>
          <w:rFonts w:ascii="Times New Roman" w:hAnsi="Times New Roman"/>
          <w:sz w:val="20"/>
        </w:rPr>
        <w:t xml:space="preserve"> and applicable securities laws, if the Company proposes to offer or sell any New Securities, the Company shall first offer such New Securities to each Major Investor. Each Major Investor shall be entitled to apportion among itself and its Affiliates the right of first offer hereby granted to it in such proportions as it deems appropriate; </w:t>
      </w:r>
      <w:r>
        <w:rPr>
          <w:rFonts w:ascii="Times New Roman" w:hAnsi="Times New Roman"/>
          <w:i/>
          <w:sz w:val="20"/>
        </w:rPr>
        <w:t>provided</w:t>
      </w:r>
      <w:r>
        <w:rPr>
          <w:rFonts w:ascii="Times New Roman" w:hAnsi="Times New Roman"/>
          <w:sz w:val="20"/>
        </w:rPr>
        <w:t xml:space="preserve">, that the parties acknowledge and agree that each of Blue Media, LLC, Gray Media, LLC and Keeks, LLC have assigned a portion of their respective rights of first offer hereunder to Novo in accordance with and subject to the terms of Section 4(a) of the Novo Side Letter. </w:t>
      </w:r>
    </w:p>
    <w:p>
      <w:pPr>
        <w:pStyle w:val="TextBody"/>
        <w:bidi w:val="0"/>
        <w:spacing w:before="120" w:after="0"/>
        <w:jc w:val="left"/>
        <w:rPr>
          <w:rFonts w:ascii="Times New Roman" w:hAnsi="Times New Roman"/>
          <w:sz w:val="20"/>
        </w:rPr>
      </w:pPr>
      <w:r>
        <w:rPr>
          <w:rFonts w:ascii="Times New Roman" w:hAnsi="Times New Roman"/>
          <w:sz w:val="20"/>
        </w:rPr>
        <w:t>(a) The Company shall give notice (the </w:t>
      </w:r>
      <w:r>
        <w:rPr>
          <w:rFonts w:ascii="Times New Roman" w:hAnsi="Times New Roman"/>
          <w:b/>
          <w:i/>
          <w:sz w:val="20"/>
        </w:rPr>
        <w:t>Offer Notice</w:t>
      </w:r>
      <w:r>
        <w:rPr>
          <w:rFonts w:ascii="Times New Roman" w:hAnsi="Times New Roman"/>
          <w:sz w:val="20"/>
        </w:rPr>
        <w:t xml:space="preserve">) to each Major Investor, stating (i) its bona fide intention to offer such New Securities, (ii) the number of such New Securities to be offered, and (iii) the price and terms, if any, upon which it proposes to offer such New Securities. </w:t>
      </w:r>
    </w:p>
    <w:p>
      <w:pPr>
        <w:pStyle w:val="TextBody"/>
        <w:bidi w:val="0"/>
        <w:spacing w:before="120" w:after="0"/>
        <w:jc w:val="left"/>
        <w:rPr>
          <w:rFonts w:ascii="Times New Roman" w:hAnsi="Times New Roman"/>
          <w:sz w:val="20"/>
        </w:rPr>
      </w:pPr>
      <w:r>
        <w:rPr>
          <w:rFonts w:ascii="Times New Roman" w:hAnsi="Times New Roman"/>
          <w:sz w:val="20"/>
        </w:rPr>
        <w:t>(b) 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shares of Common Stock (assuming the conversion, exercise and exchange of all Derivative Securities then held by such Major Investor) then held by such Major Investor bears to the total Common Stock of the Company then outstanding (assuming full conversion, exercise and/or exchange, as applicable, of all Preferred Stock and other Derivative Securities then outstanding) (</w:t>
      </w:r>
      <w:r>
        <w:rPr>
          <w:rFonts w:ascii="Times New Roman" w:hAnsi="Times New Roman"/>
          <w:b/>
          <w:i/>
          <w:sz w:val="20"/>
        </w:rPr>
        <w:t>Pro Rata Portion</w:t>
      </w:r>
      <w:r>
        <w:rPr>
          <w:rFonts w:ascii="Times New Roman" w:hAnsi="Times New Roman"/>
          <w:sz w:val="20"/>
        </w:rPr>
        <w:t>). At the expiration of such twenty (20) day period, the Company shall promptly notify each Major Investor that elects to purchase or acquire all the shares available to it (each, a </w:t>
      </w:r>
      <w:r>
        <w:rPr>
          <w:rFonts w:ascii="Times New Roman" w:hAnsi="Times New Roman"/>
          <w:b/>
          <w:i/>
          <w:sz w:val="20"/>
        </w:rPr>
        <w:t>Fully Exercising Investor</w:t>
      </w:r>
      <w:r>
        <w:rPr>
          <w:rFonts w:ascii="Times New Roman" w:hAnsi="Times New Roman"/>
          <w:sz w:val="20"/>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hAnsi="Times New Roman"/>
          <w:sz w:val="20"/>
          <w:u w:val="single"/>
        </w:rPr>
        <w:t>Section 4.1(b)</w:t>
      </w:r>
      <w:r>
        <w:rPr>
          <w:rFonts w:ascii="Times New Roman" w:hAnsi="Times New Roman"/>
          <w:sz w:val="20"/>
        </w:rPr>
        <w:t xml:space="preserve"> shall occur on or before the later of one hundred twenty (120) days after the date that the Offer Notice is given and the date of initial sale of New Securities pursuant to </w:t>
      </w:r>
      <w:r>
        <w:rPr>
          <w:rFonts w:ascii="Times New Roman" w:hAnsi="Times New Roman"/>
          <w:sz w:val="20"/>
          <w:u w:val="single"/>
        </w:rPr>
        <w:t>Section 4.1(c)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all New Securities referred to in the Offer Notice are not elected to be purchased or acquired as provided in </w:t>
      </w:r>
      <w:r>
        <w:rPr>
          <w:rFonts w:ascii="Times New Roman" w:hAnsi="Times New Roman"/>
          <w:sz w:val="20"/>
          <w:u w:val="single"/>
        </w:rPr>
        <w:t>Section 4.1(b)</w:t>
      </w:r>
      <w:r>
        <w:rPr>
          <w:rFonts w:ascii="Times New Roman" w:hAnsi="Times New Roman"/>
          <w:sz w:val="20"/>
        </w:rPr>
        <w:t xml:space="preserve">, the Company may, during the ninety (90) day period following the expiration of the thirty (30) day period provided in </w:t>
      </w:r>
      <w:r>
        <w:rPr>
          <w:rFonts w:ascii="Times New Roman" w:hAnsi="Times New Roman"/>
          <w:sz w:val="20"/>
          <w:u w:val="single"/>
        </w:rPr>
        <w:t>Section 4.1(b)</w:t>
      </w:r>
      <w:r>
        <w:rPr>
          <w:rFonts w:ascii="Times New Roman" w:hAnsi="Times New Roman"/>
          <w:sz w:val="20"/>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and the Common Holders in accordance with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right of first offer in this </w:t>
      </w:r>
      <w:r>
        <w:rPr>
          <w:rFonts w:ascii="Times New Roman" w:hAnsi="Times New Roman"/>
          <w:sz w:val="20"/>
          <w:u w:val="single"/>
        </w:rPr>
        <w:t>Section 4.1</w:t>
      </w:r>
      <w:r>
        <w:rPr>
          <w:rFonts w:ascii="Times New Roman" w:hAnsi="Times New Roman"/>
          <w:sz w:val="20"/>
        </w:rPr>
        <w:t xml:space="preserve"> shall not be applicable to (i) Exempted Securities (as defined in the Certificate), (ii) shares of Common Stock issued in the IPO and (iii) the issuance of shares of Series G-2 Preferred Stock to Additional Purchasers pursuant to Section 1.3 of the Series G-2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Termination</w:t>
      </w:r>
      <w:r>
        <w:rPr>
          <w:rFonts w:ascii="Times New Roman" w:hAnsi="Times New Roman"/>
          <w:sz w:val="20"/>
        </w:rPr>
        <w:t xml:space="preserve">. The covenants set forth in </w:t>
      </w:r>
      <w:r>
        <w:rPr>
          <w:rFonts w:ascii="Times New Roman" w:hAnsi="Times New Roman"/>
          <w:sz w:val="20"/>
          <w:u w:val="single"/>
        </w:rPr>
        <w:t>Section 4.1</w:t>
      </w:r>
      <w:r>
        <w:rPr>
          <w:rFonts w:ascii="Times New Roman" w:hAnsi="Times New Roman"/>
          <w:sz w:val="20"/>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Additional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Employee Agreements</w:t>
      </w:r>
      <w:r>
        <w:rPr>
          <w:rFonts w:ascii="Times New Roman" w:hAnsi="Times New Roman"/>
          <w:sz w:val="20"/>
        </w:rPr>
        <w:t xml:space="preserve">. The Company will cause each Person now or hereafter employed by it or by any subsidiary (or engaged by the Company or any subsidiary as a consultant/independent contractor) to enter into a nondisclosure and proprietary rights assignment agreement, which will provide that such person (i) except as limited by applicable law, is either an at-will employee or a consultant of the Company, as the case may be, (ii) will maintain all proprietary information of the Company in confidence, (iii) will assign to the Company all inventions created by such person as an employee or consultant during the term of such persons employment with or service to the Company, and (iv) will not disclose any information related to the Companys workforce and will not solicit any employees from the Company for a period of twelve months should such persons employment with or service to the Company be terminated for any reason.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Employee Stock</w:t>
      </w:r>
      <w:r>
        <w:rPr>
          <w:rFonts w:ascii="Times New Roman" w:hAnsi="Times New Roman"/>
          <w:sz w:val="20"/>
        </w:rPr>
        <w:t xml:space="preserve">. All grants of options to purchase capital stock, awards of shares of capital stock and grants of other equity incentive awards to the employees and consultants of the Company after the date hereof shall be approved by the Board of Directors. Unless otherwise approved by the Board of Directors, all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Times New Roman" w:hAnsi="Times New Roman"/>
          <w:sz w:val="20"/>
          <w:u w:val="single"/>
        </w:rPr>
        <w:t>Section 2.11</w:t>
      </w:r>
      <w:r>
        <w:rPr>
          <w:rFonts w:ascii="Times New Roman" w:hAnsi="Times New Roman"/>
          <w:sz w:val="20"/>
        </w:rPr>
        <w:t xml:space="preserve">. In addition, unless otherwise approved by the Board of Directors, the Company shall retain a right of first refusal on employee transfers until the consummation of the IPO and shall have the right to repurchase unvested shares at cost upon termination of employment of a holder of 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Board Matters</w:t>
      </w:r>
      <w:r>
        <w:rPr>
          <w:rFonts w:ascii="Times New Roman" w:hAnsi="Times New Roman"/>
          <w:sz w:val="20"/>
        </w:rPr>
        <w:t xml:space="preserve">. Unless otherwise determined by the vote of a majority of the non-employee directors then in office, the Board of Directors shall meet at least quarterly in accordance with an agreed-upon schedule. The Company shall reimburse all non-employee directors for their actual and reasonable out-of-pocket travel and other expenses incurred in attending meetings of the Board or any committee thereof. </w:t>
      </w:r>
    </w:p>
    <w:p>
      <w:pPr>
        <w:pStyle w:val="TextBody"/>
        <w:bidi w:val="0"/>
        <w:spacing w:before="12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Successor Indemnification</w:t>
      </w:r>
      <w:r>
        <w:rPr>
          <w:rFonts w:ascii="Times New Roman" w:hAnsi="Times New Roman"/>
          <w:sz w:val="20"/>
        </w:rPr>
        <w:t xml:space="preserve">.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or elsewhere,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Indemnification Matters</w:t>
      </w:r>
      <w:r>
        <w:rPr>
          <w:rFonts w:ascii="Times New Roman" w:hAnsi="Times New Roman"/>
          <w:sz w:val="20"/>
        </w:rPr>
        <w:t>. The Company hereby acknowledges that one (1) or more of the directors nominated to serve on the Board of Directors by the Investors (each a </w:t>
      </w:r>
      <w:r>
        <w:rPr>
          <w:rFonts w:ascii="Times New Roman" w:hAnsi="Times New Roman"/>
          <w:b/>
          <w:i/>
          <w:sz w:val="20"/>
        </w:rPr>
        <w:t>Fund Director</w:t>
      </w:r>
      <w:r>
        <w:rPr>
          <w:rFonts w:ascii="Times New Roman" w:hAnsi="Times New Roman"/>
          <w:sz w:val="20"/>
        </w:rPr>
        <w:t>) may have certain rights to indemnification, advancement of expenses and/or insurance provided by one or more of the Investors and certain of their affiliates (collectively, the </w:t>
      </w:r>
      <w:r>
        <w:rPr>
          <w:rFonts w:ascii="Times New Roman" w:hAnsi="Times New Roman"/>
          <w:b/>
          <w:i/>
          <w:sz w:val="20"/>
        </w:rPr>
        <w:t>Fund Indemnitors</w:t>
      </w:r>
      <w:r>
        <w:rPr>
          <w:rFonts w:ascii="Times New Roman" w:hAnsi="Times New Roman"/>
          <w:sz w:val="20"/>
        </w:rPr>
        <w:t>). The Company hereby agrees (a) that it is the indemnitor of first resort (</w:t>
      </w:r>
      <w:r>
        <w:rPr>
          <w:rFonts w:ascii="Times New Roman" w:hAnsi="Times New Roman"/>
          <w:i/>
          <w:sz w:val="20"/>
        </w:rPr>
        <w:t>i.e.</w:t>
      </w:r>
      <w:r>
        <w:rPr>
          <w:rFonts w:ascii="Times New Roman" w:hAnsi="Times New Roman"/>
          <w:sz w:val="20"/>
        </w:rPr>
        <w:t xml:space="preserv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 </w:t>
      </w:r>
    </w:p>
    <w:p>
      <w:pPr>
        <w:pStyle w:val="TextBody"/>
        <w:bidi w:val="0"/>
        <w:spacing w:before="12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Right to Conduct Activities</w:t>
      </w:r>
      <w:r>
        <w:rPr>
          <w:rFonts w:ascii="Times New Roman" w:hAnsi="Times New Roman"/>
          <w:sz w:val="20"/>
        </w:rPr>
        <w:t xml:space="preserve">. The Company hereby agrees and acknowledges that Lightbank, NEA, Revolution, the T. Rowe Price Investors, the Baillie Gifford Investors and Google LLC invest in numerous companies, some of which may be deemed competitive with the Companys business (as currently conducted or as currently propose to be conducted). The Company hereby agrees that, to the extent permitted under applicable law, Lightbank, NEA, Revolution, the T. Rowe Price Investors, the Baillie Gifford Investors and Google LLC shall not be liable to the Company for any claim arising out of, or based upon,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investment or acquisition by Lightbank, NEA, Revolution, the T. Rowe Price Investors, the Baillie Gifford Investors, Google LLC or any of their respective Affiliates, in any entity competitive with the Company, or (ii) actions taken by any director, officer, stockholder or other representative of Lightbank, NEA, Revolution, the T. Rowe Price Investors, the Baillie Gifford Investors and Google LLC or any of their respective Affiliates, to assist any such competitive company, whether or not such action was taken as a member of the board of directors of such competitive company or otherwise, and whether or not such action has a detrimental effect on the Company; </w:t>
      </w:r>
      <w:r>
        <w:rPr>
          <w:rFonts w:ascii="Times New Roman" w:hAnsi="Times New Roman"/>
          <w:i/>
          <w:sz w:val="20"/>
        </w:rPr>
        <w:t>provided, however</w:t>
      </w:r>
      <w:r>
        <w:rPr>
          <w:rFonts w:ascii="Times New Roman" w:hAnsi="Times New Roman"/>
          <w:sz w:val="20"/>
        </w:rPr>
        <w:t xml:space="preserve">,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Insurance</w:t>
      </w:r>
      <w:r>
        <w:rPr>
          <w:rFonts w:ascii="Times New Roman" w:hAnsi="Times New Roman"/>
          <w:sz w:val="20"/>
        </w:rPr>
        <w:t xml:space="preserve">. The Company shall use its commercially reasonable efforts to maintain Directors and Officers liability insurance from a financially sound and reputable insurer in an amount and on terms and conditions satisfactory to the Board of Directors, until such time as the Board of Directors determines that such insurance should be discontinued. In addition, in the event that the Board of Directors determines that the Company should obtain term key-person insurance on Eric Lefkofsky, the Company shall use its commercially reasonable efforts to obtain and maintain such insurance from a financially sound and reputable insurer in an amount and on terms and conditions satisfactory to the Board of Directors, until such time as the Board of Directors, determines that such insurance should be discontinued. The key-person policy shall name the Company as loss payee, and neither policy shall be cancelable by the Company without prior approval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FIRPTA Compliance</w:t>
      </w:r>
      <w:r>
        <w:rPr>
          <w:rFonts w:ascii="Times New Roman" w:hAnsi="Times New Roman"/>
          <w:sz w:val="20"/>
        </w:rPr>
        <w:t xml:space="preserve">. The Company shall provide prompt notice to NEA following any determination date (as defined in Treasury Regulation Section 1.897-2(c)(1)) on which the Company becomes a United States real property holding corporation. In addition, upon a written request by NEA made at reasonable intervals, the Company shall provide NEA with a written statement informing NEA whether NEAs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written statement to NEA shall be delivered to NEA within 10 days of NEAs written request therefor. The Companys obligation to furnish such written statement shall continue notwithstanding the fact that a class of the Companys stock may be regularly traded on an established securities market or the fact that there is no preferred stock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Matters Requiring Investor Director Approval</w:t>
      </w:r>
      <w:r>
        <w:rPr>
          <w:rFonts w:ascii="Times New Roman" w:hAnsi="Times New Roman"/>
          <w:sz w:val="20"/>
        </w:rPr>
        <w:t xml:space="preserve">. So long as the holders of Series C Preferred Stock are entitled to elect a Series C Director, the Company hereby covenants and agrees with each of the Investors that it shall not, without approval of the Board of Directors, enter into or be a party to any transaction with any director, officer, or Affiliate of the Company or any associate (as defined in Rule 12b-2 promulgated under the Exchange Act) of any such Person, except for transactions contemplated by this Agreement, the Purchase Agreement, and transactions entered into in the ordinary course of business pursuant to reasonable requirements of the Companys business and upon fair and reasonable terms approved by a majority of the disinterested members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Termination of Covenants</w:t>
      </w:r>
      <w:r>
        <w:rPr>
          <w:rFonts w:ascii="Times New Roman" w:hAnsi="Times New Roman"/>
          <w:sz w:val="20"/>
        </w:rPr>
        <w:t xml:space="preserve">. The covenants set forth in this </w:t>
      </w:r>
      <w:r>
        <w:rPr>
          <w:rFonts w:ascii="Times New Roman" w:hAnsi="Times New Roman"/>
          <w:sz w:val="20"/>
          <w:u w:val="single"/>
        </w:rPr>
        <w:t>Section 5</w:t>
      </w:r>
      <w:r>
        <w:rPr>
          <w:rFonts w:ascii="Times New Roman" w:hAnsi="Times New Roman"/>
          <w:sz w:val="20"/>
        </w:rPr>
        <w:t xml:space="preserve">, except for </w:t>
      </w:r>
      <w:r>
        <w:rPr>
          <w:rFonts w:ascii="Times New Roman" w:hAnsi="Times New Roman"/>
          <w:sz w:val="20"/>
          <w:u w:val="single"/>
        </w:rPr>
        <w:t>Sections 5.4</w:t>
      </w:r>
      <w:r>
        <w:rPr>
          <w:rFonts w:ascii="Times New Roman" w:hAnsi="Times New Roman"/>
          <w:sz w:val="20"/>
        </w:rPr>
        <w:t xml:space="preserve"> through </w:t>
      </w:r>
      <w:r>
        <w:rPr>
          <w:rFonts w:ascii="Times New Roman" w:hAnsi="Times New Roman"/>
          <w:sz w:val="20"/>
          <w:u w:val="single"/>
        </w:rPr>
        <w:t>5.8</w:t>
      </w:r>
      <w:r>
        <w:rPr>
          <w:rFonts w:ascii="Times New Roman" w:hAnsi="Times New Roman"/>
          <w:sz w:val="20"/>
        </w:rPr>
        <w:t xml:space="preserve">,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whichever event occurs first.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Successors and Assigns</w:t>
      </w:r>
      <w:r>
        <w:rPr>
          <w:rFonts w:ascii="Times New Roman" w:hAnsi="Times New Roman"/>
          <w:sz w:val="20"/>
        </w:rPr>
        <w:t xml:space="preserve">. The rights under this Agreement may be assigned (but only with all related obligations) by a Holder to a transferee of Registrable Securities that (a) is an Affiliate, partner or member of a Holder, (b) is a Holders Immediate Family Member or trust for the benefit of an individual Holder or one or more of such Holders Immediate Family Members or (c) after such transfer, holds at least 1,000,000 shares of Registrable Securities (subject to appropriate adjustment for stock splits, stock dividends, combinations, and other recapitalizations) or, if less, all of the Registrable Securities held by such Holder; </w:t>
      </w:r>
      <w:r>
        <w:rPr>
          <w:rFonts w:ascii="Times New Roman" w:hAnsi="Times New Roman"/>
          <w:i/>
          <w:sz w:val="20"/>
        </w:rPr>
        <w:t>provided, however</w:t>
      </w:r>
      <w:r>
        <w:rPr>
          <w:rFonts w:ascii="Times New Roman" w:hAnsi="Times New Roman"/>
          <w:sz w:val="20"/>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hAnsi="Times New Roman"/>
          <w:sz w:val="20"/>
          <w:u w:val="single"/>
        </w:rPr>
        <w:t>Section 2.11</w:t>
      </w:r>
      <w:r>
        <w:rPr>
          <w:rFonts w:ascii="Times New Roman" w:hAnsi="Times New Roman"/>
          <w:sz w:val="20"/>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Times New Roman" w:hAnsi="Times New Roman"/>
          <w:i/>
          <w:sz w:val="20"/>
        </w:rPr>
        <w:t>provided, further</w:t>
      </w:r>
      <w:r>
        <w:rPr>
          <w:rFonts w:ascii="Times New Roman" w:hAnsi="Times New Roman"/>
          <w:sz w:val="20"/>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Governing Law</w:t>
      </w:r>
      <w:r>
        <w:rPr>
          <w:rFonts w:ascii="Times New Roman" w:hAnsi="Times New Roman"/>
          <w:sz w:val="20"/>
        </w:rPr>
        <w:t xml:space="preserve">.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Counterparts.</w:t>
      </w:r>
      <w:r>
        <w:rPr>
          <w:rFonts w:ascii="Times New Roman" w:hAnsi="Times New Roman"/>
          <w:sz w:val="20"/>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Times New Roman" w:hAnsi="Times New Roman"/>
          <w:i/>
          <w:sz w:val="20"/>
        </w:rPr>
        <w:t>e.g.</w:t>
      </w:r>
      <w:r>
        <w:rPr>
          <w:rFonts w:ascii="Times New Roman" w:hAnsi="Times New Roman"/>
          <w:sz w:val="20"/>
        </w:rPr>
        <w:t>, www.docusign.com) or other transmission method and any counterpart so delivered shall be deemed to have been duly and validly delivered and be valid and effective for all purposes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Interpretation</w:t>
      </w:r>
      <w:r>
        <w:rPr>
          <w:rFonts w:ascii="Times New Roman" w:hAnsi="Times New Roman"/>
          <w:sz w:val="20"/>
        </w:rPr>
        <w:t xml:space="preserve">. When a reference is made in this Agreement to a Section, Article or Exhibit such reference shall be to a Section, Article or Exhibit of this Agreement unless otherwise indicated. The table of contents and headings contained in this Agreement or in any Exhibit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but not otherwise defined therein shall have the meaning as defined in this Agreement. All Exhibits annexed hereto or referred to herein are hereby incorporated in and made a part of this Agreement as if set forth herein. The word including and words of similar import when used in this Agreement will mean including, without limitation, unless otherwise specified.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Notices; Consent to Electronic Notice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notices and other communications hereunder shall be in writing and shall be deemed effectively given upon the earlier of actual receipt or: (a) personal delivery to the party to be notified; (b) when sent, if sent by electronic mail or facsimile during the recipients normal business hours, and if not sent during normal business hours, then on the recipients next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notice by the Company sent by facsimile only shall be deemed effective or delivered to the Baillie Gifford Investors or Google LLC, regardless of confirmation or receipt; (c) five (5) days after having been sent by registered or certified mail, return receipt requested, postage prepaid; or (d)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Times New Roman" w:hAnsi="Times New Roman"/>
          <w:sz w:val="20"/>
          <w:u w:val="single"/>
        </w:rPr>
        <w:t>Schedule A</w:t>
      </w:r>
      <w:r>
        <w:rPr>
          <w:rFonts w:ascii="Times New Roman" w:hAnsi="Times New Roman"/>
          <w:sz w:val="20"/>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hAnsi="Times New Roman"/>
          <w:sz w:val="20"/>
          <w:u w:val="single"/>
        </w:rPr>
        <w:t>Section 6.5</w:t>
      </w:r>
      <w:r>
        <w:rPr>
          <w:rFonts w:ascii="Times New Roman" w:hAnsi="Times New Roman"/>
          <w:sz w:val="20"/>
        </w:rPr>
        <w:t>. If notice is given to the Company, a copy (which shall not constitute notice) shall also be sent to Winston &amp; Strawn, LLP, 35 West Wacker Drive, Chicago, IL 60601, Attention: Richard Ginsberg (</w:t>
      </w:r>
      <w:r>
        <w:rPr>
          <w:rFonts w:ascii="Times New Roman" w:hAnsi="Times New Roman"/>
          <w:sz w:val="20"/>
          <w:u w:val="single"/>
        </w:rPr>
        <w:t>rginsberg@winston.com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Each Investor consents to the delivery of any stockholder notice pursuant to the Delaware General Corporation Law (the </w:t>
      </w:r>
      <w:r>
        <w:rPr>
          <w:rFonts w:ascii="Times New Roman" w:hAnsi="Times New Roman"/>
          <w:b/>
          <w:i/>
          <w:sz w:val="20"/>
        </w:rPr>
        <w:t>DGCL</w:t>
      </w:r>
      <w:r>
        <w:rPr>
          <w:rFonts w:ascii="Times New Roman" w:hAnsi="Times New Roman"/>
          <w:sz w:val="20"/>
        </w:rPr>
        <w:t xml:space="preserve">), as amended or superseded from time to time, by electronic transmission pursuant to Section 232 of the DGCL (or any successor thereto) at the electronic mail address or the facsimile number as on the books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notice by the Company sent by facsimile only shall be deemed effective or delivered to the Baillie Gifford Investors or Google LLC, regardless of confirmation or receipt. Each Investor agrees to promptly notify the Company of any change in such stockholders electronic mail address, and that failure to do so shall not affect the foregoing. </w:t>
      </w:r>
    </w:p>
    <w:p>
      <w:pPr>
        <w:pStyle w:val="TextBody"/>
        <w:bidi w:val="0"/>
        <w:spacing w:before="12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Any term of this Agreement may be amended, modified or terminated and the observance of any term of this Agreement may be waived (either generally or in a particular instance, and either retroactively or prospectively) only with the written consent of (i) the Company, (ii) the Common Holders and the Investors then holding a majority of the Voting Common Stock and Preferred Stock (voting together as a single class as measured on the basis of voting power set forth in the Restated Certificate), (iii) the Investors then holding a majority of the shares of Series A Preferred Stock, Series B Preferred Stock, Series B-1 Preferred Stock, and Series B-2 Preferred Stock, voting together as a single class as measured on the basis of voting power set forth in this Restated Certificate, if such amendment, modification, termination or waiver would adversely affect the powers, preferences or rights of such series of Preferred Stock set forth herein (</w:t>
      </w:r>
      <w:r>
        <w:rPr>
          <w:rFonts w:ascii="Times New Roman" w:hAnsi="Times New Roman"/>
          <w:i/>
          <w:sz w:val="20"/>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powers, preferences or rights of such series of Preferred Stock held by such Investor, or the granting to purchasers of such shares rights senior to or </w:t>
      </w:r>
      <w:r>
        <w:rPr>
          <w:rFonts w:ascii="Times New Roman" w:hAnsi="Times New Roman"/>
          <w:i/>
          <w:sz w:val="20"/>
        </w:rPr>
        <w:t>pari passu</w:t>
      </w:r>
      <w:r>
        <w:rPr>
          <w:rFonts w:ascii="Times New Roman" w:hAnsi="Times New Roman"/>
          <w:sz w:val="20"/>
        </w:rPr>
        <w:t xml:space="preserve"> with the powers, preferences or rights of such series of Preferred Stock held by such holders, shall not be deemed to adversely affect the rights or obligations of such holders), (iv) the Investors then holding at least sixty percent (60%) of the shares of Common Stock issued or issuable upon conversion of the Series C Preferred Stock, voting as a separate class, if such amendment, modification, termination or waiver would adversely affect the rights or obligations of the Investors holding Common Stock issued or issuable upon conversion of the Series C Preferred Stock set forth herein (</w:t>
      </w:r>
      <w:r>
        <w:rPr>
          <w:rFonts w:ascii="Times New Roman" w:hAnsi="Times New Roman"/>
          <w:i/>
          <w:sz w:val="20"/>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powers, preferences or rights of the Series C Preferred Stock held by such Investors, or the granting to purchasers of such shares rights senior to or </w:t>
      </w:r>
      <w:r>
        <w:rPr>
          <w:rFonts w:ascii="Times New Roman" w:hAnsi="Times New Roman"/>
          <w:i/>
          <w:sz w:val="20"/>
        </w:rPr>
        <w:t>pari passu</w:t>
      </w:r>
      <w:r>
        <w:rPr>
          <w:rFonts w:ascii="Times New Roman" w:hAnsi="Times New Roman"/>
          <w:sz w:val="20"/>
        </w:rPr>
        <w:t xml:space="preserve"> with the powers, preferences or rights of the Series C Preferred Stock held by such Investors, shall not be deemed to adversely affect the rights or obligations of such Investors), (v) the Investors then holding at least sixty percent (60%) of the shares of Common Stock issued or issuable upon conversion of the Series D Preferred Stock, voting as a separate class, if such amendment, modification, termination or waiver would adversely affect the rights or obligations of the Investors holding Common Stock issued or issuable upon conversion of the Series D Preferred Stock set forth herein (</w:t>
      </w:r>
      <w:r>
        <w:rPr>
          <w:rFonts w:ascii="Times New Roman" w:hAnsi="Times New Roman"/>
          <w:i/>
          <w:sz w:val="20"/>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powers, preferences or rights of the Series D Preferred Stock held by such Investors, or the granting to purchasers of such shares rights senior to or </w:t>
      </w:r>
      <w:r>
        <w:rPr>
          <w:rFonts w:ascii="Times New Roman" w:hAnsi="Times New Roman"/>
          <w:i/>
          <w:sz w:val="20"/>
        </w:rPr>
        <w:t>pari passu</w:t>
      </w:r>
      <w:r>
        <w:rPr>
          <w:rFonts w:ascii="Times New Roman" w:hAnsi="Times New Roman"/>
          <w:sz w:val="20"/>
        </w:rPr>
        <w:t xml:space="preserve"> with the powers, preferences or rights of the Series D Preferred Stock held by such Investors, shall not be deemed to adversely affect the rights or obligations of such Investors), (vi) the Investors then holding a majority of the shares of Common Stock issued or issuable upon conversion of the Series E Preferred Stock, voting as a separate class, if such amendment, modification, termination or waiver would adversely affect the rights or obligations of the Investors holding Common Stock issued or issuable upon conversion of the Series E Preferred Stock set forth herein (</w:t>
      </w:r>
      <w:r>
        <w:rPr>
          <w:rFonts w:ascii="Times New Roman" w:hAnsi="Times New Roman"/>
          <w:i/>
          <w:sz w:val="20"/>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powers, preferences or rights of the Series E Preferred Stock held by such Investors, or the granting to purchasers of such shares rights senior to or </w:t>
      </w:r>
      <w:r>
        <w:rPr>
          <w:rFonts w:ascii="Times New Roman" w:hAnsi="Times New Roman"/>
          <w:i/>
          <w:sz w:val="20"/>
        </w:rPr>
        <w:t>pari passu</w:t>
      </w:r>
      <w:r>
        <w:rPr>
          <w:rFonts w:ascii="Times New Roman" w:hAnsi="Times New Roman"/>
          <w:sz w:val="20"/>
        </w:rPr>
        <w:t xml:space="preserve"> with the powers, preferences or rights of the Series E Preferred Stock held by such Investors, shall not be deemed to adversely affect the rights or obligations of such Investors), (vii) the Investors then holding a majority of the shares of Common Stock issued or issuable upon conversion of the Series F Preferred Stock, voting as a separate class, if such amendment, modification, termination or waiver would adversely affect the rights or obligations of the Investors holding Common Stock issued or issuable upon conversion of the Series F Preferred Stock set forth herein (</w:t>
      </w:r>
      <w:r>
        <w:rPr>
          <w:rFonts w:ascii="Times New Roman" w:hAnsi="Times New Roman"/>
          <w:i/>
          <w:sz w:val="20"/>
        </w:rPr>
        <w:t>provided</w:t>
      </w:r>
      <w:r>
        <w:rPr>
          <w:rFonts w:ascii="Times New Roman" w:hAnsi="Times New Roman"/>
          <w:sz w:val="20"/>
        </w:rPr>
        <w:t xml:space="preserve">, that for the avoidance of doubt, the creation, authorization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issuance of any shares of preferred stock with rights senior to or </w:t>
      </w:r>
      <w:r>
        <w:rPr>
          <w:rFonts w:ascii="Times New Roman" w:hAnsi="Times New Roman"/>
          <w:i/>
          <w:sz w:val="20"/>
        </w:rPr>
        <w:t>pari passu</w:t>
      </w:r>
      <w:r>
        <w:rPr>
          <w:rFonts w:ascii="Times New Roman" w:hAnsi="Times New Roman"/>
          <w:sz w:val="20"/>
        </w:rPr>
        <w:t xml:space="preserve"> with the powers, preferences or rights of the Series F Preferred Stock held by such Investors, or the granting to purchasers of such shares rights senior to or </w:t>
      </w:r>
      <w:r>
        <w:rPr>
          <w:rFonts w:ascii="Times New Roman" w:hAnsi="Times New Roman"/>
          <w:i/>
          <w:sz w:val="20"/>
        </w:rPr>
        <w:t>pari passu</w:t>
      </w:r>
      <w:r>
        <w:rPr>
          <w:rFonts w:ascii="Times New Roman" w:hAnsi="Times New Roman"/>
          <w:sz w:val="20"/>
        </w:rPr>
        <w:t xml:space="preserve"> with the powers, preferences or rights of the Series F Preferred Stock held by such Investors, shall not be deemed to adversely affect the rights or obligations of such Investors), (viii) the Investors then holding a majority of the shares of Common Stock issued or issuable upon conversion of the Series G Preferred Stock, voting as a separate class, if such amendment, modification, termination or waiver would adversely affect the rights or obligations of the Investors holding Common Stock issued or issuable upon conversion of the Series G Preferred Stock set forth herein (</w:t>
      </w:r>
      <w:r>
        <w:rPr>
          <w:rFonts w:ascii="Times New Roman" w:hAnsi="Times New Roman"/>
          <w:i/>
          <w:sz w:val="20"/>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powers, preferences or rights of the Series G Preferred Stock held by such Investors, or the granting to purchasers of such shares rights senior to or </w:t>
      </w:r>
      <w:r>
        <w:rPr>
          <w:rFonts w:ascii="Times New Roman" w:hAnsi="Times New Roman"/>
          <w:i/>
          <w:sz w:val="20"/>
        </w:rPr>
        <w:t>pari passu</w:t>
      </w:r>
      <w:r>
        <w:rPr>
          <w:rFonts w:ascii="Times New Roman" w:hAnsi="Times New Roman"/>
          <w:sz w:val="20"/>
        </w:rPr>
        <w:t xml:space="preserve"> with the powers, preferences or rights of the Series G Preferred Stock held by such Investors, shall not be deemed to adversely affect the rights or obligations of such Investors), and (ix) the Investors then holding a majority of the shares of Common Stock issued or issuable upon conversion of the Series G-2 Preferred Stock, voting as a separate class, if such amendment, modification, termination or waiver would adversely affect the rights or obligations of the Investors holding Common Stock issued or issuable upon conversion of the Series G-2 Preferred Stock set forth herein (</w:t>
      </w:r>
      <w:r>
        <w:rPr>
          <w:rFonts w:ascii="Times New Roman" w:hAnsi="Times New Roman"/>
          <w:i/>
          <w:sz w:val="20"/>
        </w:rPr>
        <w:t>provided</w:t>
      </w:r>
      <w:r>
        <w:rPr>
          <w:rFonts w:ascii="Times New Roman" w:hAnsi="Times New Roman"/>
          <w:sz w:val="20"/>
        </w:rPr>
        <w:t xml:space="preserve">, that for the avoidance of doubt, the creation, authorization or issuance of any shares of preferred stock with rights senior to or </w:t>
      </w:r>
      <w:r>
        <w:rPr>
          <w:rFonts w:ascii="Times New Roman" w:hAnsi="Times New Roman"/>
          <w:i/>
          <w:sz w:val="20"/>
        </w:rPr>
        <w:t>pari passu</w:t>
      </w:r>
      <w:r>
        <w:rPr>
          <w:rFonts w:ascii="Times New Roman" w:hAnsi="Times New Roman"/>
          <w:sz w:val="20"/>
        </w:rPr>
        <w:t xml:space="preserve"> with the powers, preferences or rights of the Series G-2 Preferred Stock held by such Investors, or the granting to purchasers of such shares rights senior to or </w:t>
      </w:r>
      <w:r>
        <w:rPr>
          <w:rFonts w:ascii="Times New Roman" w:hAnsi="Times New Roman"/>
          <w:i/>
          <w:sz w:val="20"/>
        </w:rPr>
        <w:t>pari passu</w:t>
      </w:r>
      <w:r>
        <w:rPr>
          <w:rFonts w:ascii="Times New Roman" w:hAnsi="Times New Roman"/>
          <w:sz w:val="20"/>
        </w:rPr>
        <w:t xml:space="preserve"> with the powers, preferences or rights of the Series G-2 Preferred Stock held by such Investors, shall not be deemed to adversely affect the rights or obligations of such Investors); </w:t>
      </w:r>
      <w:r>
        <w:rPr>
          <w:rFonts w:ascii="Times New Roman" w:hAnsi="Times New Roman"/>
          <w:i/>
          <w:sz w:val="20"/>
        </w:rPr>
        <w:t>provided</w:t>
      </w:r>
      <w:r>
        <w:rPr>
          <w:rFonts w:ascii="Times New Roman" w:hAnsi="Times New Roman"/>
          <w:sz w:val="20"/>
        </w:rPr>
        <w:t>, that (i)</w:t>
      </w:r>
      <w:r>
        <w:rPr>
          <w:rFonts w:ascii="Times New Roman" w:hAnsi="Times New Roman"/>
          <w:sz w:val="20"/>
          <w:u w:val="single"/>
        </w:rPr>
        <w:t> Sections 2.11</w:t>
      </w:r>
      <w:r>
        <w:rPr>
          <w:rFonts w:ascii="Times New Roman" w:hAnsi="Times New Roman"/>
          <w:sz w:val="20"/>
        </w:rPr>
        <w:t xml:space="preserve">, </w:t>
      </w:r>
      <w:r>
        <w:rPr>
          <w:rFonts w:ascii="Times New Roman" w:hAnsi="Times New Roman"/>
          <w:sz w:val="20"/>
          <w:u w:val="single"/>
        </w:rPr>
        <w:t>3.1</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and </w:t>
      </w:r>
      <w:r>
        <w:rPr>
          <w:rFonts w:ascii="Times New Roman" w:hAnsi="Times New Roman"/>
          <w:sz w:val="20"/>
          <w:u w:val="single"/>
        </w:rPr>
        <w:t>3.4</w:t>
      </w:r>
      <w:r>
        <w:rPr>
          <w:rFonts w:ascii="Times New Roman" w:hAnsi="Times New Roman"/>
          <w:sz w:val="20"/>
        </w:rPr>
        <w:t xml:space="preserve"> shall not be modified, supplemented, amended or waived, in whole or in part, (A) in a manner that adversely affects the T. Rowe Price Investors, without the prior written consent of the T. Rowe Price Investors holding a majority of the Registable Securities held by all T. Rowe Price Investors or (B) in a manner that adversely affects the Baillie Gifford Investors, without the prior written consent of the Baillie Gifford Investors holding a majority of the Registable Securities held by all Baillie Gifford Investors, and (ii) the Company may in its sole discretion waive compliance with </w:t>
      </w:r>
      <w:r>
        <w:rPr>
          <w:rFonts w:ascii="Times New Roman" w:hAnsi="Times New Roman"/>
          <w:sz w:val="20"/>
          <w:u w:val="single"/>
        </w:rPr>
        <w:t>Section 2.12(c)</w:t>
      </w:r>
      <w:r>
        <w:rPr>
          <w:rFonts w:ascii="Times New Roman" w:hAnsi="Times New Roman"/>
          <w:sz w:val="20"/>
        </w:rPr>
        <w:t xml:space="preserve"> (and the Companys failure to object promptly in writing after notification of a proposed assignment allegedly in violation of </w:t>
      </w:r>
      <w:r>
        <w:rPr>
          <w:rFonts w:ascii="Times New Roman" w:hAnsi="Times New Roman"/>
          <w:sz w:val="20"/>
          <w:u w:val="single"/>
        </w:rPr>
        <w:t>Section 2.12(c)</w:t>
      </w:r>
      <w:r>
        <w:rPr>
          <w:rFonts w:ascii="Times New Roman" w:hAnsi="Times New Roman"/>
          <w:sz w:val="20"/>
        </w:rPr>
        <w:t xml:space="preserve"> shall be deemed to be a waiver); </w:t>
      </w:r>
      <w:r>
        <w:rPr>
          <w:rFonts w:ascii="Times New Roman" w:hAnsi="Times New Roman"/>
          <w:i/>
          <w:sz w:val="20"/>
        </w:rPr>
        <w:t>provided, further</w:t>
      </w:r>
      <w:r>
        <w:rPr>
          <w:rFonts w:ascii="Times New Roman" w:hAnsi="Times New Roman"/>
          <w:sz w:val="20"/>
        </w:rPr>
        <w:t xml:space="preserve">, that any provision hereof may be waived by any waiving party on such partys own behalf, without the consent of any other party. Notwithstanding the foregoing, the provisions of </w:t>
      </w:r>
      <w:r>
        <w:rPr>
          <w:rFonts w:ascii="Times New Roman" w:hAnsi="Times New Roman"/>
          <w:sz w:val="20"/>
          <w:u w:val="single"/>
        </w:rPr>
        <w:t>Section 4.1</w:t>
      </w:r>
      <w:r>
        <w:rPr>
          <w:rFonts w:ascii="Times New Roman" w:hAnsi="Times New Roman"/>
          <w:sz w:val="20"/>
        </w:rPr>
        <w:t xml:space="preserve"> may not be amended, modified, terminated or waived without the written consent of the holders of a majority of the Preferred Stock then outstanding and held by the Major Investors (it being agreed that a waiver of the provisions of </w:t>
      </w:r>
      <w:r>
        <w:rPr>
          <w:rFonts w:ascii="Times New Roman" w:hAnsi="Times New Roman"/>
          <w:sz w:val="20"/>
          <w:u w:val="single"/>
        </w:rPr>
        <w:t>Section 4.1</w:t>
      </w:r>
      <w:r>
        <w:rPr>
          <w:rFonts w:ascii="Times New Roman" w:hAnsi="Times New Roman"/>
          <w:sz w:val="20"/>
        </w:rPr>
        <w:t xml:space="preserve"> with respect to a particular transaction shall be deemed to apply to all Major Investors in the same fashion if such waiver does so by its terms, notwithstanding the fact that certain Major Investors may nonetheless, by agreement with the Company, purchase securities in such transaction); </w:t>
      </w:r>
      <w:r>
        <w:rPr>
          <w:rFonts w:ascii="Times New Roman" w:hAnsi="Times New Roman"/>
          <w:i/>
          <w:sz w:val="20"/>
        </w:rPr>
        <w:t>provided</w:t>
      </w:r>
      <w:r>
        <w:rPr>
          <w:rFonts w:ascii="Times New Roman" w:hAnsi="Times New Roman"/>
          <w:sz w:val="20"/>
        </w:rPr>
        <w:t xml:space="preserve">, that the proviso in the second sentence of </w:t>
      </w:r>
      <w:r>
        <w:rPr>
          <w:rFonts w:ascii="Times New Roman" w:hAnsi="Times New Roman"/>
          <w:sz w:val="20"/>
          <w:u w:val="single"/>
        </w:rPr>
        <w:t>Section 4.1</w:t>
      </w:r>
      <w:r>
        <w:rPr>
          <w:rFonts w:ascii="Times New Roman" w:hAnsi="Times New Roman"/>
          <w:sz w:val="20"/>
        </w:rPr>
        <w:t xml:space="preserve"> shall not be modified, supplemented, amended or waived, in whole or in part, without the prior written consent of Novo. Notwithstanding anything to the contrary herein, no amendment or waiver that adversely affects any Investor in a manner disproportionate to any adverse effect such amendment or waiver would have on the rights or obligations of the other Investors holding the same series of Preferred Stock shall be effective against such Investor without such Investors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hAnsi="Times New Roman"/>
          <w:sz w:val="20"/>
          <w:u w:val="single"/>
        </w:rPr>
        <w:t>Section 6.6</w:t>
      </w:r>
      <w:r>
        <w:rPr>
          <w:rFonts w:ascii="Times New Roman" w:hAnsi="Times New Roman"/>
          <w:sz w:val="20"/>
        </w:rPr>
        <w:t xml:space="preserve"> shall be binding on all parties hereto, regardless of whether any such party has executed such consent or instrument or otherwise consented thereto. No waivers of or exceptions to any term, condition, or provision of this Agreement, in any one or more instances, shall be deemed to be or construed as a further or continuing waiver of any such term, condition, or provision. </w:t>
      </w:r>
    </w:p>
    <w:p>
      <w:pPr>
        <w:pStyle w:val="TextBody"/>
        <w:bidi w:val="0"/>
        <w:spacing w:before="12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Severability</w:t>
      </w:r>
      <w:r>
        <w:rPr>
          <w:rFonts w:ascii="Times New Roman" w:hAnsi="Times New Roman"/>
          <w:sz w:val="20"/>
        </w:rPr>
        <w:t xml:space="preserve">.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Aggregation of Stock</w:t>
      </w:r>
      <w:r>
        <w:rPr>
          <w:rFonts w:ascii="Times New Roman" w:hAnsi="Times New Roman"/>
          <w:sz w:val="20"/>
        </w:rPr>
        <w:t xml:space="preserve">.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 </w:t>
      </w:r>
    </w:p>
    <w:p>
      <w:pPr>
        <w:pStyle w:val="TextBody"/>
        <w:bidi w:val="0"/>
        <w:spacing w:before="12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Entire Agreement</w:t>
      </w:r>
      <w:r>
        <w:rPr>
          <w:rFonts w:ascii="Times New Roman" w:hAnsi="Times New Roman"/>
          <w:sz w:val="20"/>
        </w:rPr>
        <w:t xml:space="preserve">. This Agreement (including any Schedules and Exhibits hereto) constitutes the full and entire understanding and agreement among the parties with respect to the subject matter hereof. This Agreement supersedes all prior written agreements, arrangements, communications and understandings, and all prior and contemporaneous oral agreements, arrangements, communications and understandings between the parties with respect to the subject matter hereof, including without limitation, the Prior Agreement. </w:t>
      </w:r>
    </w:p>
    <w:p>
      <w:pPr>
        <w:pStyle w:val="TextBody"/>
        <w:bidi w:val="0"/>
        <w:spacing w:before="12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Dispute Resolution</w:t>
      </w:r>
      <w:r>
        <w:rPr>
          <w:rFonts w:ascii="Times New Roman" w:hAnsi="Times New Roman"/>
          <w:sz w:val="20"/>
        </w:rPr>
        <w:t xml:space="preserve">. The parties (a) hereby irrevocably and unconditionally submit to the jurisdiction of the state courts of Delaware and to the jurisdiction of any United States District Court in the state of Delaware for the purpose of any suit, action or other proceeding arising out of or based upon this Agreement, (b) agree not to commence any suit, action or other proceeding arising out of or based upon this Agreement except in the state courts of Delaware or any United States District Court in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The prevailing party shall be entitled to reasonable attorneys fees, costs, and necessary disbursements in addition to any other relief to which such party may be entitled. </w:t>
      </w:r>
    </w:p>
    <w:p>
      <w:pPr>
        <w:pStyle w:val="TextBody"/>
        <w:bidi w:val="0"/>
        <w:spacing w:before="12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WAIVER OF JURY TRIAL</w:t>
      </w:r>
      <w:r>
        <w:rPr>
          <w:rFonts w:ascii="Times New Roman" w:hAnsi="Times New Roman"/>
          <w:sz w:val="20"/>
        </w:rPr>
        <w:t xml:space="preserve">: EACH PARTY HEREBY WAIVES ITS RIGHTS TO A JURY TRIAL OF ANY CLAIM OR CAUSE OF ACTION BASED UPON OR ARISING OUT OF THIS AGREEMENT, THE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before="12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Delays or Omissions</w:t>
      </w:r>
      <w:r>
        <w:rPr>
          <w:rFonts w:ascii="Times New Roman" w:hAnsi="Times New Roman"/>
          <w:sz w:val="20"/>
        </w:rPr>
        <w:t xml:space="preserve">.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 </w:t>
      </w:r>
    </w:p>
    <w:p>
      <w:pPr>
        <w:pStyle w:val="TextBody"/>
        <w:bidi w:val="0"/>
        <w:spacing w:before="12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Acknowledgment</w:t>
      </w:r>
      <w:r>
        <w:rPr>
          <w:rFonts w:ascii="Times New Roman" w:hAnsi="Times New Roman"/>
          <w:sz w:val="20"/>
        </w:rPr>
        <w:t xml:space="preserve">.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Amendment and Restatement of Prior Agreement</w:t>
      </w:r>
      <w:r>
        <w:rPr>
          <w:rFonts w:ascii="Times New Roman" w:hAnsi="Times New Roman"/>
          <w:sz w:val="20"/>
        </w:rPr>
        <w:t xml:space="preserve">. The Prior Agreement is hereby amended in its entirety and restated herein. Such amendment and restatement is effective upon the execution of this Agreement by the Company and the holders of a majority of the Registrable Securities (as defined in the Prior Agreement), regardless of whether any other party has executed this Agreement. Upon such execution, all provisions of, rights granted and covenants made in the Prior Agreement are hereby waived, released and superseded in their entirety and shall have no further force or effect, including, without limitation, all rights of first refusal and any notice period associated therewith otherwise applicable to the transactions contemplated by the Series G-2 Purchase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this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0"/>
        <w:gridCol w:w="3642"/>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LABS, INC.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Fukushima</w:t>
            </w:r>
          </w:p>
        </w:tc>
      </w:tr>
      <w:tr>
        <w:trPr/>
        <w:tc>
          <w:tcPr>
            <w:tcW w:w="4082" w:type="dxa"/>
            <w:gridSpan w:val="3"/>
            <w:tcBorders/>
          </w:tcPr>
          <w:p>
            <w:pPr>
              <w:pStyle w:val="TableContents"/>
              <w:bidi w:val="0"/>
              <w:spacing w:before="0" w:after="283"/>
              <w:jc w:val="left"/>
              <w:rPr/>
            </w:pPr>
            <w:r>
              <w:rPr/>
              <w:t>Name: Ryan Fukushima</w:t>
            </w:r>
          </w:p>
        </w:tc>
      </w:tr>
      <w:tr>
        <w:trPr/>
        <w:tc>
          <w:tcPr>
            <w:tcW w:w="4082" w:type="dxa"/>
            <w:gridSpan w:val="3"/>
            <w:tcBorders/>
          </w:tcPr>
          <w:p>
            <w:pPr>
              <w:pStyle w:val="TableContents"/>
              <w:bidi w:val="0"/>
              <w:spacing w:before="0" w:after="283"/>
              <w:jc w:val="left"/>
              <w:rPr/>
            </w:pPr>
            <w:r>
              <w:rPr/>
              <w:t>Title: Chief Operating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INNOVATION GROUP INVESTORS, L.P.</w:t>
            </w:r>
          </w:p>
        </w:tc>
      </w:tr>
      <w:tr>
        <w:trPr/>
        <w:tc>
          <w:tcPr>
            <w:tcW w:w="4082" w:type="dxa"/>
            <w:gridSpan w:val="3"/>
            <w:tcBorders/>
          </w:tcPr>
          <w:p>
            <w:pPr>
              <w:pStyle w:val="TableContents"/>
              <w:bidi w:val="0"/>
              <w:spacing w:before="0" w:after="283"/>
              <w:jc w:val="left"/>
              <w:rPr>
                <w:b/>
              </w:rPr>
            </w:pPr>
            <w:r>
              <w:rPr>
                <w:b/>
              </w:rPr>
              <w:t> 2011 SERIES</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Innovation Group, LLC, its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LIGHTBANK INVESTMENTS 1B,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Lightbank, LLC, its Manager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INNOVATION GROUP INVESTORS, L.P.</w:t>
            </w:r>
          </w:p>
        </w:tc>
      </w:tr>
      <w:tr>
        <w:trPr/>
        <w:tc>
          <w:tcPr>
            <w:tcW w:w="4082" w:type="dxa"/>
            <w:gridSpan w:val="3"/>
            <w:tcBorders/>
          </w:tcPr>
          <w:p>
            <w:pPr>
              <w:pStyle w:val="TableContents"/>
              <w:bidi w:val="0"/>
              <w:spacing w:before="0" w:after="283"/>
              <w:jc w:val="left"/>
              <w:rPr>
                <w:b/>
              </w:rPr>
            </w:pPr>
            <w:r>
              <w:rPr>
                <w:b/>
              </w:rPr>
              <w:t> SERIES 1B</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Innovation Group, LLC, ts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A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Lightbank,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B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Lightbank,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B-1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Lightbank,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B-2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Blue Media,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C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Blue Media,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D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Blue Media,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E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Blue Media,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G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Blue Media,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SERIES G-2 INVESTMENTS, LLC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Blue Media, LLC, its Manager</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FRANKLIN STRATEGIC SERIES </w:t>
            </w:r>
          </w:p>
        </w:tc>
      </w:tr>
      <w:tr>
        <w:trPr/>
        <w:tc>
          <w:tcPr>
            <w:tcW w:w="4082" w:type="dxa"/>
            <w:gridSpan w:val="3"/>
            <w:tcBorders/>
          </w:tcPr>
          <w:p>
            <w:pPr>
              <w:pStyle w:val="TableContents"/>
              <w:bidi w:val="0"/>
              <w:spacing w:before="0" w:after="283"/>
              <w:jc w:val="left"/>
              <w:rPr>
                <w:b/>
              </w:rPr>
            </w:pPr>
            <w:r>
              <w:rPr>
                <w:b/>
              </w:rPr>
              <w:t>FRANKLIN GROWTH</w:t>
            </w:r>
          </w:p>
        </w:tc>
      </w:tr>
      <w:tr>
        <w:trPr/>
        <w:tc>
          <w:tcPr>
            <w:tcW w:w="4082" w:type="dxa"/>
            <w:gridSpan w:val="3"/>
            <w:tcBorders/>
          </w:tcPr>
          <w:p>
            <w:pPr>
              <w:pStyle w:val="TableContents"/>
              <w:bidi w:val="0"/>
              <w:spacing w:before="0" w:after="283"/>
              <w:jc w:val="left"/>
              <w:rPr>
                <w:b/>
              </w:rPr>
            </w:pPr>
            <w:r>
              <w:rPr>
                <w:b/>
              </w:rPr>
              <w:t>OPPORTUNITIES FUND</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Franklin Advisers, Inc., as investment manager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Grant Bowers</w:t>
            </w:r>
          </w:p>
        </w:tc>
      </w:tr>
      <w:tr>
        <w:trPr/>
        <w:tc>
          <w:tcPr>
            <w:tcW w:w="4082" w:type="dxa"/>
            <w:gridSpan w:val="3"/>
            <w:tcBorders/>
          </w:tcPr>
          <w:p>
            <w:pPr>
              <w:pStyle w:val="TableContents"/>
              <w:bidi w:val="0"/>
              <w:spacing w:before="0" w:after="283"/>
              <w:jc w:val="left"/>
              <w:rPr/>
            </w:pPr>
            <w:r>
              <w:rPr/>
              <w:t>Name: Grant Bowers</w:t>
            </w:r>
          </w:p>
        </w:tc>
      </w:tr>
      <w:tr>
        <w:trPr/>
        <w:tc>
          <w:tcPr>
            <w:tcW w:w="4082" w:type="dxa"/>
            <w:gridSpan w:val="3"/>
            <w:tcBorders/>
          </w:tcPr>
          <w:p>
            <w:pPr>
              <w:pStyle w:val="TableContents"/>
              <w:bidi w:val="0"/>
              <w:spacing w:before="0" w:after="283"/>
              <w:jc w:val="left"/>
              <w:rPr/>
            </w:pPr>
            <w:r>
              <w:rPr/>
              <w:t>Title: SVP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FRANKLIN TEMPLETON</w:t>
            </w:r>
          </w:p>
        </w:tc>
      </w:tr>
      <w:tr>
        <w:trPr/>
        <w:tc>
          <w:tcPr>
            <w:tcW w:w="4082" w:type="dxa"/>
            <w:gridSpan w:val="3"/>
            <w:tcBorders/>
          </w:tcPr>
          <w:p>
            <w:pPr>
              <w:pStyle w:val="TableContents"/>
              <w:bidi w:val="0"/>
              <w:spacing w:before="0" w:after="283"/>
              <w:jc w:val="left"/>
              <w:rPr>
                <w:b/>
              </w:rPr>
            </w:pPr>
            <w:r>
              <w:rPr>
                <w:b/>
              </w:rPr>
              <w:t>INVESTMENT FUNDS  FRANKLIN</w:t>
            </w:r>
          </w:p>
        </w:tc>
      </w:tr>
      <w:tr>
        <w:trPr/>
        <w:tc>
          <w:tcPr>
            <w:tcW w:w="4082" w:type="dxa"/>
            <w:gridSpan w:val="3"/>
            <w:tcBorders/>
          </w:tcPr>
          <w:p>
            <w:pPr>
              <w:pStyle w:val="TableContents"/>
              <w:bidi w:val="0"/>
              <w:spacing w:before="0" w:after="283"/>
              <w:jc w:val="left"/>
              <w:rPr>
                <w:b/>
              </w:rPr>
            </w:pPr>
            <w:r>
              <w:rPr>
                <w:b/>
              </w:rPr>
              <w:t>U.S. OPPORTUNITIES FUND</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Franklin Advisers, Inc., as investment manager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Grant Bowers</w:t>
            </w:r>
          </w:p>
        </w:tc>
      </w:tr>
      <w:tr>
        <w:trPr/>
        <w:tc>
          <w:tcPr>
            <w:tcW w:w="4082" w:type="dxa"/>
            <w:gridSpan w:val="3"/>
            <w:tcBorders/>
          </w:tcPr>
          <w:p>
            <w:pPr>
              <w:pStyle w:val="TableContents"/>
              <w:bidi w:val="0"/>
              <w:spacing w:before="0" w:after="283"/>
              <w:jc w:val="left"/>
              <w:rPr/>
            </w:pPr>
            <w:r>
              <w:rPr/>
              <w:t>Name: Grant Bowers</w:t>
            </w:r>
          </w:p>
        </w:tc>
      </w:tr>
      <w:tr>
        <w:trPr/>
        <w:tc>
          <w:tcPr>
            <w:tcW w:w="4082" w:type="dxa"/>
            <w:gridSpan w:val="3"/>
            <w:tcBorders/>
          </w:tcPr>
          <w:p>
            <w:pPr>
              <w:pStyle w:val="TableContents"/>
              <w:bidi w:val="0"/>
              <w:spacing w:before="0" w:after="283"/>
              <w:jc w:val="left"/>
              <w:rPr/>
            </w:pPr>
            <w:r>
              <w:rPr/>
              <w:t>Title: SVP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FRANKLIN TEMPLETON</w:t>
            </w:r>
          </w:p>
        </w:tc>
      </w:tr>
      <w:tr>
        <w:trPr/>
        <w:tc>
          <w:tcPr>
            <w:tcW w:w="4082" w:type="dxa"/>
            <w:gridSpan w:val="3"/>
            <w:tcBorders/>
          </w:tcPr>
          <w:p>
            <w:pPr>
              <w:pStyle w:val="TableContents"/>
              <w:bidi w:val="0"/>
              <w:spacing w:before="0" w:after="283"/>
              <w:jc w:val="left"/>
              <w:rPr>
                <w:b/>
              </w:rPr>
            </w:pPr>
            <w:r>
              <w:rPr>
                <w:b/>
              </w:rPr>
              <w:t>INVESTMENT FUNDS  FRANKLIN</w:t>
            </w:r>
          </w:p>
        </w:tc>
      </w:tr>
      <w:tr>
        <w:trPr/>
        <w:tc>
          <w:tcPr>
            <w:tcW w:w="4082" w:type="dxa"/>
            <w:gridSpan w:val="3"/>
            <w:tcBorders/>
          </w:tcPr>
          <w:p>
            <w:pPr>
              <w:pStyle w:val="TableContents"/>
              <w:bidi w:val="0"/>
              <w:spacing w:before="0" w:after="283"/>
              <w:jc w:val="left"/>
              <w:rPr>
                <w:b/>
              </w:rPr>
            </w:pPr>
            <w:r>
              <w:rPr>
                <w:b/>
              </w:rPr>
              <w:t>TECHNOLOGY FUND</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Franklin Advisers, Inc., as investment manager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Grant Bowers</w:t>
            </w:r>
          </w:p>
        </w:tc>
      </w:tr>
      <w:tr>
        <w:trPr/>
        <w:tc>
          <w:tcPr>
            <w:tcW w:w="4082" w:type="dxa"/>
            <w:gridSpan w:val="3"/>
            <w:tcBorders/>
          </w:tcPr>
          <w:p>
            <w:pPr>
              <w:pStyle w:val="TableContents"/>
              <w:bidi w:val="0"/>
              <w:spacing w:before="0" w:after="283"/>
              <w:jc w:val="left"/>
              <w:rPr/>
            </w:pPr>
            <w:r>
              <w:rPr/>
              <w:t>Name: Grant Bowers</w:t>
            </w:r>
          </w:p>
        </w:tc>
      </w:tr>
      <w:tr>
        <w:trPr/>
        <w:tc>
          <w:tcPr>
            <w:tcW w:w="4082" w:type="dxa"/>
            <w:gridSpan w:val="3"/>
            <w:tcBorders/>
          </w:tcPr>
          <w:p>
            <w:pPr>
              <w:pStyle w:val="TableContents"/>
              <w:bidi w:val="0"/>
              <w:spacing w:before="0" w:after="283"/>
              <w:jc w:val="left"/>
              <w:rPr/>
            </w:pPr>
            <w:r>
              <w:rPr/>
              <w:t>Title: SVP</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77"/>
        <w:gridCol w:w="3340"/>
      </w:tblGrid>
      <w:tr>
        <w:trPr/>
        <w:tc>
          <w:tcPr>
            <w:tcW w:w="66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SCOTTISH MORTGAGE INVESTMENT TRUST PLC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for and on behalf of Scottish Mortgage Investment Trust plc, acting through its agent, Baillie Gifford &amp; Co.</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Tom Slater</w:t>
            </w:r>
          </w:p>
        </w:tc>
      </w:tr>
      <w:tr>
        <w:trPr/>
        <w:tc>
          <w:tcPr>
            <w:tcW w:w="4082" w:type="dxa"/>
            <w:gridSpan w:val="3"/>
            <w:tcBorders/>
          </w:tcPr>
          <w:p>
            <w:pPr>
              <w:pStyle w:val="TableContents"/>
              <w:bidi w:val="0"/>
              <w:spacing w:before="0" w:after="283"/>
              <w:jc w:val="left"/>
              <w:rPr/>
            </w:pPr>
            <w:r>
              <w:rPr/>
              <w:t>Name: Tom Slater</w:t>
            </w:r>
          </w:p>
        </w:tc>
      </w:tr>
      <w:tr>
        <w:trPr/>
        <w:tc>
          <w:tcPr>
            <w:tcW w:w="4082" w:type="dxa"/>
            <w:gridSpan w:val="3"/>
            <w:tcBorders/>
          </w:tcPr>
          <w:p>
            <w:pPr>
              <w:pStyle w:val="TableContents"/>
              <w:bidi w:val="0"/>
              <w:spacing w:before="0" w:after="283"/>
              <w:jc w:val="left"/>
              <w:rPr/>
            </w:pPr>
            <w:r>
              <w:rPr/>
              <w:t>Title: Partner of Baillie Gifford &amp; Co.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SCHIEHALLION FUND LIMITED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Executed for and on behalf of The Schiehallion Fund Limited, acting through its agent, Baillie Gifford Overseas Limited</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3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Tom Slater</w:t>
            </w:r>
          </w:p>
        </w:tc>
      </w:tr>
      <w:tr>
        <w:trPr/>
        <w:tc>
          <w:tcPr>
            <w:tcW w:w="4082" w:type="dxa"/>
            <w:gridSpan w:val="3"/>
            <w:tcBorders/>
          </w:tcPr>
          <w:p>
            <w:pPr>
              <w:pStyle w:val="TableContents"/>
              <w:bidi w:val="0"/>
              <w:spacing w:before="0" w:after="283"/>
              <w:jc w:val="left"/>
              <w:rPr/>
            </w:pPr>
            <w:r>
              <w:rPr/>
              <w:t>Name: Tom Slater</w:t>
            </w:r>
          </w:p>
        </w:tc>
      </w:tr>
      <w:tr>
        <w:trPr/>
        <w:tc>
          <w:tcPr>
            <w:tcW w:w="4082" w:type="dxa"/>
            <w:gridSpan w:val="3"/>
            <w:tcBorders/>
          </w:tcPr>
          <w:p>
            <w:pPr>
              <w:pStyle w:val="TableContents"/>
              <w:bidi w:val="0"/>
              <w:spacing w:before="0" w:after="283"/>
              <w:jc w:val="left"/>
              <w:rPr/>
            </w:pPr>
            <w:r>
              <w:rPr/>
              <w:t>Title: Authorized Signatory of Baillie Gifford Overseas Limited</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NOVO HOLDINGS A/S</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Ghenchev</w:t>
            </w:r>
          </w:p>
        </w:tc>
      </w:tr>
      <w:tr>
        <w:trPr/>
        <w:tc>
          <w:tcPr>
            <w:tcW w:w="4082" w:type="dxa"/>
            <w:gridSpan w:val="3"/>
            <w:tcBorders/>
          </w:tcPr>
          <w:p>
            <w:pPr>
              <w:pStyle w:val="TableContents"/>
              <w:bidi w:val="0"/>
              <w:spacing w:before="0" w:after="283"/>
              <w:jc w:val="left"/>
              <w:rPr/>
            </w:pPr>
            <w:r>
              <w:rPr/>
              <w:t>Name: Robert Ghenchev</w:t>
            </w:r>
          </w:p>
        </w:tc>
      </w:tr>
      <w:tr>
        <w:trPr/>
        <w:tc>
          <w:tcPr>
            <w:tcW w:w="4082" w:type="dxa"/>
            <w:gridSpan w:val="3"/>
            <w:tcBorders/>
          </w:tcPr>
          <w:p>
            <w:pPr>
              <w:pStyle w:val="TableContents"/>
              <w:bidi w:val="0"/>
              <w:spacing w:before="0" w:after="283"/>
              <w:jc w:val="left"/>
              <w:rPr/>
            </w:pPr>
            <w:r>
              <w:rPr/>
              <w:t>Title: Sr. Partner</w:t>
            </w:r>
          </w:p>
        </w:tc>
      </w:tr>
      <w:tr>
        <w:trPr/>
        <w:tc>
          <w:tcPr>
            <w:tcW w:w="40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bidi w:val="0"/>
              <w:spacing w:before="0" w:after="283"/>
              <w:jc w:val="left"/>
              <w:rPr/>
            </w:pPr>
            <w:r>
              <w:rPr/>
              <w:t>    </w:t>
            </w:r>
            <w:r>
              <w:rPr/>
              <w:t>Novo Holdings Equity US Inc.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27"/>
        <w:gridCol w:w="71"/>
        <w:gridCol w:w="3284"/>
      </w:tblGrid>
      <w:tr>
        <w:trPr/>
        <w:tc>
          <w:tcPr>
            <w:tcW w:w="727"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 ROWE PRICE NEW HORIZONS FUND, INC.</w:t>
            </w:r>
          </w:p>
        </w:tc>
      </w:tr>
      <w:tr>
        <w:trPr/>
        <w:tc>
          <w:tcPr>
            <w:tcW w:w="4082" w:type="dxa"/>
            <w:gridSpan w:val="3"/>
            <w:tcBorders/>
          </w:tcPr>
          <w:p>
            <w:pPr>
              <w:pStyle w:val="TableContents"/>
              <w:bidi w:val="0"/>
              <w:spacing w:before="0" w:after="283"/>
              <w:jc w:val="left"/>
              <w:rPr>
                <w:b/>
              </w:rPr>
            </w:pPr>
            <w:r>
              <w:rPr>
                <w:b/>
              </w:rPr>
              <w:t>T. ROWE PRICE NEW HORIZONS TRUST</w:t>
            </w:r>
          </w:p>
        </w:tc>
      </w:tr>
      <w:tr>
        <w:trPr/>
        <w:tc>
          <w:tcPr>
            <w:tcW w:w="4082" w:type="dxa"/>
            <w:gridSpan w:val="3"/>
            <w:tcBorders/>
          </w:tcPr>
          <w:p>
            <w:pPr>
              <w:pStyle w:val="TableContents"/>
              <w:bidi w:val="0"/>
              <w:spacing w:before="0" w:after="283"/>
              <w:jc w:val="left"/>
              <w:rPr/>
            </w:pPr>
            <w:r>
              <w:rPr>
                <w:b/>
              </w:rPr>
              <w:t xml:space="preserve">T. ROWE PRICE U.S. EQUITIES TRUST MASSMUTUAL SELECT FUNDSMASSMUTUAL SELECT T. ROWE PRICE SMALL AND MID CAP BLEND FUND </w:t>
            </w:r>
            <w:r>
              <w:rPr/>
              <w:t>Each account, severally not jointly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 Rowe Price Associates, Inc., Investment Adviser or Subadviser, as applicable</w:t>
            </w:r>
          </w:p>
        </w:tc>
      </w:tr>
      <w:tr>
        <w:trPr>
          <w:trHeight w:val="240" w:hRule="atLeast"/>
        </w:trPr>
        <w:tc>
          <w:tcPr>
            <w:tcW w:w="727" w:type="dxa"/>
            <w:tcBorders/>
            <w:vAlign w:val="center"/>
          </w:tcPr>
          <w:p>
            <w:pPr>
              <w:pStyle w:val="TableContents"/>
              <w:bidi w:val="0"/>
              <w:spacing w:before="0" w:after="283"/>
              <w:jc w:val="left"/>
              <w:rPr>
                <w:sz w:val="4"/>
                <w:szCs w:val="4"/>
              </w:rPr>
            </w:pPr>
            <w:r>
              <w:rPr>
                <w:sz w:val="4"/>
                <w:szCs w:val="4"/>
              </w:rPr>
            </w:r>
          </w:p>
        </w:tc>
        <w:tc>
          <w:tcPr>
            <w:tcW w:w="3355" w:type="dxa"/>
            <w:gridSpan w:val="2"/>
            <w:tcBorders/>
            <w:vAlign w:val="center"/>
          </w:tcPr>
          <w:p>
            <w:pPr>
              <w:pStyle w:val="TableContents"/>
              <w:bidi w:val="0"/>
              <w:spacing w:before="0" w:after="283"/>
              <w:jc w:val="left"/>
              <w:rPr>
                <w:sz w:val="4"/>
                <w:szCs w:val="4"/>
              </w:rPr>
            </w:pPr>
            <w:r>
              <w:rPr>
                <w:sz w:val="4"/>
                <w:szCs w:val="4"/>
              </w:rPr>
            </w:r>
          </w:p>
        </w:tc>
      </w:tr>
      <w:tr>
        <w:trPr/>
        <w:tc>
          <w:tcPr>
            <w:tcW w:w="727" w:type="dxa"/>
            <w:tcBorders/>
          </w:tcPr>
          <w:p>
            <w:pPr>
              <w:pStyle w:val="TableContents"/>
              <w:bidi w:val="0"/>
              <w:spacing w:before="0" w:after="283"/>
              <w:jc w:val="left"/>
              <w:rPr/>
            </w:pPr>
            <w:r>
              <w:rPr/>
              <w:t>By:</w:t>
            </w:r>
          </w:p>
        </w:tc>
        <w:tc>
          <w:tcPr>
            <w:tcW w:w="71" w:type="dxa"/>
            <w:tcBorders/>
            <w:vAlign w:val="bottom"/>
          </w:tcPr>
          <w:p>
            <w:pPr>
              <w:pStyle w:val="TableContents"/>
              <w:bidi w:val="0"/>
              <w:spacing w:before="0" w:after="283"/>
              <w:jc w:val="left"/>
              <w:rPr/>
            </w:pPr>
            <w:r>
              <w:rPr/>
              <w:t> </w:t>
            </w:r>
          </w:p>
        </w:tc>
        <w:tc>
          <w:tcPr>
            <w:tcW w:w="32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Andres Baek</w:t>
            </w:r>
          </w:p>
        </w:tc>
      </w:tr>
      <w:tr>
        <w:trPr/>
        <w:tc>
          <w:tcPr>
            <w:tcW w:w="4082" w:type="dxa"/>
            <w:gridSpan w:val="3"/>
            <w:tcBorders/>
          </w:tcPr>
          <w:p>
            <w:pPr>
              <w:pStyle w:val="TableContents"/>
              <w:bidi w:val="0"/>
              <w:spacing w:before="0" w:after="283"/>
              <w:jc w:val="left"/>
              <w:rPr/>
            </w:pPr>
            <w:r>
              <w:rPr/>
              <w:t>Name: Andrew Baek</w:t>
            </w:r>
          </w:p>
        </w:tc>
      </w:tr>
      <w:tr>
        <w:trPr/>
        <w:tc>
          <w:tcPr>
            <w:tcW w:w="4082" w:type="dxa"/>
            <w:gridSpan w:val="3"/>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c>
          <w:tcPr>
            <w:tcW w:w="4082" w:type="dxa"/>
            <w:gridSpan w:val="3"/>
            <w:tcBorders/>
          </w:tcPr>
          <w:p>
            <w:pPr>
              <w:pStyle w:val="TableContents"/>
              <w:bidi w:val="0"/>
              <w:spacing w:before="0" w:after="283"/>
              <w:jc w:val="left"/>
              <w:rPr/>
            </w:pPr>
            <w:r>
              <w:rPr/>
              <w:t>T. Rowe Price Associates, Inc. 100 East Pratt Street Baltimore, MD 21202</w:t>
            </w:r>
          </w:p>
        </w:tc>
      </w:tr>
      <w:tr>
        <w:trPr/>
        <w:tc>
          <w:tcPr>
            <w:tcW w:w="4082" w:type="dxa"/>
            <w:gridSpan w:val="3"/>
            <w:tcBorders/>
          </w:tcPr>
          <w:p>
            <w:pPr>
              <w:pStyle w:val="TableContents"/>
              <w:bidi w:val="0"/>
              <w:spacing w:before="0" w:after="283"/>
              <w:jc w:val="left"/>
              <w:rPr/>
            </w:pPr>
            <w:r>
              <w:rPr/>
              <w:t>Attn: Andrew Baek, Vice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1"/>
        <w:gridCol w:w="60"/>
        <w:gridCol w:w="3611"/>
      </w:tblGrid>
      <w:tr>
        <w:trPr/>
        <w:tc>
          <w:tcPr>
            <w:tcW w:w="41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 ROWE PRICE HEALTH SCIENCES FUND, INC.</w:t>
            </w:r>
          </w:p>
        </w:tc>
      </w:tr>
      <w:tr>
        <w:trPr/>
        <w:tc>
          <w:tcPr>
            <w:tcW w:w="4082" w:type="dxa"/>
            <w:gridSpan w:val="3"/>
            <w:tcBorders/>
          </w:tcPr>
          <w:p>
            <w:pPr>
              <w:pStyle w:val="TableContents"/>
              <w:bidi w:val="0"/>
              <w:spacing w:before="0" w:after="283"/>
              <w:jc w:val="left"/>
              <w:rPr>
                <w:b/>
              </w:rPr>
            </w:pPr>
            <w:r>
              <w:rPr>
                <w:b/>
              </w:rPr>
              <w:t>TD MUTUAL FUNDSTD HEALTH SCIENCES FUND</w:t>
            </w:r>
          </w:p>
        </w:tc>
      </w:tr>
      <w:tr>
        <w:trPr/>
        <w:tc>
          <w:tcPr>
            <w:tcW w:w="4082" w:type="dxa"/>
            <w:gridSpan w:val="3"/>
            <w:tcBorders/>
          </w:tcPr>
          <w:p>
            <w:pPr>
              <w:pStyle w:val="TableContents"/>
              <w:bidi w:val="0"/>
              <w:spacing w:before="0" w:after="283"/>
              <w:jc w:val="left"/>
              <w:rPr>
                <w:b/>
              </w:rPr>
            </w:pPr>
            <w:r>
              <w:rPr>
                <w:b/>
              </w:rPr>
              <w:t>T. ROWE PRICE HEALTH SCIENCES PORTFOLIO</w:t>
            </w:r>
          </w:p>
        </w:tc>
      </w:tr>
      <w:tr>
        <w:trPr/>
        <w:tc>
          <w:tcPr>
            <w:tcW w:w="4082" w:type="dxa"/>
            <w:gridSpan w:val="3"/>
            <w:tcBorders/>
          </w:tcPr>
          <w:p>
            <w:pPr>
              <w:pStyle w:val="TableContents"/>
              <w:bidi w:val="0"/>
              <w:spacing w:before="0" w:after="283"/>
              <w:jc w:val="left"/>
              <w:rPr/>
            </w:pPr>
            <w:r>
              <w:rPr/>
              <w:t>Each account, severally not jointly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 Rowe Price Associates, Inc., Investment Adviser or Subadviser, as applicable</w:t>
            </w:r>
          </w:p>
        </w:tc>
      </w:tr>
      <w:tr>
        <w:trPr>
          <w:trHeight w:val="240" w:hRule="atLeast"/>
        </w:trPr>
        <w:tc>
          <w:tcPr>
            <w:tcW w:w="411" w:type="dxa"/>
            <w:tcBorders/>
            <w:vAlign w:val="center"/>
          </w:tcPr>
          <w:p>
            <w:pPr>
              <w:pStyle w:val="TableContents"/>
              <w:bidi w:val="0"/>
              <w:spacing w:before="0" w:after="283"/>
              <w:jc w:val="left"/>
              <w:rPr>
                <w:sz w:val="4"/>
                <w:szCs w:val="4"/>
              </w:rPr>
            </w:pPr>
            <w:r>
              <w:rPr>
                <w:sz w:val="4"/>
                <w:szCs w:val="4"/>
              </w:rPr>
            </w:r>
          </w:p>
        </w:tc>
        <w:tc>
          <w:tcPr>
            <w:tcW w:w="3671"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Andres Baek</w:t>
            </w:r>
          </w:p>
        </w:tc>
      </w:tr>
      <w:tr>
        <w:trPr/>
        <w:tc>
          <w:tcPr>
            <w:tcW w:w="4082" w:type="dxa"/>
            <w:gridSpan w:val="3"/>
            <w:tcBorders/>
          </w:tcPr>
          <w:p>
            <w:pPr>
              <w:pStyle w:val="TableContents"/>
              <w:bidi w:val="0"/>
              <w:spacing w:before="0" w:after="283"/>
              <w:jc w:val="left"/>
              <w:rPr/>
            </w:pPr>
            <w:r>
              <w:rPr/>
              <w:t>Name: Andrew Baek</w:t>
            </w:r>
          </w:p>
        </w:tc>
      </w:tr>
      <w:tr>
        <w:trPr/>
        <w:tc>
          <w:tcPr>
            <w:tcW w:w="4082" w:type="dxa"/>
            <w:gridSpan w:val="3"/>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 Rowe Price Associates,</w:t>
            </w:r>
          </w:p>
          <w:p>
            <w:pPr>
              <w:pStyle w:val="TableContents"/>
              <w:bidi w:val="0"/>
              <w:spacing w:before="0" w:after="0"/>
              <w:jc w:val="left"/>
              <w:rPr>
                <w:rFonts w:ascii="Times New Roman" w:hAnsi="Times New Roman"/>
                <w:sz w:val="20"/>
              </w:rPr>
            </w:pPr>
            <w:r>
              <w:rPr>
                <w:rFonts w:ascii="Times New Roman" w:hAnsi="Times New Roman"/>
                <w:sz w:val="20"/>
              </w:rPr>
              <w:t>Inc. 100 East Pratt Street</w:t>
            </w:r>
          </w:p>
          <w:p>
            <w:pPr>
              <w:pStyle w:val="TableContents"/>
              <w:bidi w:val="0"/>
              <w:spacing w:before="0" w:after="20"/>
              <w:jc w:val="left"/>
              <w:rPr>
                <w:rFonts w:ascii="Times New Roman" w:hAnsi="Times New Roman"/>
                <w:sz w:val="20"/>
              </w:rPr>
            </w:pPr>
            <w:r>
              <w:rPr>
                <w:rFonts w:ascii="Times New Roman" w:hAnsi="Times New Roman"/>
                <w:sz w:val="20"/>
              </w:rPr>
              <w:t>Baltimore, MD 21202</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Attn: Andrew Baek, Vice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REVOLUTION GROWTH III, LP</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Revolution Growth GP III,</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LP, its general partner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Revolution Growth UGP III,</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LLC, its general partner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Steven J Murray</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Steven J Murray</w:t>
            </w:r>
          </w:p>
        </w:tc>
      </w:tr>
      <w:tr>
        <w:trPr/>
        <w:tc>
          <w:tcPr>
            <w:tcW w:w="667" w:type="dxa"/>
            <w:tcBorders/>
          </w:tcPr>
          <w:p>
            <w:pPr>
              <w:pStyle w:val="TableContents"/>
              <w:bidi w:val="0"/>
              <w:spacing w:before="0" w:after="283"/>
              <w:jc w:val="left"/>
              <w:rPr/>
            </w:pPr>
            <w:r>
              <w:rPr/>
              <w:t xml:space="preserve">Title: </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Operating</w:t>
            </w:r>
          </w:p>
        </w:tc>
      </w:tr>
      <w:tr>
        <w:trPr/>
        <w:tc>
          <w:tcPr>
            <w:tcW w:w="6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Manager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8"/>
        <w:gridCol w:w="60"/>
        <w:gridCol w:w="3364"/>
      </w:tblGrid>
      <w:tr>
        <w:trPr/>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NEW ENTERPRISE ASSOCIATES 16, L.P.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NEA Partners 16,</w:t>
            </w:r>
          </w:p>
        </w:tc>
      </w:tr>
      <w:tr>
        <w:trPr/>
        <w:tc>
          <w:tcPr>
            <w:tcW w:w="6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L.P., its General</w:t>
            </w:r>
          </w:p>
        </w:tc>
      </w:tr>
      <w:tr>
        <w:trPr/>
        <w:tc>
          <w:tcPr>
            <w:tcW w:w="6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Partner</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NEA 16 GP, LLC, its General Partner</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 xml:space="preserve">By: </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Stepahnie S. Brecher</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Stephanie S. Brecher</w:t>
            </w:r>
          </w:p>
        </w:tc>
      </w:tr>
      <w:tr>
        <w:trPr/>
        <w:tc>
          <w:tcPr>
            <w:tcW w:w="658" w:type="dxa"/>
            <w:tcBorders/>
          </w:tcPr>
          <w:p>
            <w:pPr>
              <w:pStyle w:val="TableContents"/>
              <w:bidi w:val="0"/>
              <w:spacing w:before="0" w:after="283"/>
              <w:jc w:val="left"/>
              <w:rPr/>
            </w:pPr>
            <w:r>
              <w:rPr/>
              <w:t xml:space="preserve">Title: </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NEA VENTURES 2017, L.P.</w:t>
            </w:r>
          </w:p>
        </w:tc>
      </w:tr>
      <w:tr>
        <w:trPr>
          <w:trHeight w:val="240" w:hRule="atLeast"/>
        </w:trPr>
        <w:tc>
          <w:tcPr>
            <w:tcW w:w="658" w:type="dxa"/>
            <w:tcBorders/>
            <w:vAlign w:val="center"/>
          </w:tcPr>
          <w:p>
            <w:pPr>
              <w:pStyle w:val="TableContents"/>
              <w:bidi w:val="0"/>
              <w:spacing w:before="0" w:after="283"/>
              <w:jc w:val="left"/>
              <w:rPr>
                <w:sz w:val="4"/>
                <w:szCs w:val="4"/>
              </w:rPr>
            </w:pPr>
            <w:r>
              <w:rPr>
                <w:sz w:val="4"/>
                <w:szCs w:val="4"/>
              </w:rPr>
            </w:r>
          </w:p>
        </w:tc>
        <w:tc>
          <w:tcPr>
            <w:tcW w:w="3424" w:type="dxa"/>
            <w:gridSpan w:val="2"/>
            <w:tcBorders/>
            <w:vAlign w:val="center"/>
          </w:tcPr>
          <w:p>
            <w:pPr>
              <w:pStyle w:val="TableContents"/>
              <w:bidi w:val="0"/>
              <w:spacing w:before="0" w:after="283"/>
              <w:jc w:val="left"/>
              <w:rPr>
                <w:sz w:val="4"/>
                <w:szCs w:val="4"/>
              </w:rPr>
            </w:pPr>
            <w:r>
              <w:rPr>
                <w:sz w:val="4"/>
                <w:szCs w:val="4"/>
              </w:rPr>
            </w:r>
          </w:p>
        </w:tc>
      </w:tr>
      <w:tr>
        <w:trPr/>
        <w:tc>
          <w:tcPr>
            <w:tcW w:w="65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Stepahnie S. Brecher</w:t>
            </w:r>
          </w:p>
        </w:tc>
      </w:tr>
      <w:tr>
        <w:trPr/>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Stephanie S. Brecher</w:t>
            </w:r>
          </w:p>
        </w:tc>
      </w:tr>
      <w:tr>
        <w:trPr/>
        <w:tc>
          <w:tcPr>
            <w:tcW w:w="658" w:type="dxa"/>
            <w:tcBorders/>
          </w:tcPr>
          <w:p>
            <w:pPr>
              <w:pStyle w:val="TableContents"/>
              <w:bidi w:val="0"/>
              <w:spacing w:before="0" w:after="283"/>
              <w:jc w:val="left"/>
              <w:rPr/>
            </w:pPr>
            <w:r>
              <w:rPr/>
              <w:t xml:space="preserve">Title: </w:t>
            </w:r>
          </w:p>
        </w:tc>
        <w:tc>
          <w:tcPr>
            <w:tcW w:w="6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t>Vice-President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2"/>
        <w:gridCol w:w="91"/>
        <w:gridCol w:w="3409"/>
      </w:tblGrid>
      <w:tr>
        <w:trPr/>
        <w:tc>
          <w:tcPr>
            <w:tcW w:w="582"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4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RFG-SUNFLOWER LLC</w:t>
            </w:r>
          </w:p>
        </w:tc>
      </w:tr>
      <w:tr>
        <w:trPr>
          <w:trHeight w:val="240" w:hRule="atLeast"/>
        </w:trPr>
        <w:tc>
          <w:tcPr>
            <w:tcW w:w="582" w:type="dxa"/>
            <w:tcBorders/>
            <w:vAlign w:val="center"/>
          </w:tcPr>
          <w:p>
            <w:pPr>
              <w:pStyle w:val="TableContents"/>
              <w:bidi w:val="0"/>
              <w:spacing w:before="0" w:after="283"/>
              <w:jc w:val="left"/>
              <w:rPr>
                <w:sz w:val="4"/>
                <w:szCs w:val="4"/>
              </w:rPr>
            </w:pPr>
            <w:r>
              <w:rPr>
                <w:sz w:val="4"/>
                <w:szCs w:val="4"/>
              </w:rPr>
            </w:r>
          </w:p>
        </w:tc>
        <w:tc>
          <w:tcPr>
            <w:tcW w:w="3500" w:type="dxa"/>
            <w:gridSpan w:val="2"/>
            <w:tcBorders/>
            <w:vAlign w:val="center"/>
          </w:tcPr>
          <w:p>
            <w:pPr>
              <w:pStyle w:val="TableContents"/>
              <w:bidi w:val="0"/>
              <w:spacing w:before="0" w:after="283"/>
              <w:jc w:val="left"/>
              <w:rPr>
                <w:sz w:val="4"/>
                <w:szCs w:val="4"/>
              </w:rPr>
            </w:pPr>
            <w:r>
              <w:rPr>
                <w:sz w:val="4"/>
                <w:szCs w:val="4"/>
              </w:rPr>
            </w:r>
          </w:p>
        </w:tc>
      </w:tr>
      <w:tr>
        <w:trPr/>
        <w:tc>
          <w:tcPr>
            <w:tcW w:w="582"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Ralph Finerman</w:t>
            </w:r>
          </w:p>
        </w:tc>
      </w:tr>
      <w:tr>
        <w:trPr/>
        <w:tc>
          <w:tcPr>
            <w:tcW w:w="4082" w:type="dxa"/>
            <w:gridSpan w:val="3"/>
            <w:tcBorders/>
          </w:tcPr>
          <w:p>
            <w:pPr>
              <w:pStyle w:val="TableContents"/>
              <w:bidi w:val="0"/>
              <w:spacing w:before="0" w:after="283"/>
              <w:jc w:val="left"/>
              <w:rPr/>
            </w:pPr>
            <w:r>
              <w:rPr/>
              <w:t>Name: Ralph Finerman</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RFG-HAZEL LLC</w:t>
            </w:r>
          </w:p>
        </w:tc>
      </w:tr>
      <w:tr>
        <w:trPr>
          <w:trHeight w:val="240" w:hRule="atLeast"/>
        </w:trPr>
        <w:tc>
          <w:tcPr>
            <w:tcW w:w="582" w:type="dxa"/>
            <w:tcBorders/>
            <w:vAlign w:val="center"/>
          </w:tcPr>
          <w:p>
            <w:pPr>
              <w:pStyle w:val="TableContents"/>
              <w:bidi w:val="0"/>
              <w:spacing w:before="0" w:after="283"/>
              <w:jc w:val="left"/>
              <w:rPr>
                <w:sz w:val="4"/>
                <w:szCs w:val="4"/>
              </w:rPr>
            </w:pPr>
            <w:r>
              <w:rPr>
                <w:sz w:val="4"/>
                <w:szCs w:val="4"/>
              </w:rPr>
            </w:r>
          </w:p>
        </w:tc>
        <w:tc>
          <w:tcPr>
            <w:tcW w:w="3500" w:type="dxa"/>
            <w:gridSpan w:val="2"/>
            <w:tcBorders/>
            <w:vAlign w:val="center"/>
          </w:tcPr>
          <w:p>
            <w:pPr>
              <w:pStyle w:val="TableContents"/>
              <w:bidi w:val="0"/>
              <w:spacing w:before="0" w:after="283"/>
              <w:jc w:val="left"/>
              <w:rPr>
                <w:sz w:val="4"/>
                <w:szCs w:val="4"/>
              </w:rPr>
            </w:pPr>
            <w:r>
              <w:rPr>
                <w:sz w:val="4"/>
                <w:szCs w:val="4"/>
              </w:rPr>
            </w:r>
          </w:p>
        </w:tc>
      </w:tr>
      <w:tr>
        <w:trPr/>
        <w:tc>
          <w:tcPr>
            <w:tcW w:w="582" w:type="dxa"/>
            <w:tcBorders/>
          </w:tcPr>
          <w:p>
            <w:pPr>
              <w:pStyle w:val="TableContents"/>
              <w:bidi w:val="0"/>
              <w:spacing w:before="0" w:after="283"/>
              <w:jc w:val="left"/>
              <w:rPr/>
            </w:pPr>
            <w:r>
              <w:rPr/>
              <w:t>By:</w:t>
            </w:r>
          </w:p>
        </w:tc>
        <w:tc>
          <w:tcPr>
            <w:tcW w:w="91" w:type="dxa"/>
            <w:tcBorders/>
            <w:vAlign w:val="bottom"/>
          </w:tcPr>
          <w:p>
            <w:pPr>
              <w:pStyle w:val="TableContents"/>
              <w:bidi w:val="0"/>
              <w:spacing w:before="0" w:after="283"/>
              <w:jc w:val="left"/>
              <w:rPr/>
            </w:pPr>
            <w:r>
              <w:rPr/>
              <w:t> </w:t>
            </w:r>
          </w:p>
        </w:tc>
        <w:tc>
          <w:tcPr>
            <w:tcW w:w="34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Ralph Finerman</w:t>
            </w:r>
          </w:p>
        </w:tc>
      </w:tr>
      <w:tr>
        <w:trPr/>
        <w:tc>
          <w:tcPr>
            <w:tcW w:w="4082" w:type="dxa"/>
            <w:gridSpan w:val="3"/>
            <w:tcBorders/>
          </w:tcPr>
          <w:p>
            <w:pPr>
              <w:pStyle w:val="TableContents"/>
              <w:bidi w:val="0"/>
              <w:spacing w:before="0" w:after="283"/>
              <w:jc w:val="left"/>
              <w:rPr/>
            </w:pPr>
            <w:r>
              <w:rPr/>
              <w:t>Name: Ralph Finerman</w:t>
            </w:r>
          </w:p>
        </w:tc>
      </w:tr>
      <w:tr>
        <w:trPr/>
        <w:tc>
          <w:tcPr>
            <w:tcW w:w="4082" w:type="dxa"/>
            <w:gridSpan w:val="3"/>
            <w:tcBorders/>
          </w:tcPr>
          <w:p>
            <w:pPr>
              <w:pStyle w:val="TableContents"/>
              <w:bidi w:val="0"/>
              <w:spacing w:before="0" w:after="283"/>
              <w:jc w:val="left"/>
              <w:rPr/>
            </w:pPr>
            <w:r>
              <w:rPr/>
              <w:t>Title: Manager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INVESTORS</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GOOGLE LLC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H. Yi</w:t>
            </w:r>
          </w:p>
        </w:tc>
      </w:tr>
      <w:tr>
        <w:trPr/>
        <w:tc>
          <w:tcPr>
            <w:tcW w:w="4082" w:type="dxa"/>
            <w:gridSpan w:val="3"/>
            <w:tcBorders/>
          </w:tcPr>
          <w:p>
            <w:pPr>
              <w:pStyle w:val="TableContents"/>
              <w:bidi w:val="0"/>
              <w:spacing w:before="0" w:after="283"/>
              <w:jc w:val="left"/>
              <w:rPr/>
            </w:pPr>
            <w:r>
              <w:rPr/>
              <w:t>Name: Kenneth H. Yi</w:t>
            </w:r>
          </w:p>
        </w:tc>
      </w:tr>
      <w:tr>
        <w:trPr/>
        <w:tc>
          <w:tcPr>
            <w:tcW w:w="4082" w:type="dxa"/>
            <w:gridSpan w:val="3"/>
            <w:tcBorders/>
          </w:tcPr>
          <w:p>
            <w:pPr>
              <w:pStyle w:val="TableContents"/>
              <w:bidi w:val="0"/>
              <w:spacing w:before="0" w:after="283"/>
              <w:jc w:val="left"/>
              <w:rPr/>
            </w:pPr>
            <w:r>
              <w:rPr/>
              <w:t>Title: Assistant Secretary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INVESTORS</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NEUBERGER BERMAN PRINCIPAL STRATEGIES PRIMA FUND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Neuberger Berman Investment Advisers LLC, its investment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Gabe Cahill</w:t>
            </w:r>
          </w:p>
        </w:tc>
      </w:tr>
      <w:tr>
        <w:trPr/>
        <w:tc>
          <w:tcPr>
            <w:tcW w:w="4082" w:type="dxa"/>
            <w:gridSpan w:val="3"/>
            <w:tcBorders/>
          </w:tcPr>
          <w:p>
            <w:pPr>
              <w:pStyle w:val="TableContents"/>
              <w:bidi w:val="0"/>
              <w:spacing w:before="0" w:after="283"/>
              <w:jc w:val="left"/>
              <w:rPr/>
            </w:pPr>
            <w:r>
              <w:rPr/>
              <w:t>Name: Gabe Cahill</w:t>
            </w:r>
          </w:p>
        </w:tc>
      </w:tr>
      <w:tr>
        <w:trPr/>
        <w:tc>
          <w:tcPr>
            <w:tcW w:w="4082" w:type="dxa"/>
            <w:gridSpan w:val="3"/>
            <w:tcBorders/>
          </w:tcPr>
          <w:p>
            <w:pPr>
              <w:pStyle w:val="TableContents"/>
              <w:bidi w:val="0"/>
              <w:spacing w:before="0" w:after="283"/>
              <w:jc w:val="left"/>
              <w:rPr/>
            </w:pPr>
            <w:r>
              <w:rPr/>
              <w:t>Title: 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NEUBERGER BERMAN PRINCIPAL STRATEGIES PRIMA CO-INVEST FUND IV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Neuberger Berman Investment Advisers LLC, its investment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Gabe Cahill</w:t>
            </w:r>
          </w:p>
        </w:tc>
      </w:tr>
      <w:tr>
        <w:trPr/>
        <w:tc>
          <w:tcPr>
            <w:tcW w:w="4082" w:type="dxa"/>
            <w:gridSpan w:val="3"/>
            <w:tcBorders/>
          </w:tcPr>
          <w:p>
            <w:pPr>
              <w:pStyle w:val="TableContents"/>
              <w:bidi w:val="0"/>
              <w:spacing w:before="0" w:after="283"/>
              <w:jc w:val="left"/>
              <w:rPr/>
            </w:pPr>
            <w:r>
              <w:rPr/>
              <w:t>Name: Gabe Cahill</w:t>
            </w:r>
          </w:p>
        </w:tc>
      </w:tr>
      <w:tr>
        <w:trPr/>
        <w:tc>
          <w:tcPr>
            <w:tcW w:w="4082" w:type="dxa"/>
            <w:gridSpan w:val="3"/>
            <w:tcBorders/>
          </w:tcPr>
          <w:p>
            <w:pPr>
              <w:pStyle w:val="TableContents"/>
              <w:bidi w:val="0"/>
              <w:spacing w:before="0" w:after="283"/>
              <w:jc w:val="left"/>
              <w:rPr/>
            </w:pPr>
            <w:r>
              <w:rPr/>
              <w:t>Title: Senior Vice President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COMMON HOLDERS</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GRAY MEDIA,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BLUE MEDIA, LLC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 Manager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Ninth Amended and Restated Investors Rights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2"/>
        <w:gridCol w:w="75"/>
        <w:gridCol w:w="3525"/>
      </w:tblGrid>
      <w:tr>
        <w:trPr/>
        <w:tc>
          <w:tcPr>
            <w:tcW w:w="482"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COMMON 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RFG-SUNFLOWER LLC</w:t>
            </w:r>
          </w:p>
        </w:tc>
      </w:tr>
      <w:tr>
        <w:trPr>
          <w:trHeight w:val="240" w:hRule="atLeast"/>
        </w:trPr>
        <w:tc>
          <w:tcPr>
            <w:tcW w:w="482" w:type="dxa"/>
            <w:tcBorders/>
            <w:vAlign w:val="center"/>
          </w:tcPr>
          <w:p>
            <w:pPr>
              <w:pStyle w:val="TableContents"/>
              <w:bidi w:val="0"/>
              <w:spacing w:before="0" w:after="283"/>
              <w:jc w:val="left"/>
              <w:rPr>
                <w:sz w:val="4"/>
                <w:szCs w:val="4"/>
              </w:rPr>
            </w:pPr>
            <w:r>
              <w:rPr>
                <w:sz w:val="4"/>
                <w:szCs w:val="4"/>
              </w:rPr>
            </w:r>
          </w:p>
        </w:tc>
        <w:tc>
          <w:tcPr>
            <w:tcW w:w="3600" w:type="dxa"/>
            <w:gridSpan w:val="2"/>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283"/>
              <w:jc w:val="left"/>
              <w:rPr/>
            </w:pPr>
            <w:r>
              <w:rPr/>
              <w:t>By:</w:t>
            </w:r>
          </w:p>
        </w:tc>
        <w:tc>
          <w:tcPr>
            <w:tcW w:w="75" w:type="dxa"/>
            <w:tcBorders/>
            <w:vAlign w:val="bottom"/>
          </w:tcPr>
          <w:p>
            <w:pPr>
              <w:pStyle w:val="TableContents"/>
              <w:bidi w:val="0"/>
              <w:spacing w:before="0" w:after="283"/>
              <w:jc w:val="left"/>
              <w:rPr/>
            </w:pPr>
            <w:r>
              <w:rPr/>
              <w:t> </w:t>
            </w:r>
          </w:p>
        </w:tc>
        <w:tc>
          <w:tcPr>
            <w:tcW w:w="35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Ralph Finerman</w:t>
            </w:r>
          </w:p>
        </w:tc>
      </w:tr>
      <w:tr>
        <w:trPr/>
        <w:tc>
          <w:tcPr>
            <w:tcW w:w="4082" w:type="dxa"/>
            <w:gridSpan w:val="3"/>
            <w:tcBorders/>
          </w:tcPr>
          <w:p>
            <w:pPr>
              <w:pStyle w:val="TableContents"/>
              <w:bidi w:val="0"/>
              <w:spacing w:before="0" w:after="283"/>
              <w:jc w:val="left"/>
              <w:rPr/>
            </w:pPr>
            <w:r>
              <w:rPr/>
              <w:t>Name: Ralph Finerman</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RFG-HAZEL LLC</w:t>
            </w:r>
          </w:p>
        </w:tc>
      </w:tr>
      <w:tr>
        <w:trPr>
          <w:trHeight w:val="240" w:hRule="atLeast"/>
        </w:trPr>
        <w:tc>
          <w:tcPr>
            <w:tcW w:w="482" w:type="dxa"/>
            <w:tcBorders/>
            <w:vAlign w:val="center"/>
          </w:tcPr>
          <w:p>
            <w:pPr>
              <w:pStyle w:val="TableContents"/>
              <w:bidi w:val="0"/>
              <w:spacing w:before="0" w:after="283"/>
              <w:jc w:val="left"/>
              <w:rPr>
                <w:sz w:val="4"/>
                <w:szCs w:val="4"/>
              </w:rPr>
            </w:pPr>
            <w:r>
              <w:rPr>
                <w:sz w:val="4"/>
                <w:szCs w:val="4"/>
              </w:rPr>
            </w:r>
          </w:p>
        </w:tc>
        <w:tc>
          <w:tcPr>
            <w:tcW w:w="3600" w:type="dxa"/>
            <w:gridSpan w:val="2"/>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283"/>
              <w:jc w:val="left"/>
              <w:rPr/>
            </w:pPr>
            <w:r>
              <w:rPr/>
              <w:t>By:</w:t>
            </w:r>
          </w:p>
        </w:tc>
        <w:tc>
          <w:tcPr>
            <w:tcW w:w="75" w:type="dxa"/>
            <w:tcBorders/>
            <w:vAlign w:val="bottom"/>
          </w:tcPr>
          <w:p>
            <w:pPr>
              <w:pStyle w:val="TableContents"/>
              <w:bidi w:val="0"/>
              <w:spacing w:before="0" w:after="283"/>
              <w:jc w:val="left"/>
              <w:rPr/>
            </w:pPr>
            <w:r>
              <w:rPr/>
              <w:t> </w:t>
            </w:r>
          </w:p>
        </w:tc>
        <w:tc>
          <w:tcPr>
            <w:tcW w:w="35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Ralph Finerman</w:t>
            </w:r>
          </w:p>
        </w:tc>
      </w:tr>
      <w:tr>
        <w:trPr/>
        <w:tc>
          <w:tcPr>
            <w:tcW w:w="4082" w:type="dxa"/>
            <w:gridSpan w:val="3"/>
            <w:tcBorders/>
          </w:tcPr>
          <w:p>
            <w:pPr>
              <w:pStyle w:val="TableContents"/>
              <w:bidi w:val="0"/>
              <w:spacing w:before="0" w:after="283"/>
              <w:jc w:val="left"/>
              <w:rPr/>
            </w:pPr>
            <w:r>
              <w:rPr/>
              <w:t>Name: Ralph Finerman</w:t>
            </w:r>
          </w:p>
        </w:tc>
      </w:tr>
      <w:tr>
        <w:trPr/>
        <w:tc>
          <w:tcPr>
            <w:tcW w:w="4082" w:type="dxa"/>
            <w:gridSpan w:val="3"/>
            <w:tcBorders/>
          </w:tcPr>
          <w:p>
            <w:pPr>
              <w:pStyle w:val="TableContents"/>
              <w:bidi w:val="0"/>
              <w:spacing w:before="0" w:after="283"/>
              <w:jc w:val="left"/>
              <w:rPr/>
            </w:pPr>
            <w:r>
              <w:rPr/>
              <w:t>Title: Manager</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Investors </w:t>
      </w:r>
    </w:p>
    <w:p>
      <w:pPr>
        <w:pStyle w:val="TextBody"/>
        <w:bidi w:val="0"/>
        <w:spacing w:before="240" w:after="0"/>
        <w:jc w:val="left"/>
        <w:rPr>
          <w:rFonts w:ascii="Times New Roman" w:hAnsi="Times New Roman"/>
          <w:b/>
          <w:sz w:val="20"/>
        </w:rPr>
      </w:pPr>
      <w:r>
        <w:rPr>
          <w:rFonts w:ascii="Times New Roman" w:hAnsi="Times New Roman"/>
          <w:b/>
          <w:sz w:val="20"/>
        </w:rPr>
        <w:t xml:space="preserve">Innovation Group Investors, L.P.  Series 2011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Lightbank Investments 1B,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Innovation Group Investors, L.P.  Series 1B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Highland Alternative III, LLC </w:t>
      </w:r>
    </w:p>
    <w:p>
      <w:pPr>
        <w:pStyle w:val="TextBody"/>
        <w:bidi w:val="0"/>
        <w:spacing w:before="0" w:after="0"/>
        <w:jc w:val="left"/>
        <w:rPr>
          <w:rFonts w:ascii="Times New Roman" w:hAnsi="Times New Roman"/>
          <w:sz w:val="20"/>
        </w:rPr>
      </w:pPr>
      <w:r>
        <w:rPr>
          <w:rFonts w:ascii="Times New Roman" w:hAnsi="Times New Roman"/>
          <w:sz w:val="20"/>
        </w:rPr>
        <w:t xml:space="preserve">c/o Grosvenor Holdings, LLC </w:t>
      </w:r>
    </w:p>
    <w:p>
      <w:pPr>
        <w:pStyle w:val="TextBody"/>
        <w:bidi w:val="0"/>
        <w:spacing w:before="0" w:after="0"/>
        <w:jc w:val="left"/>
        <w:rPr>
          <w:rFonts w:ascii="Times New Roman" w:hAnsi="Times New Roman"/>
          <w:sz w:val="20"/>
        </w:rPr>
      </w:pPr>
      <w:r>
        <w:rPr>
          <w:rFonts w:ascii="Times New Roman" w:hAnsi="Times New Roman"/>
          <w:sz w:val="20"/>
        </w:rPr>
        <w:t xml:space="preserve">900 North Michigan Avenue </w:t>
      </w:r>
    </w:p>
    <w:p>
      <w:pPr>
        <w:pStyle w:val="TextBody"/>
        <w:bidi w:val="0"/>
        <w:spacing w:before="0" w:after="0"/>
        <w:jc w:val="left"/>
        <w:rPr>
          <w:rFonts w:ascii="Times New Roman" w:hAnsi="Times New Roman"/>
          <w:sz w:val="20"/>
        </w:rPr>
      </w:pPr>
      <w:r>
        <w:rPr>
          <w:rFonts w:ascii="Times New Roman" w:hAnsi="Times New Roman"/>
          <w:sz w:val="20"/>
        </w:rPr>
        <w:t xml:space="preserve">Suite 1100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Sacks/Adam Pollock </w:t>
      </w:r>
    </w:p>
    <w:p>
      <w:pPr>
        <w:pStyle w:val="TextBody"/>
        <w:bidi w:val="0"/>
        <w:spacing w:before="360" w:after="0"/>
        <w:jc w:val="left"/>
        <w:rPr>
          <w:rFonts w:ascii="Times New Roman" w:hAnsi="Times New Roman"/>
          <w:b/>
          <w:sz w:val="20"/>
        </w:rPr>
      </w:pPr>
      <w:r>
        <w:rPr>
          <w:rFonts w:ascii="Times New Roman" w:hAnsi="Times New Roman"/>
          <w:b/>
          <w:sz w:val="20"/>
        </w:rPr>
        <w:t xml:space="preserve">James and Wendy Abrams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Series A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Tempus Series B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Series B-1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Series B-2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Series C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Series D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Series E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Series G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Tempus Series G-2 Investments, LLC </w:t>
      </w:r>
    </w:p>
    <w:p>
      <w:pPr>
        <w:pStyle w:val="TextBody"/>
        <w:bidi w:val="0"/>
        <w:spacing w:before="0" w:after="0"/>
        <w:jc w:val="left"/>
        <w:rPr>
          <w:rFonts w:ascii="Times New Roman" w:hAnsi="Times New Roman"/>
          <w:sz w:val="20"/>
        </w:rPr>
      </w:pPr>
      <w:r>
        <w:rPr>
          <w:rFonts w:ascii="Times New Roman" w:hAnsi="Times New Roman"/>
          <w:sz w:val="20"/>
        </w:rPr>
        <w:t xml:space="preserve">c/o Lightbank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Mike Mauceri </w:t>
      </w:r>
    </w:p>
    <w:p>
      <w:pPr>
        <w:pStyle w:val="TextBody"/>
        <w:bidi w:val="0"/>
        <w:spacing w:before="360" w:after="0"/>
        <w:jc w:val="left"/>
        <w:rPr>
          <w:rFonts w:ascii="Times New Roman" w:hAnsi="Times New Roman"/>
          <w:b/>
          <w:sz w:val="20"/>
        </w:rPr>
      </w:pPr>
      <w:r>
        <w:rPr>
          <w:rFonts w:ascii="Times New Roman" w:hAnsi="Times New Roman"/>
          <w:b/>
          <w:sz w:val="20"/>
        </w:rPr>
        <w:t xml:space="preserve">New Enterprise Associates 16, L.P. </w:t>
      </w:r>
    </w:p>
    <w:p>
      <w:pPr>
        <w:pStyle w:val="TextBody"/>
        <w:bidi w:val="0"/>
        <w:spacing w:before="0" w:after="0"/>
        <w:jc w:val="left"/>
        <w:rPr>
          <w:rFonts w:ascii="Times New Roman" w:hAnsi="Times New Roman"/>
          <w:sz w:val="20"/>
        </w:rPr>
      </w:pPr>
      <w:r>
        <w:rPr>
          <w:rFonts w:ascii="Times New Roman" w:hAnsi="Times New Roman"/>
          <w:sz w:val="20"/>
        </w:rPr>
        <w:t xml:space="preserve">1954 Greenspring Drive </w:t>
      </w:r>
    </w:p>
    <w:p>
      <w:pPr>
        <w:pStyle w:val="TextBody"/>
        <w:bidi w:val="0"/>
        <w:spacing w:before="0" w:after="0"/>
        <w:jc w:val="left"/>
        <w:rPr>
          <w:rFonts w:ascii="Times New Roman" w:hAnsi="Times New Roman"/>
          <w:sz w:val="20"/>
        </w:rPr>
      </w:pPr>
      <w:r>
        <w:rPr>
          <w:rFonts w:ascii="Times New Roman" w:hAnsi="Times New Roman"/>
          <w:sz w:val="20"/>
        </w:rPr>
        <w:t xml:space="preserve">Suite 600 </w:t>
      </w:r>
    </w:p>
    <w:p>
      <w:pPr>
        <w:pStyle w:val="TextBody"/>
        <w:bidi w:val="0"/>
        <w:spacing w:before="0" w:after="0"/>
        <w:jc w:val="left"/>
        <w:rPr>
          <w:rFonts w:ascii="Times New Roman" w:hAnsi="Times New Roman"/>
          <w:sz w:val="20"/>
        </w:rPr>
      </w:pPr>
      <w:r>
        <w:rPr>
          <w:rFonts w:ascii="Times New Roman" w:hAnsi="Times New Roman"/>
          <w:sz w:val="20"/>
        </w:rPr>
        <w:t xml:space="preserve">Timonium, Maryland 21093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360" w:after="0"/>
        <w:jc w:val="left"/>
        <w:rPr>
          <w:rFonts w:ascii="Times New Roman" w:hAnsi="Times New Roman"/>
          <w:b/>
          <w:sz w:val="20"/>
        </w:rPr>
      </w:pPr>
      <w:r>
        <w:rPr>
          <w:rFonts w:ascii="Times New Roman" w:hAnsi="Times New Roman"/>
          <w:b/>
          <w:sz w:val="20"/>
        </w:rPr>
        <w:t xml:space="preserve">NEA Ventures 2017, L.P. </w:t>
      </w:r>
    </w:p>
    <w:p>
      <w:pPr>
        <w:pStyle w:val="TextBody"/>
        <w:bidi w:val="0"/>
        <w:spacing w:before="0" w:after="0"/>
        <w:jc w:val="left"/>
        <w:rPr>
          <w:rFonts w:ascii="Times New Roman" w:hAnsi="Times New Roman"/>
          <w:sz w:val="20"/>
        </w:rPr>
      </w:pPr>
      <w:r>
        <w:rPr>
          <w:rFonts w:ascii="Times New Roman" w:hAnsi="Times New Roman"/>
          <w:sz w:val="20"/>
        </w:rPr>
        <w:t xml:space="preserve">1954 Greenspring Drive </w:t>
      </w:r>
    </w:p>
    <w:p>
      <w:pPr>
        <w:pStyle w:val="TextBody"/>
        <w:bidi w:val="0"/>
        <w:spacing w:before="0" w:after="0"/>
        <w:jc w:val="left"/>
        <w:rPr>
          <w:rFonts w:ascii="Times New Roman" w:hAnsi="Times New Roman"/>
          <w:sz w:val="20"/>
        </w:rPr>
      </w:pPr>
      <w:r>
        <w:rPr>
          <w:rFonts w:ascii="Times New Roman" w:hAnsi="Times New Roman"/>
          <w:sz w:val="20"/>
        </w:rPr>
        <w:t xml:space="preserve">Suite 600 </w:t>
      </w:r>
    </w:p>
    <w:p>
      <w:pPr>
        <w:pStyle w:val="TextBody"/>
        <w:bidi w:val="0"/>
        <w:spacing w:before="0" w:after="0"/>
        <w:jc w:val="left"/>
        <w:rPr>
          <w:rFonts w:ascii="Times New Roman" w:hAnsi="Times New Roman"/>
          <w:sz w:val="20"/>
        </w:rPr>
      </w:pPr>
      <w:r>
        <w:rPr>
          <w:rFonts w:ascii="Times New Roman" w:hAnsi="Times New Roman"/>
          <w:sz w:val="20"/>
        </w:rPr>
        <w:t xml:space="preserve">Timonium, Maryland 21093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360" w:after="0"/>
        <w:jc w:val="left"/>
        <w:rPr>
          <w:rFonts w:ascii="Times New Roman" w:hAnsi="Times New Roman"/>
          <w:b/>
          <w:sz w:val="20"/>
        </w:rPr>
      </w:pPr>
      <w:r>
        <w:rPr>
          <w:rFonts w:ascii="Times New Roman" w:hAnsi="Times New Roman"/>
          <w:b/>
          <w:sz w:val="20"/>
        </w:rPr>
        <w:t xml:space="preserve">T. Rowe Price New Horizons Fund, Inc. </w:t>
      </w:r>
    </w:p>
    <w:p>
      <w:pPr>
        <w:pStyle w:val="TextBody"/>
        <w:bidi w:val="0"/>
        <w:spacing w:before="0" w:after="0"/>
        <w:jc w:val="left"/>
        <w:rPr>
          <w:rFonts w:ascii="Times New Roman" w:hAnsi="Times New Roman"/>
          <w:b/>
          <w:sz w:val="20"/>
        </w:rPr>
      </w:pPr>
      <w:r>
        <w:rPr>
          <w:rFonts w:ascii="Times New Roman" w:hAnsi="Times New Roman"/>
          <w:b/>
          <w:sz w:val="20"/>
        </w:rPr>
        <w:t xml:space="preserve">T. Rowe Price New Horizons Trust </w:t>
      </w:r>
    </w:p>
    <w:p>
      <w:pPr>
        <w:pStyle w:val="TextBody"/>
        <w:bidi w:val="0"/>
        <w:spacing w:before="0" w:after="0"/>
        <w:jc w:val="left"/>
        <w:rPr>
          <w:rFonts w:ascii="Times New Roman" w:hAnsi="Times New Roman"/>
          <w:b/>
          <w:sz w:val="20"/>
        </w:rPr>
      </w:pPr>
      <w:r>
        <w:rPr>
          <w:rFonts w:ascii="Times New Roman" w:hAnsi="Times New Roman"/>
          <w:b/>
          <w:sz w:val="20"/>
        </w:rPr>
        <w:t xml:space="preserve">T. Rowe Price U.S. Equities Trust </w:t>
      </w:r>
    </w:p>
    <w:p>
      <w:pPr>
        <w:pStyle w:val="TextBody"/>
        <w:bidi w:val="0"/>
        <w:spacing w:before="0" w:after="0"/>
        <w:jc w:val="left"/>
        <w:rPr>
          <w:rFonts w:ascii="Times New Roman" w:hAnsi="Times New Roman"/>
          <w:b/>
          <w:sz w:val="20"/>
        </w:rPr>
      </w:pPr>
      <w:r>
        <w:rPr>
          <w:rFonts w:ascii="Times New Roman" w:hAnsi="Times New Roman"/>
          <w:b/>
          <w:sz w:val="20"/>
        </w:rPr>
        <w:t xml:space="preserve">MassMutual Select Funds - MassMutual Select T. Rowe Price Small and Mid Cap Blend Fund </w:t>
      </w:r>
    </w:p>
    <w:p>
      <w:pPr>
        <w:pStyle w:val="TextBody"/>
        <w:bidi w:val="0"/>
        <w:spacing w:before="0" w:after="0"/>
        <w:jc w:val="left"/>
        <w:rPr>
          <w:rFonts w:ascii="Times New Roman" w:hAnsi="Times New Roman"/>
          <w:b/>
          <w:sz w:val="20"/>
        </w:rPr>
      </w:pPr>
      <w:r>
        <w:rPr>
          <w:rFonts w:ascii="Times New Roman" w:hAnsi="Times New Roman"/>
          <w:b/>
          <w:sz w:val="20"/>
        </w:rPr>
        <w:t xml:space="preserve">T. Rowe Price Health Sciences Fund, Inc. </w:t>
      </w:r>
    </w:p>
    <w:p>
      <w:pPr>
        <w:pStyle w:val="TextBody"/>
        <w:bidi w:val="0"/>
        <w:spacing w:before="0" w:after="0"/>
        <w:jc w:val="left"/>
        <w:rPr>
          <w:rFonts w:ascii="Times New Roman" w:hAnsi="Times New Roman"/>
          <w:b/>
          <w:sz w:val="20"/>
        </w:rPr>
      </w:pPr>
      <w:r>
        <w:rPr>
          <w:rFonts w:ascii="Times New Roman" w:hAnsi="Times New Roman"/>
          <w:b/>
          <w:sz w:val="20"/>
        </w:rPr>
        <w:t xml:space="preserve">TD Mutual Funds - TD Health Sciences Fund </w:t>
      </w:r>
    </w:p>
    <w:p>
      <w:pPr>
        <w:pStyle w:val="TextBody"/>
        <w:bidi w:val="0"/>
        <w:spacing w:before="0" w:after="0"/>
        <w:jc w:val="left"/>
        <w:rPr>
          <w:rFonts w:ascii="Times New Roman" w:hAnsi="Times New Roman"/>
          <w:b/>
          <w:sz w:val="20"/>
        </w:rPr>
      </w:pPr>
      <w:r>
        <w:rPr>
          <w:rFonts w:ascii="Times New Roman" w:hAnsi="Times New Roman"/>
          <w:b/>
          <w:sz w:val="20"/>
        </w:rPr>
        <w:t xml:space="preserve">VALIC Company I - Health Sciences Fund </w:t>
      </w:r>
    </w:p>
    <w:p>
      <w:pPr>
        <w:pStyle w:val="TextBody"/>
        <w:bidi w:val="0"/>
        <w:spacing w:before="0" w:after="0"/>
        <w:jc w:val="left"/>
        <w:rPr>
          <w:rFonts w:ascii="Times New Roman" w:hAnsi="Times New Roman"/>
          <w:b/>
          <w:sz w:val="20"/>
        </w:rPr>
      </w:pPr>
      <w:r>
        <w:rPr>
          <w:rFonts w:ascii="Times New Roman" w:hAnsi="Times New Roman"/>
          <w:b/>
          <w:sz w:val="20"/>
        </w:rPr>
        <w:t xml:space="preserve">T. Rowe Price Health Sciences Portfolio </w:t>
      </w:r>
    </w:p>
    <w:p>
      <w:pPr>
        <w:pStyle w:val="TextBody"/>
        <w:bidi w:val="0"/>
        <w:spacing w:before="0" w:after="0"/>
        <w:jc w:val="left"/>
        <w:rPr>
          <w:rFonts w:ascii="Times New Roman" w:hAnsi="Times New Roman"/>
          <w:sz w:val="20"/>
        </w:rPr>
      </w:pPr>
      <w:r>
        <w:rPr>
          <w:rFonts w:ascii="Times New Roman" w:hAnsi="Times New Roman"/>
          <w:sz w:val="20"/>
        </w:rPr>
        <w:t xml:space="preserve">c/o T. Rowe Price Associates, Inc. </w:t>
      </w:r>
    </w:p>
    <w:p>
      <w:pPr>
        <w:pStyle w:val="TextBody"/>
        <w:bidi w:val="0"/>
        <w:spacing w:before="0" w:after="0"/>
        <w:jc w:val="left"/>
        <w:rPr>
          <w:rFonts w:ascii="Times New Roman" w:hAnsi="Times New Roman"/>
          <w:sz w:val="20"/>
        </w:rPr>
      </w:pPr>
      <w:r>
        <w:rPr>
          <w:rFonts w:ascii="Times New Roman" w:hAnsi="Times New Roman"/>
          <w:sz w:val="20"/>
        </w:rPr>
        <w:t xml:space="preserve">100 East Pratt Street </w:t>
      </w:r>
    </w:p>
    <w:p>
      <w:pPr>
        <w:pStyle w:val="TextBody"/>
        <w:bidi w:val="0"/>
        <w:spacing w:before="0" w:after="0"/>
        <w:jc w:val="left"/>
        <w:rPr>
          <w:rFonts w:ascii="Times New Roman" w:hAnsi="Times New Roman"/>
          <w:sz w:val="20"/>
        </w:rPr>
      </w:pPr>
      <w:r>
        <w:rPr>
          <w:rFonts w:ascii="Times New Roman" w:hAnsi="Times New Roman"/>
          <w:sz w:val="20"/>
        </w:rPr>
        <w:t xml:space="preserve">Baltimore, MD 21202 </w:t>
      </w:r>
    </w:p>
    <w:p>
      <w:pPr>
        <w:pStyle w:val="TextBody"/>
        <w:bidi w:val="0"/>
        <w:spacing w:before="0" w:after="0"/>
        <w:jc w:val="left"/>
        <w:rPr>
          <w:rFonts w:ascii="Times New Roman" w:hAnsi="Times New Roman"/>
          <w:sz w:val="20"/>
        </w:rPr>
      </w:pPr>
      <w:r>
        <w:rPr>
          <w:rFonts w:ascii="Times New Roman" w:hAnsi="Times New Roman"/>
          <w:sz w:val="20"/>
        </w:rPr>
        <w:t xml:space="preserve">Attn: Andrew Baek, Vice President </w:t>
      </w:r>
    </w:p>
    <w:p>
      <w:pPr>
        <w:pStyle w:val="TextBody"/>
        <w:bidi w:val="0"/>
        <w:spacing w:before="360" w:after="0"/>
        <w:jc w:val="left"/>
        <w:rPr>
          <w:rFonts w:ascii="Times New Roman" w:hAnsi="Times New Roman"/>
          <w:b/>
          <w:sz w:val="20"/>
        </w:rPr>
      </w:pPr>
      <w:r>
        <w:rPr>
          <w:rFonts w:ascii="Times New Roman" w:hAnsi="Times New Roman"/>
          <w:b/>
          <w:sz w:val="20"/>
        </w:rPr>
        <w:t xml:space="preserve">Revolution Growth III, LP </w:t>
      </w:r>
    </w:p>
    <w:p>
      <w:pPr>
        <w:pStyle w:val="TextBody"/>
        <w:bidi w:val="0"/>
        <w:spacing w:before="0" w:after="0"/>
        <w:jc w:val="left"/>
        <w:rPr>
          <w:rFonts w:ascii="Times New Roman" w:hAnsi="Times New Roman"/>
          <w:sz w:val="20"/>
        </w:rPr>
      </w:pPr>
      <w:r>
        <w:rPr>
          <w:rFonts w:ascii="Times New Roman" w:hAnsi="Times New Roman"/>
          <w:sz w:val="20"/>
        </w:rPr>
        <w:t xml:space="preserve">1717 Rhode Island Ave. NW </w:t>
      </w:r>
    </w:p>
    <w:p>
      <w:pPr>
        <w:pStyle w:val="TextBody"/>
        <w:bidi w:val="0"/>
        <w:spacing w:before="0" w:after="0"/>
        <w:jc w:val="left"/>
        <w:rPr>
          <w:rFonts w:ascii="Times New Roman" w:hAnsi="Times New Roman"/>
          <w:sz w:val="20"/>
        </w:rPr>
      </w:pPr>
      <w:r>
        <w:rPr>
          <w:rFonts w:ascii="Times New Roman" w:hAnsi="Times New Roman"/>
          <w:sz w:val="20"/>
        </w:rPr>
        <w:t xml:space="preserve">Suite 1000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20036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360" w:after="0"/>
        <w:jc w:val="left"/>
        <w:rPr>
          <w:rFonts w:ascii="Times New Roman" w:hAnsi="Times New Roman"/>
          <w:b/>
          <w:sz w:val="20"/>
        </w:rPr>
      </w:pPr>
      <w:r>
        <w:rPr>
          <w:rFonts w:ascii="Times New Roman" w:hAnsi="Times New Roman"/>
          <w:b/>
          <w:sz w:val="20"/>
        </w:rPr>
        <w:t xml:space="preserve">Praxitela Ventures LLC </w:t>
      </w:r>
    </w:p>
    <w:p>
      <w:pPr>
        <w:pStyle w:val="TextBody"/>
        <w:bidi w:val="0"/>
        <w:spacing w:before="0" w:after="0"/>
        <w:jc w:val="left"/>
        <w:rPr>
          <w:rFonts w:ascii="Times New Roman" w:hAnsi="Times New Roman"/>
          <w:sz w:val="20"/>
        </w:rPr>
      </w:pPr>
      <w:r>
        <w:rPr>
          <w:rFonts w:ascii="Times New Roman" w:hAnsi="Times New Roman"/>
          <w:sz w:val="20"/>
        </w:rPr>
        <w:t xml:space="preserve">751 Laurel Street, No. 717 </w:t>
      </w:r>
    </w:p>
    <w:p>
      <w:pPr>
        <w:pStyle w:val="TextBody"/>
        <w:bidi w:val="0"/>
        <w:spacing w:before="0" w:after="0"/>
        <w:jc w:val="left"/>
        <w:rPr>
          <w:rFonts w:ascii="Times New Roman" w:hAnsi="Times New Roman"/>
          <w:sz w:val="20"/>
        </w:rPr>
      </w:pPr>
      <w:r>
        <w:rPr>
          <w:rFonts w:ascii="Times New Roman" w:hAnsi="Times New Roman"/>
          <w:sz w:val="20"/>
        </w:rPr>
        <w:t xml:space="preserve">San Carlos, California 94070 </w:t>
      </w:r>
    </w:p>
    <w:p>
      <w:pPr>
        <w:pStyle w:val="TextBody"/>
        <w:bidi w:val="0"/>
        <w:spacing w:before="0" w:after="0"/>
        <w:jc w:val="left"/>
        <w:rPr>
          <w:rFonts w:ascii="Times New Roman" w:hAnsi="Times New Roman"/>
          <w:sz w:val="20"/>
        </w:rPr>
      </w:pPr>
      <w:r>
        <w:rPr>
          <w:rFonts w:ascii="Times New Roman" w:hAnsi="Times New Roman"/>
          <w:sz w:val="20"/>
        </w:rPr>
        <w:t xml:space="preserve">Attention: Barbara S. Hager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SFT Private Equity LLC (2016) </w:t>
      </w:r>
    </w:p>
    <w:p>
      <w:pPr>
        <w:pStyle w:val="TextBody"/>
        <w:bidi w:val="0"/>
        <w:spacing w:before="0" w:after="0"/>
        <w:jc w:val="left"/>
        <w:rPr>
          <w:rFonts w:ascii="Times New Roman" w:hAnsi="Times New Roman"/>
          <w:b/>
          <w:sz w:val="20"/>
        </w:rPr>
      </w:pPr>
      <w:r>
        <w:rPr>
          <w:rFonts w:ascii="Times New Roman" w:hAnsi="Times New Roman"/>
          <w:b/>
          <w:sz w:val="20"/>
        </w:rPr>
        <w:t xml:space="preserve">SCT 2018 LLC </w:t>
      </w:r>
    </w:p>
    <w:p>
      <w:pPr>
        <w:pStyle w:val="TextBody"/>
        <w:bidi w:val="0"/>
        <w:spacing w:before="0" w:after="0"/>
        <w:jc w:val="left"/>
        <w:rPr>
          <w:rFonts w:ascii="Times New Roman" w:hAnsi="Times New Roman"/>
          <w:b/>
          <w:sz w:val="20"/>
        </w:rPr>
      </w:pPr>
      <w:r>
        <w:rPr>
          <w:rFonts w:ascii="Times New Roman" w:hAnsi="Times New Roman"/>
          <w:b/>
          <w:sz w:val="20"/>
        </w:rPr>
        <w:t xml:space="preserve">John G. Searle Charitable Trusts Partnership </w:t>
      </w:r>
    </w:p>
    <w:p>
      <w:pPr>
        <w:pStyle w:val="TextBody"/>
        <w:bidi w:val="0"/>
        <w:spacing w:before="0" w:after="0"/>
        <w:jc w:val="left"/>
        <w:rPr>
          <w:rFonts w:ascii="Times New Roman" w:hAnsi="Times New Roman"/>
          <w:b/>
          <w:sz w:val="20"/>
        </w:rPr>
      </w:pPr>
      <w:r>
        <w:rPr>
          <w:rFonts w:ascii="Times New Roman" w:hAnsi="Times New Roman"/>
          <w:b/>
          <w:sz w:val="20"/>
        </w:rPr>
        <w:t xml:space="preserve">Frances C. Searle Charitable Trusts Partnership </w:t>
      </w:r>
    </w:p>
    <w:p>
      <w:pPr>
        <w:pStyle w:val="TextBody"/>
        <w:bidi w:val="0"/>
        <w:spacing w:before="0" w:after="0"/>
        <w:jc w:val="left"/>
        <w:rPr>
          <w:rFonts w:ascii="Times New Roman" w:hAnsi="Times New Roman"/>
          <w:b/>
          <w:sz w:val="20"/>
        </w:rPr>
      </w:pPr>
      <w:r>
        <w:rPr>
          <w:rFonts w:ascii="Times New Roman" w:hAnsi="Times New Roman"/>
          <w:b/>
          <w:sz w:val="20"/>
        </w:rPr>
        <w:t xml:space="preserve">KTC Alternatives Fund IV LLC </w:t>
      </w:r>
    </w:p>
    <w:p>
      <w:pPr>
        <w:pStyle w:val="TextBody"/>
        <w:bidi w:val="0"/>
        <w:spacing w:before="0" w:after="0"/>
        <w:jc w:val="left"/>
        <w:rPr>
          <w:rFonts w:ascii="Times New Roman" w:hAnsi="Times New Roman"/>
          <w:b/>
          <w:sz w:val="20"/>
        </w:rPr>
      </w:pPr>
      <w:r>
        <w:rPr>
          <w:rFonts w:ascii="Times New Roman" w:hAnsi="Times New Roman"/>
          <w:b/>
          <w:sz w:val="20"/>
        </w:rPr>
        <w:t xml:space="preserve">KTC Alternatives Fund V LLC </w:t>
      </w:r>
    </w:p>
    <w:p>
      <w:pPr>
        <w:pStyle w:val="TextBody"/>
        <w:bidi w:val="0"/>
        <w:spacing w:before="0" w:after="0"/>
        <w:jc w:val="left"/>
        <w:rPr>
          <w:rFonts w:ascii="Times New Roman" w:hAnsi="Times New Roman"/>
          <w:sz w:val="20"/>
        </w:rPr>
      </w:pPr>
      <w:r>
        <w:rPr>
          <w:rFonts w:ascii="Times New Roman" w:hAnsi="Times New Roman"/>
          <w:sz w:val="20"/>
        </w:rPr>
        <w:t xml:space="preserve">c/o Kinship Trust Company, LLC </w:t>
      </w:r>
    </w:p>
    <w:p>
      <w:pPr>
        <w:pStyle w:val="TextBody"/>
        <w:bidi w:val="0"/>
        <w:spacing w:before="0" w:after="0"/>
        <w:jc w:val="left"/>
        <w:rPr>
          <w:rFonts w:ascii="Times New Roman" w:hAnsi="Times New Roman"/>
          <w:sz w:val="20"/>
        </w:rPr>
      </w:pPr>
      <w:r>
        <w:rPr>
          <w:rFonts w:ascii="Times New Roman" w:hAnsi="Times New Roman"/>
          <w:sz w:val="20"/>
        </w:rPr>
        <w:t xml:space="preserve">225 West Washington, 28th Floor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Attn: Chris Lucchetti </w:t>
      </w:r>
    </w:p>
    <w:p>
      <w:pPr>
        <w:pStyle w:val="TextBody"/>
        <w:bidi w:val="0"/>
        <w:spacing w:before="360" w:after="0"/>
        <w:jc w:val="left"/>
        <w:rPr>
          <w:rFonts w:ascii="Times New Roman" w:hAnsi="Times New Roman"/>
          <w:b/>
          <w:sz w:val="20"/>
        </w:rPr>
      </w:pPr>
      <w:r>
        <w:rPr>
          <w:rFonts w:ascii="Times New Roman" w:hAnsi="Times New Roman"/>
          <w:b/>
          <w:sz w:val="20"/>
        </w:rPr>
        <w:t xml:space="preserve">Scottish Mortgage Investment Trust plc </w:t>
      </w:r>
    </w:p>
    <w:p>
      <w:pPr>
        <w:pStyle w:val="TextBody"/>
        <w:bidi w:val="0"/>
        <w:spacing w:before="0" w:after="0"/>
        <w:jc w:val="left"/>
        <w:rPr>
          <w:rFonts w:ascii="Times New Roman" w:hAnsi="Times New Roman"/>
          <w:b/>
          <w:sz w:val="20"/>
        </w:rPr>
      </w:pPr>
      <w:r>
        <w:rPr>
          <w:rFonts w:ascii="Times New Roman" w:hAnsi="Times New Roman"/>
          <w:b/>
          <w:sz w:val="20"/>
        </w:rPr>
        <w:t xml:space="preserve">The Schiehallion Fund Limited </w:t>
      </w:r>
    </w:p>
    <w:p>
      <w:pPr>
        <w:pStyle w:val="TextBody"/>
        <w:bidi w:val="0"/>
        <w:spacing w:before="0" w:after="0"/>
        <w:jc w:val="left"/>
        <w:rPr>
          <w:rFonts w:ascii="Times New Roman" w:hAnsi="Times New Roman"/>
          <w:sz w:val="20"/>
        </w:rPr>
      </w:pPr>
      <w:r>
        <w:rPr>
          <w:rFonts w:ascii="Times New Roman" w:hAnsi="Times New Roman"/>
          <w:sz w:val="20"/>
        </w:rPr>
        <w:t xml:space="preserve">c/o Baillie Gifford &amp; Co. </w:t>
      </w:r>
    </w:p>
    <w:p>
      <w:pPr>
        <w:pStyle w:val="TextBody"/>
        <w:bidi w:val="0"/>
        <w:spacing w:before="0" w:after="0"/>
        <w:jc w:val="left"/>
        <w:rPr>
          <w:rFonts w:ascii="Times New Roman" w:hAnsi="Times New Roman"/>
          <w:sz w:val="20"/>
        </w:rPr>
      </w:pPr>
      <w:r>
        <w:rPr>
          <w:rFonts w:ascii="Times New Roman" w:hAnsi="Times New Roman"/>
          <w:sz w:val="20"/>
        </w:rPr>
        <w:t xml:space="preserve">Calton Square, 1 Greenside Row </w:t>
      </w:r>
    </w:p>
    <w:p>
      <w:pPr>
        <w:pStyle w:val="TextBody"/>
        <w:bidi w:val="0"/>
        <w:spacing w:before="0" w:after="0"/>
        <w:jc w:val="left"/>
        <w:rPr>
          <w:rFonts w:ascii="Times New Roman" w:hAnsi="Times New Roman"/>
          <w:sz w:val="20"/>
        </w:rPr>
      </w:pPr>
      <w:r>
        <w:rPr>
          <w:rFonts w:ascii="Times New Roman" w:hAnsi="Times New Roman"/>
          <w:sz w:val="20"/>
        </w:rPr>
        <w:t xml:space="preserve">Edinburgh EH1 3AN </w:t>
      </w:r>
    </w:p>
    <w:p>
      <w:pPr>
        <w:pStyle w:val="TextBody"/>
        <w:bidi w:val="0"/>
        <w:spacing w:before="0" w:after="0"/>
        <w:jc w:val="left"/>
        <w:rPr>
          <w:rFonts w:ascii="Times New Roman" w:hAnsi="Times New Roman"/>
          <w:sz w:val="20"/>
        </w:rPr>
      </w:pPr>
      <w:r>
        <w:rPr>
          <w:rFonts w:ascii="Times New Roman" w:hAnsi="Times New Roman"/>
          <w:sz w:val="20"/>
        </w:rPr>
        <w:t xml:space="preserve">Scotland, the United Kingdom </w:t>
      </w:r>
    </w:p>
    <w:p>
      <w:pPr>
        <w:pStyle w:val="TextBody"/>
        <w:bidi w:val="0"/>
        <w:spacing w:before="360" w:after="0"/>
        <w:jc w:val="left"/>
        <w:rPr>
          <w:rFonts w:ascii="Times New Roman" w:hAnsi="Times New Roman"/>
          <w:b/>
          <w:sz w:val="20"/>
        </w:rPr>
      </w:pPr>
      <w:r>
        <w:rPr>
          <w:rFonts w:ascii="Times New Roman" w:hAnsi="Times New Roman"/>
          <w:b/>
          <w:sz w:val="20"/>
        </w:rPr>
        <w:t xml:space="preserve">Teacher Retirement System of Texas, a public pension fund and entity of the State of Texas </w:t>
      </w:r>
    </w:p>
    <w:p>
      <w:pPr>
        <w:pStyle w:val="TextBody"/>
        <w:bidi w:val="0"/>
        <w:spacing w:before="0" w:after="0"/>
        <w:jc w:val="left"/>
        <w:rPr>
          <w:rFonts w:ascii="Times New Roman" w:hAnsi="Times New Roman"/>
          <w:sz w:val="20"/>
        </w:rPr>
      </w:pPr>
      <w:r>
        <w:rPr>
          <w:rFonts w:ascii="Times New Roman" w:hAnsi="Times New Roman"/>
          <w:sz w:val="20"/>
        </w:rPr>
        <w:t xml:space="preserve">1000 Red River Street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78701-2698 </w:t>
      </w:r>
    </w:p>
    <w:p>
      <w:pPr>
        <w:pStyle w:val="TextBody"/>
        <w:bidi w:val="0"/>
        <w:spacing w:before="360" w:after="0"/>
        <w:jc w:val="left"/>
        <w:rPr>
          <w:rFonts w:ascii="Times New Roman" w:hAnsi="Times New Roman"/>
          <w:b/>
          <w:sz w:val="20"/>
        </w:rPr>
      </w:pPr>
      <w:r>
        <w:rPr>
          <w:rFonts w:ascii="Times New Roman" w:hAnsi="Times New Roman"/>
          <w:b/>
          <w:sz w:val="20"/>
        </w:rPr>
        <w:t xml:space="preserve">Novo Holdings A/S </w:t>
      </w:r>
    </w:p>
    <w:p>
      <w:pPr>
        <w:pStyle w:val="TextBody"/>
        <w:bidi w:val="0"/>
        <w:spacing w:before="0" w:after="0"/>
        <w:jc w:val="left"/>
        <w:rPr>
          <w:rFonts w:ascii="Times New Roman" w:hAnsi="Times New Roman"/>
          <w:sz w:val="20"/>
        </w:rPr>
      </w:pPr>
      <w:r>
        <w:rPr>
          <w:rFonts w:ascii="Times New Roman" w:hAnsi="Times New Roman"/>
          <w:sz w:val="20"/>
        </w:rPr>
        <w:t xml:space="preserve">Tuborg Havnevej 19 </w:t>
      </w:r>
    </w:p>
    <w:p>
      <w:pPr>
        <w:pStyle w:val="TextBody"/>
        <w:bidi w:val="0"/>
        <w:spacing w:before="0" w:after="0"/>
        <w:jc w:val="left"/>
        <w:rPr>
          <w:rFonts w:ascii="Times New Roman" w:hAnsi="Times New Roman"/>
          <w:sz w:val="20"/>
        </w:rPr>
      </w:pPr>
      <w:r>
        <w:rPr>
          <w:rFonts w:ascii="Times New Roman" w:hAnsi="Times New Roman"/>
          <w:sz w:val="20"/>
        </w:rPr>
        <w:t xml:space="preserve">DK-2900 Hellerup </w:t>
      </w:r>
    </w:p>
    <w:p>
      <w:pPr>
        <w:pStyle w:val="TextBody"/>
        <w:bidi w:val="0"/>
        <w:spacing w:before="0" w:after="0"/>
        <w:jc w:val="left"/>
        <w:rPr>
          <w:rFonts w:ascii="Times New Roman" w:hAnsi="Times New Roman"/>
          <w:sz w:val="20"/>
        </w:rPr>
      </w:pPr>
      <w:r>
        <w:rPr>
          <w:rFonts w:ascii="Times New Roman" w:hAnsi="Times New Roman"/>
          <w:sz w:val="20"/>
        </w:rPr>
        <w:t xml:space="preserve">Denmark </w:t>
      </w:r>
    </w:p>
    <w:p>
      <w:pPr>
        <w:pStyle w:val="TextBody"/>
        <w:bidi w:val="0"/>
        <w:spacing w:before="0" w:after="0"/>
        <w:jc w:val="left"/>
        <w:rPr>
          <w:rFonts w:ascii="Times New Roman" w:hAnsi="Times New Roman"/>
          <w:sz w:val="20"/>
        </w:rPr>
      </w:pPr>
      <w:r>
        <w:rPr>
          <w:rFonts w:ascii="Times New Roman" w:hAnsi="Times New Roman"/>
          <w:sz w:val="20"/>
        </w:rPr>
        <w:t xml:space="preserve">Attention: Robert Ghenchev </w:t>
      </w:r>
    </w:p>
    <w:p>
      <w:pPr>
        <w:pStyle w:val="TextBody"/>
        <w:bidi w:val="0"/>
        <w:spacing w:before="360" w:after="0"/>
        <w:jc w:val="left"/>
        <w:rPr>
          <w:rFonts w:ascii="Times New Roman" w:hAnsi="Times New Roman"/>
          <w:b/>
          <w:sz w:val="20"/>
        </w:rPr>
      </w:pPr>
      <w:r>
        <w:rPr>
          <w:rFonts w:ascii="Times New Roman" w:hAnsi="Times New Roman"/>
          <w:b/>
          <w:sz w:val="20"/>
        </w:rPr>
        <w:t xml:space="preserve">Franklin Strategic Series  Franklin Growth Opportunities Fund </w:t>
      </w:r>
    </w:p>
    <w:p>
      <w:pPr>
        <w:pStyle w:val="TextBody"/>
        <w:bidi w:val="0"/>
        <w:spacing w:before="0" w:after="0"/>
        <w:jc w:val="left"/>
        <w:rPr>
          <w:rFonts w:ascii="Times New Roman" w:hAnsi="Times New Roman"/>
          <w:b/>
          <w:sz w:val="20"/>
        </w:rPr>
      </w:pPr>
      <w:r>
        <w:rPr>
          <w:rFonts w:ascii="Times New Roman" w:hAnsi="Times New Roman"/>
          <w:b/>
          <w:sz w:val="20"/>
        </w:rPr>
        <w:t xml:space="preserve">Franklin Templeton Investment Funds  Franklin U.S. Opportunities Fund </w:t>
      </w:r>
    </w:p>
    <w:p>
      <w:pPr>
        <w:pStyle w:val="TextBody"/>
        <w:bidi w:val="0"/>
        <w:spacing w:before="0" w:after="0"/>
        <w:jc w:val="left"/>
        <w:rPr>
          <w:rFonts w:ascii="Times New Roman" w:hAnsi="Times New Roman"/>
          <w:b/>
          <w:sz w:val="20"/>
        </w:rPr>
      </w:pPr>
      <w:r>
        <w:rPr>
          <w:rFonts w:ascii="Times New Roman" w:hAnsi="Times New Roman"/>
          <w:b/>
          <w:sz w:val="20"/>
        </w:rPr>
        <w:t xml:space="preserve">Franklin Templeton Investment Funds  Franklin Technology Fund </w:t>
      </w:r>
    </w:p>
    <w:p>
      <w:pPr>
        <w:pStyle w:val="TextBody"/>
        <w:bidi w:val="0"/>
        <w:spacing w:before="0" w:after="0"/>
        <w:jc w:val="left"/>
        <w:rPr>
          <w:rFonts w:ascii="Times New Roman" w:hAnsi="Times New Roman"/>
          <w:sz w:val="20"/>
        </w:rPr>
      </w:pPr>
      <w:r>
        <w:rPr>
          <w:rFonts w:ascii="Times New Roman" w:hAnsi="Times New Roman"/>
          <w:sz w:val="20"/>
        </w:rPr>
        <w:t xml:space="preserve">One Franklin Parkway, Building 920 </w:t>
      </w:r>
    </w:p>
    <w:p>
      <w:pPr>
        <w:pStyle w:val="TextBody"/>
        <w:bidi w:val="0"/>
        <w:spacing w:before="0" w:after="0"/>
        <w:jc w:val="left"/>
        <w:rPr>
          <w:rFonts w:ascii="Times New Roman" w:hAnsi="Times New Roman"/>
          <w:sz w:val="20"/>
        </w:rPr>
      </w:pPr>
      <w:r>
        <w:rPr>
          <w:rFonts w:ascii="Times New Roman" w:hAnsi="Times New Roman"/>
          <w:sz w:val="20"/>
        </w:rPr>
        <w:t xml:space="preserve">San Mateo, California 94403 </w:t>
      </w:r>
    </w:p>
    <w:p>
      <w:pPr>
        <w:pStyle w:val="TextBody"/>
        <w:bidi w:val="0"/>
        <w:spacing w:before="360" w:after="0"/>
        <w:jc w:val="left"/>
        <w:rPr>
          <w:rFonts w:ascii="Times New Roman" w:hAnsi="Times New Roman"/>
          <w:b/>
          <w:sz w:val="20"/>
        </w:rPr>
      </w:pPr>
      <w:r>
        <w:rPr>
          <w:rFonts w:ascii="Times New Roman" w:hAnsi="Times New Roman"/>
          <w:b/>
          <w:sz w:val="20"/>
        </w:rPr>
        <w:t xml:space="preserve">RFG-Sunflower LLC </w:t>
      </w:r>
    </w:p>
    <w:p>
      <w:pPr>
        <w:pStyle w:val="TextBody"/>
        <w:bidi w:val="0"/>
        <w:spacing w:before="0" w:after="0"/>
        <w:jc w:val="left"/>
        <w:rPr>
          <w:rFonts w:ascii="Times New Roman" w:hAnsi="Times New Roman"/>
          <w:sz w:val="20"/>
        </w:rPr>
      </w:pPr>
      <w:r>
        <w:rPr>
          <w:rFonts w:ascii="Times New Roman" w:hAnsi="Times New Roman"/>
          <w:sz w:val="20"/>
        </w:rPr>
        <w:t xml:space="preserve">c/o RFG Financial Group, Inc. </w:t>
      </w:r>
    </w:p>
    <w:p>
      <w:pPr>
        <w:pStyle w:val="TextBody"/>
        <w:bidi w:val="0"/>
        <w:spacing w:before="0" w:after="0"/>
        <w:jc w:val="left"/>
        <w:rPr>
          <w:rFonts w:ascii="Times New Roman" w:hAnsi="Times New Roman"/>
          <w:sz w:val="20"/>
        </w:rPr>
      </w:pPr>
      <w:r>
        <w:rPr>
          <w:rFonts w:ascii="Times New Roman" w:hAnsi="Times New Roman"/>
          <w:sz w:val="20"/>
        </w:rPr>
        <w:t xml:space="preserve">1250 Fourth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Santa Monica, CA 90401 </w:t>
      </w:r>
    </w:p>
    <w:p>
      <w:pPr>
        <w:pStyle w:val="TextBody"/>
        <w:bidi w:val="0"/>
        <w:spacing w:before="360" w:after="0"/>
        <w:jc w:val="left"/>
        <w:rPr>
          <w:rFonts w:ascii="Times New Roman" w:hAnsi="Times New Roman"/>
          <w:b/>
          <w:sz w:val="20"/>
        </w:rPr>
      </w:pPr>
      <w:r>
        <w:rPr>
          <w:rFonts w:ascii="Times New Roman" w:hAnsi="Times New Roman"/>
          <w:b/>
          <w:sz w:val="20"/>
        </w:rPr>
        <w:t xml:space="preserve">RFG-Hazel LLC </w:t>
      </w:r>
    </w:p>
    <w:p>
      <w:pPr>
        <w:pStyle w:val="TextBody"/>
        <w:bidi w:val="0"/>
        <w:spacing w:before="0" w:after="0"/>
        <w:jc w:val="left"/>
        <w:rPr>
          <w:rFonts w:ascii="Times New Roman" w:hAnsi="Times New Roman"/>
          <w:sz w:val="20"/>
        </w:rPr>
      </w:pPr>
      <w:r>
        <w:rPr>
          <w:rFonts w:ascii="Times New Roman" w:hAnsi="Times New Roman"/>
          <w:sz w:val="20"/>
        </w:rPr>
        <w:t xml:space="preserve">c/o RFG Financial Group, Inc. </w:t>
      </w:r>
    </w:p>
    <w:p>
      <w:pPr>
        <w:pStyle w:val="TextBody"/>
        <w:bidi w:val="0"/>
        <w:spacing w:before="0" w:after="0"/>
        <w:jc w:val="left"/>
        <w:rPr>
          <w:rFonts w:ascii="Times New Roman" w:hAnsi="Times New Roman"/>
          <w:sz w:val="20"/>
        </w:rPr>
      </w:pPr>
      <w:r>
        <w:rPr>
          <w:rFonts w:ascii="Times New Roman" w:hAnsi="Times New Roman"/>
          <w:sz w:val="20"/>
        </w:rPr>
        <w:t xml:space="preserve">1250 Fourth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Santa Monica, CA 90401 </w:t>
      </w:r>
    </w:p>
    <w:p>
      <w:pPr>
        <w:pStyle w:val="TextBody"/>
        <w:bidi w:val="0"/>
        <w:spacing w:before="360" w:after="0"/>
        <w:jc w:val="left"/>
        <w:rPr>
          <w:rFonts w:ascii="Times New Roman" w:hAnsi="Times New Roman"/>
          <w:b/>
          <w:sz w:val="20"/>
        </w:rPr>
      </w:pPr>
      <w:r>
        <w:rPr>
          <w:rFonts w:ascii="Times New Roman" w:hAnsi="Times New Roman"/>
          <w:b/>
          <w:sz w:val="20"/>
        </w:rPr>
        <w:t xml:space="preserve">Google LLC </w:t>
      </w:r>
    </w:p>
    <w:p>
      <w:pPr>
        <w:pStyle w:val="TextBody"/>
        <w:bidi w:val="0"/>
        <w:spacing w:before="0" w:after="0"/>
        <w:jc w:val="left"/>
        <w:rPr>
          <w:rFonts w:ascii="Times New Roman" w:hAnsi="Times New Roman"/>
          <w:sz w:val="20"/>
        </w:rPr>
      </w:pPr>
      <w:r>
        <w:rPr>
          <w:rFonts w:ascii="Times New Roman" w:hAnsi="Times New Roman"/>
          <w:sz w:val="20"/>
        </w:rPr>
        <w:t xml:space="preserve">1600 Amphitheatre Parkway </w:t>
      </w:r>
    </w:p>
    <w:p>
      <w:pPr>
        <w:pStyle w:val="TextBody"/>
        <w:bidi w:val="0"/>
        <w:spacing w:before="0" w:after="0"/>
        <w:jc w:val="left"/>
        <w:rPr>
          <w:rFonts w:ascii="Times New Roman" w:hAnsi="Times New Roman"/>
          <w:sz w:val="20"/>
        </w:rPr>
      </w:pPr>
      <w:r>
        <w:rPr>
          <w:rFonts w:ascii="Times New Roman" w:hAnsi="Times New Roman"/>
          <w:sz w:val="20"/>
        </w:rPr>
        <w:t xml:space="preserve">Mountain View, California 94043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Neuberger Berman Principal Strategies Prima Fund LP </w:t>
      </w:r>
    </w:p>
    <w:p>
      <w:pPr>
        <w:pStyle w:val="TextBody"/>
        <w:bidi w:val="0"/>
        <w:spacing w:before="0" w:after="0"/>
        <w:jc w:val="left"/>
        <w:rPr>
          <w:rFonts w:ascii="Times New Roman" w:hAnsi="Times New Roman"/>
          <w:b/>
          <w:sz w:val="20"/>
        </w:rPr>
      </w:pPr>
      <w:r>
        <w:rPr>
          <w:rFonts w:ascii="Times New Roman" w:hAnsi="Times New Roman"/>
          <w:b/>
          <w:sz w:val="20"/>
        </w:rPr>
        <w:t xml:space="preserve">Neuberger Berman Principal Strategies Prima Co-Invest Fund IV LP </w:t>
      </w:r>
    </w:p>
    <w:p>
      <w:pPr>
        <w:pStyle w:val="TextBody"/>
        <w:bidi w:val="0"/>
        <w:spacing w:before="0" w:after="0"/>
        <w:jc w:val="left"/>
        <w:rPr>
          <w:rFonts w:ascii="Times New Roman" w:hAnsi="Times New Roman"/>
          <w:sz w:val="20"/>
        </w:rPr>
      </w:pPr>
      <w:r>
        <w:rPr>
          <w:rFonts w:ascii="Times New Roman" w:hAnsi="Times New Roman"/>
          <w:sz w:val="20"/>
        </w:rPr>
        <w:t xml:space="preserve">190 S. LaSalle Street </w:t>
      </w:r>
    </w:p>
    <w:p>
      <w:pPr>
        <w:pStyle w:val="TextBody"/>
        <w:bidi w:val="0"/>
        <w:spacing w:before="0" w:after="0"/>
        <w:jc w:val="left"/>
        <w:rPr>
          <w:rFonts w:ascii="Times New Roman" w:hAnsi="Times New Roman"/>
          <w:sz w:val="20"/>
        </w:rPr>
      </w:pPr>
      <w:r>
        <w:rPr>
          <w:rFonts w:ascii="Times New Roman" w:hAnsi="Times New Roman"/>
          <w:sz w:val="20"/>
        </w:rPr>
        <w:t xml:space="preserve">24th Floor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Common Holders </w:t>
      </w:r>
    </w:p>
    <w:p>
      <w:pPr>
        <w:pStyle w:val="TextBody"/>
        <w:bidi w:val="0"/>
        <w:spacing w:before="240" w:after="0"/>
        <w:jc w:val="left"/>
        <w:rPr>
          <w:rFonts w:ascii="Times New Roman" w:hAnsi="Times New Roman"/>
          <w:b/>
          <w:sz w:val="20"/>
        </w:rPr>
      </w:pPr>
      <w:r>
        <w:rPr>
          <w:rFonts w:ascii="Times New Roman" w:hAnsi="Times New Roman"/>
          <w:b/>
          <w:sz w:val="20"/>
        </w:rPr>
        <w:t xml:space="preserve">Gray Media, LLC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Eric Lefkofsky </w:t>
      </w:r>
    </w:p>
    <w:p>
      <w:pPr>
        <w:pStyle w:val="TextBody"/>
        <w:bidi w:val="0"/>
        <w:spacing w:before="360" w:after="0"/>
        <w:jc w:val="left"/>
        <w:rPr>
          <w:rFonts w:ascii="Times New Roman" w:hAnsi="Times New Roman"/>
          <w:b/>
          <w:sz w:val="20"/>
        </w:rPr>
      </w:pPr>
      <w:r>
        <w:rPr>
          <w:rFonts w:ascii="Times New Roman" w:hAnsi="Times New Roman"/>
          <w:b/>
          <w:sz w:val="20"/>
        </w:rPr>
        <w:t xml:space="preserve">Blue Media, LLC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Eric Lefkofsky </w:t>
      </w:r>
    </w:p>
    <w:p>
      <w:pPr>
        <w:pStyle w:val="TextBody"/>
        <w:bidi w:val="0"/>
        <w:spacing w:before="360" w:after="0"/>
        <w:jc w:val="left"/>
        <w:rPr>
          <w:rFonts w:ascii="Times New Roman" w:hAnsi="Times New Roman"/>
          <w:b/>
          <w:sz w:val="20"/>
        </w:rPr>
      </w:pPr>
      <w:r>
        <w:rPr>
          <w:rFonts w:ascii="Times New Roman" w:hAnsi="Times New Roman"/>
          <w:b/>
          <w:sz w:val="20"/>
        </w:rPr>
        <w:t xml:space="preserve">Keeks, LLC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Avenue </w:t>
      </w:r>
    </w:p>
    <w:p>
      <w:pPr>
        <w:pStyle w:val="TextBody"/>
        <w:bidi w:val="0"/>
        <w:spacing w:before="0" w:after="0"/>
        <w:jc w:val="left"/>
        <w:rPr>
          <w:rFonts w:ascii="Times New Roman" w:hAnsi="Times New Roman"/>
          <w:sz w:val="20"/>
        </w:rPr>
      </w:pPr>
      <w:r>
        <w:rPr>
          <w:rFonts w:ascii="Times New Roman" w:hAnsi="Times New Roman"/>
          <w:sz w:val="20"/>
        </w:rPr>
        <w:t xml:space="preserve">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Brad Keywell </w:t>
      </w:r>
    </w:p>
    <w:p>
      <w:pPr>
        <w:pStyle w:val="TextBody"/>
        <w:bidi w:val="0"/>
        <w:spacing w:before="360" w:after="0"/>
        <w:jc w:val="left"/>
        <w:rPr>
          <w:rFonts w:ascii="Times New Roman" w:hAnsi="Times New Roman"/>
          <w:b/>
          <w:sz w:val="20"/>
        </w:rPr>
      </w:pPr>
      <w:r>
        <w:rPr>
          <w:rFonts w:ascii="Times New Roman" w:hAnsi="Times New Roman"/>
          <w:b/>
          <w:sz w:val="20"/>
        </w:rPr>
        <w:t xml:space="preserve">RFG-Sunflower LLC </w:t>
      </w:r>
    </w:p>
    <w:p>
      <w:pPr>
        <w:pStyle w:val="TextBody"/>
        <w:bidi w:val="0"/>
        <w:spacing w:before="0" w:after="0"/>
        <w:jc w:val="left"/>
        <w:rPr>
          <w:rFonts w:ascii="Times New Roman" w:hAnsi="Times New Roman"/>
          <w:sz w:val="20"/>
        </w:rPr>
      </w:pPr>
      <w:r>
        <w:rPr>
          <w:rFonts w:ascii="Times New Roman" w:hAnsi="Times New Roman"/>
          <w:sz w:val="20"/>
        </w:rPr>
        <w:t xml:space="preserve">c/o RFG Financial Group, Inc. </w:t>
      </w:r>
    </w:p>
    <w:p>
      <w:pPr>
        <w:pStyle w:val="TextBody"/>
        <w:bidi w:val="0"/>
        <w:spacing w:before="0" w:after="0"/>
        <w:jc w:val="left"/>
        <w:rPr>
          <w:rFonts w:ascii="Times New Roman" w:hAnsi="Times New Roman"/>
          <w:sz w:val="20"/>
        </w:rPr>
      </w:pPr>
      <w:r>
        <w:rPr>
          <w:rFonts w:ascii="Times New Roman" w:hAnsi="Times New Roman"/>
          <w:sz w:val="20"/>
        </w:rPr>
        <w:t xml:space="preserve">1250 Fourth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Santa Monica, CA 90401 </w:t>
      </w:r>
    </w:p>
    <w:p>
      <w:pPr>
        <w:pStyle w:val="TextBody"/>
        <w:bidi w:val="0"/>
        <w:spacing w:before="360" w:after="0"/>
        <w:jc w:val="left"/>
        <w:rPr>
          <w:rFonts w:ascii="Times New Roman" w:hAnsi="Times New Roman"/>
          <w:b/>
          <w:sz w:val="20"/>
        </w:rPr>
      </w:pPr>
      <w:r>
        <w:rPr>
          <w:rFonts w:ascii="Times New Roman" w:hAnsi="Times New Roman"/>
          <w:b/>
          <w:sz w:val="20"/>
        </w:rPr>
        <w:t xml:space="preserve">RFG-Hazel LLC </w:t>
      </w:r>
    </w:p>
    <w:p>
      <w:pPr>
        <w:pStyle w:val="TextBody"/>
        <w:bidi w:val="0"/>
        <w:spacing w:before="0" w:after="0"/>
        <w:jc w:val="left"/>
        <w:rPr>
          <w:rFonts w:ascii="Times New Roman" w:hAnsi="Times New Roman"/>
          <w:sz w:val="20"/>
        </w:rPr>
      </w:pPr>
      <w:r>
        <w:rPr>
          <w:rFonts w:ascii="Times New Roman" w:hAnsi="Times New Roman"/>
          <w:sz w:val="20"/>
        </w:rPr>
        <w:t xml:space="preserve">c/o RFG Financial Group, Inc. </w:t>
      </w:r>
    </w:p>
    <w:p>
      <w:pPr>
        <w:pStyle w:val="TextBody"/>
        <w:bidi w:val="0"/>
        <w:spacing w:before="0" w:after="0"/>
        <w:jc w:val="left"/>
        <w:rPr>
          <w:rFonts w:ascii="Times New Roman" w:hAnsi="Times New Roman"/>
          <w:sz w:val="20"/>
        </w:rPr>
      </w:pPr>
      <w:r>
        <w:rPr>
          <w:rFonts w:ascii="Times New Roman" w:hAnsi="Times New Roman"/>
          <w:sz w:val="20"/>
        </w:rPr>
        <w:t xml:space="preserve">1250 Fourth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Santa Monica, CA 90401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B-1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Novo Side Letter </w:t>
      </w:r>
    </w:p>
    <w:p>
      <w:pPr>
        <w:pStyle w:val="TextBody"/>
        <w:bidi w:val="0"/>
        <w:spacing w:before="0" w:after="0"/>
        <w:jc w:val="right"/>
        <w:rPr>
          <w:rFonts w:ascii="Times New Roman" w:hAnsi="Times New Roman"/>
          <w:b/>
          <w:sz w:val="20"/>
        </w:rPr>
      </w:pPr>
      <w:bookmarkStart w:id="40" w:name="filename5.htm"/>
      <w:bookmarkStart w:id="41" w:name="ksfilename5"/>
      <w:bookmarkEnd w:id="40"/>
      <w:bookmarkEnd w:id="41"/>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AMENDED AND RESTATED TEMPUS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2015 STOCK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ESTABLISHMENT, PURPOSE AND TERM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Establishment.</w:t>
      </w:r>
      <w:r>
        <w:rPr>
          <w:rFonts w:ascii="Times New Roman" w:hAnsi="Times New Roman"/>
          <w:sz w:val="20"/>
        </w:rPr>
        <w:t xml:space="preserve"> The Tempus Labs, Inc. 2015 Stock Plan (the </w:t>
      </w:r>
      <w:r>
        <w:rPr>
          <w:rFonts w:ascii="Times New Roman" w:hAnsi="Times New Roman"/>
          <w:i/>
          <w:sz w:val="20"/>
        </w:rPr>
        <w:t></w:t>
      </w:r>
      <w:r>
        <w:rPr>
          <w:rFonts w:ascii="Times New Roman" w:hAnsi="Times New Roman"/>
          <w:b/>
          <w:i/>
          <w:sz w:val="20"/>
        </w:rPr>
        <w:t>Plan</w:t>
      </w:r>
      <w:r>
        <w:rPr>
          <w:rFonts w:ascii="Times New Roman" w:hAnsi="Times New Roman"/>
          <w:i/>
          <w:sz w:val="20"/>
        </w:rPr>
        <w:t></w:t>
      </w:r>
      <w:r>
        <w:rPr>
          <w:rFonts w:ascii="Times New Roman" w:hAnsi="Times New Roman"/>
          <w:sz w:val="20"/>
        </w:rPr>
        <w:t xml:space="preserve">) was established effective as of September 21, 2015 (the </w:t>
      </w:r>
      <w:r>
        <w:rPr>
          <w:rFonts w:ascii="Times New Roman" w:hAnsi="Times New Roman"/>
          <w:i/>
          <w:sz w:val="20"/>
        </w:rPr>
        <w:t></w:t>
      </w:r>
      <w:r>
        <w:rPr>
          <w:rFonts w:ascii="Times New Roman" w:hAnsi="Times New Roman"/>
          <w:b/>
          <w:i/>
          <w:sz w:val="20"/>
        </w:rPr>
        <w:t>Effective Date</w:t>
      </w:r>
      <w:r>
        <w:rPr>
          <w:rFonts w:ascii="Times New Roman" w:hAnsi="Times New Roman"/>
          <w:i/>
          <w:sz w:val="20"/>
        </w:rPr>
        <w:t></w:t>
      </w:r>
      <w:r>
        <w:rPr>
          <w:rFonts w:ascii="Times New Roman" w:hAnsi="Times New Roman"/>
          <w:sz w:val="20"/>
        </w:rPr>
        <w:t xml:space="preserve">). The Plan was amended and restated as of September 8, 2017, and further amended and restated as of March 16, 2018 and as of October 16, 2019.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Purpose</w:t>
      </w:r>
      <w:r>
        <w:rPr>
          <w:rFonts w:ascii="Times New Roman" w:hAnsi="Times New Roman"/>
          <w:b/>
          <w:i/>
          <w:sz w:val="20"/>
        </w:rPr>
        <w:t>.</w:t>
      </w:r>
      <w:r>
        <w:rPr>
          <w:rFonts w:ascii="Times New Roman" w:hAnsi="Times New Roman"/>
          <w:sz w:val="20"/>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Restricted Stock Awards and 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Term of Plan.</w:t>
      </w:r>
      <w:r>
        <w:rPr>
          <w:rFonts w:ascii="Times New Roman" w:hAnsi="Times New Roman"/>
          <w:sz w:val="20"/>
        </w:rPr>
        <w:t xml:space="preserve"> The Plan shall continue in effect until its termination by the Board; provided, however, that all Awards shall be granted, if at all, within ten (10) years from the earlier of the date the Plan is adopted by the Board or the date the Plan is duly approved by the stockholders of the Company. </w:t>
      </w:r>
    </w:p>
    <w:p>
      <w:pPr>
        <w:pStyle w:val="TextBody"/>
        <w:bidi w:val="0"/>
        <w:spacing w:before="36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DEFINITIONS AND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Definitions.</w:t>
      </w:r>
      <w:r>
        <w:rPr>
          <w:rFonts w:ascii="Times New Roman" w:hAnsi="Times New Roman"/>
          <w:sz w:val="20"/>
        </w:rPr>
        <w:t xml:space="preserve"> Whenever used herein, the following terms shall have their respective meanings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Award</w:t>
      </w:r>
      <w:r>
        <w:rPr>
          <w:rFonts w:ascii="Times New Roman" w:hAnsi="Times New Roman"/>
          <w:i/>
          <w:sz w:val="20"/>
        </w:rPr>
        <w:t xml:space="preserve"> </w:t>
      </w:r>
      <w:r>
        <w:rPr>
          <w:rFonts w:ascii="Times New Roman" w:hAnsi="Times New Roman"/>
          <w:sz w:val="20"/>
        </w:rPr>
        <w:t xml:space="preserve">means an Option, Restricted Stock Purchase Right, Restricted Stock Bonus or Restricted Stock Unit Award granted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t>
      </w:r>
      <w:r>
        <w:rPr>
          <w:rFonts w:ascii="Times New Roman" w:hAnsi="Times New Roman"/>
          <w:b/>
          <w:i/>
          <w:sz w:val="20"/>
        </w:rPr>
        <w:t>Award Agreement</w:t>
      </w:r>
      <w:r>
        <w:rPr>
          <w:rFonts w:ascii="Times New Roman" w:hAnsi="Times New Roman"/>
          <w:i/>
          <w:sz w:val="20"/>
        </w:rPr>
        <w:t></w:t>
      </w:r>
      <w:r>
        <w:rPr>
          <w:rFonts w:ascii="Times New Roman" w:hAnsi="Times New Roman"/>
          <w:sz w:val="20"/>
        </w:rPr>
        <w:t xml:space="preserve"> means a written or electronic agreement between the Company and a Participant setting forth the terms, conditions and restrictions applicable to an Award.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t>
      </w:r>
      <w:r>
        <w:rPr>
          <w:rFonts w:ascii="Times New Roman" w:hAnsi="Times New Roman"/>
          <w:b/>
          <w:i/>
          <w:sz w:val="20"/>
        </w:rPr>
        <w:t>Board</w:t>
      </w:r>
      <w:r>
        <w:rPr>
          <w:rFonts w:ascii="Times New Roman" w:hAnsi="Times New Roman"/>
          <w:i/>
          <w:sz w:val="20"/>
        </w:rPr>
        <w:t></w:t>
      </w:r>
      <w:r>
        <w:rPr>
          <w:rFonts w:ascii="Times New Roman" w:hAnsi="Times New Roman"/>
          <w:sz w:val="20"/>
        </w:rPr>
        <w:t xml:space="preserve"> means the Board of Directors of the Company. If one or more Committees have been appointed by the Board to administer the Plan, </w:t>
      </w:r>
      <w:r>
        <w:rPr>
          <w:rFonts w:ascii="Times New Roman" w:hAnsi="Times New Roman"/>
          <w:i/>
          <w:sz w:val="20"/>
        </w:rPr>
        <w:t></w:t>
      </w:r>
      <w:r>
        <w:rPr>
          <w:rFonts w:ascii="Times New Roman" w:hAnsi="Times New Roman"/>
          <w:b/>
          <w:i/>
          <w:sz w:val="20"/>
        </w:rPr>
        <w:t>Board</w:t>
      </w:r>
      <w:r>
        <w:rPr>
          <w:rFonts w:ascii="Times New Roman" w:hAnsi="Times New Roman"/>
          <w:i/>
          <w:sz w:val="20"/>
        </w:rPr>
        <w:t></w:t>
      </w:r>
      <w:r>
        <w:rPr>
          <w:rFonts w:ascii="Times New Roman" w:hAnsi="Times New Roman"/>
          <w:sz w:val="20"/>
        </w:rPr>
        <w:t xml:space="preserve"> also means such Committee(s).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t>
      </w:r>
      <w:r>
        <w:rPr>
          <w:rFonts w:ascii="Times New Roman" w:hAnsi="Times New Roman"/>
          <w:b/>
          <w:i/>
          <w:sz w:val="20"/>
        </w:rPr>
        <w:t>Cause</w:t>
      </w:r>
      <w:r>
        <w:rPr>
          <w:rFonts w:ascii="Times New Roman" w:hAnsi="Times New Roman"/>
          <w:i/>
          <w:sz w:val="20"/>
        </w:rPr>
        <w:t></w:t>
      </w:r>
      <w:r>
        <w:rPr>
          <w:rFonts w:ascii="Times New Roman" w:hAnsi="Times New Roman"/>
          <w:sz w:val="20"/>
        </w:rPr>
        <w:t xml:space="preserve"> means, unless such term or an equivalent term is otherwise defined by the applicable Award Agreement or other written agreement between a Participant and a Participating Company applicable to an Award,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or service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t>
      </w:r>
      <w:r>
        <w:rPr>
          <w:rFonts w:ascii="Times New Roman" w:hAnsi="Times New Roman"/>
          <w:b/>
          <w:i/>
          <w:sz w:val="20"/>
        </w:rPr>
        <w:t>Change in Control</w:t>
      </w:r>
      <w:r>
        <w:rPr>
          <w:rFonts w:ascii="Times New Roman" w:hAnsi="Times New Roman"/>
          <w:i/>
          <w:sz w:val="20"/>
        </w:rPr>
        <w:t></w:t>
      </w:r>
      <w:r>
        <w:rPr>
          <w:rFonts w:ascii="Times New Roman" w:hAnsi="Times New Roman"/>
          <w:sz w:val="20"/>
        </w:rPr>
        <w:t xml:space="preserve"> means, unless such term or an equivalent term is otherwise defined by the applicable Award Agreement or other written agreement between the Participant and a Participating Company applicable to an Award, the occurrence of any one or a combination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 Ownership Change Event or a series of related Ownership Change Events (collectively, a </w:t>
      </w:r>
      <w:r>
        <w:rPr>
          <w:rFonts w:ascii="Times New Roman" w:hAnsi="Times New Roman"/>
          <w:i/>
          <w:sz w:val="20"/>
        </w:rPr>
        <w:t></w:t>
      </w:r>
      <w:r>
        <w:rPr>
          <w:rFonts w:ascii="Times New Roman" w:hAnsi="Times New Roman"/>
          <w:b/>
          <w:i/>
          <w:sz w:val="20"/>
        </w:rPr>
        <w:t>Transaction</w:t>
      </w:r>
      <w:r>
        <w:rPr>
          <w:rFonts w:ascii="Times New Roman" w:hAnsi="Times New Roman"/>
          <w:i/>
          <w:sz w:val="20"/>
        </w:rPr>
        <w:t></w:t>
      </w:r>
      <w:r>
        <w:rPr>
          <w:rFonts w:ascii="Times New Roman" w:hAnsi="Times New Roman"/>
          <w:sz w:val="20"/>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w:t>
      </w:r>
      <w:r>
        <w:rPr>
          <w:rFonts w:ascii="Times New Roman" w:hAnsi="Times New Roman"/>
          <w:sz w:val="20"/>
          <w:u w:val="single"/>
        </w:rPr>
        <w:t>Section 2.1(v)(iii)</w:t>
      </w:r>
      <w:r>
        <w:rPr>
          <w:rFonts w:ascii="Times New Roman" w:hAnsi="Times New Roman"/>
          <w:sz w:val="20"/>
        </w:rPr>
        <w:t xml:space="preserve">, the entity to which the assets of the Company were transferred (the </w:t>
      </w:r>
      <w:r>
        <w:rPr>
          <w:rFonts w:ascii="Times New Roman" w:hAnsi="Times New Roman"/>
          <w:i/>
          <w:sz w:val="20"/>
        </w:rPr>
        <w:t></w:t>
      </w:r>
      <w:r>
        <w:rPr>
          <w:rFonts w:ascii="Times New Roman" w:hAnsi="Times New Roman"/>
          <w:b/>
          <w:i/>
          <w:sz w:val="20"/>
        </w:rPr>
        <w:t>Transferee</w:t>
      </w:r>
      <w:r>
        <w:rPr>
          <w:rFonts w:ascii="Times New Roman" w:hAnsi="Times New Roman"/>
          <w:i/>
          <w:sz w:val="20"/>
        </w:rPr>
        <w:t></w:t>
      </w:r>
      <w:r>
        <w:rPr>
          <w:rFonts w:ascii="Times New Roman" w:hAnsi="Times New Roman"/>
          <w:sz w:val="20"/>
        </w:rPr>
        <w:t xml:space="preserve">), as the case may be; or </w:t>
      </w:r>
    </w:p>
    <w:p>
      <w:pPr>
        <w:pStyle w:val="TextBody"/>
        <w:bidi w:val="0"/>
        <w:spacing w:before="120" w:after="0"/>
        <w:jc w:val="left"/>
        <w:rPr>
          <w:rFonts w:ascii="Times New Roman" w:hAnsi="Times New Roman"/>
          <w:sz w:val="20"/>
        </w:rPr>
      </w:pPr>
      <w:r>
        <w:rPr>
          <w:rFonts w:ascii="Times New Roman" w:hAnsi="Times New Roman"/>
          <w:sz w:val="20"/>
        </w:rPr>
        <w:t xml:space="preserve">(ii) a date specified by the Board following approval by the stockholders of a plan of complete liquidation or dissolution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provided, however, that a Change in Control shall be deemed not to include a transaction described in subsection (i) of this </w:t>
      </w:r>
      <w:r>
        <w:rPr>
          <w:rFonts w:ascii="Times New Roman" w:hAnsi="Times New Roman"/>
          <w:sz w:val="20"/>
          <w:u w:val="single"/>
        </w:rPr>
        <w:t>Section 2.1(e)</w:t>
      </w:r>
      <w:r>
        <w:rPr>
          <w:rFonts w:ascii="Times New Roman" w:hAnsi="Times New Roman"/>
          <w:sz w:val="20"/>
        </w:rPr>
        <w:t xml:space="preserve"> in which a majority of the members of the board of directors of the continuing, surviving or successor entity, or parent thereof, immediately after such transaction is comprised of Incumbent Directors.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determine whether multiple events described in subsections (i) and (ii) of this </w:t>
      </w:r>
      <w:r>
        <w:rPr>
          <w:rFonts w:ascii="Times New Roman" w:hAnsi="Times New Roman"/>
          <w:sz w:val="20"/>
          <w:u w:val="single"/>
        </w:rPr>
        <w:t>Section 2.1(e)</w:t>
      </w:r>
      <w:r>
        <w:rPr>
          <w:rFonts w:ascii="Times New Roman" w:hAnsi="Times New Roman"/>
          <w:sz w:val="20"/>
        </w:rPr>
        <w:t xml:space="preserve"> are related and to be treated in the aggregate as a single Change in Control, and its determination shall be final, binding and conclusive.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w:t>
      </w:r>
      <w:r>
        <w:rPr>
          <w:rFonts w:ascii="Times New Roman" w:hAnsi="Times New Roman"/>
          <w:b/>
          <w:i/>
          <w:sz w:val="20"/>
        </w:rPr>
        <w:t>Code</w:t>
      </w:r>
      <w:r>
        <w:rPr>
          <w:rFonts w:ascii="Times New Roman" w:hAnsi="Times New Roman"/>
          <w:i/>
          <w:sz w:val="20"/>
        </w:rPr>
        <w:t></w:t>
      </w:r>
      <w:r>
        <w:rPr>
          <w:rFonts w:ascii="Times New Roman" w:hAnsi="Times New Roman"/>
          <w:sz w:val="20"/>
        </w:rPr>
        <w:t xml:space="preserve"> means the Internal Revenue Code of 1986, as amended, and any applicable regulations and administrative guidelines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w:t>
      </w:r>
      <w:r>
        <w:rPr>
          <w:rFonts w:ascii="Times New Roman" w:hAnsi="Times New Roman"/>
          <w:b/>
          <w:i/>
          <w:sz w:val="20"/>
        </w:rPr>
        <w:t>Committee</w:t>
      </w:r>
      <w:r>
        <w:rPr>
          <w:rFonts w:ascii="Times New Roman" w:hAnsi="Times New Roman"/>
          <w:i/>
          <w:sz w:val="20"/>
        </w:rPr>
        <w:t></w:t>
      </w:r>
      <w:r>
        <w:rPr>
          <w:rFonts w:ascii="Times New Roman" w:hAnsi="Times New Roman"/>
          <w:sz w:val="20"/>
        </w:rPr>
        <w:t xml:space="preserve"> means the compensation committee or other committee or subcommittee of the Board duly appointed to administer the Plan and having such powers as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w:t>
      </w:r>
      <w:r>
        <w:rPr>
          <w:rFonts w:ascii="Times New Roman" w:hAnsi="Times New Roman"/>
          <w:b/>
          <w:i/>
          <w:sz w:val="20"/>
        </w:rPr>
        <w:t>Company</w:t>
      </w:r>
      <w:r>
        <w:rPr>
          <w:rFonts w:ascii="Times New Roman" w:hAnsi="Times New Roman"/>
          <w:i/>
          <w:sz w:val="20"/>
        </w:rPr>
        <w:t></w:t>
      </w:r>
      <w:r>
        <w:rPr>
          <w:rFonts w:ascii="Times New Roman" w:hAnsi="Times New Roman"/>
          <w:sz w:val="20"/>
        </w:rPr>
        <w:t xml:space="preserve"> means Tempus Labs, Inc., a Delaware corporation, and any successor thereto.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w:t>
      </w:r>
      <w:r>
        <w:rPr>
          <w:rFonts w:ascii="Times New Roman" w:hAnsi="Times New Roman"/>
          <w:b/>
          <w:i/>
          <w:sz w:val="20"/>
        </w:rPr>
        <w:t>Consultant</w:t>
      </w:r>
      <w:r>
        <w:rPr>
          <w:rFonts w:ascii="Times New Roman" w:hAnsi="Times New Roman"/>
          <w:i/>
          <w:sz w:val="20"/>
        </w:rPr>
        <w:t></w:t>
      </w:r>
      <w:r>
        <w:rPr>
          <w:rFonts w:ascii="Times New Roman" w:hAnsi="Times New Roman"/>
          <w:sz w:val="20"/>
        </w:rPr>
        <w:t xml:space="preserve">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w:t>
      </w:r>
      <w:r>
        <w:rPr>
          <w:rFonts w:ascii="Times New Roman" w:hAnsi="Times New Roman"/>
          <w:b/>
          <w:i/>
          <w:sz w:val="20"/>
        </w:rPr>
        <w:t>Director</w:t>
      </w:r>
      <w:r>
        <w:rPr>
          <w:rFonts w:ascii="Times New Roman" w:hAnsi="Times New Roman"/>
          <w:i/>
          <w:sz w:val="20"/>
        </w:rPr>
        <w:t></w:t>
      </w:r>
      <w:r>
        <w:rPr>
          <w:rFonts w:ascii="Times New Roman" w:hAnsi="Times New Roman"/>
          <w:sz w:val="20"/>
        </w:rPr>
        <w:t xml:space="preserve"> means a member of the Board.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w:t>
      </w:r>
      <w:r>
        <w:rPr>
          <w:rFonts w:ascii="Times New Roman" w:hAnsi="Times New Roman"/>
          <w:b/>
          <w:i/>
          <w:sz w:val="20"/>
        </w:rPr>
        <w:t>Disability</w:t>
      </w:r>
      <w:r>
        <w:rPr>
          <w:rFonts w:ascii="Times New Roman" w:hAnsi="Times New Roman"/>
          <w:i/>
          <w:sz w:val="20"/>
        </w:rPr>
        <w:t></w:t>
      </w:r>
      <w:r>
        <w:rPr>
          <w:rFonts w:ascii="Times New Roman" w:hAnsi="Times New Roman"/>
          <w:sz w:val="20"/>
        </w:rPr>
        <w:t xml:space="preserve"> means the inability of the Participant, in the opinion of a qualified physician acceptable to the Company, to perform the major duties of the Participants position with the Participating Company Group because of the sickness or injury of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w:t>
      </w:r>
      <w:r>
        <w:rPr>
          <w:rFonts w:ascii="Times New Roman" w:hAnsi="Times New Roman"/>
          <w:b/>
          <w:i/>
          <w:sz w:val="20"/>
        </w:rPr>
        <w:t>Dividend Equivalent Right</w:t>
      </w:r>
      <w:r>
        <w:rPr>
          <w:rFonts w:ascii="Times New Roman" w:hAnsi="Times New Roman"/>
          <w:i/>
          <w:sz w:val="20"/>
        </w:rPr>
        <w:t></w:t>
      </w:r>
      <w:r>
        <w:rPr>
          <w:rFonts w:ascii="Times New Roman" w:hAnsi="Times New Roman"/>
          <w:sz w:val="20"/>
        </w:rPr>
        <w:t xml:space="preserve"> means the right of a Participant, granted at the discretion of the Board or as otherwise provided by the Plan, to receive a credit for the account of such Participant in an amount equal to the cash dividends paid on one share of Stock for each share of Stock represented by an Award held by such Participant.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w:t>
      </w:r>
      <w:r>
        <w:rPr>
          <w:rFonts w:ascii="Times New Roman" w:hAnsi="Times New Roman"/>
          <w:b/>
          <w:i/>
          <w:sz w:val="20"/>
        </w:rPr>
        <w:t>Employee</w:t>
      </w:r>
      <w:r>
        <w:rPr>
          <w:rFonts w:ascii="Times New Roman" w:hAnsi="Times New Roman"/>
          <w:i/>
          <w:sz w:val="20"/>
        </w:rPr>
        <w:t></w:t>
      </w:r>
      <w:r>
        <w:rPr>
          <w:rFonts w:ascii="Times New Roman" w:hAnsi="Times New Roman"/>
          <w:sz w:val="20"/>
        </w:rPr>
        <w:t xml:space="preserve">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w:t>
      </w:r>
      <w:r>
        <w:rPr>
          <w:rFonts w:ascii="Times New Roman" w:hAnsi="Times New Roman"/>
          <w:b/>
          <w:i/>
          <w:sz w:val="20"/>
        </w:rPr>
        <w:t>Exchange Act</w:t>
      </w:r>
      <w:r>
        <w:rPr>
          <w:rFonts w:ascii="Times New Roman" w:hAnsi="Times New Roman"/>
          <w:i/>
          <w:sz w:val="20"/>
        </w:rPr>
        <w: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w:t>
      </w:r>
      <w:r>
        <w:rPr>
          <w:rFonts w:ascii="Times New Roman" w:hAnsi="Times New Roman"/>
          <w:b/>
          <w:i/>
          <w:sz w:val="20"/>
        </w:rPr>
        <w:t>Fair Market Value</w:t>
      </w:r>
      <w:r>
        <w:rPr>
          <w:rFonts w:ascii="Times New Roman" w:hAnsi="Times New Roman"/>
          <w:i/>
          <w:sz w:val="20"/>
        </w:rPr>
        <w:t></w:t>
      </w:r>
      <w:r>
        <w:rPr>
          <w:rFonts w:ascii="Times New Roman" w:hAnsi="Times New Roman"/>
          <w:sz w:val="20"/>
        </w:rPr>
        <w:t xml:space="preserve"> means, as of any date, the value of a share of Stock or other property as determined by the Board, in its discretion, or by the Company, in its discretion, if such determination is expressly allocated to the Company herein, subject to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 w:hAnsi="Times New Roman"/>
          <w:i/>
          <w:sz w:val="20"/>
        </w:rPr>
        <w:t>The Wall Street Journal</w:t>
      </w:r>
      <w:r>
        <w:rPr>
          <w:rFonts w:ascii="Times New Roman" w:hAnsi="Times New Roman"/>
          <w:sz w:val="20"/>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Board,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(ii) If, on such date, the Stock is not listed or quoted on a national or regional securities exchange or quotation system, the Fair Market Value of a share of Stock shall be as determined by the Board in good faith without regard to any restriction other than a restriction which, by its terms, will never lapse, and in a manner consistent with the requirements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w:t>
      </w:r>
      <w:r>
        <w:rPr>
          <w:rFonts w:ascii="Times New Roman" w:hAnsi="Times New Roman"/>
          <w:b/>
          <w:i/>
          <w:sz w:val="20"/>
        </w:rPr>
        <w:t>Incentive Stock Option</w:t>
      </w:r>
      <w:r>
        <w:rPr>
          <w:rFonts w:ascii="Times New Roman" w:hAnsi="Times New Roman"/>
          <w:i/>
          <w:sz w:val="20"/>
        </w:rPr>
        <w:t></w:t>
      </w:r>
      <w:r>
        <w:rPr>
          <w:rFonts w:ascii="Times New Roman" w:hAnsi="Times New Roman"/>
          <w:sz w:val="20"/>
        </w:rPr>
        <w:t xml:space="preserve"> means an Option intended to be (as set forth in the Award Agreement) and which qualifies as an incentive stock option within the meaning of Section 422(b) of the Code. </w:t>
      </w:r>
    </w:p>
    <w:p>
      <w:pPr>
        <w:pStyle w:val="TextBody"/>
        <w:bidi w:val="0"/>
        <w:spacing w:before="12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w:t>
      </w:r>
      <w:r>
        <w:rPr>
          <w:rFonts w:ascii="Times New Roman" w:hAnsi="Times New Roman"/>
          <w:b/>
          <w:i/>
          <w:sz w:val="20"/>
        </w:rPr>
        <w:t>Incumbent Director</w:t>
      </w:r>
      <w:r>
        <w:rPr>
          <w:rFonts w:ascii="Times New Roman" w:hAnsi="Times New Roman"/>
          <w:i/>
          <w:sz w:val="20"/>
        </w:rPr>
        <w:t></w:t>
      </w:r>
      <w:r>
        <w:rPr>
          <w:rFonts w:ascii="Times New Roman" w:hAnsi="Times New Roman"/>
          <w:sz w:val="20"/>
        </w:rPr>
        <w:t xml:space="preserve">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w:t>
      </w:r>
      <w:r>
        <w:rPr>
          <w:rFonts w:ascii="Times New Roman" w:hAnsi="Times New Roman"/>
          <w:b/>
          <w:i/>
          <w:sz w:val="20"/>
        </w:rPr>
        <w:t>Insider</w:t>
      </w:r>
      <w:r>
        <w:rPr>
          <w:rFonts w:ascii="Times New Roman" w:hAnsi="Times New Roman"/>
          <w:i/>
          <w:sz w:val="20"/>
        </w:rPr>
        <w:t></w:t>
      </w:r>
      <w:r>
        <w:rPr>
          <w:rFonts w:ascii="Times New Roman" w:hAnsi="Times New Roman"/>
          <w:sz w:val="20"/>
        </w:rPr>
        <w:t xml:space="preserve"> means an Officer, a Director or other person whose transactions in Stock are subject to Section 16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w:t>
      </w:r>
      <w:r>
        <w:rPr>
          <w:rFonts w:ascii="Times New Roman" w:hAnsi="Times New Roman"/>
          <w:b/>
          <w:i/>
          <w:sz w:val="20"/>
        </w:rPr>
        <w:t>Nonstatutory Stock Option</w:t>
      </w:r>
      <w:r>
        <w:rPr>
          <w:rFonts w:ascii="Times New Roman" w:hAnsi="Times New Roman"/>
          <w:i/>
          <w:sz w:val="20"/>
        </w:rPr>
        <w:t></w:t>
      </w:r>
      <w:r>
        <w:rPr>
          <w:rFonts w:ascii="Times New Roman" w:hAnsi="Times New Roman"/>
          <w:sz w:val="20"/>
        </w:rPr>
        <w:t xml:space="preserve"> means an Option not intended to be (as set forth in the Award Agreement) or which does not qualify as an incentive stock option within the meaning of Section 422(b) of the Code.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w:t>
      </w:r>
      <w:r>
        <w:rPr>
          <w:rFonts w:ascii="Times New Roman" w:hAnsi="Times New Roman"/>
          <w:b/>
          <w:i/>
          <w:sz w:val="20"/>
        </w:rPr>
        <w:t>Officer</w:t>
      </w:r>
      <w:r>
        <w:rPr>
          <w:rFonts w:ascii="Times New Roman" w:hAnsi="Times New Roman"/>
          <w:i/>
          <w:sz w:val="20"/>
        </w:rPr>
        <w:t></w:t>
      </w:r>
      <w:r>
        <w:rPr>
          <w:rFonts w:ascii="Times New Roman" w:hAnsi="Times New Roman"/>
          <w:sz w:val="20"/>
        </w:rPr>
        <w:t xml:space="preserve"> means any person designated by the Board as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w:t>
      </w:r>
      <w:r>
        <w:rPr>
          <w:rFonts w:ascii="Times New Roman" w:hAnsi="Times New Roman"/>
          <w:b/>
          <w:i/>
          <w:sz w:val="20"/>
        </w:rPr>
        <w:t>Option</w:t>
      </w:r>
      <w:r>
        <w:rPr>
          <w:rFonts w:ascii="Times New Roman" w:hAnsi="Times New Roman"/>
          <w:i/>
          <w:sz w:val="20"/>
        </w:rPr>
        <w:t></w:t>
      </w:r>
      <w:r>
        <w:rPr>
          <w:rFonts w:ascii="Times New Roman" w:hAnsi="Times New Roman"/>
          <w:sz w:val="20"/>
        </w:rPr>
        <w:t xml:space="preserve"> means an Incentive Stock Option or a Nonstatutory Stock Option granted pursuant to the Plan.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w:t>
      </w:r>
      <w:r>
        <w:rPr>
          <w:rFonts w:ascii="Times New Roman" w:hAnsi="Times New Roman"/>
          <w:b/>
          <w:i/>
          <w:sz w:val="20"/>
        </w:rPr>
        <w:t>Ownership Change Event</w:t>
      </w:r>
      <w:r>
        <w:rPr>
          <w:rFonts w:ascii="Times New Roman" w:hAnsi="Times New Roman"/>
          <w:i/>
          <w:sz w:val="20"/>
        </w:rPr>
        <w:t></w:t>
      </w:r>
      <w:r>
        <w:rPr>
          <w:rFonts w:ascii="Times New Roman" w:hAnsi="Times New Roman"/>
          <w:sz w:val="20"/>
        </w:rPr>
        <w:t xml:space="preserve">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w:t>
      </w:r>
      <w:r>
        <w:rPr>
          <w:rFonts w:ascii="Times New Roman" w:hAnsi="Times New Roman"/>
          <w:b/>
          <w:i/>
          <w:sz w:val="20"/>
        </w:rPr>
        <w:t>Parent Corporation</w:t>
      </w:r>
      <w:r>
        <w:rPr>
          <w:rFonts w:ascii="Times New Roman" w:hAnsi="Times New Roman"/>
          <w:i/>
          <w:sz w:val="20"/>
        </w:rPr>
        <w:t></w:t>
      </w:r>
      <w:r>
        <w:rPr>
          <w:rFonts w:ascii="Times New Roman" w:hAnsi="Times New Roman"/>
          <w:sz w:val="20"/>
        </w:rPr>
        <w:t xml:space="preserve"> means any present or future parent corporation of the Company, as defined in Section 424(e) of the Code.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i/>
          <w:sz w:val="20"/>
        </w:rPr>
        <w:t>Participant</w:t>
      </w:r>
      <w:r>
        <w:rPr>
          <w:rFonts w:ascii="Times New Roman" w:hAnsi="Times New Roman"/>
          <w:sz w:val="20"/>
        </w:rPr>
        <w:t xml:space="preserve"> means any eligible person who has been granted one or more Awards.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w:t>
      </w:r>
      <w:r>
        <w:rPr>
          <w:rFonts w:ascii="Times New Roman" w:hAnsi="Times New Roman"/>
          <w:b/>
          <w:i/>
          <w:sz w:val="20"/>
        </w:rPr>
        <w:t>Participating Company</w:t>
      </w:r>
      <w:r>
        <w:rPr>
          <w:rFonts w:ascii="Times New Roman" w:hAnsi="Times New Roman"/>
          <w:i/>
          <w:sz w:val="20"/>
        </w:rPr>
        <w:t></w:t>
      </w:r>
      <w:r>
        <w:rPr>
          <w:rFonts w:ascii="Times New Roman" w:hAnsi="Times New Roman"/>
          <w:sz w:val="20"/>
        </w:rPr>
        <w:t xml:space="preserve"> means the Company or any Parent Corporation or Subsidiary Corporation.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w:t>
      </w:r>
      <w:r>
        <w:rPr>
          <w:rFonts w:ascii="Times New Roman" w:hAnsi="Times New Roman"/>
          <w:b/>
          <w:i/>
          <w:sz w:val="20"/>
        </w:rPr>
        <w:t>Participating Company Group</w:t>
      </w:r>
      <w:r>
        <w:rPr>
          <w:rFonts w:ascii="Times New Roman" w:hAnsi="Times New Roman"/>
          <w:i/>
          <w:sz w:val="20"/>
        </w:rPr>
        <w:t></w:t>
      </w:r>
      <w:r>
        <w:rPr>
          <w:rFonts w:ascii="Times New Roman" w:hAnsi="Times New Roman"/>
          <w:sz w:val="20"/>
        </w:rPr>
        <w:t xml:space="preserve"> means, at any point in time, all entities collectively which are then Participating Companies.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w:t>
      </w:r>
      <w:r>
        <w:rPr>
          <w:rFonts w:ascii="Times New Roman" w:hAnsi="Times New Roman"/>
          <w:b/>
          <w:i/>
          <w:sz w:val="20"/>
        </w:rPr>
        <w:t>Restricted Stock Award</w:t>
      </w:r>
      <w:r>
        <w:rPr>
          <w:rFonts w:ascii="Times New Roman" w:hAnsi="Times New Roman"/>
          <w:i/>
          <w:sz w:val="20"/>
        </w:rPr>
        <w:t></w:t>
      </w:r>
      <w:r>
        <w:rPr>
          <w:rFonts w:ascii="Times New Roman" w:hAnsi="Times New Roman"/>
          <w:sz w:val="20"/>
        </w:rPr>
        <w:t xml:space="preserve"> means an Award in the form of a Restricted Stock Bonus or a Restricted Stock Purchase Right.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w:t>
      </w:r>
      <w:r>
        <w:rPr>
          <w:rFonts w:ascii="Times New Roman" w:hAnsi="Times New Roman"/>
          <w:b/>
          <w:i/>
          <w:sz w:val="20"/>
        </w:rPr>
        <w:t>Restricted Stock Bonus</w:t>
      </w:r>
      <w:r>
        <w:rPr>
          <w:rFonts w:ascii="Times New Roman" w:hAnsi="Times New Roman"/>
          <w:i/>
          <w:sz w:val="20"/>
        </w:rPr>
        <w:t></w:t>
      </w:r>
      <w:r>
        <w:rPr>
          <w:rFonts w:ascii="Times New Roman" w:hAnsi="Times New Roman"/>
          <w:sz w:val="20"/>
        </w:rPr>
        <w:t xml:space="preserve"> means Stock granted to a Participant pursuant to </w:t>
      </w:r>
      <w:r>
        <w:rPr>
          <w:rFonts w:ascii="Times New Roman" w:hAnsi="Times New Roman"/>
          <w:sz w:val="20"/>
          <w:u w:val="single"/>
        </w:rPr>
        <w:t>Section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w:t>
      </w:r>
      <w:r>
        <w:rPr>
          <w:rFonts w:ascii="Times New Roman" w:hAnsi="Times New Roman"/>
          <w:b/>
          <w:i/>
          <w:sz w:val="20"/>
        </w:rPr>
        <w:t>Restricted Stock Purchase Right</w:t>
      </w:r>
      <w:r>
        <w:rPr>
          <w:rFonts w:ascii="Times New Roman" w:hAnsi="Times New Roman"/>
          <w:i/>
          <w:sz w:val="20"/>
        </w:rPr>
        <w:t></w:t>
      </w:r>
      <w:r>
        <w:rPr>
          <w:rFonts w:ascii="Times New Roman" w:hAnsi="Times New Roman"/>
          <w:sz w:val="20"/>
        </w:rPr>
        <w:t xml:space="preserve"> means a right to purchase Stock granted to a Participant pursuant </w:t>
      </w:r>
      <w:r>
        <w:rPr>
          <w:rFonts w:ascii="Times New Roman" w:hAnsi="Times New Roman"/>
          <w:sz w:val="20"/>
          <w:u w:val="single"/>
        </w:rPr>
        <w:t>to Section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w:t>
      </w:r>
      <w:r>
        <w:rPr>
          <w:rFonts w:ascii="Times New Roman" w:hAnsi="Times New Roman"/>
          <w:b/>
          <w:i/>
          <w:sz w:val="20"/>
        </w:rPr>
        <w:t>Restricted Stock Unit</w:t>
      </w:r>
      <w:r>
        <w:rPr>
          <w:rFonts w:ascii="Times New Roman" w:hAnsi="Times New Roman"/>
          <w:sz w:val="20"/>
        </w:rPr>
        <w:t xml:space="preserve"> means a right granted to a Participant pursuant to </w:t>
      </w:r>
      <w:r>
        <w:rPr>
          <w:rFonts w:ascii="Times New Roman" w:hAnsi="Times New Roman"/>
          <w:sz w:val="20"/>
          <w:u w:val="single"/>
        </w:rPr>
        <w:t>Section 8</w:t>
      </w:r>
      <w:r>
        <w:rPr>
          <w:rFonts w:ascii="Times New Roman" w:hAnsi="Times New Roman"/>
          <w:sz w:val="20"/>
        </w:rPr>
        <w:t xml:space="preserve"> to receive on a future date or event a share of Stock or cash in lieu thereof, as determined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w:t>
      </w:r>
      <w:r>
        <w:rPr>
          <w:rFonts w:ascii="Times New Roman" w:hAnsi="Times New Roman"/>
          <w:b/>
          <w:i/>
          <w:sz w:val="20"/>
        </w:rPr>
        <w:t>Rule 16b-3</w:t>
      </w:r>
      <w:r>
        <w:rPr>
          <w:rFonts w:ascii="Times New Roman" w:hAnsi="Times New Roman"/>
          <w:i/>
          <w:sz w:val="20"/>
        </w:rPr>
        <w:t></w:t>
      </w:r>
      <w:r>
        <w:rPr>
          <w:rFonts w:ascii="Times New Roman" w:hAnsi="Times New Roman"/>
          <w:sz w:val="20"/>
        </w:rPr>
        <w:t xml:space="preserve"> means Rule 16b-3 under the Exchange Act, as amended from time to time, or any successor rule or regulation. </w:t>
      </w:r>
    </w:p>
    <w:p>
      <w:pPr>
        <w:pStyle w:val="TextBody"/>
        <w:bidi w:val="0"/>
        <w:spacing w:before="12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i/>
          <w:sz w:val="20"/>
        </w:rPr>
        <w:t></w:t>
      </w:r>
      <w:r>
        <w:rPr>
          <w:rFonts w:ascii="Times New Roman" w:hAnsi="Times New Roman"/>
          <w:sz w:val="20"/>
        </w:rPr>
        <w:t xml:space="preserve"> means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w:t>
      </w:r>
      <w:r>
        <w:rPr>
          <w:rFonts w:ascii="Times New Roman" w:hAnsi="Times New Roman"/>
          <w:b/>
          <w:i/>
          <w:sz w:val="20"/>
        </w:rPr>
        <w:t>Securities Act</w:t>
      </w:r>
      <w:r>
        <w:rPr>
          <w:rFonts w:ascii="Times New Roman" w:hAnsi="Times New Roman"/>
          <w:i/>
          <w:sz w:val="20"/>
        </w:rPr>
        <w: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w:t>
      </w:r>
      <w:r>
        <w:rPr>
          <w:rFonts w:ascii="Times New Roman" w:hAnsi="Times New Roman"/>
          <w:b/>
          <w:i/>
          <w:sz w:val="20"/>
        </w:rPr>
        <w:t>Service</w:t>
      </w:r>
      <w:r>
        <w:rPr>
          <w:rFonts w:ascii="Times New Roman" w:hAnsi="Times New Roman"/>
          <w:i/>
          <w:sz w:val="20"/>
        </w:rPr>
        <w:t></w:t>
      </w:r>
      <w:r>
        <w:rPr>
          <w:rFonts w:ascii="Times New Roman" w:hAnsi="Times New Roman"/>
          <w:sz w:val="20"/>
        </w:rPr>
        <w:t xml:space="preserve"> means a Participants employment or service with the Participating Company Group, whether as an Employee, a Director or a Consultant. Unless otherwise provided by the Board,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Board,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Participating Company. Subject to the foregoing, the Company, in its discretion, shall determine whether the Participants Service has terminated and the effective date of and reason for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w:t>
      </w:r>
      <w:r>
        <w:rPr>
          <w:rFonts w:ascii="Times New Roman" w:hAnsi="Times New Roman"/>
          <w:b/>
          <w:i/>
          <w:sz w:val="20"/>
        </w:rPr>
        <w:t>Stock</w:t>
      </w:r>
      <w:r>
        <w:rPr>
          <w:rFonts w:ascii="Times New Roman" w:hAnsi="Times New Roman"/>
          <w:i/>
          <w:sz w:val="20"/>
        </w:rPr>
        <w:t></w:t>
      </w:r>
      <w:r>
        <w:rPr>
          <w:rFonts w:ascii="Times New Roman" w:hAnsi="Times New Roman"/>
          <w:sz w:val="20"/>
        </w:rPr>
        <w:t xml:space="preserve"> means the non-voting common stock of the Company, as adjusted from time to time in accordance with </w:t>
      </w:r>
      <w:r>
        <w:rPr>
          <w:rFonts w:ascii="Times New Roman" w:hAnsi="Times New Roman"/>
          <w:sz w:val="20"/>
          <w:u w:val="single"/>
        </w:rPr>
        <w:t>Section 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w:t>
      </w:r>
      <w:r>
        <w:rPr>
          <w:rFonts w:ascii="Times New Roman" w:hAnsi="Times New Roman"/>
          <w:b/>
          <w:i/>
          <w:sz w:val="20"/>
        </w:rPr>
        <w:t>Subsidiary Corporation</w:t>
      </w:r>
      <w:r>
        <w:rPr>
          <w:rFonts w:ascii="Times New Roman" w:hAnsi="Times New Roman"/>
          <w:i/>
          <w:sz w:val="20"/>
        </w:rPr>
        <w:t></w:t>
      </w:r>
      <w:r>
        <w:rPr>
          <w:rFonts w:ascii="Times New Roman" w:hAnsi="Times New Roman"/>
          <w:sz w:val="20"/>
        </w:rPr>
        <w:t xml:space="preserve"> means any present or future subsidiary corporation of the Company, as defined in Section 424(f) of the Code. </w:t>
      </w:r>
    </w:p>
    <w:p>
      <w:pPr>
        <w:pStyle w:val="TextBody"/>
        <w:bidi w:val="0"/>
        <w:spacing w:before="12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w:t>
      </w:r>
      <w:r>
        <w:rPr>
          <w:rFonts w:ascii="Times New Roman" w:hAnsi="Times New Roman"/>
          <w:b/>
          <w:i/>
          <w:sz w:val="20"/>
        </w:rPr>
        <w:t>Ten Percent Stockholder</w:t>
      </w:r>
      <w:r>
        <w:rPr>
          <w:rFonts w:ascii="Times New Roman" w:hAnsi="Times New Roman"/>
          <w:i/>
          <w:sz w:val="20"/>
        </w:rPr>
        <w:t></w:t>
      </w:r>
      <w:r>
        <w:rPr>
          <w:rFonts w:ascii="Times New Roman" w:hAnsi="Times New Roman"/>
          <w:sz w:val="20"/>
        </w:rPr>
        <w:t xml:space="preserve"> means a person who, at the time an Award is granted to such person, owns stock possessing more than ten percent (10%) of the total combined voting power of all classes of stock of a Participating Company within the meaning of Section 422(b)(6) of the Code. </w:t>
      </w:r>
    </w:p>
    <w:p>
      <w:pPr>
        <w:pStyle w:val="TextBody"/>
        <w:bidi w:val="0"/>
        <w:spacing w:before="12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w:t>
      </w:r>
      <w:r>
        <w:rPr>
          <w:rFonts w:ascii="Times New Roman" w:hAnsi="Times New Roman"/>
          <w:b/>
          <w:i/>
          <w:sz w:val="20"/>
        </w:rPr>
        <w:t>Trading Compliance Policy</w:t>
      </w:r>
      <w:r>
        <w:rPr>
          <w:rFonts w:ascii="Times New Roman" w:hAnsi="Times New Roman"/>
          <w:i/>
          <w:sz w:val="20"/>
        </w:rPr>
        <w:t></w:t>
      </w:r>
      <w:r>
        <w:rPr>
          <w:rFonts w:ascii="Times New Roman" w:hAnsi="Times New Roman"/>
          <w:sz w:val="20"/>
        </w:rPr>
        <w:t xml:space="preserve">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 </w:t>
      </w:r>
    </w:p>
    <w:p>
      <w:pPr>
        <w:pStyle w:val="TextBody"/>
        <w:bidi w:val="0"/>
        <w:spacing w:before="12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w:t>
      </w:r>
      <w:r>
        <w:rPr>
          <w:rFonts w:ascii="Times New Roman" w:hAnsi="Times New Roman"/>
          <w:b/>
          <w:i/>
          <w:sz w:val="20"/>
        </w:rPr>
        <w:t>Vesting Conditions</w:t>
      </w:r>
      <w:r>
        <w:rPr>
          <w:rFonts w:ascii="Times New Roman" w:hAnsi="Times New Roman"/>
          <w:i/>
          <w:sz w:val="20"/>
        </w:rPr>
        <w:t></w:t>
      </w:r>
      <w:r>
        <w:rPr>
          <w:rFonts w:ascii="Times New Roman" w:hAnsi="Times New Roman"/>
          <w:sz w:val="20"/>
        </w:rPr>
        <w:t xml:space="preserve">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Construction.</w:t>
      </w:r>
      <w:r>
        <w:rPr>
          <w:rFonts w:ascii="Times New Roman" w:hAnsi="Times New Roman"/>
          <w:sz w:val="20"/>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48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ADMINISTRATION.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Administration by the Board.</w:t>
      </w:r>
      <w:r>
        <w:rPr>
          <w:rFonts w:ascii="Times New Roman" w:hAnsi="Times New Roman"/>
          <w:sz w:val="20"/>
        </w:rPr>
        <w:t xml:space="preserve"> The Plan shall be administered by the Board. All questions of interpretation of the Plan, of any Award Agreement or of any other form of agreement or other document employed by the Company in the administration of the Plan or of any Award shall be determined by the Board, and such determinations shall be final, binding and conclusive upon all persons having an interest in the Plan or such Award, unless fraudulent or made in bad faith. Any and all actions, decisions and determinations taken or made by the Board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Authority of Officers.</w:t>
      </w:r>
      <w:r>
        <w:rPr>
          <w:rFonts w:ascii="Times New Roman" w:hAnsi="Times New Roman"/>
          <w:sz w:val="20"/>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Powers of the Board</w:t>
      </w:r>
      <w:r>
        <w:rPr>
          <w:rFonts w:ascii="Times New Roman" w:hAnsi="Times New Roman"/>
          <w:b/>
          <w:i/>
          <w:sz w:val="20"/>
        </w:rPr>
        <w:t>.</w:t>
      </w:r>
      <w:r>
        <w:rPr>
          <w:rFonts w:ascii="Times New Roman" w:hAnsi="Times New Roman"/>
          <w:sz w:val="20"/>
        </w:rPr>
        <w:t xml:space="preserve"> In addition to any other powers set forth in the Plan and subject to the provisions of the Plan, the Board shall have the full and final power and authority, in its discretion: </w:t>
      </w:r>
    </w:p>
    <w:p>
      <w:pPr>
        <w:pStyle w:val="TextBody"/>
        <w:bidi w:val="0"/>
        <w:spacing w:before="120" w:after="0"/>
        <w:jc w:val="left"/>
        <w:rPr>
          <w:rFonts w:ascii="Times New Roman" w:hAnsi="Times New Roman"/>
          <w:sz w:val="20"/>
        </w:rPr>
      </w:pPr>
      <w:r>
        <w:rPr>
          <w:rFonts w:ascii="Times New Roman" w:hAnsi="Times New Roman"/>
          <w:sz w:val="20"/>
        </w:rPr>
        <w:t xml:space="preserve">(a) to determine the persons to whom, and the time or times at which, Awards shall be granted and the number of shares of Stock or units to be subject to each Award; </w:t>
      </w:r>
    </w:p>
    <w:p>
      <w:pPr>
        <w:pStyle w:val="TextBody"/>
        <w:bidi w:val="0"/>
        <w:spacing w:before="120" w:after="0"/>
        <w:jc w:val="left"/>
        <w:rPr>
          <w:rFonts w:ascii="Times New Roman" w:hAnsi="Times New Roman"/>
          <w:sz w:val="20"/>
        </w:rPr>
      </w:pPr>
      <w:r>
        <w:rPr>
          <w:rFonts w:ascii="Times New Roman" w:hAnsi="Times New Roman"/>
          <w:sz w:val="20"/>
        </w:rPr>
        <w:t xml:space="preserve">(b) to determine the type of Award granted; </w:t>
      </w:r>
    </w:p>
    <w:p>
      <w:pPr>
        <w:pStyle w:val="TextBody"/>
        <w:bidi w:val="0"/>
        <w:spacing w:before="120" w:after="0"/>
        <w:jc w:val="left"/>
        <w:rPr>
          <w:rFonts w:ascii="Times New Roman" w:hAnsi="Times New Roman"/>
          <w:sz w:val="20"/>
        </w:rPr>
      </w:pPr>
      <w:r>
        <w:rPr>
          <w:rFonts w:ascii="Times New Roman" w:hAnsi="Times New Roman"/>
          <w:sz w:val="20"/>
        </w:rPr>
        <w:t xml:space="preserve">(c) to determine the Fair Market Value of shares of Stock or other property; </w:t>
      </w:r>
    </w:p>
    <w:p>
      <w:pPr>
        <w:pStyle w:val="TextBody"/>
        <w:bidi w:val="0"/>
        <w:spacing w:before="120" w:after="0"/>
        <w:jc w:val="left"/>
        <w:rPr>
          <w:rFonts w:ascii="Times New Roman" w:hAnsi="Times New Roman"/>
          <w:sz w:val="20"/>
        </w:rPr>
      </w:pPr>
      <w:r>
        <w:rPr>
          <w:rFonts w:ascii="Times New Roman" w:hAnsi="Times New Roman"/>
          <w:sz w:val="20"/>
        </w:rPr>
        <w:t xml:space="preserve">(d) 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time of expiration of any Award, (vi) the effect of any Participants termination of Service on any of the foregoing, and (vii) all other terms, conditions and restrictions applicable to any Award or shares acquired pursuant thereto not inconsistent with the terms of the Plan; </w:t>
      </w:r>
    </w:p>
    <w:p>
      <w:pPr>
        <w:pStyle w:val="TextBody"/>
        <w:bidi w:val="0"/>
        <w:spacing w:before="120" w:after="0"/>
        <w:jc w:val="left"/>
        <w:rPr>
          <w:rFonts w:ascii="Times New Roman" w:hAnsi="Times New Roman"/>
          <w:sz w:val="20"/>
        </w:rPr>
      </w:pPr>
      <w:r>
        <w:rPr>
          <w:rFonts w:ascii="Times New Roman" w:hAnsi="Times New Roman"/>
          <w:sz w:val="20"/>
        </w:rPr>
        <w:t xml:space="preserve">(e) to determine whether an Award will be settled in shares of Stock, cash, other property or in any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(f) to approve one or more forms of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(g) to amend, modify, extend, cancel or renew any Award or to waive any restrictions or conditions applicable to any Award or any shares acquired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(h) to reprice or otherwise adjust the exercise price of any Option, or to grant in substitution for any Option a new Award covering the same or different number of shares of Stock; </w:t>
      </w:r>
    </w:p>
    <w:p>
      <w:pPr>
        <w:pStyle w:val="TextBody"/>
        <w:bidi w:val="0"/>
        <w:spacing w:before="120" w:after="0"/>
        <w:jc w:val="left"/>
        <w:rPr>
          <w:rFonts w:ascii="Times New Roman" w:hAnsi="Times New Roman"/>
          <w:sz w:val="20"/>
        </w:rPr>
      </w:pPr>
      <w:r>
        <w:rPr>
          <w:rFonts w:ascii="Times New Roman" w:hAnsi="Times New Roman"/>
          <w:sz w:val="20"/>
        </w:rPr>
        <w:t xml:space="preserve">(i) to accelerate, continue, extend or defer the exercisability or vesting of any Award or any shares acquired pursuant thereto, including with respect to the period following a Participants 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(j) to prescribe, amend or rescind rules, guidelines and policies relating to the Plan, or to adopt sub-plans or supplements to, or alternative versions of, the Plan, including, without limitation, as the Board deems necessary or desirable to comply with the laws of, or to accommodate the tax policy, accounting principles or custom of, foreign jurisdictions whose residents may be granted Awards;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to correct any defect, supply any omission or reconcile any inconsistency in the Plan or any Award Agreement and to make all other determinations and take such other actions with respect to the Plan or any Award as the Board may deem advisable to the extent not inconsistent with the provisions of the Plan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Administration with Respect to Insiders.</w:t>
      </w:r>
      <w:r>
        <w:rPr>
          <w:rFonts w:ascii="Times New Roman" w:hAnsi="Times New Roman"/>
          <w:sz w:val="20"/>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b/>
          <w:sz w:val="20"/>
        </w:rPr>
        <w:t>Indemnification.</w:t>
      </w:r>
      <w:r>
        <w:rPr>
          <w:rFonts w:ascii="Times New Roman" w:hAnsi="Times New Roman"/>
          <w:sz w:val="20"/>
        </w:rPr>
        <w:t xml:space="preserve"> In addition to such other rights of indemnification as they may have as members of the Board or as officers or employees of the Participating Company Group, to the extent permitted by applicable law, members of the Board and any officers or employees of the Participating Company Group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 </w:t>
      </w:r>
    </w:p>
    <w:p>
      <w:pPr>
        <w:pStyle w:val="TextBody"/>
        <w:bidi w:val="0"/>
        <w:spacing w:before="36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SHARES SUBJECT TO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Maximum Number of Shares Issuable.</w:t>
      </w:r>
      <w:r>
        <w:rPr>
          <w:rFonts w:ascii="Times New Roman" w:hAnsi="Times New Roman"/>
          <w:sz w:val="20"/>
        </w:rPr>
        <w:t xml:space="preserve"> Subject to adjustment as provided in </w:t>
      </w:r>
      <w:r>
        <w:rPr>
          <w:rFonts w:ascii="Times New Roman" w:hAnsi="Times New Roman"/>
          <w:sz w:val="20"/>
          <w:u w:val="single"/>
        </w:rPr>
        <w:t>Sections 4.2</w:t>
      </w:r>
      <w:r>
        <w:rPr>
          <w:rFonts w:ascii="Times New Roman" w:hAnsi="Times New Roman"/>
          <w:sz w:val="20"/>
        </w:rPr>
        <w:t xml:space="preserve"> and </w:t>
      </w:r>
      <w:r>
        <w:rPr>
          <w:rFonts w:ascii="Times New Roman" w:hAnsi="Times New Roman"/>
          <w:sz w:val="20"/>
          <w:u w:val="single"/>
        </w:rPr>
        <w:t>4.3</w:t>
      </w:r>
      <w:r>
        <w:rPr>
          <w:rFonts w:ascii="Times New Roman" w:hAnsi="Times New Roman"/>
          <w:sz w:val="20"/>
        </w:rPr>
        <w:t xml:space="preserve">, the maximum aggregate number of shares of Stock that may be issued under the Plan shall be 12,615,750 and shall consist of authorized but unissued or reacquired shares of Stock or any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Share Counting.</w:t>
      </w:r>
      <w:r>
        <w:rPr>
          <w:rFonts w:ascii="Times New Roman" w:hAnsi="Times New Roman"/>
          <w:sz w:val="20"/>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exercise or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w:t>
      </w:r>
      <w:r>
        <w:rPr>
          <w:rFonts w:ascii="Times New Roman" w:hAnsi="Times New Roman"/>
          <w:sz w:val="20"/>
          <w:u w:val="single"/>
        </w:rPr>
        <w:t>Section 11.2</w:t>
      </w:r>
      <w:r>
        <w:rPr>
          <w:rFonts w:ascii="Times New Roman" w:hAnsi="Times New Roman"/>
          <w:sz w:val="20"/>
        </w:rPr>
        <w:t xml:space="preserve">. If the exercise price of an Option is paid by tender to the Company, or attestation to the ownership, of shares of Stock owned by the Participant, or by means of a Net Exercise, the number of shares available for issuance under the Plan shall be reduced by the net number of shares issued upon the exercise of the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Adjustments for Changes in Capital Structure</w:t>
      </w:r>
      <w:r>
        <w:rPr>
          <w:rFonts w:ascii="Times New Roman" w:hAnsi="Times New Roman"/>
          <w:b/>
          <w:i/>
          <w:sz w:val="20"/>
        </w:rPr>
        <w:t>.</w:t>
      </w:r>
      <w:r>
        <w:rPr>
          <w:rFonts w:ascii="Times New Roman" w:hAnsi="Times New Roman"/>
          <w:sz w:val="20"/>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in the ISO Share Limit set forth in </w:t>
      </w:r>
      <w:r>
        <w:rPr>
          <w:rFonts w:ascii="Times New Roman" w:hAnsi="Times New Roman"/>
          <w:sz w:val="20"/>
          <w:u w:val="single"/>
        </w:rPr>
        <w:t>Section 5.3(a)</w:t>
      </w:r>
      <w:r>
        <w:rPr>
          <w:rFonts w:ascii="Times New Roman" w:hAnsi="Times New Roman"/>
          <w:sz w:val="20"/>
        </w:rPr>
        <w:t xml:space="preserve">, and in the exercise or purchase price per share under any outstanding Awards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 w:hAnsi="Times New Roman"/>
          <w:i/>
          <w:sz w:val="20"/>
        </w:rPr>
        <w:t></w:t>
      </w:r>
      <w:r>
        <w:rPr>
          <w:rFonts w:ascii="Times New Roman" w:hAnsi="Times New Roman"/>
          <w:b/>
          <w:i/>
          <w:sz w:val="20"/>
        </w:rPr>
        <w:t>New Shares</w:t>
      </w:r>
      <w:r>
        <w:rPr>
          <w:rFonts w:ascii="Times New Roman" w:hAnsi="Times New Roman"/>
          <w:i/>
          <w:sz w:val="20"/>
        </w:rPr>
        <w:t></w:t>
      </w:r>
      <w:r>
        <w:rPr>
          <w:rFonts w:ascii="Times New Roman" w:hAnsi="Times New Roman"/>
          <w:sz w:val="20"/>
        </w:rPr>
        <w:t xml:space="preserve">), the Board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Board, in its discretion.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the Award. Such adjustments shall be determined by the Board, and its determination shall be final, binding and conclusive.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Assumption or Substitution of Awards.</w:t>
      </w:r>
      <w:r>
        <w:rPr>
          <w:rFonts w:ascii="Times New Roman" w:hAnsi="Times New Roman"/>
          <w:sz w:val="20"/>
        </w:rPr>
        <w:t xml:space="preserve"> The Board may, without affecting the number of shares of Stock available pursuant to </w:t>
      </w:r>
      <w:r>
        <w:rPr>
          <w:rFonts w:ascii="Times New Roman" w:hAnsi="Times New Roman"/>
          <w:sz w:val="20"/>
          <w:u w:val="single"/>
        </w:rPr>
        <w:t>Section 4.1</w:t>
      </w:r>
      <w:r>
        <w:rPr>
          <w:rFonts w:ascii="Times New Roman" w:hAnsi="Times New Roman"/>
          <w:sz w:val="20"/>
        </w:rPr>
        <w:t xml:space="preserve">,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 </w:t>
      </w:r>
    </w:p>
    <w:p>
      <w:pPr>
        <w:pStyle w:val="TextBody"/>
        <w:bidi w:val="0"/>
        <w:spacing w:before="36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ELIGIBILITY, PARTICIPATION AND OPTION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Persons Eligible for Awards</w:t>
      </w:r>
      <w:r>
        <w:rPr>
          <w:rFonts w:ascii="Times New Roman" w:hAnsi="Times New Roman"/>
          <w:b/>
          <w:i/>
          <w:sz w:val="20"/>
        </w:rPr>
        <w:t>.</w:t>
      </w:r>
      <w:r>
        <w:rPr>
          <w:rFonts w:ascii="Times New Roman" w:hAnsi="Times New Roman"/>
          <w:sz w:val="20"/>
        </w:rPr>
        <w:t xml:space="preserve"> Awards may be granted only to Employees, Consultants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Participation in the Plan.</w:t>
      </w:r>
      <w:r>
        <w:rPr>
          <w:rFonts w:ascii="Times New Roman" w:hAnsi="Times New Roman"/>
          <w:sz w:val="20"/>
        </w:rPr>
        <w:t xml:space="preserve"> Awards are granted solely at the discretion of the Board. Eligible persons may be granted more than one Award. However, eligibility in accordance with this Section shall not entitle any person to be granted an Award, or, having been granted an Award, to be granted an additional Award.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Incentive Stock Option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Maximum Number of Shares Issuable Pursuant to Incentive Stock Options.</w:t>
      </w:r>
      <w:r>
        <w:rPr>
          <w:rFonts w:ascii="Times New Roman" w:hAnsi="Times New Roman"/>
          <w:sz w:val="20"/>
        </w:rPr>
        <w:t xml:space="preserve"> Subject to Section 4.1 and adjustment as provided in Sections 4.2 and 4.3, the maximum aggregate number of shares of Stock that may be issued under the Plan pursuant to the exercise of Incentive Stock Options shall not exceed 12,615,750 shares (the </w:t>
      </w:r>
      <w:r>
        <w:rPr>
          <w:rFonts w:ascii="Times New Roman" w:hAnsi="Times New Roman"/>
          <w:i/>
          <w:sz w:val="20"/>
        </w:rPr>
        <w:t></w:t>
      </w:r>
      <w:r>
        <w:rPr>
          <w:rFonts w:ascii="Times New Roman" w:hAnsi="Times New Roman"/>
          <w:b/>
          <w:i/>
          <w:sz w:val="20"/>
        </w:rPr>
        <w:t>ISO Share Limit</w:t>
      </w:r>
      <w:r>
        <w:rPr>
          <w:rFonts w:ascii="Times New Roman" w:hAnsi="Times New Roman"/>
          <w:i/>
          <w:sz w:val="20"/>
        </w:rPr>
        <w:t></w:t>
      </w:r>
      <w:r>
        <w:rPr>
          <w:rFonts w:ascii="Times New Roman" w:hAnsi="Times New Roman"/>
          <w:sz w:val="20"/>
        </w:rPr>
        <w:t xml:space="preserve">). The maximum aggregate number of shares of Stock that may be issued under the Plan pursuant to all Awards other than Incentive Stock Options shall be the number of shares determined in accordance with Section 4.1, subject to adjustment as provided in </w:t>
      </w:r>
      <w:r>
        <w:rPr>
          <w:rFonts w:ascii="Times New Roman" w:hAnsi="Times New Roman"/>
          <w:sz w:val="20"/>
          <w:u w:val="single"/>
        </w:rPr>
        <w:t>Sections 4.2</w:t>
      </w:r>
      <w:r>
        <w:rPr>
          <w:rFonts w:ascii="Times New Roman" w:hAnsi="Times New Roman"/>
          <w:sz w:val="20"/>
        </w:rPr>
        <w:t xml:space="preserve"> and </w:t>
      </w:r>
      <w:r>
        <w:rPr>
          <w:rFonts w:ascii="Times New Roman" w:hAnsi="Times New Roman"/>
          <w:sz w:val="20"/>
          <w:u w:val="single"/>
        </w:rPr>
        <w:t>4.3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Persons Eligible.</w:t>
      </w:r>
      <w:r>
        <w:rPr>
          <w:rFonts w:ascii="Times New Roman" w:hAnsi="Times New Roman"/>
          <w:sz w:val="20"/>
        </w:rPr>
        <w:t xml:space="preserve"> An Incentive Stock Option may be granted only to a person who, on the effective date of grant, is an Employee. Any person who is not an Employee on the effective date of the grant of an Option to such person may be granted only a Nonstatutory Stock Option.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Fair Market Value Limitation.</w:t>
      </w:r>
      <w:r>
        <w:rPr>
          <w:rFonts w:ascii="Times New Roman" w:hAnsi="Times New Roman"/>
          <w:sz w:val="20"/>
        </w:rPr>
        <w:t xml:space="preserve"> 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 </w:t>
      </w:r>
    </w:p>
    <w:p>
      <w:pPr>
        <w:pStyle w:val="TextBody"/>
        <w:bidi w:val="0"/>
        <w:spacing w:before="36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Options shall be evidenced by Award Agreements specifying the number of shares of Stock covered thereby, in such form as the Board shall establish. Such Award Agreements may incorporate all or any of the terms of the Plan by reference and shall comply with and be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Exercise Price</w:t>
      </w:r>
      <w:r>
        <w:rPr>
          <w:rFonts w:ascii="Times New Roman" w:hAnsi="Times New Roman"/>
          <w:b/>
          <w:i/>
          <w:sz w:val="20"/>
        </w:rPr>
        <w:t>.</w:t>
      </w:r>
      <w:r>
        <w:rPr>
          <w:rFonts w:ascii="Times New Roman" w:hAnsi="Times New Roman"/>
          <w:sz w:val="20"/>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and (b) no Incentive Stock Option granted to a Ten Percent Stockholder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 as applicable.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Exercisability and Term of Options</w:t>
      </w:r>
      <w:r>
        <w:rPr>
          <w:rFonts w:ascii="Times New Roman" w:hAnsi="Times New Roman"/>
          <w:b/>
          <w:i/>
          <w:sz w:val="20"/>
        </w:rPr>
        <w:t>.</w:t>
      </w:r>
      <w:r>
        <w:rPr>
          <w:rFonts w:ascii="Times New Roman" w:hAnsi="Times New Roman"/>
          <w:sz w:val="20"/>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(b) no Incentive Stock Option granted to a Ten Percent Stockholder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Board in the grant of an Option, each Option shall terminate ten (10) years after the effective date of grant of the Option, unless earlier terminated in accordance with its provisions.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Payment of 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Forms of Consideration Authorized.</w:t>
      </w:r>
      <w:r>
        <w:rPr>
          <w:rFonts w:ascii="Times New Roman" w:hAnsi="Times New Roman"/>
          <w:sz w:val="20"/>
        </w:rPr>
        <w:t xml:space="preserve"> Except as otherwise provided below, payment of the exercise price for the number of shares of Stock being purchased pursuant to any Option shall be made (i) in cash, by check or in cash equivalent, (ii) if permitted by the Company and subject to the limitations contained in </w:t>
      </w:r>
      <w:r>
        <w:rPr>
          <w:rFonts w:ascii="Times New Roman" w:hAnsi="Times New Roman"/>
          <w:sz w:val="20"/>
          <w:u w:val="single"/>
        </w:rPr>
        <w:t>Section 6.3(b)</w:t>
      </w:r>
      <w:r>
        <w:rPr>
          <w:rFonts w:ascii="Times New Roman" w:hAnsi="Times New Roman"/>
          <w:sz w:val="20"/>
        </w:rPr>
        <w:t xml:space="preserve">, by means of (1) a Stock Tender Exercise, (2) a Cashless Exercise or (3) a Net Exercise; (iii) by such other consideration as may be approved by the Board from time to time to the extent permitted by applicable law, or (iv) by any combination thereof. The Board may at any time or from time to time grant Options which do not permit all of the foregoing forms of consideration to be used in payment of the exercise price or which otherwise restrict one or more forms of consideration.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Limitations on Forms of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Stock Tender Exercise.</w:t>
      </w:r>
      <w:r>
        <w:rPr>
          <w:rFonts w:ascii="Times New Roman" w:hAnsi="Times New Roman"/>
          <w:sz w:val="20"/>
        </w:rPr>
        <w:t xml:space="preserve"> A </w:t>
      </w:r>
      <w:r>
        <w:rPr>
          <w:rFonts w:ascii="Times New Roman" w:hAnsi="Times New Roman"/>
          <w:i/>
          <w:sz w:val="20"/>
        </w:rPr>
        <w:t></w:t>
      </w:r>
      <w:r>
        <w:rPr>
          <w:rFonts w:ascii="Times New Roman" w:hAnsi="Times New Roman"/>
          <w:b/>
          <w:i/>
          <w:sz w:val="20"/>
        </w:rPr>
        <w:t>Stock Tender Exercise</w:t>
      </w:r>
      <w:r>
        <w:rPr>
          <w:rFonts w:ascii="Times New Roman" w:hAnsi="Times New Roman"/>
          <w:i/>
          <w:sz w:val="20"/>
        </w:rPr>
        <w:t></w:t>
      </w:r>
      <w:r>
        <w:rPr>
          <w:rFonts w:ascii="Times New Roman" w:hAnsi="Times New Roman"/>
          <w:sz w:val="20"/>
        </w:rPr>
        <w:t xml:space="preserve"> 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Cashless Exercise.</w:t>
      </w:r>
      <w:r>
        <w:rPr>
          <w:rFonts w:ascii="Times New Roman" w:hAnsi="Times New Roman"/>
          <w:sz w:val="20"/>
        </w:rPr>
        <w:t xml:space="preserve"> A Cashless Exercise shall be permitted only upon the class of shares subject to the Option becoming publicly traded in an established securities market. A </w:t>
      </w:r>
      <w:r>
        <w:rPr>
          <w:rFonts w:ascii="Times New Roman" w:hAnsi="Times New Roman"/>
          <w:i/>
          <w:sz w:val="20"/>
        </w:rPr>
        <w:t></w:t>
      </w:r>
      <w:r>
        <w:rPr>
          <w:rFonts w:ascii="Times New Roman" w:hAnsi="Times New Roman"/>
          <w:b/>
          <w:i/>
          <w:sz w:val="20"/>
        </w:rPr>
        <w:t>Cashless Exercise</w:t>
      </w:r>
      <w:r>
        <w:rPr>
          <w:rFonts w:ascii="Times New Roman" w:hAnsi="Times New Roman"/>
          <w:i/>
          <w:sz w:val="20"/>
        </w:rPr>
        <w:t></w:t>
      </w:r>
      <w:r>
        <w:rPr>
          <w:rFonts w:ascii="Times New Roman" w:hAnsi="Times New Roman"/>
          <w:sz w:val="20"/>
        </w:rPr>
        <w:t xml:space="preserve"> means the delivery of a properly executed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Net Exercise.</w:t>
      </w:r>
      <w:r>
        <w:rPr>
          <w:rFonts w:ascii="Times New Roman" w:hAnsi="Times New Roman"/>
          <w:sz w:val="20"/>
        </w:rPr>
        <w:t xml:space="preserve"> A </w:t>
      </w:r>
      <w:r>
        <w:rPr>
          <w:rFonts w:ascii="Times New Roman" w:hAnsi="Times New Roman"/>
          <w:i/>
          <w:sz w:val="20"/>
        </w:rPr>
        <w:t></w:t>
      </w:r>
      <w:r>
        <w:rPr>
          <w:rFonts w:ascii="Times New Roman" w:hAnsi="Times New Roman"/>
          <w:b/>
          <w:i/>
          <w:sz w:val="20"/>
        </w:rPr>
        <w:t>Net Exercise</w:t>
      </w:r>
      <w:r>
        <w:rPr>
          <w:rFonts w:ascii="Times New Roman" w:hAnsi="Times New Roman"/>
          <w:i/>
          <w:sz w:val="20"/>
        </w:rPr>
        <w:t></w:t>
      </w:r>
      <w:r>
        <w:rPr>
          <w:rFonts w:ascii="Times New Roman" w:hAnsi="Times New Roman"/>
          <w:sz w:val="20"/>
        </w:rPr>
        <w:t xml:space="preserve"> 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w:t>
      </w:r>
    </w:p>
    <w:p>
      <w:pPr>
        <w:pStyle w:val="TextBody"/>
        <w:bidi w:val="0"/>
        <w:spacing w:before="12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Effect of Termination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Option Exercisability</w:t>
      </w:r>
      <w:r>
        <w:rPr>
          <w:rFonts w:ascii="Times New Roman" w:hAnsi="Times New Roman"/>
          <w:b/>
          <w:sz w:val="20"/>
        </w:rPr>
        <w:t>.</w:t>
      </w:r>
      <w:r>
        <w:rPr>
          <w:rFonts w:ascii="Times New Roman" w:hAnsi="Times New Roman"/>
          <w:sz w:val="20"/>
        </w:rPr>
        <w:t xml:space="preserve"> Subject to earlier termination of the Option as otherwise provided by this Plan and unless a longer exercise period is provided by the Board,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Disability.</w:t>
      </w:r>
      <w:r>
        <w:rPr>
          <w:rFonts w:ascii="Times New Roman" w:hAnsi="Times New Roman"/>
          <w:sz w:val="20"/>
        </w:rPr>
        <w:t xml:space="preserve">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 (but not less than six (6) months) provided by the Award Agreement) after the date on which the Participants Service terminated, but in any event no later than the date of expiration of the Options term as set forth in the Award Agreement evidencing such Option (the </w:t>
      </w:r>
      <w:r>
        <w:rPr>
          <w:rFonts w:ascii="Times New Roman" w:hAnsi="Times New Roman"/>
          <w:i/>
          <w:sz w:val="20"/>
        </w:rPr>
        <w:t></w:t>
      </w:r>
      <w:r>
        <w:rPr>
          <w:rFonts w:ascii="Times New Roman" w:hAnsi="Times New Roman"/>
          <w:b/>
          <w:i/>
          <w:sz w:val="20"/>
        </w:rPr>
        <w:t>Option Expiration Date</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Death.</w:t>
      </w:r>
      <w:r>
        <w:rPr>
          <w:rFonts w:ascii="Times New Roman" w:hAnsi="Times New Roman"/>
          <w:sz w:val="20"/>
        </w:rPr>
        <w:t xml:space="preserve">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(but not less than six (6) months) provided by the Award Agreement) after the date on which the Participants Service terminated, but in any event no later than the Option Expiration Date. The Participants Service shall be deemed to have terminated on account of death if the Participant dies within thirty (30) days (or such longer period provided by the Board) after the Participants termination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Termination for Cause.</w:t>
      </w:r>
      <w:r>
        <w:rPr>
          <w:rFonts w:ascii="Times New Roman" w:hAnsi="Times New Roman"/>
          <w:sz w:val="20"/>
        </w:rPr>
        <w:t xml:space="preserve"> Notwithstanding any other provision of the Plan to the contrary, if the Participants Service is terminated for Cause, the Option shall terminate in its entirety and cease to be exercisable immediately upon such 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Other Termination of Service.</w:t>
      </w:r>
      <w:r>
        <w:rPr>
          <w:rFonts w:ascii="Times New Roman" w:hAnsi="Times New Roman"/>
          <w:sz w:val="20"/>
        </w:rPr>
        <w:t xml:space="preserve">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(or such longer or shorter period (but not less than thirty (30) days) provided by the Award Agreement) after the date on which the Participants Service terminated, but in any event no later than the Option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Extension if Exercise Prevented by Law</w:t>
      </w:r>
      <w:r>
        <w:rPr>
          <w:rFonts w:ascii="Times New Roman" w:hAnsi="Times New Roman"/>
          <w:b/>
          <w:sz w:val="20"/>
        </w:rPr>
        <w:t>.</w:t>
      </w:r>
      <w:r>
        <w:rPr>
          <w:rFonts w:ascii="Times New Roman" w:hAnsi="Times New Roman"/>
          <w:sz w:val="20"/>
        </w:rPr>
        <w:t xml:space="preserve"> Notwithstanding the foregoing other than termination of Service for Cause, if the exercise of an Option within the applicable time periods set forth in </w:t>
      </w:r>
      <w:r>
        <w:rPr>
          <w:rFonts w:ascii="Times New Roman" w:hAnsi="Times New Roman"/>
          <w:sz w:val="20"/>
          <w:u w:val="single"/>
        </w:rPr>
        <w:t>Section 6.4(a)</w:t>
      </w:r>
      <w:r>
        <w:rPr>
          <w:rFonts w:ascii="Times New Roman" w:hAnsi="Times New Roman"/>
          <w:sz w:val="20"/>
        </w:rPr>
        <w:t xml:space="preserve"> is prevented by the provisions of </w:t>
      </w:r>
      <w:r>
        <w:rPr>
          <w:rFonts w:ascii="Times New Roman" w:hAnsi="Times New Roman"/>
          <w:sz w:val="20"/>
          <w:u w:val="single"/>
        </w:rPr>
        <w:t>Section 12</w:t>
      </w:r>
      <w:r>
        <w:rPr>
          <w:rFonts w:ascii="Times New Roman" w:hAnsi="Times New Roman"/>
          <w:sz w:val="20"/>
        </w:rPr>
        <w:t xml:space="preserve"> below, the Option shall remain exercisable until the later of (i) thirty (30) days after the date such exercise first would no longer be prevented by such provisions or (ii) the end of the applicable time period under </w:t>
      </w:r>
      <w:r>
        <w:rPr>
          <w:rFonts w:ascii="Times New Roman" w:hAnsi="Times New Roman"/>
          <w:sz w:val="20"/>
          <w:u w:val="single"/>
        </w:rPr>
        <w:t>Section 6.4(a)</w:t>
      </w:r>
      <w:r>
        <w:rPr>
          <w:rFonts w:ascii="Times New Roman" w:hAnsi="Times New Roman"/>
          <w:sz w:val="20"/>
        </w:rPr>
        <w:t xml:space="preserve">, but in any event no later than the Option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Transferability of Options.</w:t>
      </w:r>
      <w:r>
        <w:rPr>
          <w:rFonts w:ascii="Times New Roman" w:hAnsi="Times New Roman"/>
          <w:sz w:val="20"/>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provided, however, that to the extent permitted by the Board, in its discretion, and set forth in the Award Agreement evidencing such Option, an Option shall be assignable or transferable subject to the applicable limitations, if any, described in Rule 701 under the Securities Act and the General Instructions to Form S-8 Registration Statement under the Securities Act or, in the case of an Incentive Stock Option, only as permitted by applicable regulations under Section 421 of the Code in a manner that does not disqualify such Option as an Incentive Stock Option. Notwithstanding the foregoing, for so long as the Company is relying on the exemption provided by Rule 12h-1(f) under the Exchange Act, no Option or, prior to its exercise, the shares to be issued upon the exercise of the Option, shall be transferred except in compliance with the restrictions on transfer under Rule 12h-1(f) (including the requirement under such rule that any permitted transferee may not further transfer the Option) or be made subject to any short position, put equivalent position or call equivalent position by the Participant, as such terms are defined in Rule 16a-1 of the Exchange Act. </w:t>
      </w:r>
    </w:p>
    <w:p>
      <w:pPr>
        <w:pStyle w:val="TextBody"/>
        <w:bidi w:val="0"/>
        <w:spacing w:before="36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Awards shall be evidenced by Award Agreements specifying whether the Award is a Restricted Stock Bonus or a Restricted Stock Purchase Right and the number of shares of Stock subject to the Award, in such form as the Board shall establish. Such Award Agreements may incorporate all or any of the terms of the Plan by reference and shall comply with and be subject to the following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Types of Restricted Stock</w:t>
      </w:r>
      <w:r>
        <w:rPr>
          <w:rFonts w:ascii="Times New Roman" w:hAnsi="Times New Roman"/>
          <w:sz w:val="20"/>
        </w:rPr>
        <w:t xml:space="preserve"> </w:t>
      </w:r>
      <w:r>
        <w:rPr>
          <w:rFonts w:ascii="Times New Roman" w:hAnsi="Times New Roman"/>
          <w:b/>
          <w:sz w:val="20"/>
        </w:rPr>
        <w:t>Awards Authorized.</w:t>
      </w:r>
      <w:r>
        <w:rPr>
          <w:rFonts w:ascii="Times New Roman" w:hAnsi="Times New Roman"/>
          <w:sz w:val="20"/>
        </w:rPr>
        <w:t xml:space="preserve"> Restricted Stock Awards may be granted in the form of either a Restricted Stock Bonus or a Restricted Stock Purchase Right. Restricted Stock Awards may be granted upon such conditions as the Board shall determine, including, without limitation, upon the attainment of one or more performance goals.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Purchase Price.</w:t>
      </w:r>
      <w:r>
        <w:rPr>
          <w:rFonts w:ascii="Times New Roman" w:hAnsi="Times New Roman"/>
          <w:sz w:val="20"/>
        </w:rPr>
        <w:t xml:space="preserve"> The purchase price for shares of Stock issuable under each Restricted Stock Purchase Right shall be established by the Board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 </w:t>
      </w:r>
    </w:p>
    <w:p>
      <w:pPr>
        <w:pStyle w:val="TextBody"/>
        <w:bidi w:val="0"/>
        <w:spacing w:before="12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Purchase Period.</w:t>
      </w:r>
      <w:r>
        <w:rPr>
          <w:rFonts w:ascii="Times New Roman" w:hAnsi="Times New Roman"/>
          <w:sz w:val="20"/>
        </w:rPr>
        <w:t xml:space="preserve"> A Restricted Stock Purchase Right shall be exercisable within a period established by the Board, which shall in no event exceed thirty (30) days from the effective date of the grant of the Restricted Stock Purchase Right. </w:t>
      </w:r>
    </w:p>
    <w:p>
      <w:pPr>
        <w:pStyle w:val="TextBody"/>
        <w:bidi w:val="0"/>
        <w:spacing w:before="12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Payment of Purchase Price.</w:t>
      </w:r>
      <w:r>
        <w:rPr>
          <w:rFonts w:ascii="Times New Roman" w:hAnsi="Times New Roman"/>
          <w:sz w:val="20"/>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Board from time to time to the extent permitted by applicable law, or (c) by any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Vesting and Restrictions on Transfer.</w:t>
      </w:r>
      <w:r>
        <w:rPr>
          <w:rFonts w:ascii="Times New Roman" w:hAnsi="Times New Roman"/>
          <w:sz w:val="20"/>
        </w:rPr>
        <w:t xml:space="preserve"> Shares issued pursuant to any Restricted Stock Award may (but need not) be made subject to Vesting Conditions based upon the satisfaction of such Service requirements, conditions, restrictions or performance criteria, as shall be established by the Board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w:t>
      </w:r>
      <w:r>
        <w:rPr>
          <w:rFonts w:ascii="Times New Roman" w:hAnsi="Times New Roman"/>
          <w:sz w:val="20"/>
          <w:u w:val="single"/>
        </w:rPr>
        <w:t>Section 7.8</w:t>
      </w:r>
      <w:r>
        <w:rPr>
          <w:rFonts w:ascii="Times New Roman" w:hAnsi="Times New Roman"/>
          <w:sz w:val="20"/>
        </w:rPr>
        <w:t xml:space="preserve">. The Board,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7.6 </w:t>
      </w:r>
      <w:r>
        <w:rPr>
          <w:rFonts w:ascii="Times New Roman" w:hAnsi="Times New Roman"/>
          <w:b/>
          <w:sz w:val="20"/>
        </w:rPr>
        <w:t>Voting Rights; Dividends and Distributions.</w:t>
      </w:r>
      <w:r>
        <w:rPr>
          <w:rFonts w:ascii="Times New Roman" w:hAnsi="Times New Roman"/>
          <w:sz w:val="20"/>
        </w:rPr>
        <w:t xml:space="preserve"> Except as provided in this Section, </w:t>
      </w:r>
      <w:r>
        <w:rPr>
          <w:rFonts w:ascii="Times New Roman" w:hAnsi="Times New Roman"/>
          <w:sz w:val="20"/>
          <w:u w:val="single"/>
        </w:rPr>
        <w:t>Section 7.5</w:t>
      </w:r>
      <w:r>
        <w:rPr>
          <w:rFonts w:ascii="Times New Roman" w:hAnsi="Times New Roman"/>
          <w:sz w:val="20"/>
        </w:rPr>
        <w:t xml:space="preserve"> and any Award Agreement, during any period in which shares acquired pursuant to a Restricted Stock Award remain subject to Vesting Conditions, the Participant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all of the rights of a stockholder of the Company holding shares of Stock, including the right to vote such shares and to receive all dividends and other distributions paid with respect to such shares; provided, however, that if so determined by the Board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w:t>
      </w:r>
      <w:r>
        <w:rPr>
          <w:rFonts w:ascii="Times New Roman" w:hAnsi="Times New Roman"/>
          <w:sz w:val="20"/>
          <w:u w:val="single"/>
        </w:rPr>
        <w:t>Section 4.3</w:t>
      </w:r>
      <w:r>
        <w:rPr>
          <w:rFonts w:ascii="Times New Roman" w:hAnsi="Times New Roman"/>
          <w:sz w:val="20"/>
        </w:rPr>
        <w:t xml:space="preserve">,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 </w:t>
      </w:r>
    </w:p>
    <w:p>
      <w:pPr>
        <w:pStyle w:val="TextBody"/>
        <w:bidi w:val="0"/>
        <w:spacing w:before="120" w:after="0"/>
        <w:jc w:val="left"/>
        <w:rPr>
          <w:rFonts w:ascii="Times New Roman" w:hAnsi="Times New Roman"/>
          <w:sz w:val="20"/>
        </w:rPr>
      </w:pPr>
      <w:r>
        <w:rPr>
          <w:rFonts w:ascii="Times New Roman" w:hAnsi="Times New Roman"/>
          <w:sz w:val="20"/>
        </w:rPr>
        <w:t xml:space="preserve">7.7 </w:t>
      </w:r>
      <w:r>
        <w:rPr>
          <w:rFonts w:ascii="Times New Roman" w:hAnsi="Times New Roman"/>
          <w:b/>
          <w:sz w:val="20"/>
        </w:rPr>
        <w:t>Effect of Termination of Service.</w:t>
      </w:r>
      <w:r>
        <w:rPr>
          <w:rFonts w:ascii="Times New Roman" w:hAnsi="Times New Roman"/>
          <w:sz w:val="20"/>
        </w:rPr>
        <w:t xml:space="preserve"> Unless otherwise provided by the Board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7.8 </w:t>
      </w:r>
      <w:r>
        <w:rPr>
          <w:rFonts w:ascii="Times New Roman" w:hAnsi="Times New Roman"/>
          <w:b/>
          <w:sz w:val="20"/>
        </w:rPr>
        <w:t>Nontransferability of Restricted Stock</w:t>
      </w:r>
      <w:r>
        <w:rPr>
          <w:rFonts w:ascii="Times New Roman" w:hAnsi="Times New Roman"/>
          <w:sz w:val="20"/>
        </w:rPr>
        <w:t xml:space="preserve"> </w:t>
      </w:r>
      <w:r>
        <w:rPr>
          <w:rFonts w:ascii="Times New Roman" w:hAnsi="Times New Roman"/>
          <w:b/>
          <w:sz w:val="20"/>
        </w:rPr>
        <w:t>Award Rights.</w:t>
      </w:r>
      <w:r>
        <w:rPr>
          <w:rFonts w:ascii="Times New Roman" w:hAnsi="Times New Roman"/>
          <w:sz w:val="20"/>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Restricted Stock Unit Awards shall be evidenced by Award Agreements specifying the number of Restricted Stock Units subject to the Award, in such form as the Board shall establish. Award Agreements evidencing Restricted Stock Units may incorporate all or any of the terms of the Plan by reference and shall comply with and be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rPr>
        <w:t>Grant of Restricted Stock Unit Awards.</w:t>
      </w:r>
      <w:r>
        <w:rPr>
          <w:rFonts w:ascii="Times New Roman" w:hAnsi="Times New Roman"/>
          <w:sz w:val="20"/>
        </w:rPr>
        <w:t xml:space="preserve"> Restricted Stock Unit Awards may be granted upon such conditions as the Board shall determine, including, without limitation, upon the attainment of one or more performance goals established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rPr>
        <w:t>Purchase Price.</w:t>
      </w:r>
      <w:r>
        <w:rPr>
          <w:rFonts w:ascii="Times New Roman" w:hAnsi="Times New Roman"/>
          <w:sz w:val="20"/>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 </w:t>
      </w:r>
    </w:p>
    <w:p>
      <w:pPr>
        <w:pStyle w:val="TextBody"/>
        <w:bidi w:val="0"/>
        <w:spacing w:before="12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rPr>
        <w:t>Vesting.</w:t>
      </w:r>
      <w:r>
        <w:rPr>
          <w:rFonts w:ascii="Times New Roman" w:hAnsi="Times New Roman"/>
          <w:sz w:val="20"/>
        </w:rPr>
        <w:t xml:space="preserve"> Restricted Stock Unit Awards may (but need not) be made subject to Vesting Conditions based upon the satisfaction of such Service requirements, conditions, restrictions or performance criteria as shall be established by the Board and set forth in the Award Agreement evidencing such Award. The Board,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Trading Compliance Policy, then the satisfaction of the Vesting Conditions automatically shall be determined on the first to occur of (a) the next trading day on which the sale of such shares would not violate the Trading Compliance Policy or (b) the last day of the calendar year in which the original vesting date occurred. </w:t>
      </w:r>
    </w:p>
    <w:p>
      <w:pPr>
        <w:pStyle w:val="TextBody"/>
        <w:bidi w:val="0"/>
        <w:spacing w:before="12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rPr>
        <w:t>Voting Rights, Dividend Equivalent Rights and Distributions.</w:t>
      </w:r>
      <w:r>
        <w:rPr>
          <w:rFonts w:ascii="Times New Roman" w:hAnsi="Times New Roman"/>
          <w:sz w:val="20"/>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Board,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Board.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w:t>
      </w:r>
      <w:r>
        <w:rPr>
          <w:rFonts w:ascii="Times New Roman" w:hAnsi="Times New Roman"/>
          <w:sz w:val="20"/>
          <w:u w:val="single"/>
        </w:rPr>
        <w:t>Section 4.3</w:t>
      </w:r>
      <w:r>
        <w:rPr>
          <w:rFonts w:ascii="Times New Roman" w:hAnsi="Times New Roman"/>
          <w:sz w:val="20"/>
        </w:rPr>
        <w:t xml:space="preserve">,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rPr>
        <w:t>Effect of Termination of Service.</w:t>
      </w:r>
      <w:r>
        <w:rPr>
          <w:rFonts w:ascii="Times New Roman" w:hAnsi="Times New Roman"/>
          <w:sz w:val="20"/>
        </w:rPr>
        <w:t xml:space="preserve"> Unless otherwise provided by the Board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8.6 </w:t>
      </w:r>
      <w:r>
        <w:rPr>
          <w:rFonts w:ascii="Times New Roman" w:hAnsi="Times New Roman"/>
          <w:b/>
          <w:sz w:val="20"/>
        </w:rPr>
        <w:t>Settlement of Restricted Stock Unit Awards.</w:t>
      </w:r>
      <w:r>
        <w:rPr>
          <w:rFonts w:ascii="Times New Roman" w:hAnsi="Times New Roman"/>
          <w:sz w:val="20"/>
        </w:rPr>
        <w:t xml:space="preserve"> The Company shall issue to a Participant on the date on which Restricted Stock Units subject to the Participants Restricted Stock Unit Award vest or on such other date determined by the Board in compliance with Section 409A, if applicable, and set forth in the Award Agreement one (1) share of Stock (and/or any other new, substituted or additional securities or other property pursuant to an adjustment described in </w:t>
      </w:r>
      <w:r>
        <w:rPr>
          <w:rFonts w:ascii="Times New Roman" w:hAnsi="Times New Roman"/>
          <w:sz w:val="20"/>
          <w:u w:val="single"/>
        </w:rPr>
        <w:t>Section 8.4</w:t>
      </w:r>
      <w:r>
        <w:rPr>
          <w:rFonts w:ascii="Times New Roman" w:hAnsi="Times New Roman"/>
          <w:sz w:val="20"/>
        </w:rPr>
        <w:t xml:space="preserve">) for each Restricted Stock Unit then becoming vested or otherwise to be settled on such date, subject to the withholding of applicable taxes, if any. If permitted by the Board,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Board,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 </w:t>
      </w:r>
    </w:p>
    <w:p>
      <w:pPr>
        <w:pStyle w:val="TextBody"/>
        <w:bidi w:val="0"/>
        <w:spacing w:before="120" w:after="0"/>
        <w:jc w:val="left"/>
        <w:rPr>
          <w:rFonts w:ascii="Times New Roman" w:hAnsi="Times New Roman"/>
          <w:sz w:val="20"/>
        </w:rPr>
      </w:pPr>
      <w:r>
        <w:rPr>
          <w:rFonts w:ascii="Times New Roman" w:hAnsi="Times New Roman"/>
          <w:sz w:val="20"/>
        </w:rPr>
        <w:t xml:space="preserve">8.7 </w:t>
      </w:r>
      <w:r>
        <w:rPr>
          <w:rFonts w:ascii="Times New Roman" w:hAnsi="Times New Roman"/>
          <w:b/>
          <w:sz w:val="20"/>
        </w:rPr>
        <w:t>Nontransferability of Restricted Stock Unit Awards.</w:t>
      </w:r>
      <w:r>
        <w:rPr>
          <w:rFonts w:ascii="Times New Roman" w:hAnsi="Times New Roman"/>
          <w:sz w:val="20"/>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For so long as the Company is relying on an order of the Securities and Exchange Commission (the </w:t>
      </w:r>
      <w:r>
        <w:rPr>
          <w:rFonts w:ascii="Times New Roman" w:hAnsi="Times New Roman"/>
          <w:i/>
          <w:sz w:val="20"/>
        </w:rPr>
        <w:t></w:t>
      </w:r>
      <w:r>
        <w:rPr>
          <w:rFonts w:ascii="Times New Roman" w:hAnsi="Times New Roman"/>
          <w:b/>
          <w:i/>
          <w:sz w:val="20"/>
        </w:rPr>
        <w:t>SEC</w:t>
      </w:r>
      <w:r>
        <w:rPr>
          <w:rFonts w:ascii="Times New Roman" w:hAnsi="Times New Roman"/>
          <w:i/>
          <w:sz w:val="20"/>
        </w:rPr>
        <w:t></w:t>
      </w:r>
      <w:r>
        <w:rPr>
          <w:rFonts w:ascii="Times New Roman" w:hAnsi="Times New Roman"/>
          <w:sz w:val="20"/>
        </w:rPr>
        <w:t xml:space="preserve">) under Section 12(h) of the Exchange Act or a no-action position of the Staff of the SEC relieving the Company from registration under Section 12(g) of the Exchange Act of the Units and the shares of Stock subject thereto, no Restricted Stock Unit Award, or prior to its settlement, shares of Stock underlying such Award, shall be transferred except in compliance with the restrictions on transfer under Rule 12h-1(f) under the Exchange Act that would apply were the Restricted Stock Units subject to such rule (including the requirement under such rule that any permitted transferee may not further transfer the securities) or be made subject to any short position, put equivalent position or call equivalent position by the Participant, as such terms are defined in Rule 16a-1 under the Exchange Act. All rights with respect to a Restricted Stock Unit Award granted to a Participant hereunder shall be exercisable during his or her lifetime only by such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STANDARD FORMS OF AWARD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Award Agreements</w:t>
      </w:r>
      <w:r>
        <w:rPr>
          <w:rFonts w:ascii="Times New Roman" w:hAnsi="Times New Roman"/>
          <w:b/>
          <w:i/>
          <w:sz w:val="20"/>
        </w:rPr>
        <w:t>.</w:t>
      </w:r>
      <w:r>
        <w:rPr>
          <w:rFonts w:ascii="Times New Roman" w:hAnsi="Times New Roman"/>
          <w:sz w:val="20"/>
        </w:rPr>
        <w:t xml:space="preserve"> Each Award shall comply with and be subject to the terms and conditions set forth in the appropriate form of Award Agreement approved by the Board and as amended from time to time. No Award or purported Award shall be a valid and binding obligation of the Company unless evidenced by a fully executed Award Agreement, which execution may be evidenced by electronic means.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Authority to Vary Terms</w:t>
      </w:r>
      <w:r>
        <w:rPr>
          <w:rFonts w:ascii="Times New Roman" w:hAnsi="Times New Roman"/>
          <w:b/>
          <w:i/>
          <w:sz w:val="20"/>
        </w:rPr>
        <w:t>.</w:t>
      </w:r>
      <w:r>
        <w:rPr>
          <w:rFonts w:ascii="Times New Roman" w:hAnsi="Times New Roman"/>
          <w:sz w:val="20"/>
        </w:rPr>
        <w:t xml:space="preserve"> The Board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CHANGE IN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rPr>
        <w:t>Effect of Change in Control on Awards</w:t>
      </w:r>
      <w:r>
        <w:rPr>
          <w:rFonts w:ascii="Times New Roman" w:hAnsi="Times New Roman"/>
          <w:b/>
          <w:i/>
          <w:sz w:val="20"/>
        </w:rPr>
        <w:t>.</w:t>
      </w:r>
      <w:r>
        <w:rPr>
          <w:rFonts w:ascii="Times New Roman" w:hAnsi="Times New Roman"/>
          <w:sz w:val="20"/>
        </w:rPr>
        <w:t xml:space="preserve"> Subject to the requirements and limitations of Section 409A, if applicable, the Board may provide for any one or more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Accelerated Vesting</w:t>
      </w:r>
      <w:r>
        <w:rPr>
          <w:rFonts w:ascii="Times New Roman" w:hAnsi="Times New Roman"/>
          <w:sz w:val="20"/>
        </w:rPr>
        <w:t xml:space="preserve">. In its discretion, the Board may provide in the grant of any Award or at any other time may take action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Board determines.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Assumption, Continuation or Substitution of Awards</w:t>
      </w:r>
      <w:r>
        <w:rPr>
          <w:rFonts w:ascii="Times New Roman" w:hAnsi="Times New Roman"/>
          <w:sz w:val="20"/>
        </w:rPr>
        <w:t xml:space="preserve">. In the event of a Change in Control, the surviving, continuing, successor, or purchasing corporation or other business entity or parent thereof, as the case may be (the </w:t>
      </w:r>
      <w:r>
        <w:rPr>
          <w:rFonts w:ascii="Times New Roman" w:hAnsi="Times New Roman"/>
          <w:i/>
          <w:sz w:val="20"/>
        </w:rPr>
        <w:t></w:t>
      </w:r>
      <w:r>
        <w:rPr>
          <w:rFonts w:ascii="Times New Roman" w:hAnsi="Times New Roman"/>
          <w:b/>
          <w:i/>
          <w:sz w:val="20"/>
        </w:rPr>
        <w:t>Acquiror</w:t>
      </w:r>
      <w:r>
        <w:rPr>
          <w:rFonts w:ascii="Times New Roman" w:hAnsi="Times New Roman"/>
          <w:i/>
          <w:sz w:val="20"/>
        </w:rPr>
        <w:t></w:t>
      </w:r>
      <w:r>
        <w:rPr>
          <w:rFonts w:ascii="Times New Roman" w:hAnsi="Times New Roman"/>
          <w:sz w:val="20"/>
        </w:rPr>
        <w:t xml:space="preserve">),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For purposes of this Section, if so determined by the Board, in its discretion, an Award or any portion thereof shall be deemed assumed if, following the Change in Control, the Award confers the right to receive, subject to the terms and conditions of the Plan and the applicable Award Agreement, for each share of Stock subject to such portion of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Board may, with the consent of the Acquiror, provide for the consideration to be received upon the exercise or settlement of the Award, for each share of Stock subject to the Award, solely common stock of the Acquiror equal in Fair Market Value to the per share consideration received by holders of Stock pursuant to the Change in Control. If any portion of such consideration may be received by holders of Stock pursuant to the Change in Control on a contingent or delayed basis, the Board may, in its discretion, determine such Fair Market Value per share as of the time of the Change in Control on the basis of the Boards good faith estimate of the present value of the probable future payment of such consideration. Any Award or portion thereof which is neither assumed or continued by the Acquiror in connection with the Change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Control nor exercised as of the time of consummation of the Change in Control shall terminate and cease to be outstanding effective as of the time of consummation of the Change in Control. Notwithstanding the foregoing, shares acquired upon exercise of an Award prior to the Change in Control and any consideration received pursuant to the Change in Control with respect to such shares shall continue to be subject to all applicable provisions of the Award Agreement evidencing such Award except as otherwise provided in such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i/>
          <w:sz w:val="20"/>
        </w:rPr>
        <w:t>Cash-Out of Outstanding Awards.</w:t>
      </w:r>
      <w:r>
        <w:rPr>
          <w:rFonts w:ascii="Times New Roman" w:hAnsi="Times New Roman"/>
          <w:sz w:val="20"/>
        </w:rPr>
        <w:t xml:space="preserve"> The Board may, in its discretion and without the consent of any Participant, determine that, upon the occurrence of a Change in Control, each or any Award or portion thereof outstanding immediately prior to the Change in Control and not previously exercised or settled shall be canceled in exchange for a payment with respect to each vested share (and each unvested share, if so determined by the Board)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If any portion of such consideration may be received by holders of Stock pursuant to the Change in Control on a contingent or delayed basis, the Board may, in its sole discretion, determine such Fair Market Value per share as of the time of the Change in Control on the basis of the Boards good faith estimate of the present value of the probable amount of future payment of such consideration. In the event such determination is made by the Board,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w:t>
      </w:r>
    </w:p>
    <w:p>
      <w:pPr>
        <w:pStyle w:val="TextBody"/>
        <w:bidi w:val="0"/>
        <w:spacing w:before="240" w:after="0"/>
        <w:jc w:val="left"/>
        <w:rPr>
          <w:rFonts w:ascii="Times New Roman" w:hAnsi="Times New Roman"/>
          <w:sz w:val="20"/>
        </w:rPr>
      </w:pPr>
      <w:r>
        <w:rPr>
          <w:rFonts w:ascii="Times New Roman" w:hAnsi="Times New Roman"/>
          <w:sz w:val="20"/>
        </w:rPr>
        <w:t xml:space="preserve">10.2 Federal Excise Tax Under Section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Excess Parachute Payment.</w:t>
      </w:r>
      <w:r>
        <w:rPr>
          <w:rFonts w:ascii="Times New Roman" w:hAnsi="Times New Roman"/>
          <w:sz w:val="20"/>
        </w:rPr>
        <w:t xml:space="preserve"> 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Determination by Tax Firm.</w:t>
      </w:r>
      <w:r>
        <w:rPr>
          <w:rFonts w:ascii="Times New Roman" w:hAnsi="Times New Roman"/>
          <w:sz w:val="20"/>
        </w:rPr>
        <w:t xml:space="preserve"> To aid the Participant in making any election called for under </w:t>
      </w:r>
      <w:r>
        <w:rPr>
          <w:rFonts w:ascii="Times New Roman" w:hAnsi="Times New Roman"/>
          <w:sz w:val="20"/>
          <w:u w:val="single"/>
        </w:rPr>
        <w:t>Section 10.2(a)</w:t>
      </w:r>
      <w:r>
        <w:rPr>
          <w:rFonts w:ascii="Times New Roman" w:hAnsi="Times New Roman"/>
          <w:sz w:val="20"/>
        </w:rPr>
        <w:t xml:space="preserve">, no later than the date of the occurrence of any event that might reasonably be anticipated to result in an excess parachute payment to the Participant as described in </w:t>
      </w:r>
      <w:r>
        <w:rPr>
          <w:rFonts w:ascii="Times New Roman" w:hAnsi="Times New Roman"/>
          <w:sz w:val="20"/>
          <w:u w:val="single"/>
        </w:rPr>
        <w:t>Section 10.2(a)</w:t>
      </w:r>
      <w:r>
        <w:rPr>
          <w:rFonts w:ascii="Times New Roman" w:hAnsi="Times New Roman"/>
          <w:sz w:val="20"/>
        </w:rPr>
        <w:t xml:space="preserve">, the Company shall request a determination in writing by the professional firm engaged by the Company for general tax purposes, or, if the tax firm so engaged by the Company is serving as accountant or auditor for the Acquiror, the Company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appoint a nationally recognized tax firm to make the determinations required by this Section (the </w:t>
      </w:r>
      <w:r>
        <w:rPr>
          <w:rFonts w:ascii="Times New Roman" w:hAnsi="Times New Roman"/>
          <w:i/>
          <w:sz w:val="20"/>
        </w:rPr>
        <w:t></w:t>
      </w:r>
      <w:r>
        <w:rPr>
          <w:rFonts w:ascii="Times New Roman" w:hAnsi="Times New Roman"/>
          <w:b/>
          <w:i/>
          <w:sz w:val="20"/>
        </w:rPr>
        <w:t>Tax Firm</w:t>
      </w:r>
      <w:r>
        <w:rPr>
          <w:rFonts w:ascii="Times New Roman" w:hAnsi="Times New Roman"/>
          <w:i/>
          <w:sz w:val="20"/>
        </w:rPr>
        <w:t></w:t>
      </w:r>
      <w:r>
        <w:rPr>
          <w:rFonts w:ascii="Times New Roman" w:hAnsi="Times New Roman"/>
          <w:sz w:val="20"/>
        </w:rPr>
        <w:t xml:space="preserve">).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may charge in connection with its services contemplated by this Section.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TAX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Tax Withholding in General.</w:t>
      </w:r>
      <w:r>
        <w:rPr>
          <w:rFonts w:ascii="Times New Roman" w:hAnsi="Times New Roman"/>
          <w:sz w:val="20"/>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Withholding in or Directed Sale of Shares.</w:t>
      </w:r>
      <w:r>
        <w:rPr>
          <w:rFonts w:ascii="Times New Roman" w:hAnsi="Times New Roman"/>
          <w:sz w:val="20"/>
        </w:rPr>
        <w:t xml:space="preserve"> The Company shall have the right, but not the obligation, to deduct from the shares of Stock issuable to a Participant upon the exercise, vesting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the Participating Company in cash. </w:t>
      </w:r>
    </w:p>
    <w:p>
      <w:pPr>
        <w:pStyle w:val="TextBody"/>
        <w:bidi w:val="0"/>
        <w:spacing w:before="48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COMPLIANCE WITH SECTION 409A.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In General</w:t>
      </w:r>
      <w:r>
        <w:rPr>
          <w:rFonts w:ascii="Times New Roman" w:hAnsi="Times New Roman"/>
          <w:sz w:val="20"/>
        </w:rPr>
        <w:t xml:space="preserve">. The Plan and all Awards granted hereunder are intended to comply with, or otherwise be exempt from, Section 409A. The Plan and all Awards granted under the Plan shall be administered, interpreted, and construed in a manner consistent with Section 409A, as determined by the Company in good faith, to the extent necessary to avoid the imposition of additional taxes under Section 409A(a)(1)(B) of the Code. It is intended that any election, payment or benefit which is made or provided pursuant to or in connection with any Award that may result in deferred compensation within the meaning of Section 409A shall comply in all respects with the applicable requirements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Certain Limitations</w:t>
      </w:r>
      <w:r>
        <w:rPr>
          <w:rFonts w:ascii="Times New Roman" w:hAnsi="Times New Roman"/>
          <w:sz w:val="20"/>
        </w:rPr>
        <w:t xml:space="preserve">. With respect to any Award that is subject to Section 409A, the following shall apply, as applicable: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in the Plan or any Award Agreement, to the extent required to avoid tax penalties under Section 409A, amounts that would otherwise be payable and benefits that would otherwise be provided pursuant to the Plan on account of, and during the six (6) month period immediately following, the Participants termination of Service shall instead be paid on the first payroll date after the six-month anniversary of the Participants separation from service (or the Participants death, if earlier). </w:t>
      </w:r>
    </w:p>
    <w:p>
      <w:pPr>
        <w:pStyle w:val="TextBody"/>
        <w:bidi w:val="0"/>
        <w:spacing w:before="120" w:after="0"/>
        <w:jc w:val="left"/>
        <w:rPr>
          <w:rFonts w:ascii="Times New Roman" w:hAnsi="Times New Roman"/>
          <w:sz w:val="20"/>
        </w:rPr>
      </w:pPr>
      <w:r>
        <w:rPr>
          <w:rFonts w:ascii="Times New Roman" w:hAnsi="Times New Roman"/>
          <w:sz w:val="20"/>
        </w:rPr>
        <w:t xml:space="preserve">(b) Neither any Participant nor the Company shall take any action to accelerate or delay the payment of any amount or benefits under an Award in any manner which would not be in compliance with Section 409A.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the Plan or any Award Agreement, to the extent that any amount constituting deferred compensation subject to Section 409A would become payable under the Plan by reason of a Change in Control, such amount shall become payable only if the event constituting the Change in Control would also constitute a change in ownership or effective control of the Company or a change in the ownership of a substantial portion of the assets of the Company within the meaning of Section 409A. Any Award which constitutes deferred compensation subject to Section 409A and which would vest and otherwise become payable upon a Change in Control as a result of the failure of the Acquiror to assume, continue or substitute for such Award in accordance with </w:t>
      </w:r>
      <w:r>
        <w:rPr>
          <w:rFonts w:ascii="Times New Roman" w:hAnsi="Times New Roman"/>
          <w:sz w:val="20"/>
          <w:u w:val="single"/>
        </w:rPr>
        <w:t>Section 10.1(b)</w:t>
      </w:r>
      <w:r>
        <w:rPr>
          <w:rFonts w:ascii="Times New Roman" w:hAnsi="Times New Roman"/>
          <w:sz w:val="20"/>
        </w:rPr>
        <w:t xml:space="preserve"> shall vest to the extent provided by such Award but shall be converted automatically at the effective time of such Change in Control into a right to receive, in cash on the date or dates such award would have been settled in accordance with its then existing settlement schedule, an amount or amounts equal in the aggregate to the intrinsic value of the Award at the time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(d) Should any provision of the Plan, any Award Agreement, or any other agreement or arrangement contemplated by the Plan be found not to comply with, or otherwise be exempt from, the provisions of Section 409A, such provision shall be modified and given effect (retroactively if necessary), in the sole discretion of the Board, and without the consent of the holder of the Award, in such manner as the Board determines to be necessary or appropriate to comply with, or to effectuate an exemption from, Section 409A.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the foregoing, neither the Company nor the Board shall have any obligation to take any action to prevent the assessment of any tax or penalty on any Participant under Section 409A, and neither the Company nor the Board will have any liability to any Participant for such tax or penalty.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COMPLIANCE WITH SECURITIES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Except as otherwise determined by the Board, the Company intends that securities issued pursuant to the Plan be exempt from requirements of registration and qualification of such securities pursuant to the exemptions afforded by Rule 701 promulgated under the Securities Act and any other applicable exemptions, and the Plan shall be so construed.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AMENDMENT OR TERMINATION OF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amend, suspend or terminate the Plan at any time. However, without the approval of the Companys stockholders, there shall be (a) no increase in the maximum aggregate number of shares of Stock that may be issued under the Plan (except by operation of the provisions of </w:t>
      </w:r>
      <w:r>
        <w:rPr>
          <w:rFonts w:ascii="Times New Roman" w:hAnsi="Times New Roman"/>
          <w:sz w:val="20"/>
          <w:u w:val="single"/>
        </w:rPr>
        <w:t>Sections 4.2</w:t>
      </w:r>
      <w:r>
        <w:rPr>
          <w:rFonts w:ascii="Times New Roman" w:hAnsi="Times New Roman"/>
          <w:sz w:val="20"/>
        </w:rPr>
        <w:t xml:space="preserve"> and </w:t>
      </w:r>
      <w:r>
        <w:rPr>
          <w:rFonts w:ascii="Times New Roman" w:hAnsi="Times New Roman"/>
          <w:sz w:val="20"/>
          <w:u w:val="single"/>
        </w:rPr>
        <w:t>4.3</w:t>
      </w:r>
      <w:r>
        <w:rPr>
          <w:rFonts w:ascii="Times New Roman" w:hAnsi="Times New Roman"/>
          <w:sz w:val="20"/>
        </w:rPr>
        <w:t xml:space="preserve">),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Board.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Board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15.1 </w:t>
      </w:r>
      <w:r>
        <w:rPr>
          <w:rFonts w:ascii="Times New Roman" w:hAnsi="Times New Roman"/>
          <w:b/>
          <w:sz w:val="20"/>
        </w:rPr>
        <w:t>Restrictions on Transfer of Shares</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Shares issued under the Plan may be subject to a right of first refusal, one or more repurchase options, or other conditions and restrictions as determined by the Board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provisions of any Award Agreement to the contrary, at any time prior to the date on which the Stock is listed on a national securities exchange (as such term is used in the Exchange Act) or is traded on the over-the-counter market and prices therefore are published daily on business days in a recognized financial journal, the Board may prohibit any Participant who acquires shares of Stock pursuant to the Plan or any transferee of such Participant from selling, transferring, assigning, pledging, or otherwise disposing of or encumbering any such shares (each, a </w:t>
      </w:r>
      <w:r>
        <w:rPr>
          <w:rFonts w:ascii="Times New Roman" w:hAnsi="Times New Roman"/>
          <w:i/>
          <w:sz w:val="20"/>
        </w:rPr>
        <w:t></w:t>
      </w:r>
      <w:r>
        <w:rPr>
          <w:rFonts w:ascii="Times New Roman" w:hAnsi="Times New Roman"/>
          <w:b/>
          <w:i/>
          <w:sz w:val="20"/>
        </w:rPr>
        <w:t>Transfer</w:t>
      </w:r>
      <w:r>
        <w:rPr>
          <w:rFonts w:ascii="Times New Roman" w:hAnsi="Times New Roman"/>
          <w:i/>
          <w:sz w:val="20"/>
        </w:rPr>
        <w:t></w:t>
      </w:r>
      <w:r>
        <w:rPr>
          <w:rFonts w:ascii="Times New Roman" w:hAnsi="Times New Roman"/>
          <w:sz w:val="20"/>
        </w:rPr>
        <w:t xml:space="preserve">) without the prior written consent of the Board. The Board may withhold consent to any Transfer for any reason, including without limitation any Transfer (i) to any individual or entity identified by the Company as a potential competitor or considered by the Company to be unfriendly, or (ii) if such Transfer increases the risk of the Company having a class of security held of record by such number of persons as would require the Company to register any class of securities under the Exchange Act; or (iii) if such Transfer would result in the loss of any federal or state securities law exemption relied upon by the Company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would be of less than all of the shares of Stock then held by the stockholder and its affiliates or is to be made to more than a single transferee. </w:t>
      </w:r>
    </w:p>
    <w:p>
      <w:pPr>
        <w:pStyle w:val="TextBody"/>
        <w:bidi w:val="0"/>
        <w:spacing w:before="120" w:after="0"/>
        <w:jc w:val="left"/>
        <w:rPr>
          <w:rFonts w:ascii="Times New Roman" w:hAnsi="Times New Roman"/>
          <w:sz w:val="20"/>
        </w:rPr>
      </w:pPr>
      <w:r>
        <w:rPr>
          <w:rFonts w:ascii="Times New Roman" w:hAnsi="Times New Roman"/>
          <w:sz w:val="20"/>
        </w:rPr>
        <w:t xml:space="preserve">15.2 </w:t>
      </w:r>
      <w:r>
        <w:rPr>
          <w:rFonts w:ascii="Times New Roman" w:hAnsi="Times New Roman"/>
          <w:b/>
          <w:sz w:val="20"/>
        </w:rPr>
        <w:t>Forfeiture Events.</w:t>
      </w:r>
      <w:r>
        <w:rPr>
          <w:rFonts w:ascii="Times New Roman" w:hAnsi="Times New Roman"/>
          <w:sz w:val="20"/>
        </w:rPr>
        <w:t xml:space="preserve"> The Board may determine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15.3 </w:t>
      </w:r>
      <w:r>
        <w:rPr>
          <w:rFonts w:ascii="Times New Roman" w:hAnsi="Times New Roman"/>
          <w:b/>
          <w:sz w:val="20"/>
        </w:rPr>
        <w:t>Provision of Information.</w:t>
      </w:r>
      <w:r>
        <w:rPr>
          <w:rFonts w:ascii="Times New Roman" w:hAnsi="Times New Roman"/>
          <w:sz w:val="20"/>
        </w:rPr>
        <w:t xml:space="preserve"> At least annually, copies of the Companys balance sheet and income statement for the just completed fiscal year shall be made available to each Participant and purchaser of shares of Stock upon the exercise of an Award; provided, however, that this requirement shall not apply if all offers and sales of securities pursuant to the Plan comply with all applicable conditions of Rule 701 under the Securities Act. The Company shall not be required to provide such information to key persons whose duties in connection with the Company assure them access to equivalent information. The Company shall deliver to each Participant such disclosures as are required in accordance with Rule 701 under the Securities Act. Notwithstanding the foregoing, at any time the Company is relying on the exemption provided by Rule 12h-1(f) under the Exchange Act, the Company shall provide to the applicable Participants the information described in Securities Act Rules 701(e)(3), (4) and (5) by a method allowed under Rule 12h-1(f)(1)(vi) and in accordance with the requirements of Rule 12h-1(f)(1)(vi), provided that the Participant agrees to keep the information confidential until the Company becomes subject to the reporting requirements of Section 13 or Section 15(d) of the Exchange Act.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15.4 </w:t>
      </w:r>
      <w:r>
        <w:rPr>
          <w:rFonts w:ascii="Times New Roman" w:hAnsi="Times New Roman"/>
          <w:b/>
          <w:sz w:val="20"/>
        </w:rPr>
        <w:t>Rights as Employee, Consultant or Director.</w:t>
      </w:r>
      <w:r>
        <w:rPr>
          <w:rFonts w:ascii="Times New Roman" w:hAnsi="Times New Roman"/>
          <w:sz w:val="20"/>
        </w:rPr>
        <w:t xml:space="preserve"> No person, even though eligible pursuant to </w:t>
      </w:r>
      <w:r>
        <w:rPr>
          <w:rFonts w:ascii="Times New Roman" w:hAnsi="Times New Roman"/>
          <w:sz w:val="20"/>
          <w:u w:val="single"/>
        </w:rPr>
        <w:t>Section 5</w:t>
      </w:r>
      <w:r>
        <w:rPr>
          <w:rFonts w:ascii="Times New Roman" w:hAnsi="Times New Roman"/>
          <w:sz w:val="20"/>
        </w:rPr>
        <w:t xml:space="preserve">,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15.5 </w:t>
      </w:r>
      <w:r>
        <w:rPr>
          <w:rFonts w:ascii="Times New Roman" w:hAnsi="Times New Roman"/>
          <w:b/>
          <w:sz w:val="20"/>
        </w:rPr>
        <w:t>Rights as a Stockholder.</w:t>
      </w:r>
      <w:r>
        <w:rPr>
          <w:rFonts w:ascii="Times New Roman" w:hAnsi="Times New Roman"/>
          <w:sz w:val="20"/>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w:t>
      </w:r>
      <w:r>
        <w:rPr>
          <w:rFonts w:ascii="Times New Roman" w:hAnsi="Times New Roman"/>
          <w:sz w:val="20"/>
          <w:u w:val="single"/>
        </w:rPr>
        <w:t>Section 4.3</w:t>
      </w:r>
      <w:r>
        <w:rPr>
          <w:rFonts w:ascii="Times New Roman" w:hAnsi="Times New Roman"/>
          <w:sz w:val="20"/>
        </w:rPr>
        <w:t xml:space="preserve"> or another provision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15.6 </w:t>
      </w:r>
      <w:r>
        <w:rPr>
          <w:rFonts w:ascii="Times New Roman" w:hAnsi="Times New Roman"/>
          <w:b/>
          <w:sz w:val="20"/>
        </w:rPr>
        <w:t>Delivery of Title to Shares.</w:t>
      </w:r>
      <w:r>
        <w:rPr>
          <w:rFonts w:ascii="Times New Roman" w:hAnsi="Times New Roman"/>
          <w:sz w:val="20"/>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 </w:t>
      </w:r>
    </w:p>
    <w:p>
      <w:pPr>
        <w:pStyle w:val="TextBody"/>
        <w:bidi w:val="0"/>
        <w:spacing w:before="120" w:after="0"/>
        <w:jc w:val="left"/>
        <w:rPr>
          <w:rFonts w:ascii="Times New Roman" w:hAnsi="Times New Roman"/>
          <w:sz w:val="20"/>
        </w:rPr>
      </w:pPr>
      <w:r>
        <w:rPr>
          <w:rFonts w:ascii="Times New Roman" w:hAnsi="Times New Roman"/>
          <w:sz w:val="20"/>
        </w:rPr>
        <w:t xml:space="preserve">15.7 </w:t>
      </w:r>
      <w:r>
        <w:rPr>
          <w:rFonts w:ascii="Times New Roman" w:hAnsi="Times New Roman"/>
          <w:b/>
          <w:sz w:val="20"/>
        </w:rPr>
        <w:t>Fractional Shares.</w:t>
      </w:r>
      <w:r>
        <w:rPr>
          <w:rFonts w:ascii="Times New Roman" w:hAnsi="Times New Roman"/>
          <w:sz w:val="20"/>
        </w:rPr>
        <w:t xml:space="preserve"> The Company shall not be required to issue fractional shares upon the exercise or settlement of any Award. </w:t>
      </w:r>
    </w:p>
    <w:p>
      <w:pPr>
        <w:pStyle w:val="TextBody"/>
        <w:bidi w:val="0"/>
        <w:spacing w:before="120" w:after="0"/>
        <w:jc w:val="left"/>
        <w:rPr>
          <w:rFonts w:ascii="Times New Roman" w:hAnsi="Times New Roman"/>
          <w:sz w:val="20"/>
        </w:rPr>
      </w:pPr>
      <w:r>
        <w:rPr>
          <w:rFonts w:ascii="Times New Roman" w:hAnsi="Times New Roman"/>
          <w:sz w:val="20"/>
        </w:rPr>
        <w:t xml:space="preserve">15.8 </w:t>
      </w:r>
      <w:r>
        <w:rPr>
          <w:rFonts w:ascii="Times New Roman" w:hAnsi="Times New Roman"/>
          <w:b/>
          <w:sz w:val="20"/>
        </w:rPr>
        <w:t>Retirement and Welfare Plans.</w:t>
      </w:r>
      <w:r>
        <w:rPr>
          <w:rFonts w:ascii="Times New Roman" w:hAnsi="Times New Roman"/>
          <w:sz w:val="20"/>
        </w:rPr>
        <w:t xml:space="preserve">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benefits. </w:t>
      </w:r>
    </w:p>
    <w:p>
      <w:pPr>
        <w:pStyle w:val="TextBody"/>
        <w:bidi w:val="0"/>
        <w:spacing w:before="120" w:after="0"/>
        <w:jc w:val="left"/>
        <w:rPr>
          <w:rFonts w:ascii="Times New Roman" w:hAnsi="Times New Roman"/>
          <w:sz w:val="20"/>
        </w:rPr>
      </w:pPr>
      <w:r>
        <w:rPr>
          <w:rFonts w:ascii="Times New Roman" w:hAnsi="Times New Roman"/>
          <w:sz w:val="20"/>
        </w:rPr>
        <w:t xml:space="preserve">15.9 </w:t>
      </w:r>
      <w:r>
        <w:rPr>
          <w:rFonts w:ascii="Times New Roman" w:hAnsi="Times New Roman"/>
          <w:b/>
          <w:sz w:val="20"/>
        </w:rPr>
        <w:t>Severability.</w:t>
      </w:r>
      <w:r>
        <w:rPr>
          <w:rFonts w:ascii="Times New Roman" w:hAnsi="Times New Roman"/>
          <w:sz w:val="20"/>
        </w:rPr>
        <w:t xml:space="preserve">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 </w:t>
      </w:r>
    </w:p>
    <w:p>
      <w:pPr>
        <w:pStyle w:val="TextBody"/>
        <w:bidi w:val="0"/>
        <w:spacing w:before="120" w:after="0"/>
        <w:jc w:val="left"/>
        <w:rPr>
          <w:rFonts w:ascii="Times New Roman" w:hAnsi="Times New Roman"/>
          <w:sz w:val="20"/>
        </w:rPr>
      </w:pPr>
      <w:r>
        <w:rPr>
          <w:rFonts w:ascii="Times New Roman" w:hAnsi="Times New Roman"/>
          <w:sz w:val="20"/>
        </w:rPr>
        <w:t xml:space="preserve">15.10 </w:t>
      </w:r>
      <w:r>
        <w:rPr>
          <w:rFonts w:ascii="Times New Roman" w:hAnsi="Times New Roman"/>
          <w:b/>
          <w:sz w:val="20"/>
        </w:rPr>
        <w:t>No Constraint on Corporate Action.</w:t>
      </w:r>
      <w:r>
        <w:rPr>
          <w:rFonts w:ascii="Times New Roman" w:hAnsi="Times New Roman"/>
          <w:sz w:val="20"/>
        </w:rPr>
        <w:t xml:space="preserve"> Nothing in this Plan shall be construed to: (a) limit, impair, or otherwise affect the Companys or another Participating Companys right or power to make adjustments, reclassifications, reorganizations, or changes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 </w:t>
      </w:r>
    </w:p>
    <w:p>
      <w:pPr>
        <w:pStyle w:val="TextBody"/>
        <w:bidi w:val="0"/>
        <w:spacing w:before="120" w:after="0"/>
        <w:jc w:val="left"/>
        <w:rPr>
          <w:rFonts w:ascii="Times New Roman" w:hAnsi="Times New Roman"/>
          <w:sz w:val="20"/>
        </w:rPr>
      </w:pPr>
      <w:r>
        <w:rPr>
          <w:rFonts w:ascii="Times New Roman" w:hAnsi="Times New Roman"/>
          <w:sz w:val="20"/>
        </w:rPr>
        <w:t xml:space="preserve">15.11 </w:t>
      </w:r>
      <w:r>
        <w:rPr>
          <w:rFonts w:ascii="Times New Roman" w:hAnsi="Times New Roman"/>
          <w:b/>
          <w:sz w:val="20"/>
        </w:rPr>
        <w:t>Unfunded Obligation.</w:t>
      </w:r>
      <w:r>
        <w:rPr>
          <w:rFonts w:ascii="Times New Roman" w:hAnsi="Times New Roman"/>
          <w:sz w:val="20"/>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 </w:t>
      </w:r>
    </w:p>
    <w:p>
      <w:pPr>
        <w:pStyle w:val="TextBody"/>
        <w:bidi w:val="0"/>
        <w:spacing w:before="120" w:after="0"/>
        <w:jc w:val="left"/>
        <w:rPr>
          <w:rFonts w:ascii="Times New Roman" w:hAnsi="Times New Roman"/>
          <w:sz w:val="20"/>
        </w:rPr>
      </w:pPr>
      <w:r>
        <w:rPr>
          <w:rFonts w:ascii="Times New Roman" w:hAnsi="Times New Roman"/>
          <w:sz w:val="20"/>
        </w:rPr>
        <w:t xml:space="preserve">15.12 </w:t>
      </w:r>
      <w:r>
        <w:rPr>
          <w:rFonts w:ascii="Times New Roman" w:hAnsi="Times New Roman"/>
          <w:b/>
          <w:sz w:val="20"/>
        </w:rPr>
        <w:t>Choice of Law.</w:t>
      </w:r>
      <w:r>
        <w:rPr>
          <w:rFonts w:ascii="Times New Roman" w:hAnsi="Times New Roman"/>
          <w:sz w:val="20"/>
        </w:rPr>
        <w:t xml:space="preserve"> Except to the extent governed by applicable federal law, the validity, interpretation, construction and performance of the Plan and each Award Agreement shall be governed by the laws of the State of Delaware, without regard to its conflict of law rules. </w:t>
      </w:r>
    </w:p>
    <w:p>
      <w:pPr>
        <w:pStyle w:val="TextBody"/>
        <w:bidi w:val="0"/>
        <w:spacing w:before="120" w:after="0"/>
        <w:jc w:val="left"/>
        <w:rPr>
          <w:rFonts w:ascii="Times New Roman" w:hAnsi="Times New Roman"/>
          <w:sz w:val="20"/>
        </w:rPr>
      </w:pPr>
      <w:r>
        <w:rPr>
          <w:rFonts w:ascii="Times New Roman" w:hAnsi="Times New Roman"/>
          <w:sz w:val="20"/>
        </w:rPr>
        <w:t xml:space="preserve">15.13 </w:t>
      </w:r>
      <w:r>
        <w:rPr>
          <w:rFonts w:ascii="Times New Roman" w:hAnsi="Times New Roman"/>
          <w:b/>
          <w:sz w:val="20"/>
        </w:rPr>
        <w:t>Stockholder Approval.</w:t>
      </w:r>
      <w:r>
        <w:rPr>
          <w:rFonts w:ascii="Times New Roman" w:hAnsi="Times New Roman"/>
          <w:sz w:val="20"/>
        </w:rPr>
        <w:t xml:space="preserve"> The Plan or any increase in the maximum aggregate number of shares of Stock issuable thereunder as provided in </w:t>
      </w:r>
      <w:r>
        <w:rPr>
          <w:rFonts w:ascii="Times New Roman" w:hAnsi="Times New Roman"/>
          <w:sz w:val="20"/>
          <w:u w:val="single"/>
        </w:rPr>
        <w:t>Section 4.1</w:t>
      </w:r>
      <w:r>
        <w:rPr>
          <w:rFonts w:ascii="Times New Roman" w:hAnsi="Times New Roman"/>
          <w:sz w:val="20"/>
        </w:rPr>
        <w:t xml:space="preserve"> (the </w:t>
      </w:r>
      <w:r>
        <w:rPr>
          <w:rFonts w:ascii="Times New Roman" w:hAnsi="Times New Roman"/>
          <w:b/>
          <w:i/>
          <w:sz w:val="20"/>
        </w:rPr>
        <w:t>Authorized Shares</w:t>
      </w:r>
      <w:r>
        <w:rPr>
          <w:rFonts w:ascii="Times New Roman" w:hAnsi="Times New Roman"/>
          <w:i/>
          <w:sz w:val="20"/>
        </w:rPr>
        <w:t></w:t>
      </w:r>
      <w:r>
        <w:rPr>
          <w:rFonts w:ascii="Times New Roman" w:hAnsi="Times New Roman"/>
          <w:sz w:val="20"/>
        </w:rPr>
        <w:t xml:space="preserve">) shall be approved by a majority of the outstanding securities of the Company entitled to vote by the later of (a) a period beginning twelve (12) months before and ending twelve (12) months after the date of adoption thereof by the Board or (b) the first issuance of any security pursuant to the Plan in the State of California (within the meaning of Section 25008 of the California Corporations Code). Awards granted prior to security holder approval of the Plan or in excess of the Authorized Shares previously approved by the security holders shall become exercisable no earlier than the date of security holder approval of the Plan or such increase in the Authorized Shares, as the case may be, and such Awards shall be rescinded if such security holder approval is not received in the manner described in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PLAN HISTORY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0"/>
        <w:gridCol w:w="203"/>
        <w:gridCol w:w="7962"/>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962"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September 21, 2015</w:t>
            </w:r>
          </w:p>
        </w:tc>
        <w:tc>
          <w:tcPr>
            <w:tcW w:w="203" w:type="dxa"/>
            <w:tcBorders/>
            <w:vAlign w:val="bottom"/>
          </w:tcPr>
          <w:p>
            <w:pPr>
              <w:pStyle w:val="TableContents"/>
              <w:bidi w:val="0"/>
              <w:spacing w:before="0" w:after="283"/>
              <w:jc w:val="left"/>
              <w:rPr/>
            </w:pPr>
            <w:r>
              <w:rPr/>
              <w:t>  </w:t>
            </w:r>
          </w:p>
        </w:tc>
        <w:tc>
          <w:tcPr>
            <w:tcW w:w="7962" w:type="dxa"/>
            <w:tcBorders/>
            <w:vAlign w:val="bottom"/>
          </w:tcPr>
          <w:p>
            <w:pPr>
              <w:pStyle w:val="TableContents"/>
              <w:bidi w:val="0"/>
              <w:spacing w:before="0" w:after="283"/>
              <w:jc w:val="left"/>
              <w:rPr/>
            </w:pPr>
            <w:r>
              <w:rPr/>
              <w:t>Board adopts Plan, with an initial reserve of 7,500,000 shares.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September 21, 2015</w:t>
            </w:r>
          </w:p>
        </w:tc>
        <w:tc>
          <w:tcPr>
            <w:tcW w:w="203" w:type="dxa"/>
            <w:tcBorders/>
            <w:vAlign w:val="bottom"/>
          </w:tcPr>
          <w:p>
            <w:pPr>
              <w:pStyle w:val="TableContents"/>
              <w:bidi w:val="0"/>
              <w:spacing w:before="0" w:after="283"/>
              <w:jc w:val="left"/>
              <w:rPr/>
            </w:pPr>
            <w:r>
              <w:rPr/>
              <w:t>  </w:t>
            </w:r>
          </w:p>
        </w:tc>
        <w:tc>
          <w:tcPr>
            <w:tcW w:w="7962" w:type="dxa"/>
            <w:tcBorders/>
            <w:vAlign w:val="bottom"/>
          </w:tcPr>
          <w:p>
            <w:pPr>
              <w:pStyle w:val="TableContents"/>
              <w:bidi w:val="0"/>
              <w:spacing w:before="0" w:after="283"/>
              <w:jc w:val="left"/>
              <w:rPr/>
            </w:pPr>
            <w:r>
              <w:rPr/>
              <w:t>Stockholders of the Company approve Plan.</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September 8, 2017</w:t>
            </w:r>
          </w:p>
        </w:tc>
        <w:tc>
          <w:tcPr>
            <w:tcW w:w="203" w:type="dxa"/>
            <w:tcBorders/>
            <w:vAlign w:val="bottom"/>
          </w:tcPr>
          <w:p>
            <w:pPr>
              <w:pStyle w:val="TableContents"/>
              <w:bidi w:val="0"/>
              <w:spacing w:before="0" w:after="283"/>
              <w:jc w:val="left"/>
              <w:rPr/>
            </w:pPr>
            <w:r>
              <w:rPr/>
              <w:t>  </w:t>
            </w:r>
          </w:p>
        </w:tc>
        <w:tc>
          <w:tcPr>
            <w:tcW w:w="7962" w:type="dxa"/>
            <w:tcBorders/>
            <w:vAlign w:val="bottom"/>
          </w:tcPr>
          <w:p>
            <w:pPr>
              <w:pStyle w:val="TableContents"/>
              <w:bidi w:val="0"/>
              <w:spacing w:before="0" w:after="283"/>
              <w:jc w:val="left"/>
              <w:rPr/>
            </w:pPr>
            <w:r>
              <w:rPr/>
              <w:t>Board adopts the amended and restated Plan and Stockholders of the Company approve the amendment and restatement of Plan for a new reserve of 10,415,750 shares.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March 16, 2018</w:t>
            </w:r>
          </w:p>
        </w:tc>
        <w:tc>
          <w:tcPr>
            <w:tcW w:w="203" w:type="dxa"/>
            <w:tcBorders/>
            <w:vAlign w:val="bottom"/>
          </w:tcPr>
          <w:p>
            <w:pPr>
              <w:pStyle w:val="TableContents"/>
              <w:bidi w:val="0"/>
              <w:spacing w:before="0" w:after="283"/>
              <w:jc w:val="left"/>
              <w:rPr/>
            </w:pPr>
            <w:r>
              <w:rPr/>
              <w:t>  </w:t>
            </w:r>
          </w:p>
        </w:tc>
        <w:tc>
          <w:tcPr>
            <w:tcW w:w="7962" w:type="dxa"/>
            <w:tcBorders/>
            <w:vAlign w:val="bottom"/>
          </w:tcPr>
          <w:p>
            <w:pPr>
              <w:pStyle w:val="TableContents"/>
              <w:bidi w:val="0"/>
              <w:spacing w:before="0" w:after="283"/>
              <w:jc w:val="left"/>
              <w:rPr/>
            </w:pPr>
            <w:r>
              <w:rPr/>
              <w:t>Board adopts the amended and restated Plan and Stockholders of the Company approve the amendment and restatement of Plan for a new reserve of 12,615,750 shares.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October 16, 2019</w:t>
            </w:r>
          </w:p>
        </w:tc>
        <w:tc>
          <w:tcPr>
            <w:tcW w:w="203" w:type="dxa"/>
            <w:tcBorders/>
            <w:vAlign w:val="bottom"/>
          </w:tcPr>
          <w:p>
            <w:pPr>
              <w:pStyle w:val="TableContents"/>
              <w:bidi w:val="0"/>
              <w:spacing w:before="0" w:after="283"/>
              <w:jc w:val="left"/>
              <w:rPr/>
            </w:pPr>
            <w:r>
              <w:rPr/>
              <w:t>  </w:t>
            </w:r>
          </w:p>
        </w:tc>
        <w:tc>
          <w:tcPr>
            <w:tcW w:w="7962" w:type="dxa"/>
            <w:tcBorders/>
            <w:vAlign w:val="bottom"/>
          </w:tcPr>
          <w:p>
            <w:pPr>
              <w:pStyle w:val="TableContents"/>
              <w:bidi w:val="0"/>
              <w:spacing w:before="0" w:after="283"/>
              <w:jc w:val="left"/>
              <w:rPr/>
            </w:pPr>
            <w:r>
              <w:rPr/>
              <w:t>Board adopts the amended and restated Plan and Stockholders of the Company approve the amendment and restatement of Plan for a new reserve of 14,115,750 shares.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APPENDIX A </w:t>
      </w:r>
    </w:p>
    <w:p>
      <w:pPr>
        <w:pStyle w:val="TextBody"/>
        <w:bidi w:val="0"/>
        <w:spacing w:before="0" w:after="0"/>
        <w:jc w:val="center"/>
        <w:rPr>
          <w:rFonts w:ascii="Times New Roman" w:hAnsi="Times New Roman"/>
          <w:b/>
          <w:sz w:val="20"/>
        </w:rPr>
      </w:pPr>
      <w:r>
        <w:rPr>
          <w:rFonts w:ascii="Times New Roman" w:hAnsi="Times New Roman"/>
          <w:b/>
          <w:sz w:val="20"/>
        </w:rPr>
        <w:t xml:space="preserve">TO THIRD AMENDED AND RESTATED TEMPUS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2015 STOCK PLAN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Provisions For California Residents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Awards granted to California residents prior to a public offering of capital stock of the Company that is effected pursuant to a registration statement filed with, and declared effective by, the Securities and Exchange Commission under the Securities Act of 1933, as amended, and only to the extent required by applicable law, the following provisions shall apply notwithstanding anything in the Plan or an Award Agreement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1. With respect to any Award granted in the form of a stock option pursuant to Section 6 of the Plan: </w:t>
      </w:r>
    </w:p>
    <w:p>
      <w:pPr>
        <w:pStyle w:val="TextBody"/>
        <w:bidi w:val="0"/>
        <w:spacing w:before="120" w:after="0"/>
        <w:jc w:val="left"/>
        <w:rPr>
          <w:rFonts w:ascii="Times New Roman" w:hAnsi="Times New Roman"/>
          <w:sz w:val="20"/>
        </w:rPr>
      </w:pPr>
      <w:r>
        <w:rPr>
          <w:rFonts w:ascii="Times New Roman" w:hAnsi="Times New Roman"/>
          <w:sz w:val="20"/>
        </w:rPr>
        <w:t xml:space="preserve">(a) The exercise period shall be no more than 120 months from the date the Option is granted. </w:t>
      </w:r>
    </w:p>
    <w:p>
      <w:pPr>
        <w:pStyle w:val="TextBody"/>
        <w:bidi w:val="0"/>
        <w:spacing w:before="120" w:after="0"/>
        <w:jc w:val="left"/>
        <w:rPr>
          <w:rFonts w:ascii="Times New Roman" w:hAnsi="Times New Roman"/>
          <w:sz w:val="20"/>
        </w:rPr>
      </w:pPr>
      <w:r>
        <w:rPr>
          <w:rFonts w:ascii="Times New Roman" w:hAnsi="Times New Roman"/>
          <w:sz w:val="20"/>
        </w:rPr>
        <w:t xml:space="preserve">(b) The Options shall be non-transferable other than by will, by the laws of descent and distribution, or, if and to the extent permitted under the Award Agreement, to a revocable trust or as permitted by Rule 701 of the Securities Act of 1933, as amended (17 C.F.R. 230.701). </w:t>
      </w:r>
    </w:p>
    <w:p>
      <w:pPr>
        <w:pStyle w:val="TextBody"/>
        <w:bidi w:val="0"/>
        <w:spacing w:before="120" w:after="0"/>
        <w:jc w:val="left"/>
        <w:rPr>
          <w:rFonts w:ascii="Times New Roman" w:hAnsi="Times New Roman"/>
          <w:sz w:val="20"/>
        </w:rPr>
      </w:pPr>
      <w:r>
        <w:rPr>
          <w:rFonts w:ascii="Times New Roman" w:hAnsi="Times New Roman"/>
          <w:sz w:val="20"/>
        </w:rPr>
        <w:t xml:space="preserve">(c) Unless Service is terminated for cause as defined by applicable law, the terms of the Plan or Award Agreement, or a contract of employment or other service, the right to exercise the Option in the event of termination of Service, to the extent that the Award recipient is entitled to exercise on the date employment terminates, will continue until the earlier of the Option expiration date, or: </w:t>
      </w:r>
    </w:p>
    <w:p>
      <w:pPr>
        <w:pStyle w:val="TextBody"/>
        <w:bidi w:val="0"/>
        <w:spacing w:before="120" w:after="0"/>
        <w:jc w:val="left"/>
        <w:rPr>
          <w:rFonts w:ascii="Times New Roman" w:hAnsi="Times New Roman"/>
          <w:sz w:val="20"/>
        </w:rPr>
      </w:pPr>
      <w:r>
        <w:rPr>
          <w:rFonts w:ascii="Times New Roman" w:hAnsi="Times New Roman"/>
          <w:sz w:val="20"/>
        </w:rPr>
        <w:t xml:space="preserve">(1) At least 6 months from the date of termination if termination was caused by death or Disability. </w:t>
      </w:r>
    </w:p>
    <w:p>
      <w:pPr>
        <w:pStyle w:val="TextBody"/>
        <w:bidi w:val="0"/>
        <w:spacing w:before="120" w:after="0"/>
        <w:jc w:val="left"/>
        <w:rPr>
          <w:rFonts w:ascii="Times New Roman" w:hAnsi="Times New Roman"/>
          <w:sz w:val="20"/>
        </w:rPr>
      </w:pPr>
      <w:r>
        <w:rPr>
          <w:rFonts w:ascii="Times New Roman" w:hAnsi="Times New Roman"/>
          <w:sz w:val="20"/>
        </w:rPr>
        <w:t xml:space="preserve">(2) At least 30 days from the date of termination if termination was caused by other than death or Disability. </w:t>
      </w:r>
    </w:p>
    <w:p>
      <w:pPr>
        <w:pStyle w:val="TextBody"/>
        <w:bidi w:val="0"/>
        <w:spacing w:before="240" w:after="0"/>
        <w:jc w:val="left"/>
        <w:rPr>
          <w:rFonts w:ascii="Times New Roman" w:hAnsi="Times New Roman"/>
          <w:sz w:val="20"/>
        </w:rPr>
      </w:pPr>
      <w:r>
        <w:rPr>
          <w:rFonts w:ascii="Times New Roman" w:hAnsi="Times New Roman"/>
          <w:sz w:val="20"/>
        </w:rPr>
        <w:t xml:space="preserve">2. With respect to an Award, granted pursuant to of Section 7 the Plan, that provides the Award recipient the right to purchase stock, the Award shall be non-transferable other than by will, by the laws of descent and distribution, or, if and to the extent permitted under the Award Agreement, to a revocable trust or as permitted by Rule 701 of the Securities Act of 1933, as amended (17 C.F.R. 230.701). </w:t>
      </w:r>
    </w:p>
    <w:p>
      <w:pPr>
        <w:pStyle w:val="TextBody"/>
        <w:bidi w:val="0"/>
        <w:spacing w:before="240" w:after="0"/>
        <w:jc w:val="left"/>
        <w:rPr>
          <w:rFonts w:ascii="Times New Roman" w:hAnsi="Times New Roman"/>
          <w:sz w:val="20"/>
        </w:rPr>
      </w:pPr>
      <w:r>
        <w:rPr>
          <w:rFonts w:ascii="Times New Roman" w:hAnsi="Times New Roman"/>
          <w:sz w:val="20"/>
        </w:rPr>
        <w:t xml:space="preserve">3. The Plan shall have a termination date of not more than 10 years from the date the Plan is adopted by the Board or the date the Plan is approved by the security holders, whichever is earlier.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Security holders representing a majority of the Companys outstanding securities entitled to vote must approve the Plan by the later of (a) 12 months after the date the Plan is adopted or (b) 12 months after the granting of any Award to a resident of California. Any Option exercised or any securities purchased before security holder approval is obtained must be rescinded if security holder approval is not obtained within the period described in the preceding sentence. Such securities shall not be counted in determining whether such approval is obtained. </w:t>
      </w:r>
    </w:p>
    <w:p>
      <w:pPr>
        <w:pStyle w:val="TextBody"/>
        <w:bidi w:val="0"/>
        <w:spacing w:before="120" w:after="0"/>
        <w:jc w:val="left"/>
        <w:rPr>
          <w:rFonts w:ascii="Times New Roman" w:hAnsi="Times New Roman"/>
          <w:sz w:val="20"/>
        </w:rPr>
      </w:pPr>
      <w:r>
        <w:rPr>
          <w:rFonts w:ascii="Times New Roman" w:hAnsi="Times New Roman"/>
          <w:sz w:val="20"/>
        </w:rPr>
        <w:t xml:space="preserve">5. The Company will provide financial statements to each Award recipient annually during the period such individual has Awards outstanding, or as otherwise required under section 260.140.46 of Title 10 of the California Code of Regulations. Notwithstanding the foregoing, the Company will not be required to provide such financial statements to Award recipients when the Plan complies with all conditions of Rule 701 of the Securities Act of 1933, as amended (17 C.F.R. 230.701); provided that for purposes of determining such compliance, any registered domestic partner shall be considered a family member as that term is defined in Rule 701. </w:t>
      </w:r>
    </w:p>
    <w:p>
      <w:pPr>
        <w:pStyle w:val="TextBody"/>
        <w:bidi w:val="0"/>
        <w:spacing w:before="240" w:after="0"/>
        <w:jc w:val="left"/>
        <w:rPr>
          <w:rFonts w:ascii="Times New Roman" w:hAnsi="Times New Roman"/>
          <w:sz w:val="20"/>
        </w:rPr>
      </w:pPr>
      <w:r>
        <w:rPr>
          <w:rFonts w:ascii="Times New Roman" w:hAnsi="Times New Roman"/>
          <w:sz w:val="20"/>
        </w:rPr>
        <w:t xml:space="preserve">6. The Plan is intended to comply with section 25102(o) of the California Corporations Code. Any provision of this Plan which is inconsistent with section 25102(o), including without limitation any provision of this Plan that is more restrictive than would be permitted by section 25102(o) as amended from time to time, shall, without further act or amendment by the Board, be reformed to comply with the provisions of section 25102(o). If at any time the Board determines that the delivery of Stock under the Plan is or may be unlawful under the laws of any applicable jurisdiction, or federal or state securities laws, the right to exercise an Award or receive shares of Stock pursuant to an Award shall be suspended until the Board determines that such delivery is lawful. The Company shall have no obligation to effect any registration or qualification of the Stock under federal or state laws.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5"/>
        <w:gridCol w:w="264"/>
        <w:gridCol w:w="8366"/>
        <w:gridCol w:w="182"/>
        <w:gridCol w:w="96"/>
        <w:gridCol w:w="429"/>
        <w:gridCol w:w="63"/>
      </w:tblGrid>
      <w:tr>
        <w:trPr/>
        <w:tc>
          <w:tcPr>
            <w:tcW w:w="805"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836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36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2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3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1.   Establishment, Purpose and Term of Plan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Establishment</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Purpose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Term of Plan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35"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43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2.   Definitions and Construction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Construction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435"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43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3.   Administration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Administration by the Board</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Authority of Officers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Powers of the Board</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Administration with Respect to Insiders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435"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43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4.   Shares Subject to Plan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Maximum Number of Shares Issuable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Share Counting</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for Changes in Capital Structure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Assumption or Substitution of Awards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435"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43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5.   Eligibility, Participation and Option Limitations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Persons Eligible for Awards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Participation in the Plan</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Incentive Stock Option Limitations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435" w:type="dxa"/>
            <w:gridSpan w:val="3"/>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43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6.   Stock Options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Exercisability and Term of Options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Payment of Exercise Price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805" w:type="dxa"/>
            <w:tcBorders/>
            <w:vAlign w:val="center"/>
          </w:tcPr>
          <w:p>
            <w:pPr>
              <w:pStyle w:val="TableContents"/>
              <w:bidi w:val="0"/>
              <w:spacing w:before="0" w:after="283"/>
              <w:jc w:val="left"/>
              <w:rPr>
                <w:sz w:val="4"/>
                <w:szCs w:val="4"/>
              </w:rPr>
            </w:pPr>
            <w:r>
              <w:rPr>
                <w:sz w:val="4"/>
                <w:szCs w:val="4"/>
              </w:rPr>
            </w:r>
          </w:p>
        </w:tc>
        <w:tc>
          <w:tcPr>
            <w:tcW w:w="863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264" w:type="dxa"/>
            <w:tcBorders/>
            <w:vAlign w:val="bottom"/>
          </w:tcPr>
          <w:p>
            <w:pPr>
              <w:pStyle w:val="TableContents"/>
              <w:bidi w:val="0"/>
              <w:spacing w:before="0" w:after="283"/>
              <w:jc w:val="left"/>
              <w:rPr/>
            </w:pPr>
            <w:r>
              <w:rPr/>
              <w:t>  </w:t>
            </w:r>
          </w:p>
        </w:tc>
        <w:tc>
          <w:tcPr>
            <w:tcW w:w="8366" w:type="dxa"/>
            <w:tcBorders/>
          </w:tcPr>
          <w:p>
            <w:pPr>
              <w:pStyle w:val="TableContents"/>
              <w:bidi w:val="0"/>
              <w:spacing w:before="0" w:after="0"/>
              <w:jc w:val="left"/>
              <w:rPr>
                <w:rFonts w:ascii="Times New Roman" w:hAnsi="Times New Roman"/>
                <w:sz w:val="20"/>
              </w:rPr>
            </w:pPr>
            <w:r>
              <w:rPr>
                <w:rFonts w:ascii="Times New Roman" w:hAnsi="Times New Roman"/>
                <w:sz w:val="20"/>
              </w:rPr>
              <w:t>Transferability of Options</w:t>
            </w:r>
          </w:p>
        </w:tc>
        <w:tc>
          <w:tcPr>
            <w:tcW w:w="18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3"/>
        <w:gridCol w:w="259"/>
        <w:gridCol w:w="8311"/>
        <w:gridCol w:w="178"/>
        <w:gridCol w:w="96"/>
        <w:gridCol w:w="424"/>
        <w:gridCol w:w="64"/>
      </w:tblGrid>
      <w:tr>
        <w:trPr/>
        <w:tc>
          <w:tcPr>
            <w:tcW w:w="873"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8311"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31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7.   Restricted Stock Awards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Types of Restricted Stock Awards Authorized</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Purchase Period</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Purchase Price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Vesting and Restrictions on Transfer</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Voting Rights; Dividends and Distributions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Nontransferability of Restricted Stock Award Rights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8.   Restricted Stock Units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Grant of Restricted Stock Unit Awards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Vesting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Voting Rights, Dividend Equivalent Rights and Distributions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 of Service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 Awards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Nontransferability of Restricted Stock Unit Awards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9.   Standard Forms of Award Agreements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Award Agreements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Authority to Vary Terms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10.   Change in Control</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Effect of Change in Control on Awards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Federal Excise Tax Under Section 4999 of the Code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11.   Tax Withholding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Tax Withholding in General</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in or Directed Sale of Shares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12.   Compliance with Section 409A</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In General</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873" w:type="dxa"/>
            <w:tcBorders/>
            <w:vAlign w:val="center"/>
          </w:tcPr>
          <w:p>
            <w:pPr>
              <w:pStyle w:val="TableContents"/>
              <w:bidi w:val="0"/>
              <w:spacing w:before="0" w:after="283"/>
              <w:jc w:val="left"/>
              <w:rPr>
                <w:sz w:val="4"/>
                <w:szCs w:val="4"/>
              </w:rPr>
            </w:pPr>
            <w:r>
              <w:rPr>
                <w:sz w:val="4"/>
                <w:szCs w:val="4"/>
              </w:rPr>
            </w:r>
          </w:p>
        </w:tc>
        <w:tc>
          <w:tcPr>
            <w:tcW w:w="8570"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12.2</w:t>
            </w:r>
          </w:p>
        </w:tc>
        <w:tc>
          <w:tcPr>
            <w:tcW w:w="259" w:type="dxa"/>
            <w:tcBorders/>
            <w:vAlign w:val="bottom"/>
          </w:tcPr>
          <w:p>
            <w:pPr>
              <w:pStyle w:val="TableContents"/>
              <w:bidi w:val="0"/>
              <w:spacing w:before="0" w:after="283"/>
              <w:jc w:val="left"/>
              <w:rPr/>
            </w:pPr>
            <w:r>
              <w:rPr/>
              <w:t>  </w:t>
            </w:r>
          </w:p>
        </w:tc>
        <w:tc>
          <w:tcPr>
            <w:tcW w:w="8311" w:type="dxa"/>
            <w:tcBorders/>
          </w:tcPr>
          <w:p>
            <w:pPr>
              <w:pStyle w:val="TableContents"/>
              <w:bidi w:val="0"/>
              <w:spacing w:before="0" w:after="0"/>
              <w:jc w:val="left"/>
              <w:rPr>
                <w:rFonts w:ascii="Times New Roman" w:hAnsi="Times New Roman"/>
                <w:sz w:val="20"/>
              </w:rPr>
            </w:pPr>
            <w:r>
              <w:rPr>
                <w:rFonts w:ascii="Times New Roman" w:hAnsi="Times New Roman"/>
                <w:sz w:val="20"/>
              </w:rPr>
              <w:t>Certain Limitations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13.   Compliance with Securities Law</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443" w:type="dxa"/>
            <w:gridSpan w:val="3"/>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9443"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14.   Amendment or Termination of Plan</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
        <w:gridCol w:w="265"/>
        <w:gridCol w:w="8191"/>
        <w:gridCol w:w="181"/>
        <w:gridCol w:w="96"/>
        <w:gridCol w:w="426"/>
        <w:gridCol w:w="65"/>
      </w:tblGrid>
      <w:tr>
        <w:trPr/>
        <w:tc>
          <w:tcPr>
            <w:tcW w:w="981"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19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c>
          <w:tcPr>
            <w:tcW w:w="9437"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15.   Miscellaneous Provisions</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Restrictions on Transfer of Shares</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15.2</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Forfeiture Events</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Provision of Information</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Rights as Employee, Consultant or Director</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Rights as a Stockholder</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Title to Shares</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Fractional Shares</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Retirement and Welfare Plans</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15.9</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15.10</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No Constraint on Corporate Action</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15.11</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Unfunded Obligation</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15.12</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Choice of Law</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rHeight w:val="120" w:hRule="atLeast"/>
        </w:trPr>
        <w:tc>
          <w:tcPr>
            <w:tcW w:w="981" w:type="dxa"/>
            <w:tcBorders/>
            <w:vAlign w:val="center"/>
          </w:tcPr>
          <w:p>
            <w:pPr>
              <w:pStyle w:val="TableContents"/>
              <w:bidi w:val="0"/>
              <w:spacing w:before="0" w:after="283"/>
              <w:jc w:val="left"/>
              <w:rPr>
                <w:sz w:val="4"/>
                <w:szCs w:val="4"/>
              </w:rPr>
            </w:pPr>
            <w:r>
              <w:rPr>
                <w:sz w:val="4"/>
                <w:szCs w:val="4"/>
              </w:rPr>
            </w:r>
          </w:p>
        </w:tc>
        <w:tc>
          <w:tcPr>
            <w:tcW w:w="8456" w:type="dxa"/>
            <w:gridSpan w:val="2"/>
            <w:tcBorders/>
            <w:vAlign w:val="center"/>
          </w:tcPr>
          <w:p>
            <w:pPr>
              <w:pStyle w:val="TableContents"/>
              <w:bidi w:val="0"/>
              <w:spacing w:before="0" w:after="283"/>
              <w:jc w:val="left"/>
              <w:rPr>
                <w:sz w:val="4"/>
                <w:szCs w:val="4"/>
              </w:rPr>
            </w:pPr>
            <w:r>
              <w:rPr>
                <w:sz w:val="4"/>
                <w:szCs w:val="4"/>
              </w:rPr>
            </w:r>
          </w:p>
        </w:tc>
        <w:tc>
          <w:tcPr>
            <w:tcW w:w="768" w:type="dxa"/>
            <w:gridSpan w:val="4"/>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15.13</w:t>
            </w:r>
          </w:p>
        </w:tc>
        <w:tc>
          <w:tcPr>
            <w:tcW w:w="265"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Approval</w:t>
            </w:r>
          </w:p>
        </w:tc>
        <w:tc>
          <w:tcPr>
            <w:tcW w:w="18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THIRD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2015 STOCK PLAN </w:t>
      </w:r>
    </w:p>
    <w:p>
      <w:pPr>
        <w:pStyle w:val="TextBody"/>
        <w:bidi w:val="0"/>
        <w:spacing w:before="240" w:after="0"/>
        <w:jc w:val="left"/>
        <w:rPr>
          <w:rFonts w:ascii="Times New Roman" w:hAnsi="Times New Roman"/>
          <w:sz w:val="20"/>
        </w:rPr>
      </w:pPr>
      <w:r>
        <w:rPr>
          <w:rFonts w:ascii="Times New Roman" w:hAnsi="Times New Roman"/>
          <w:sz w:val="20"/>
        </w:rPr>
        <w:t>This Amendment (this </w:t>
      </w:r>
      <w:r>
        <w:rPr>
          <w:rFonts w:ascii="Times New Roman" w:hAnsi="Times New Roman"/>
          <w:sz w:val="20"/>
          <w:u w:val="single"/>
        </w:rPr>
        <w:t>Amendment</w:t>
      </w:r>
      <w:r>
        <w:rPr>
          <w:rFonts w:ascii="Times New Roman" w:hAnsi="Times New Roman"/>
          <w:sz w:val="20"/>
        </w:rPr>
        <w:t>) to the Third Amended and Restated Tempus Labs, Inc. 2015 Stock Plan (as amended, the </w:t>
      </w:r>
      <w:r>
        <w:rPr>
          <w:rFonts w:ascii="Times New Roman" w:hAnsi="Times New Roman"/>
          <w:sz w:val="20"/>
          <w:u w:val="single"/>
        </w:rPr>
        <w:t>Plan</w:t>
      </w:r>
      <w:r>
        <w:rPr>
          <w:rFonts w:ascii="Times New Roman" w:hAnsi="Times New Roman"/>
          <w:sz w:val="20"/>
        </w:rPr>
        <w:t>) was adopted by the Board of Directors (the </w:t>
      </w:r>
      <w:r>
        <w:rPr>
          <w:rFonts w:ascii="Times New Roman" w:hAnsi="Times New Roman"/>
          <w:sz w:val="20"/>
          <w:u w:val="single"/>
        </w:rPr>
        <w:t>Board</w:t>
      </w:r>
      <w:r>
        <w:rPr>
          <w:rFonts w:ascii="Times New Roman" w:hAnsi="Times New Roman"/>
          <w:sz w:val="20"/>
        </w:rPr>
        <w:t>) of Tempus Labs, Inc. (the </w:t>
      </w:r>
      <w:r>
        <w:rPr>
          <w:rFonts w:ascii="Times New Roman" w:hAnsi="Times New Roman"/>
          <w:sz w:val="20"/>
          <w:u w:val="single"/>
        </w:rPr>
        <w:t>Company</w:t>
      </w:r>
      <w:r>
        <w:rPr>
          <w:rFonts w:ascii="Times New Roman" w:hAnsi="Times New Roman"/>
          <w:sz w:val="20"/>
        </w:rPr>
        <w:t xml:space="preserve">) on June 24, 2020, subject to approval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maintains the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14 of the Plan, the Board may amend the Plan at any time, subject to approval by the Companys stockholders in accordance with Section 15.13 of the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deems it to be in the best interests of the Company and its stockholders to amend the Plan in order to increase the aggregate number of authorized shares that may be issued pursuant to Section 4.1 of the Plan;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reviewed, and adopted, this Amendment June 24, 2020, subject to approval by the Companys stockholders in accordance with Section 15.13 of the Plan.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following amendments and modifications are hereby made a part of the Plan, subject to, and effective as of the date of, the approval of this Amendment by the Companys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4.1 of the Plan is amended by replacing the reference to 14,115,750 with 20,115,750 in order to reflect an increase in the aggregate number of authorized shares that may be issued pursuant to Section 4.1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terms and conditions of the Plan not otherwise amended or modified by this Amendment, either expressly or by necessary implication, shall remain in full force and effect.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THIRD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2015 STOCK PLAN </w:t>
      </w:r>
    </w:p>
    <w:p>
      <w:pPr>
        <w:pStyle w:val="TextBody"/>
        <w:bidi w:val="0"/>
        <w:spacing w:before="240" w:after="0"/>
        <w:jc w:val="left"/>
        <w:rPr>
          <w:rFonts w:ascii="Times New Roman" w:hAnsi="Times New Roman"/>
          <w:sz w:val="20"/>
        </w:rPr>
      </w:pPr>
      <w:r>
        <w:rPr>
          <w:rFonts w:ascii="Times New Roman" w:hAnsi="Times New Roman"/>
          <w:sz w:val="20"/>
        </w:rPr>
        <w:t>This Amendment (this </w:t>
      </w:r>
      <w:r>
        <w:rPr>
          <w:rFonts w:ascii="Times New Roman" w:hAnsi="Times New Roman"/>
          <w:sz w:val="20"/>
          <w:u w:val="single"/>
        </w:rPr>
        <w:t>Amendment</w:t>
      </w:r>
      <w:r>
        <w:rPr>
          <w:rFonts w:ascii="Times New Roman" w:hAnsi="Times New Roman"/>
          <w:sz w:val="20"/>
        </w:rPr>
        <w:t>) to the Third Amended and Restated Tempus Labs, Inc. 2015 Stock Plan (as amended, the </w:t>
      </w:r>
      <w:r>
        <w:rPr>
          <w:rFonts w:ascii="Times New Roman" w:hAnsi="Times New Roman"/>
          <w:sz w:val="20"/>
          <w:u w:val="single"/>
        </w:rPr>
        <w:t>Plan</w:t>
      </w:r>
      <w:r>
        <w:rPr>
          <w:rFonts w:ascii="Times New Roman" w:hAnsi="Times New Roman"/>
          <w:sz w:val="20"/>
        </w:rPr>
        <w:t>) was adopted by the Board of Directors (the </w:t>
      </w:r>
      <w:r>
        <w:rPr>
          <w:rFonts w:ascii="Times New Roman" w:hAnsi="Times New Roman"/>
          <w:sz w:val="20"/>
          <w:u w:val="single"/>
        </w:rPr>
        <w:t>Board</w:t>
      </w:r>
      <w:r>
        <w:rPr>
          <w:rFonts w:ascii="Times New Roman" w:hAnsi="Times New Roman"/>
          <w:sz w:val="20"/>
        </w:rPr>
        <w:t>) of Tempus Labs, Inc. (the </w:t>
      </w:r>
      <w:r>
        <w:rPr>
          <w:rFonts w:ascii="Times New Roman" w:hAnsi="Times New Roman"/>
          <w:sz w:val="20"/>
          <w:u w:val="single"/>
        </w:rPr>
        <w:t>Company</w:t>
      </w:r>
      <w:r>
        <w:rPr>
          <w:rFonts w:ascii="Times New Roman" w:hAnsi="Times New Roman"/>
          <w:sz w:val="20"/>
        </w:rPr>
        <w:t xml:space="preserve">) on November 16, 2020, subject to approval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maintains the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14 of the Plan, the Board may amend the Plan at any time, subject to approval by the Companys stockholders in accordance with Section 15.13 of the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deems it to be in the best interests of the Company and its stockholders to amend the Plan in order to increase the aggregate number of authorized shares that may be issued pursuant to Section 4.1 of the Plan;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reviewed, and adopted, this Amendment on November 16, 2020, subject to approval by the Companys stockholders in accordance with Section 15.13 of the Plan.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following amendments and modifications are hereby made a part of the Plan, subject to, and effective as of the date of, the approval of this Amendment by the Companys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4.1 of the Plan is amended by replacing the reference to 20,115,750 with 22,115,750 in order to reflect an increase in the aggregate number of authorized shares that may be issued pursuant to Section 4.1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terms and conditions of the Plan not otherwise amended or modified by this Amendment, either expressly or by necessary implication, shall remain in full force and effect.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THIRD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2015 STOCK PLAN </w:t>
      </w:r>
    </w:p>
    <w:p>
      <w:pPr>
        <w:pStyle w:val="TextBody"/>
        <w:bidi w:val="0"/>
        <w:spacing w:before="240" w:after="0"/>
        <w:jc w:val="left"/>
        <w:rPr>
          <w:rFonts w:ascii="Times New Roman" w:hAnsi="Times New Roman"/>
          <w:sz w:val="20"/>
        </w:rPr>
      </w:pPr>
      <w:r>
        <w:rPr>
          <w:rFonts w:ascii="Times New Roman" w:hAnsi="Times New Roman"/>
          <w:sz w:val="20"/>
        </w:rPr>
        <w:t>This Amendment (this </w:t>
      </w:r>
      <w:r>
        <w:rPr>
          <w:rFonts w:ascii="Times New Roman" w:hAnsi="Times New Roman"/>
          <w:sz w:val="20"/>
          <w:u w:val="single"/>
        </w:rPr>
        <w:t>Amendment</w:t>
      </w:r>
      <w:r>
        <w:rPr>
          <w:rFonts w:ascii="Times New Roman" w:hAnsi="Times New Roman"/>
          <w:sz w:val="20"/>
        </w:rPr>
        <w:t>) to the Third Amended and Restated Tempus Labs, Inc. 2015 Stock Plan (as amended, the </w:t>
      </w:r>
      <w:r>
        <w:rPr>
          <w:rFonts w:ascii="Times New Roman" w:hAnsi="Times New Roman"/>
          <w:sz w:val="20"/>
          <w:u w:val="single"/>
        </w:rPr>
        <w:t>Plan</w:t>
      </w:r>
      <w:r>
        <w:rPr>
          <w:rFonts w:ascii="Times New Roman" w:hAnsi="Times New Roman"/>
          <w:sz w:val="20"/>
        </w:rPr>
        <w:t>) was adopted by the Board of Directors (the </w:t>
      </w:r>
      <w:r>
        <w:rPr>
          <w:rFonts w:ascii="Times New Roman" w:hAnsi="Times New Roman"/>
          <w:sz w:val="20"/>
          <w:u w:val="single"/>
        </w:rPr>
        <w:t>Board</w:t>
      </w:r>
      <w:r>
        <w:rPr>
          <w:rFonts w:ascii="Times New Roman" w:hAnsi="Times New Roman"/>
          <w:sz w:val="20"/>
        </w:rPr>
        <w:t>) of Tempus Labs, Inc. (the </w:t>
      </w:r>
      <w:r>
        <w:rPr>
          <w:rFonts w:ascii="Times New Roman" w:hAnsi="Times New Roman"/>
          <w:sz w:val="20"/>
          <w:u w:val="single"/>
        </w:rPr>
        <w:t>Company</w:t>
      </w:r>
      <w:r>
        <w:rPr>
          <w:rFonts w:ascii="Times New Roman" w:hAnsi="Times New Roman"/>
          <w:sz w:val="20"/>
        </w:rPr>
        <w:t xml:space="preserve">) on April 27, 2021, subject to approval by the Companys stockholders.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maintains the Plan;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14 of the Plan, the Board may amend the Plan at any time;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deems it to be in the best interests of the Company and its stockholders to amend the Plan in order to permit the grant of awards to be made under the Plan to participants outside of the United States;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has reviewed, and adopted, this Amendment, effective as of April 27, 2021.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following amendments and modifications are hereby made a part of the Plan, effective as of April 27,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paragraph is hereby added to the Plan as a new Section 3.6: </w:t>
            </w:r>
          </w:p>
        </w:tc>
      </w:tr>
    </w:tbl>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b/>
          <w:sz w:val="20"/>
        </w:rPr>
        <w:t>Non-United States Participants</w:t>
      </w:r>
      <w:r>
        <w:rPr>
          <w:rFonts w:ascii="Times New Roman" w:hAnsi="Times New Roman"/>
          <w:sz w:val="20"/>
        </w:rPr>
        <w:t xml:space="preserve">. Without amending the Plan, the Board may grant Awards to Employees, Consultants and Directors residing in non-United States jurisdictions on such terms and conditions different from those specified in the Plan, including the terms of any Award Agreement or plan, adopted by the Company or any Subsidiary Corporation to comply with, or take advantage of favorable tax or other treatment available wider, the laws of any non-United States jurisdiction, as may in the judgment of the Board be necessary or desirable to foster and promote achievement of the purposes of the Plan and, in furtherance of such purposes the Board may make such modifications, amendments, procedures, subplans and the like as may be necessary or advisable to comply with provisions of laws in other countries or jurisdictions in which the Company or its Subsidiary Corporations operates or has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terms and conditions of the Plan not otherwise amended or modified by this Amendment, either expressly or by necessary implication, shall remain in full force and effect.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2" w:name="filename6.htm"/>
      <w:bookmarkStart w:id="43" w:name="ksfilename6"/>
      <w:bookmarkEnd w:id="42"/>
      <w:bookmarkEnd w:id="43"/>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TEMPUS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GRANT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Tempus Health, Inc. (the </w:t>
      </w:r>
      <w:r>
        <w:rPr>
          <w:rFonts w:ascii="Times New Roman" w:hAnsi="Times New Roman"/>
          <w:i/>
          <w:sz w:val="20"/>
        </w:rPr>
        <w:t></w:t>
      </w:r>
      <w:r>
        <w:rPr>
          <w:rFonts w:ascii="Times New Roman" w:hAnsi="Times New Roman"/>
          <w:b/>
          <w:i/>
          <w:sz w:val="20"/>
        </w:rPr>
        <w:t>Company</w:t>
      </w:r>
      <w:r>
        <w:rPr>
          <w:rFonts w:ascii="Times New Roman" w:hAnsi="Times New Roman"/>
          <w:i/>
          <w:sz w:val="20"/>
        </w:rPr>
        <w:t></w:t>
      </w:r>
      <w:r>
        <w:rPr>
          <w:rFonts w:ascii="Times New Roman" w:hAnsi="Times New Roman"/>
          <w:sz w:val="20"/>
        </w:rPr>
        <w:t xml:space="preserve">) has granted to the Participant an award (the </w:t>
      </w:r>
      <w:r>
        <w:rPr>
          <w:rFonts w:ascii="Times New Roman" w:hAnsi="Times New Roman"/>
          <w:i/>
          <w:sz w:val="20"/>
        </w:rPr>
        <w:t></w:t>
      </w:r>
      <w:r>
        <w:rPr>
          <w:rFonts w:ascii="Times New Roman" w:hAnsi="Times New Roman"/>
          <w:b/>
          <w:i/>
          <w:sz w:val="20"/>
        </w:rPr>
        <w:t>Award</w:t>
      </w:r>
      <w:r>
        <w:rPr>
          <w:rFonts w:ascii="Times New Roman" w:hAnsi="Times New Roman"/>
          <w:i/>
          <w:sz w:val="20"/>
        </w:rPr>
        <w:t></w:t>
      </w:r>
      <w:r>
        <w:rPr>
          <w:rFonts w:ascii="Times New Roman" w:hAnsi="Times New Roman"/>
          <w:sz w:val="20"/>
        </w:rPr>
        <w:t xml:space="preserve">) of certain units pursuant to the Tempus Health, Inc. 2015 Stock Plan (the </w:t>
      </w:r>
      <w:r>
        <w:rPr>
          <w:rFonts w:ascii="Times New Roman" w:hAnsi="Times New Roman"/>
          <w:i/>
          <w:sz w:val="20"/>
        </w:rPr>
        <w:t></w:t>
      </w:r>
      <w:r>
        <w:rPr>
          <w:rFonts w:ascii="Times New Roman" w:hAnsi="Times New Roman"/>
          <w:b/>
          <w:i/>
          <w:sz w:val="20"/>
        </w:rPr>
        <w:t>Plan</w:t>
      </w:r>
      <w:r>
        <w:rPr>
          <w:rFonts w:ascii="Times New Roman" w:hAnsi="Times New Roman"/>
          <w:i/>
          <w:sz w:val="20"/>
        </w:rPr>
        <w:t></w:t>
      </w:r>
      <w:r>
        <w:rPr>
          <w:rFonts w:ascii="Times New Roman" w:hAnsi="Times New Roman"/>
          <w:sz w:val="20"/>
        </w:rPr>
        <w:t xml:space="preserve">), each of which represents the right to receive on the applicable Settlement Date one (1) share of Stock,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2"/>
        <w:gridCol w:w="120"/>
        <w:gridCol w:w="6270"/>
        <w:gridCol w:w="120"/>
        <w:gridCol w:w="1663"/>
      </w:tblGrid>
      <w:tr>
        <w:trPr/>
        <w:tc>
          <w:tcPr>
            <w:tcW w:w="203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b/>
              </w:rPr>
            </w:pPr>
            <w:r>
              <w:rPr>
                <w:b/>
              </w:rPr>
              <w:t>Participant:</w:t>
            </w:r>
          </w:p>
        </w:tc>
        <w:tc>
          <w:tcPr>
            <w:tcW w:w="120" w:type="dxa"/>
            <w:tcBorders/>
            <w:vAlign w:val="bottom"/>
          </w:tcPr>
          <w:p>
            <w:pPr>
              <w:pStyle w:val="TableContents"/>
              <w:bidi w:val="0"/>
              <w:spacing w:before="0" w:after="283"/>
              <w:jc w:val="left"/>
              <w:rPr/>
            </w:pPr>
            <w:r>
              <w:rPr/>
              <w:t>  </w:t>
            </w:r>
          </w:p>
        </w:tc>
        <w:tc>
          <w:tcPr>
            <w:tcW w:w="8053" w:type="dxa"/>
            <w:gridSpan w:val="3"/>
            <w:tcBorders/>
          </w:tcPr>
          <w:p>
            <w:pPr>
              <w:pStyle w:val="TableContents"/>
              <w:bidi w:val="0"/>
              <w:spacing w:before="0" w:after="283"/>
              <w:jc w:val="left"/>
              <w:rPr>
                <w:u w:val="single"/>
              </w:rPr>
            </w:pPr>
            <w:r>
              <w:rPr>
                <w:u w:val="single"/>
              </w:rPr>
              <w:t>                                </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8173" w:type="dxa"/>
            <w:gridSpan w:val="4"/>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b/>
              </w:rPr>
            </w:pPr>
            <w:r>
              <w:rPr>
                <w:b/>
              </w:rPr>
              <w:t>Date of Grant:</w:t>
            </w:r>
          </w:p>
        </w:tc>
        <w:tc>
          <w:tcPr>
            <w:tcW w:w="120" w:type="dxa"/>
            <w:tcBorders/>
            <w:vAlign w:val="bottom"/>
          </w:tcPr>
          <w:p>
            <w:pPr>
              <w:pStyle w:val="TableContents"/>
              <w:bidi w:val="0"/>
              <w:spacing w:before="0" w:after="283"/>
              <w:jc w:val="left"/>
              <w:rPr/>
            </w:pPr>
            <w:r>
              <w:rPr/>
              <w:t>  </w:t>
            </w:r>
          </w:p>
        </w:tc>
        <w:tc>
          <w:tcPr>
            <w:tcW w:w="8053" w:type="dxa"/>
            <w:gridSpan w:val="3"/>
            <w:tcBorders/>
          </w:tcPr>
          <w:p>
            <w:pPr>
              <w:pStyle w:val="TableContents"/>
              <w:bidi w:val="0"/>
              <w:spacing w:before="0" w:after="283"/>
              <w:jc w:val="left"/>
              <w:rPr>
                <w:u w:val="single"/>
              </w:rPr>
            </w:pPr>
            <w:r>
              <w:rPr>
                <w:u w:val="single"/>
              </w:rPr>
              <w:t>                                </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8173" w:type="dxa"/>
            <w:gridSpan w:val="4"/>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b/>
              </w:rPr>
            </w:pPr>
            <w:r>
              <w:rPr>
                <w:b/>
              </w:rPr>
              <w:t>Total Number of Units:</w:t>
            </w:r>
          </w:p>
        </w:tc>
        <w:tc>
          <w:tcPr>
            <w:tcW w:w="120" w:type="dxa"/>
            <w:tcBorders/>
            <w:vAlign w:val="bottom"/>
          </w:tcPr>
          <w:p>
            <w:pPr>
              <w:pStyle w:val="TableContents"/>
              <w:bidi w:val="0"/>
              <w:spacing w:before="0" w:after="283"/>
              <w:jc w:val="left"/>
              <w:rPr/>
            </w:pPr>
            <w:r>
              <w:rPr/>
              <w:t>  </w:t>
            </w:r>
          </w:p>
        </w:tc>
        <w:tc>
          <w:tcPr>
            <w:tcW w:w="8053" w:type="dxa"/>
            <w:gridSpan w:val="3"/>
            <w:tcBorders/>
          </w:tcPr>
          <w:p>
            <w:pPr>
              <w:pStyle w:val="TableContents"/>
              <w:bidi w:val="0"/>
              <w:spacing w:before="0" w:after="283"/>
              <w:jc w:val="left"/>
              <w:rPr/>
            </w:pPr>
            <w:r>
              <w:rPr>
                <w:u w:val="single"/>
              </w:rPr>
              <w:t>                                </w:t>
            </w:r>
            <w:r>
              <w:rPr/>
              <w:t>, subject to adjustment as provided by the Restricted Stock Units Agreement.</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8173" w:type="dxa"/>
            <w:gridSpan w:val="4"/>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b/>
              </w:rPr>
            </w:pPr>
            <w:r>
              <w:rPr>
                <w:b/>
              </w:rPr>
              <w:t>Expiration Date:</w:t>
            </w:r>
          </w:p>
        </w:tc>
        <w:tc>
          <w:tcPr>
            <w:tcW w:w="120" w:type="dxa"/>
            <w:tcBorders/>
            <w:vAlign w:val="bottom"/>
          </w:tcPr>
          <w:p>
            <w:pPr>
              <w:pStyle w:val="TableContents"/>
              <w:bidi w:val="0"/>
              <w:spacing w:before="0" w:after="283"/>
              <w:jc w:val="left"/>
              <w:rPr/>
            </w:pPr>
            <w:r>
              <w:rPr/>
              <w:t>  </w:t>
            </w:r>
          </w:p>
        </w:tc>
        <w:tc>
          <w:tcPr>
            <w:tcW w:w="8053" w:type="dxa"/>
            <w:gridSpan w:val="3"/>
            <w:tcBorders/>
          </w:tcPr>
          <w:p>
            <w:pPr>
              <w:pStyle w:val="TableContents"/>
              <w:bidi w:val="0"/>
              <w:spacing w:before="0" w:after="283"/>
              <w:jc w:val="left"/>
              <w:rPr/>
            </w:pPr>
            <w:r>
              <w:rPr/>
              <w:t>The [___]th anniversary of the Date of Grant.</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8173" w:type="dxa"/>
            <w:gridSpan w:val="4"/>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b/>
              </w:rPr>
            </w:pPr>
            <w:r>
              <w:rPr>
                <w:b/>
              </w:rPr>
              <w:t>Vesting Start Date:</w:t>
            </w:r>
          </w:p>
        </w:tc>
        <w:tc>
          <w:tcPr>
            <w:tcW w:w="120" w:type="dxa"/>
            <w:tcBorders/>
            <w:vAlign w:val="bottom"/>
          </w:tcPr>
          <w:p>
            <w:pPr>
              <w:pStyle w:val="TableContents"/>
              <w:bidi w:val="0"/>
              <w:spacing w:before="0" w:after="283"/>
              <w:jc w:val="left"/>
              <w:rPr/>
            </w:pPr>
            <w:r>
              <w:rPr/>
              <w:t>  </w:t>
            </w:r>
          </w:p>
        </w:tc>
        <w:tc>
          <w:tcPr>
            <w:tcW w:w="8053" w:type="dxa"/>
            <w:gridSpan w:val="3"/>
            <w:tcBorders/>
          </w:tcPr>
          <w:p>
            <w:pPr>
              <w:pStyle w:val="TableContents"/>
              <w:bidi w:val="0"/>
              <w:spacing w:before="0" w:after="283"/>
              <w:jc w:val="left"/>
              <w:rPr>
                <w:u w:val="single"/>
              </w:rPr>
            </w:pPr>
            <w:r>
              <w:rPr>
                <w:u w:val="single"/>
              </w:rPr>
              <w:t>                                </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8173" w:type="dxa"/>
            <w:gridSpan w:val="4"/>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b/>
              </w:rPr>
            </w:pPr>
            <w:r>
              <w:rPr>
                <w:b/>
              </w:rPr>
              <w:t>Vested Units:</w:t>
            </w:r>
          </w:p>
        </w:tc>
        <w:tc>
          <w:tcPr>
            <w:tcW w:w="120" w:type="dxa"/>
            <w:tcBorders/>
            <w:vAlign w:val="bottom"/>
          </w:tcPr>
          <w:p>
            <w:pPr>
              <w:pStyle w:val="TableContents"/>
              <w:bidi w:val="0"/>
              <w:spacing w:before="0" w:after="283"/>
              <w:jc w:val="left"/>
              <w:rPr/>
            </w:pPr>
            <w:r>
              <w:rPr/>
              <w:t>  </w:t>
            </w:r>
          </w:p>
        </w:tc>
        <w:tc>
          <w:tcPr>
            <w:tcW w:w="8053" w:type="dxa"/>
            <w:gridSpan w:val="3"/>
            <w:tcBorders/>
          </w:tcPr>
          <w:p>
            <w:pPr>
              <w:pStyle w:val="TableContents"/>
              <w:bidi w:val="0"/>
              <w:spacing w:before="0" w:after="283"/>
              <w:jc w:val="left"/>
              <w:rPr/>
            </w:pPr>
            <w:r>
              <w:rPr/>
              <w:t xml:space="preserve">Except as provided in the Restricted Stock Units Agreement, the vesting of each Unit requires the satisfaction of both of two conditions on or before the Expiration Date: an event condition and a service condition. The event condition will be satisfied on the date of a Liquidity Event (the </w:t>
            </w:r>
            <w:r>
              <w:rPr>
                <w:i/>
              </w:rPr>
              <w:t></w:t>
            </w:r>
            <w:r>
              <w:rPr>
                <w:b/>
                <w:i/>
              </w:rPr>
              <w:t>Liquidity Event Date</w:t>
            </w:r>
            <w:r>
              <w:rPr>
                <w:i/>
              </w:rPr>
              <w:t></w:t>
            </w:r>
            <w:r>
              <w:rPr/>
              <w:t xml:space="preserve">). The service condition is satisfied upon the Participants completion of a required period of continuous Service from the Vesting Start Date. Provided that the Participants Service has not terminated prior to the applicable date and except as otherwise provided in the Restricted Stock Units Agreement, the number of Vested Units (disregarding any resulting fractional Unit) as of any date is determined by multiplying the Total Number of Units by the </w:t>
            </w:r>
            <w:r>
              <w:rPr>
                <w:i/>
              </w:rPr>
              <w:t></w:t>
            </w:r>
            <w:r>
              <w:rPr>
                <w:b/>
                <w:i/>
              </w:rPr>
              <w:t>Vested Ratio</w:t>
            </w:r>
            <w:r>
              <w:rPr>
                <w:i/>
              </w:rPr>
              <w:t></w:t>
            </w:r>
            <w:r>
              <w:rPr/>
              <w:t xml:space="preserve"> determined as of such date as follows:</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b/>
                <w:u w:val="single"/>
              </w:rPr>
            </w:pPr>
            <w:r>
              <w:rPr>
                <w:b/>
                <w:u w:val="single"/>
              </w:rPr>
              <w:t>Vested Ratio</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(a)   Prior to Liquidity Event Date</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pPr>
            <w:r>
              <w:rPr/>
              <w:t>0</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(b)   If, on Liquidity Event Date, less than two (2) full years have elapsed from the Vesting Start Date, then:</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left"/>
              <w:rPr>
                <w:sz w:val="4"/>
                <w:szCs w:val="4"/>
              </w:rPr>
            </w:pPr>
            <w:r>
              <w:rPr>
                <w:sz w:val="4"/>
                <w:szCs w:val="4"/>
              </w:rPr>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(i) on Liquidity Event Date prior to the first anniversary of the Vesting Start Date</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pPr>
            <w:r>
              <w:rPr/>
              <w:t>0</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(ii)  on Liquidity Event Date on or after the first anniversary of the Vesting Start Date but prior to the second anniversary of the Vesting Start Date</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pPr>
            <w:r>
              <w:rPr/>
              <w:t>1/4</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left"/>
              <w:rPr>
                <w:sz w:val="4"/>
                <w:szCs w:val="4"/>
              </w:rPr>
            </w:pPr>
            <w:r>
              <w:rPr>
                <w:sz w:val="4"/>
                <w:szCs w:val="4"/>
              </w:rPr>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(iii)  on the second anniversary of the Vesting Start Date</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pPr>
            <w:r>
              <w:rPr/>
              <w:t>1/4</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left"/>
              <w:rPr>
                <w:sz w:val="4"/>
                <w:szCs w:val="4"/>
              </w:rPr>
            </w:pPr>
            <w:r>
              <w:rPr>
                <w:sz w:val="4"/>
                <w:szCs w:val="4"/>
              </w:rPr>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(iv) for each additional period of three (3) full months of the Participants continuous Service from the second anniversary of the Vesting Start Date until the Vested Ratio equals 1/1, an additional</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pPr>
            <w:r>
              <w:rPr/>
              <w:t>1/16</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(c)   If, on Liquidity Event Date, at least two (2) full years have elapsed from the Vesting Start Date, then:</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left"/>
              <w:rPr>
                <w:sz w:val="4"/>
                <w:szCs w:val="4"/>
              </w:rPr>
            </w:pPr>
            <w:r>
              <w:rPr>
                <w:sz w:val="4"/>
                <w:szCs w:val="4"/>
              </w:rPr>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(i) on Liquidity Event Date</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pPr>
            <w:r>
              <w:rPr/>
              <w:t>1/16 for each period of three (3) full months elapsed from the Vesting Start Date</w:t>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left"/>
              <w:rPr>
                <w:sz w:val="4"/>
                <w:szCs w:val="4"/>
              </w:rPr>
            </w:pPr>
            <w:r>
              <w:rPr>
                <w:sz w:val="4"/>
                <w:szCs w:val="4"/>
              </w:rPr>
            </w:r>
          </w:p>
        </w:tc>
      </w:tr>
      <w:tr>
        <w:trPr>
          <w:trHeight w:val="120" w:hRule="atLeast"/>
        </w:trPr>
        <w:tc>
          <w:tcPr>
            <w:tcW w:w="2032" w:type="dxa"/>
            <w:tcBorders/>
            <w:vAlign w:val="center"/>
          </w:tcPr>
          <w:p>
            <w:pPr>
              <w:pStyle w:val="TableContents"/>
              <w:bidi w:val="0"/>
              <w:spacing w:before="0" w:after="283"/>
              <w:jc w:val="left"/>
              <w:rPr>
                <w:sz w:val="4"/>
                <w:szCs w:val="4"/>
              </w:rPr>
            </w:pPr>
            <w:r>
              <w:rPr>
                <w:sz w:val="4"/>
                <w:szCs w:val="4"/>
              </w:rPr>
            </w:r>
          </w:p>
        </w:tc>
        <w:tc>
          <w:tcPr>
            <w:tcW w:w="6390" w:type="dxa"/>
            <w:gridSpan w:val="2"/>
            <w:tcBorders/>
            <w:vAlign w:val="center"/>
          </w:tcPr>
          <w:p>
            <w:pPr>
              <w:pStyle w:val="TableContents"/>
              <w:bidi w:val="0"/>
              <w:spacing w:before="0" w:after="283"/>
              <w:jc w:val="left"/>
              <w:rPr>
                <w:sz w:val="4"/>
                <w:szCs w:val="4"/>
              </w:rPr>
            </w:pPr>
            <w:r>
              <w:rPr>
                <w:sz w:val="4"/>
                <w:szCs w:val="4"/>
              </w:rPr>
            </w:r>
          </w:p>
        </w:tc>
        <w:tc>
          <w:tcPr>
            <w:tcW w:w="1783" w:type="dxa"/>
            <w:gridSpan w:val="2"/>
            <w:tcBorders/>
            <w:vAlign w:val="center"/>
          </w:tcPr>
          <w:p>
            <w:pPr>
              <w:pStyle w:val="TableContents"/>
              <w:bidi w:val="0"/>
              <w:spacing w:before="0" w:after="283"/>
              <w:jc w:val="left"/>
              <w:rPr>
                <w:sz w:val="4"/>
                <w:szCs w:val="4"/>
              </w:rPr>
            </w:pPr>
            <w:r>
              <w:rPr>
                <w:sz w:val="4"/>
                <w:szCs w:val="4"/>
              </w:rPr>
            </w:r>
          </w:p>
        </w:tc>
      </w:tr>
      <w:tr>
        <w:trPr/>
        <w:tc>
          <w:tcPr>
            <w:tcW w:w="203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70" w:type="dxa"/>
            <w:tcBorders/>
          </w:tcPr>
          <w:p>
            <w:pPr>
              <w:pStyle w:val="TableContents"/>
              <w:bidi w:val="0"/>
              <w:spacing w:before="0" w:after="0"/>
              <w:jc w:val="left"/>
              <w:rPr>
                <w:rFonts w:ascii="Times New Roman" w:hAnsi="Times New Roman"/>
                <w:sz w:val="20"/>
              </w:rPr>
            </w:pPr>
            <w:r>
              <w:rPr>
                <w:rFonts w:ascii="Times New Roman" w:hAnsi="Times New Roman"/>
                <w:sz w:val="20"/>
              </w:rPr>
              <w:t>(ii)  for each additional period of three (3) full months of the Participants continuous Service from the Vesting Start Date until the Vested Ratio equals 1/1, an additional</w:t>
            </w:r>
          </w:p>
        </w:tc>
        <w:tc>
          <w:tcPr>
            <w:tcW w:w="120" w:type="dxa"/>
            <w:tcBorders/>
            <w:vAlign w:val="bottom"/>
          </w:tcPr>
          <w:p>
            <w:pPr>
              <w:pStyle w:val="TableContents"/>
              <w:bidi w:val="0"/>
              <w:spacing w:before="0" w:after="283"/>
              <w:jc w:val="left"/>
              <w:rPr/>
            </w:pPr>
            <w:r>
              <w:rPr/>
              <w:t>  </w:t>
            </w:r>
          </w:p>
        </w:tc>
        <w:tc>
          <w:tcPr>
            <w:tcW w:w="1663" w:type="dxa"/>
            <w:tcBorders/>
          </w:tcPr>
          <w:p>
            <w:pPr>
              <w:pStyle w:val="TableContents"/>
              <w:bidi w:val="0"/>
              <w:spacing w:before="0" w:after="283"/>
              <w:jc w:val="center"/>
              <w:rPr/>
            </w:pPr>
            <w:r>
              <w:rPr/>
              <w:t>1/16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326"/>
        <w:gridCol w:w="175"/>
        <w:gridCol w:w="5747"/>
        <w:gridCol w:w="319"/>
        <w:gridCol w:w="1638"/>
      </w:tblGrid>
      <w:tr>
        <w:trPr/>
        <w:tc>
          <w:tcPr>
            <w:tcW w:w="232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5747"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left"/>
              <w:rPr>
                <w:rFonts w:ascii="Times New Roman" w:hAnsi="Times New Roman"/>
                <w:b/>
                <w:sz w:val="20"/>
              </w:rPr>
            </w:pPr>
            <w:r>
              <w:rPr>
                <w:rFonts w:ascii="Times New Roman" w:hAnsi="Times New Roman"/>
                <w:b/>
                <w:sz w:val="20"/>
              </w:rPr>
              <w:t>Settlement Date:</w:t>
            </w:r>
          </w:p>
        </w:tc>
        <w:tc>
          <w:tcPr>
            <w:tcW w:w="175" w:type="dxa"/>
            <w:tcBorders/>
            <w:vAlign w:val="bottom"/>
          </w:tcPr>
          <w:p>
            <w:pPr>
              <w:pStyle w:val="TableContents"/>
              <w:bidi w:val="0"/>
              <w:spacing w:before="0" w:after="283"/>
              <w:jc w:val="left"/>
              <w:rPr/>
            </w:pPr>
            <w:r>
              <w:rPr/>
              <w:t>  </w:t>
            </w:r>
          </w:p>
        </w:tc>
        <w:tc>
          <w:tcPr>
            <w:tcW w:w="770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Except as provided by the Restricted Stock Units Agreement, the Settlement Date with respect to each Unit shall be the date on which such Unit becomes a Vested Unit; provided, however, that if the Liquidity Event is an Initial Public Offering, then the Settlement Date for any Unit that becomes a Vested Unit prior to the lapsing of any lock-up period described in Section 14 of the Restricted Stock Units Agreement applicable to such Unit shall be first to occur of (i) the date on which such lock-up period lapses and (ii) a date determined by the Board, which shall be no later than the 15th day of the third month following the end of the Applicable Year in which the Unit becomes a Vested Unit. For this purpose, Applicable Year means the calendar year or the Companys fiscal year, whichever year ends later.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their signatures below, the Company and the Participant agree that the Award is governed by this Grant Notice and by the provisions of the Plan and the Restricted Stock Units Agreement, both of which are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56"/>
        <w:gridCol w:w="161"/>
        <w:gridCol w:w="4342"/>
        <w:gridCol w:w="116"/>
        <w:gridCol w:w="163"/>
        <w:gridCol w:w="116"/>
        <w:gridCol w:w="4551"/>
      </w:tblGrid>
      <w:tr>
        <w:trPr/>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4342"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4551" w:type="dxa"/>
            <w:tcBorders/>
            <w:vAlign w:val="center"/>
          </w:tcPr>
          <w:p>
            <w:pPr>
              <w:pStyle w:val="TableContents"/>
              <w:bidi w:val="0"/>
              <w:spacing w:before="0" w:after="283"/>
              <w:jc w:val="left"/>
              <w:rPr>
                <w:sz w:val="4"/>
                <w:szCs w:val="4"/>
              </w:rPr>
            </w:pPr>
            <w:r>
              <w:rPr>
                <w:sz w:val="4"/>
                <w:szCs w:val="4"/>
              </w:rPr>
            </w:r>
          </w:p>
        </w:tc>
      </w:tr>
      <w:tr>
        <w:trPr/>
        <w:tc>
          <w:tcPr>
            <w:tcW w:w="5538" w:type="dxa"/>
            <w:gridSpan w:val="5"/>
            <w:tcBorders/>
          </w:tcPr>
          <w:p>
            <w:pPr>
              <w:pStyle w:val="TableContents"/>
              <w:bidi w:val="0"/>
              <w:spacing w:before="0" w:after="283"/>
              <w:jc w:val="left"/>
              <w:rPr/>
            </w:pPr>
            <w:r>
              <w:rPr/>
              <w:t>TEMPUS HEALTH, INC.</w:t>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pPr>
            <w:r>
              <w:rPr/>
              <w:t>PARTICIPANT</w:t>
            </w:r>
          </w:p>
        </w:tc>
      </w:tr>
      <w:tr>
        <w:trPr>
          <w:trHeight w:val="240" w:hRule="atLeast"/>
        </w:trPr>
        <w:tc>
          <w:tcPr>
            <w:tcW w:w="756" w:type="dxa"/>
            <w:tcBorders/>
            <w:vAlign w:val="center"/>
          </w:tcPr>
          <w:p>
            <w:pPr>
              <w:pStyle w:val="TableContents"/>
              <w:bidi w:val="0"/>
              <w:spacing w:before="0" w:after="283"/>
              <w:jc w:val="left"/>
              <w:rPr>
                <w:sz w:val="4"/>
                <w:szCs w:val="4"/>
              </w:rPr>
            </w:pPr>
            <w:r>
              <w:rPr>
                <w:sz w:val="4"/>
                <w:szCs w:val="4"/>
              </w:rPr>
            </w:r>
          </w:p>
        </w:tc>
        <w:tc>
          <w:tcPr>
            <w:tcW w:w="4503" w:type="dxa"/>
            <w:gridSpan w:val="2"/>
            <w:tcBorders/>
            <w:vAlign w:val="center"/>
          </w:tcPr>
          <w:p>
            <w:pPr>
              <w:pStyle w:val="TableContents"/>
              <w:bidi w:val="0"/>
              <w:spacing w:before="0" w:after="283"/>
              <w:jc w:val="left"/>
              <w:rPr>
                <w:sz w:val="4"/>
                <w:szCs w:val="4"/>
              </w:rPr>
            </w:pPr>
            <w:r>
              <w:rPr>
                <w:sz w:val="4"/>
                <w:szCs w:val="4"/>
              </w:rPr>
            </w:r>
          </w:p>
        </w:tc>
        <w:tc>
          <w:tcPr>
            <w:tcW w:w="279" w:type="dxa"/>
            <w:gridSpan w:val="2"/>
            <w:tcBorders/>
            <w:vAlign w:val="center"/>
          </w:tcPr>
          <w:p>
            <w:pPr>
              <w:pStyle w:val="TableContents"/>
              <w:bidi w:val="0"/>
              <w:spacing w:before="0" w:after="283"/>
              <w:jc w:val="left"/>
              <w:rPr>
                <w:sz w:val="4"/>
                <w:szCs w:val="4"/>
              </w:rPr>
            </w:pPr>
            <w:r>
              <w:rPr>
                <w:sz w:val="4"/>
                <w:szCs w:val="4"/>
              </w:rPr>
            </w:r>
          </w:p>
        </w:tc>
        <w:tc>
          <w:tcPr>
            <w:tcW w:w="4667" w:type="dxa"/>
            <w:gridSpan w:val="2"/>
            <w:tcBorders/>
            <w:vAlign w:val="center"/>
          </w:tcPr>
          <w:p>
            <w:pPr>
              <w:pStyle w:val="TableContents"/>
              <w:bidi w:val="0"/>
              <w:spacing w:before="0" w:after="283"/>
              <w:jc w:val="left"/>
              <w:rPr>
                <w:sz w:val="4"/>
                <w:szCs w:val="4"/>
              </w:rPr>
            </w:pPr>
            <w:r>
              <w:rPr>
                <w:sz w:val="4"/>
                <w:szCs w:val="4"/>
              </w:rPr>
            </w:r>
          </w:p>
        </w:tc>
      </w:tr>
      <w:tr>
        <w:trPr/>
        <w:tc>
          <w:tcPr>
            <w:tcW w:w="756" w:type="dxa"/>
            <w:tcBorders/>
          </w:tcPr>
          <w:p>
            <w:pPr>
              <w:pStyle w:val="TableContents"/>
              <w:bidi w:val="0"/>
              <w:spacing w:before="0" w:after="283"/>
              <w:jc w:val="left"/>
              <w:rPr/>
            </w:pPr>
            <w:r>
              <w:rPr/>
              <w:t>By:</w:t>
            </w:r>
          </w:p>
        </w:tc>
        <w:tc>
          <w:tcPr>
            <w:tcW w:w="161" w:type="dxa"/>
            <w:tcBorders/>
            <w:vAlign w:val="bottom"/>
          </w:tcPr>
          <w:p>
            <w:pPr>
              <w:pStyle w:val="TableContents"/>
              <w:bidi w:val="0"/>
              <w:spacing w:before="0" w:after="283"/>
              <w:jc w:val="left"/>
              <w:rPr/>
            </w:pPr>
            <w:r>
              <w:rPr/>
              <w:t> </w:t>
            </w:r>
          </w:p>
        </w:tc>
        <w:tc>
          <w:tcPr>
            <w:tcW w:w="4342" w:type="dxa"/>
            <w:tcBorders/>
          </w:tcPr>
          <w:p>
            <w:pPr>
              <w:pStyle w:val="TableContents"/>
              <w:pBdr>
                <w:bottom w:val="single" w:sz="2" w:space="1" w:color="000000"/>
              </w:pBdr>
              <w:bidi w:val="0"/>
              <w:spacing w:before="0" w:after="20"/>
              <w:jc w:val="left"/>
              <w:rPr/>
            </w:pPr>
            <w:r>
              <w:rPr/>
              <w:t>             </w:t>
            </w:r>
          </w:p>
        </w:tc>
        <w:tc>
          <w:tcPr>
            <w:tcW w:w="116"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pBdr>
                <w:bottom w:val="single" w:sz="2" w:space="1" w:color="000000"/>
              </w:pBdr>
              <w:bidi w:val="0"/>
              <w:spacing w:before="0" w:after="20"/>
              <w:jc w:val="left"/>
              <w:rPr/>
            </w:pPr>
            <w:r>
              <w:rPr/>
              <w:t> </w:t>
            </w:r>
          </w:p>
        </w:tc>
      </w:tr>
      <w:tr>
        <w:trPr/>
        <w:tc>
          <w:tcPr>
            <w:tcW w:w="75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pPr>
            <w:r>
              <w:rPr/>
              <w:t>Name:</w:t>
            </w:r>
          </w:p>
        </w:tc>
        <w:tc>
          <w:tcPr>
            <w:tcW w:w="116"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pPr>
            <w:r>
              <w:rPr/>
              <w:t>Signature</w:t>
            </w:r>
          </w:p>
        </w:tc>
      </w:tr>
      <w:tr>
        <w:trPr/>
        <w:tc>
          <w:tcPr>
            <w:tcW w:w="75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pPr>
            <w:r>
              <w:rPr/>
              <w:t>Title:</w:t>
            </w:r>
          </w:p>
        </w:tc>
        <w:tc>
          <w:tcPr>
            <w:tcW w:w="116"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pBdr>
                <w:bottom w:val="single" w:sz="2" w:space="1" w:color="000000"/>
              </w:pBdr>
              <w:bidi w:val="0"/>
              <w:spacing w:before="0" w:after="20"/>
              <w:jc w:val="left"/>
              <w:rPr/>
            </w:pPr>
            <w:r>
              <w:rPr/>
              <w:t> </w:t>
            </w:r>
          </w:p>
        </w:tc>
      </w:tr>
      <w:tr>
        <w:trPr/>
        <w:tc>
          <w:tcPr>
            <w:tcW w:w="75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pPr>
            <w:r>
              <w:rPr/>
              <w:t>Date</w:t>
            </w:r>
          </w:p>
        </w:tc>
      </w:tr>
      <w:tr>
        <w:trPr/>
        <w:tc>
          <w:tcPr>
            <w:tcW w:w="525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600 West Chicago Ave., Suite 775</w:t>
            </w:r>
          </w:p>
          <w:p>
            <w:pPr>
              <w:pStyle w:val="TableContents"/>
              <w:bidi w:val="0"/>
              <w:spacing w:before="0" w:after="20"/>
              <w:jc w:val="left"/>
              <w:rPr/>
            </w:pPr>
            <w:r>
              <w:rPr/>
              <w:t>                        </w:t>
            </w:r>
            <w:r>
              <w:rPr>
                <w:rFonts w:ascii="Times New Roman" w:hAnsi="Times New Roman"/>
                <w:sz w:val="20"/>
              </w:rPr>
              <w:t>Chicago, Illinois 60654</w:t>
            </w:r>
          </w:p>
        </w:tc>
        <w:tc>
          <w:tcPr>
            <w:tcW w:w="116"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pBdr>
                <w:bottom w:val="single" w:sz="2" w:space="1" w:color="000000"/>
              </w:pBdr>
              <w:bidi w:val="0"/>
              <w:spacing w:before="0" w:after="20"/>
              <w:jc w:val="left"/>
              <w:rPr/>
            </w:pPr>
            <w:r>
              <w:rPr/>
              <w:t> </w:t>
            </w:r>
          </w:p>
        </w:tc>
      </w:tr>
      <w:tr>
        <w:trPr/>
        <w:tc>
          <w:tcPr>
            <w:tcW w:w="75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bidi w:val="0"/>
              <w:spacing w:before="0" w:after="283"/>
              <w:jc w:val="left"/>
              <w:rPr/>
            </w:pPr>
            <w:r>
              <w:rPr/>
              <w:t>Address</w:t>
            </w:r>
          </w:p>
        </w:tc>
      </w:tr>
      <w:tr>
        <w:trPr/>
        <w:tc>
          <w:tcPr>
            <w:tcW w:w="756" w:type="dxa"/>
            <w:tcBorders/>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4342"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163" w:type="dxa"/>
            <w:tcBorders/>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pPr>
            <w:r>
              <w:rPr/>
              <w:t> </w:t>
            </w:r>
          </w:p>
        </w:tc>
        <w:tc>
          <w:tcPr>
            <w:tcW w:w="4551"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ATTACHMENTS:         2015 Stock Plan, as amended to the Date of Grant, and Restricted Stock Units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TEMPUS LABS, INC.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GRANT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Tempus Labs, Inc. (the </w:t>
      </w:r>
      <w:r>
        <w:rPr>
          <w:rFonts w:ascii="Times New Roman" w:hAnsi="Times New Roman"/>
          <w:i/>
          <w:sz w:val="20"/>
        </w:rPr>
        <w:t></w:t>
      </w:r>
      <w:r>
        <w:rPr>
          <w:rFonts w:ascii="Times New Roman" w:hAnsi="Times New Roman"/>
          <w:b/>
          <w:i/>
          <w:sz w:val="20"/>
        </w:rPr>
        <w:t>Company</w:t>
      </w:r>
      <w:r>
        <w:rPr>
          <w:rFonts w:ascii="Times New Roman" w:hAnsi="Times New Roman"/>
          <w:i/>
          <w:sz w:val="20"/>
        </w:rPr>
        <w:t></w:t>
      </w:r>
      <w:r>
        <w:rPr>
          <w:rFonts w:ascii="Times New Roman" w:hAnsi="Times New Roman"/>
          <w:sz w:val="20"/>
        </w:rPr>
        <w:t xml:space="preserve">) has granted to the Participant an award (the </w:t>
      </w:r>
      <w:r>
        <w:rPr>
          <w:rFonts w:ascii="Times New Roman" w:hAnsi="Times New Roman"/>
          <w:i/>
          <w:sz w:val="20"/>
        </w:rPr>
        <w:t></w:t>
      </w:r>
      <w:r>
        <w:rPr>
          <w:rFonts w:ascii="Times New Roman" w:hAnsi="Times New Roman"/>
          <w:b/>
          <w:i/>
          <w:sz w:val="20"/>
        </w:rPr>
        <w:t>Award</w:t>
      </w:r>
      <w:r>
        <w:rPr>
          <w:rFonts w:ascii="Times New Roman" w:hAnsi="Times New Roman"/>
          <w:i/>
          <w:sz w:val="20"/>
        </w:rPr>
        <w:t></w:t>
      </w:r>
      <w:r>
        <w:rPr>
          <w:rFonts w:ascii="Times New Roman" w:hAnsi="Times New Roman"/>
          <w:sz w:val="20"/>
        </w:rPr>
        <w:t xml:space="preserve">) of certain units pursuant to the Tempus Labs, Inc. 2015 Stock Plan (the </w:t>
      </w:r>
      <w:r>
        <w:rPr>
          <w:rFonts w:ascii="Times New Roman" w:hAnsi="Times New Roman"/>
          <w:i/>
          <w:sz w:val="20"/>
        </w:rPr>
        <w:t></w:t>
      </w:r>
      <w:r>
        <w:rPr>
          <w:rFonts w:ascii="Times New Roman" w:hAnsi="Times New Roman"/>
          <w:b/>
          <w:i/>
          <w:sz w:val="20"/>
        </w:rPr>
        <w:t>Plan</w:t>
      </w:r>
      <w:r>
        <w:rPr>
          <w:rFonts w:ascii="Times New Roman" w:hAnsi="Times New Roman"/>
          <w:i/>
          <w:sz w:val="20"/>
        </w:rPr>
        <w:t></w:t>
      </w:r>
      <w:r>
        <w:rPr>
          <w:rFonts w:ascii="Times New Roman" w:hAnsi="Times New Roman"/>
          <w:sz w:val="20"/>
        </w:rPr>
        <w:t xml:space="preserve">), each of which represents the right to receive on the applicable Settlement Date one (1) share of Stock,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3"/>
        <w:gridCol w:w="312"/>
        <w:gridCol w:w="5828"/>
        <w:gridCol w:w="122"/>
        <w:gridCol w:w="1590"/>
      </w:tblGrid>
      <w:tr>
        <w:trPr/>
        <w:tc>
          <w:tcPr>
            <w:tcW w:w="2353"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582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Participant:</w:t>
            </w:r>
          </w:p>
        </w:tc>
        <w:tc>
          <w:tcPr>
            <w:tcW w:w="312" w:type="dxa"/>
            <w:tcBorders/>
            <w:vAlign w:val="bottom"/>
          </w:tcPr>
          <w:p>
            <w:pPr>
              <w:pStyle w:val="TableContents"/>
              <w:bidi w:val="0"/>
              <w:spacing w:before="0" w:after="283"/>
              <w:jc w:val="left"/>
              <w:rPr/>
            </w:pPr>
            <w:r>
              <w:rPr/>
              <w:t>  </w:t>
            </w:r>
          </w:p>
        </w:tc>
        <w:tc>
          <w:tcPr>
            <w:tcW w:w="7540"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4"/>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Date of Grant:</w:t>
            </w:r>
          </w:p>
        </w:tc>
        <w:tc>
          <w:tcPr>
            <w:tcW w:w="312" w:type="dxa"/>
            <w:tcBorders/>
            <w:vAlign w:val="bottom"/>
          </w:tcPr>
          <w:p>
            <w:pPr>
              <w:pStyle w:val="TableContents"/>
              <w:bidi w:val="0"/>
              <w:spacing w:before="0" w:after="283"/>
              <w:jc w:val="left"/>
              <w:rPr/>
            </w:pPr>
            <w:r>
              <w:rPr/>
              <w:t>  </w:t>
            </w:r>
          </w:p>
        </w:tc>
        <w:tc>
          <w:tcPr>
            <w:tcW w:w="7540"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4"/>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Total Number of Units:</w:t>
            </w:r>
          </w:p>
        </w:tc>
        <w:tc>
          <w:tcPr>
            <w:tcW w:w="312" w:type="dxa"/>
            <w:tcBorders/>
            <w:vAlign w:val="bottom"/>
          </w:tcPr>
          <w:p>
            <w:pPr>
              <w:pStyle w:val="TableContents"/>
              <w:bidi w:val="0"/>
              <w:spacing w:before="0" w:after="283"/>
              <w:jc w:val="left"/>
              <w:rPr/>
            </w:pPr>
            <w:r>
              <w:rPr/>
              <w:t>  </w:t>
            </w:r>
          </w:p>
        </w:tc>
        <w:tc>
          <w:tcPr>
            <w:tcW w:w="7540"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4"/>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Expiration Date:</w:t>
            </w:r>
          </w:p>
        </w:tc>
        <w:tc>
          <w:tcPr>
            <w:tcW w:w="312" w:type="dxa"/>
            <w:tcBorders/>
            <w:vAlign w:val="bottom"/>
          </w:tcPr>
          <w:p>
            <w:pPr>
              <w:pStyle w:val="TableContents"/>
              <w:bidi w:val="0"/>
              <w:spacing w:before="0" w:after="283"/>
              <w:jc w:val="left"/>
              <w:rPr/>
            </w:pPr>
            <w:r>
              <w:rPr/>
              <w:t>  </w:t>
            </w:r>
          </w:p>
        </w:tc>
        <w:tc>
          <w:tcPr>
            <w:tcW w:w="7540" w:type="dxa"/>
            <w:gridSpan w:val="3"/>
            <w:tcBorders/>
          </w:tcPr>
          <w:p>
            <w:pPr>
              <w:pStyle w:val="TableContents"/>
              <w:bidi w:val="0"/>
              <w:spacing w:before="0" w:after="283"/>
              <w:jc w:val="left"/>
              <w:rPr/>
            </w:pPr>
            <w:r>
              <w:rPr/>
              <w:t>The 7th anniversary of the Date of Grant.</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4"/>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Vesting Start Date:</w:t>
            </w:r>
          </w:p>
        </w:tc>
        <w:tc>
          <w:tcPr>
            <w:tcW w:w="312" w:type="dxa"/>
            <w:tcBorders/>
            <w:vAlign w:val="bottom"/>
          </w:tcPr>
          <w:p>
            <w:pPr>
              <w:pStyle w:val="TableContents"/>
              <w:bidi w:val="0"/>
              <w:spacing w:before="0" w:after="283"/>
              <w:jc w:val="left"/>
              <w:rPr/>
            </w:pPr>
            <w:r>
              <w:rPr/>
              <w:t>  </w:t>
            </w:r>
          </w:p>
        </w:tc>
        <w:tc>
          <w:tcPr>
            <w:tcW w:w="7540" w:type="dxa"/>
            <w:gridSpan w:val="3"/>
            <w:tcBorders/>
          </w:tcPr>
          <w:p>
            <w:pPr>
              <w:pStyle w:val="TableContents"/>
              <w:bidi w:val="0"/>
              <w:spacing w:before="0" w:after="283"/>
              <w:jc w:val="left"/>
              <w:rPr>
                <w:sz w:val="4"/>
                <w:szCs w:val="4"/>
              </w:rPr>
            </w:pPr>
            <w:r>
              <w:rPr>
                <w:sz w:val="4"/>
                <w:szCs w:val="4"/>
              </w:rPr>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7852" w:type="dxa"/>
            <w:gridSpan w:val="4"/>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b/>
              </w:rPr>
            </w:pPr>
            <w:r>
              <w:rPr>
                <w:b/>
              </w:rPr>
              <w:t>Vested Units:</w:t>
            </w:r>
          </w:p>
        </w:tc>
        <w:tc>
          <w:tcPr>
            <w:tcW w:w="312" w:type="dxa"/>
            <w:tcBorders/>
            <w:vAlign w:val="bottom"/>
          </w:tcPr>
          <w:p>
            <w:pPr>
              <w:pStyle w:val="TableContents"/>
              <w:bidi w:val="0"/>
              <w:spacing w:before="0" w:after="283"/>
              <w:jc w:val="left"/>
              <w:rPr/>
            </w:pPr>
            <w:r>
              <w:rPr/>
              <w:t>  </w:t>
            </w:r>
          </w:p>
        </w:tc>
        <w:tc>
          <w:tcPr>
            <w:tcW w:w="7540" w:type="dxa"/>
            <w:gridSpan w:val="3"/>
            <w:tcBorders/>
          </w:tcPr>
          <w:p>
            <w:pPr>
              <w:pStyle w:val="TableContents"/>
              <w:bidi w:val="0"/>
              <w:spacing w:before="0" w:after="283"/>
              <w:jc w:val="left"/>
              <w:rPr/>
            </w:pPr>
            <w:r>
              <w:rPr/>
              <w:t xml:space="preserve">Except as provided in the Restricted Stock Units Agreement, the vesting of each Unit requires the satisfaction of both of two conditions on or before the Expiration Date: an event condition and a service condition. The event condition will be satisfied on the date of a Liquidity Event (the </w:t>
            </w:r>
            <w:r>
              <w:rPr>
                <w:i/>
              </w:rPr>
              <w:t></w:t>
            </w:r>
            <w:r>
              <w:rPr>
                <w:b/>
                <w:i/>
              </w:rPr>
              <w:t>Liquidity Event Date</w:t>
            </w:r>
            <w:r>
              <w:rPr>
                <w:i/>
              </w:rPr>
              <w:t></w:t>
            </w:r>
            <w:r>
              <w:rPr/>
              <w:t xml:space="preserve">). The service condition is satisfied upon the Participants completion of a required period of continuous Service from the Vesting Start Date. Provided that the Participants Service has not terminated prior to the applicable date and except as otherwise provided in the Restricted Stock Units Agreement, the number of Vested Units (disregarding any resulting fractional Unit) as of any date is determined by multiplying the Total Number of Units by the </w:t>
            </w:r>
            <w:r>
              <w:rPr>
                <w:i/>
              </w:rPr>
              <w:t></w:t>
            </w:r>
            <w:r>
              <w:rPr>
                <w:b/>
                <w:i/>
              </w:rPr>
              <w:t>Vested Ratio</w:t>
            </w:r>
            <w:r>
              <w:rPr>
                <w:i/>
              </w:rPr>
              <w:t></w:t>
            </w:r>
            <w:r>
              <w:rPr/>
              <w:t xml:space="preserve"> determined as of such date as follows:</w:t>
            </w:r>
          </w:p>
        </w:tc>
      </w:tr>
      <w:tr>
        <w:trPr/>
        <w:tc>
          <w:tcPr>
            <w:tcW w:w="2353" w:type="dxa"/>
            <w:tcBorders/>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582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590" w:type="dxa"/>
            <w:tcBorders/>
          </w:tcPr>
          <w:p>
            <w:pPr>
              <w:pStyle w:val="TableContents"/>
              <w:bidi w:val="0"/>
              <w:spacing w:before="0" w:after="283"/>
              <w:jc w:val="center"/>
              <w:rPr>
                <w:b/>
                <w:u w:val="single"/>
              </w:rPr>
            </w:pPr>
            <w:r>
              <w:rPr>
                <w:b/>
                <w:u w:val="single"/>
              </w:rPr>
              <w:t>Vested Ratio</w:t>
            </w:r>
          </w:p>
        </w:tc>
      </w:tr>
      <w:tr>
        <w:trPr/>
        <w:tc>
          <w:tcPr>
            <w:tcW w:w="2353" w:type="dxa"/>
            <w:tcBorders/>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5828" w:type="dxa"/>
            <w:tcBorders/>
          </w:tcPr>
          <w:p>
            <w:pPr>
              <w:pStyle w:val="TableContents"/>
              <w:bidi w:val="0"/>
              <w:spacing w:before="0" w:after="20"/>
              <w:jc w:val="left"/>
              <w:rPr>
                <w:rFonts w:ascii="Times New Roman" w:hAnsi="Times New Roman"/>
                <w:sz w:val="20"/>
              </w:rPr>
            </w:pPr>
            <w:r>
              <w:rPr>
                <w:rFonts w:ascii="Times New Roman" w:hAnsi="Times New Roman"/>
                <w:sz w:val="20"/>
              </w:rPr>
              <w:t>(a) Prior to Liquidity Event Date</w:t>
            </w:r>
          </w:p>
        </w:tc>
        <w:tc>
          <w:tcPr>
            <w:tcW w:w="122" w:type="dxa"/>
            <w:tcBorders/>
            <w:vAlign w:val="bottom"/>
          </w:tcPr>
          <w:p>
            <w:pPr>
              <w:pStyle w:val="TableContents"/>
              <w:bidi w:val="0"/>
              <w:spacing w:before="0" w:after="283"/>
              <w:jc w:val="left"/>
              <w:rPr/>
            </w:pPr>
            <w:r>
              <w:rPr/>
              <w:t>  </w:t>
            </w:r>
          </w:p>
        </w:tc>
        <w:tc>
          <w:tcPr>
            <w:tcW w:w="1590" w:type="dxa"/>
            <w:tcBorders/>
          </w:tcPr>
          <w:p>
            <w:pPr>
              <w:pStyle w:val="TableContents"/>
              <w:bidi w:val="0"/>
              <w:spacing w:before="0" w:after="283"/>
              <w:jc w:val="center"/>
              <w:rPr/>
            </w:pPr>
            <w:r>
              <w:rPr/>
              <w:t>0</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c>
          <w:tcPr>
            <w:tcW w:w="171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5828" w:type="dxa"/>
            <w:tcBorders/>
          </w:tcPr>
          <w:p>
            <w:pPr>
              <w:pStyle w:val="TableContents"/>
              <w:bidi w:val="0"/>
              <w:spacing w:before="0" w:after="0"/>
              <w:jc w:val="left"/>
              <w:rPr>
                <w:rFonts w:ascii="Times New Roman" w:hAnsi="Times New Roman"/>
                <w:sz w:val="20"/>
              </w:rPr>
            </w:pPr>
            <w:r>
              <w:rPr>
                <w:rFonts w:ascii="Times New Roman" w:hAnsi="Times New Roman"/>
                <w:sz w:val="20"/>
              </w:rPr>
              <w:t>(b) If, on the Liquidity Event Date, less than one full year of continued Service has elapsed from the Vesting Start Date, then: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(i) on Liquidity Event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on the first anniversary of the Vesting Start Date following the Liquidity Event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(iii)  for each additional period of three (3) full months of the Participants continuous Service from the first anniversary of the Vesting Start Date until the Vested Ratio equals 1/1, an additional</w:t>
            </w:r>
          </w:p>
        </w:tc>
        <w:tc>
          <w:tcPr>
            <w:tcW w:w="122" w:type="dxa"/>
            <w:tcBorders/>
            <w:vAlign w:val="bottom"/>
          </w:tcPr>
          <w:p>
            <w:pPr>
              <w:pStyle w:val="TableContents"/>
              <w:bidi w:val="0"/>
              <w:spacing w:before="0" w:after="283"/>
              <w:jc w:val="left"/>
              <w:rPr/>
            </w:pPr>
            <w:r>
              <w:rPr/>
              <w:t>  </w:t>
            </w:r>
          </w:p>
        </w:tc>
        <w:tc>
          <w:tcPr>
            <w:tcW w:w="1590"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0</w:t>
            </w:r>
          </w:p>
          <w:p>
            <w:pPr>
              <w:pStyle w:val="TableContents"/>
              <w:bidi w:val="0"/>
              <w:spacing w:before="0" w:after="0"/>
              <w:jc w:val="center"/>
              <w:rPr>
                <w:rFonts w:ascii="Times New Roman" w:hAnsi="Times New Roman"/>
                <w:sz w:val="20"/>
              </w:rPr>
            </w:pPr>
            <w:r>
              <w:rPr>
                <w:rFonts w:ascii="Times New Roman" w:hAnsi="Times New Roman"/>
                <w:sz w:val="20"/>
              </w:rPr>
              <w:t>1/5</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1/20</w:t>
            </w:r>
          </w:p>
        </w:tc>
      </w:tr>
      <w:tr>
        <w:trPr>
          <w:trHeight w:val="120" w:hRule="atLeast"/>
        </w:trPr>
        <w:tc>
          <w:tcPr>
            <w:tcW w:w="2353" w:type="dxa"/>
            <w:tcBorders/>
            <w:vAlign w:val="center"/>
          </w:tcPr>
          <w:p>
            <w:pPr>
              <w:pStyle w:val="TableContents"/>
              <w:bidi w:val="0"/>
              <w:spacing w:before="0" w:after="283"/>
              <w:jc w:val="left"/>
              <w:rPr>
                <w:sz w:val="4"/>
                <w:szCs w:val="4"/>
              </w:rPr>
            </w:pPr>
            <w:r>
              <w:rPr>
                <w:sz w:val="4"/>
                <w:szCs w:val="4"/>
              </w:rPr>
            </w:r>
          </w:p>
        </w:tc>
        <w:tc>
          <w:tcPr>
            <w:tcW w:w="6140" w:type="dxa"/>
            <w:gridSpan w:val="2"/>
            <w:tcBorders/>
            <w:vAlign w:val="center"/>
          </w:tcPr>
          <w:p>
            <w:pPr>
              <w:pStyle w:val="TableContents"/>
              <w:bidi w:val="0"/>
              <w:spacing w:before="0" w:after="283"/>
              <w:jc w:val="left"/>
              <w:rPr>
                <w:sz w:val="4"/>
                <w:szCs w:val="4"/>
              </w:rPr>
            </w:pPr>
            <w:r>
              <w:rPr>
                <w:sz w:val="4"/>
                <w:szCs w:val="4"/>
              </w:rPr>
            </w:r>
          </w:p>
        </w:tc>
        <w:tc>
          <w:tcPr>
            <w:tcW w:w="1712" w:type="dxa"/>
            <w:gridSpan w:val="2"/>
            <w:tcBorders/>
            <w:vAlign w:val="center"/>
          </w:tcPr>
          <w:p>
            <w:pPr>
              <w:pStyle w:val="TableContents"/>
              <w:bidi w:val="0"/>
              <w:spacing w:before="0" w:after="283"/>
              <w:jc w:val="left"/>
              <w:rPr>
                <w:sz w:val="4"/>
                <w:szCs w:val="4"/>
              </w:rPr>
            </w:pPr>
            <w:r>
              <w:rPr>
                <w:sz w:val="4"/>
                <w:szCs w:val="4"/>
              </w:rPr>
            </w:r>
          </w:p>
        </w:tc>
      </w:tr>
      <w:tr>
        <w:trPr/>
        <w:tc>
          <w:tcPr>
            <w:tcW w:w="2353" w:type="dxa"/>
            <w:tcBorders/>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pPr>
            <w:r>
              <w:rPr/>
              <w:t>  </w:t>
            </w:r>
          </w:p>
        </w:tc>
        <w:tc>
          <w:tcPr>
            <w:tcW w:w="5828" w:type="dxa"/>
            <w:tcBorders/>
          </w:tcPr>
          <w:p>
            <w:pPr>
              <w:pStyle w:val="TableContents"/>
              <w:bidi w:val="0"/>
              <w:spacing w:before="0" w:after="0"/>
              <w:jc w:val="left"/>
              <w:rPr>
                <w:rFonts w:ascii="Times New Roman" w:hAnsi="Times New Roman"/>
                <w:sz w:val="20"/>
              </w:rPr>
            </w:pPr>
            <w:r>
              <w:rPr>
                <w:rFonts w:ascii="Times New Roman" w:hAnsi="Times New Roman"/>
                <w:sz w:val="20"/>
              </w:rPr>
              <w:t>(c) If, on Liquidity Event Date: one full year or more of continued Service has elapsed from the Vesting Start Date, then: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(i) on the Liquidity Event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u w:val="single"/>
              </w:rPr>
            </w:pPr>
            <w:r>
              <w:rPr>
                <w:rFonts w:ascii="Times New Roman" w:hAnsi="Times New Roman"/>
                <w:sz w:val="20"/>
                <w:u w:val="single"/>
              </w:rPr>
              <w:t>Plus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(ii)  for each additional period of three (3) full months of the Participants continuous Service from the first anniversary of the Vesting Start Date until the Vested Ratio equals 1/1, an </w:t>
              <w:br/>
              <w:t>additional</w:t>
            </w:r>
          </w:p>
        </w:tc>
        <w:tc>
          <w:tcPr>
            <w:tcW w:w="122" w:type="dxa"/>
            <w:tcBorders/>
            <w:vAlign w:val="bottom"/>
          </w:tcPr>
          <w:p>
            <w:pPr>
              <w:pStyle w:val="TableContents"/>
              <w:bidi w:val="0"/>
              <w:spacing w:before="0" w:after="283"/>
              <w:jc w:val="left"/>
              <w:rPr/>
            </w:pPr>
            <w:r>
              <w:rPr/>
              <w:t>  </w:t>
            </w:r>
          </w:p>
        </w:tc>
        <w:tc>
          <w:tcPr>
            <w:tcW w:w="1590"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1/5</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1/20</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709"/>
        <w:gridCol w:w="176"/>
        <w:gridCol w:w="3494"/>
        <w:gridCol w:w="326"/>
        <w:gridCol w:w="3500"/>
      </w:tblGrid>
      <w:tr>
        <w:trPr/>
        <w:tc>
          <w:tcPr>
            <w:tcW w:w="270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2709" w:type="dxa"/>
            <w:tcBorders/>
          </w:tcPr>
          <w:p>
            <w:pPr>
              <w:pStyle w:val="TableContents"/>
              <w:bidi w:val="0"/>
              <w:spacing w:before="0" w:after="283"/>
              <w:jc w:val="left"/>
              <w:rPr>
                <w:b/>
              </w:rPr>
            </w:pPr>
            <w:r>
              <w:rPr>
                <w:b/>
              </w:rPr>
              <w:t>Settlement Date:</w:t>
            </w:r>
          </w:p>
        </w:tc>
        <w:tc>
          <w:tcPr>
            <w:tcW w:w="176" w:type="dxa"/>
            <w:tcBorders/>
            <w:vAlign w:val="bottom"/>
          </w:tcPr>
          <w:p>
            <w:pPr>
              <w:pStyle w:val="TableContents"/>
              <w:bidi w:val="0"/>
              <w:spacing w:before="0" w:after="283"/>
              <w:jc w:val="left"/>
              <w:rPr/>
            </w:pPr>
            <w:r>
              <w:rPr/>
              <w:t>  </w:t>
            </w:r>
          </w:p>
        </w:tc>
        <w:tc>
          <w:tcPr>
            <w:tcW w:w="73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Except as provided by the Restricted Stock Units Agreement, the Settlement Date with respect to each Unit shall be the date on which such Unit becomes a Vested Unit; provided, however, that if the Liquidity Event is an Initial Public Offering, then the Settlement Date for any Unit that becomes a Vested Unit prior to the lapsing of any lock-up period described in Section 14 of the Restricted Stock Units Agreement applicable to such Unit shall be first to occur of (i) the date on which such lock-up period lapses and (ii) a date determined by the Board, which shall be no later than the 15th day of the third month following the end of the Applicable Year in which the Unit becomes a Vested Unit. For this purpose, Applicable Year means the calendar year or the Companys fiscal year, whichever year ends later.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their signatures below, the Company and the Participant agree that the Award is governed by this Grant Notice and by the provisions of the Plan and the Restricted Stock Units Agreement, both of which are made a part of this document. The Participant acknowledges receipt of copies of the Plan and the Restricted Stock Units Agreement, represents that the Participant has read and is familiar with their provisions, and hereby accepts the Award subject to all of their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67"/>
        <w:gridCol w:w="107"/>
        <w:gridCol w:w="4683"/>
        <w:gridCol w:w="107"/>
        <w:gridCol w:w="189"/>
        <w:gridCol w:w="107"/>
        <w:gridCol w:w="4645"/>
      </w:tblGrid>
      <w:tr>
        <w:trPr/>
        <w:tc>
          <w:tcPr>
            <w:tcW w:w="367"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68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645" w:type="dxa"/>
            <w:tcBorders/>
            <w:vAlign w:val="center"/>
          </w:tcPr>
          <w:p>
            <w:pPr>
              <w:pStyle w:val="TableContents"/>
              <w:bidi w:val="0"/>
              <w:spacing w:before="0" w:after="283"/>
              <w:jc w:val="left"/>
              <w:rPr>
                <w:sz w:val="4"/>
                <w:szCs w:val="4"/>
              </w:rPr>
            </w:pPr>
            <w:r>
              <w:rPr>
                <w:sz w:val="4"/>
                <w:szCs w:val="4"/>
              </w:rPr>
            </w:r>
          </w:p>
        </w:tc>
      </w:tr>
      <w:tr>
        <w:trPr/>
        <w:tc>
          <w:tcPr>
            <w:tcW w:w="5453" w:type="dxa"/>
            <w:gridSpan w:val="5"/>
            <w:tcBorders/>
          </w:tcPr>
          <w:p>
            <w:pPr>
              <w:pStyle w:val="TableContents"/>
              <w:bidi w:val="0"/>
              <w:spacing w:before="0" w:after="283"/>
              <w:jc w:val="left"/>
              <w:rPr/>
            </w:pPr>
            <w:r>
              <w:rPr/>
              <w:t>TEMPUS LABS, INC.</w:t>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PARTICIPANT</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4790" w:type="dxa"/>
            <w:gridSpan w:val="2"/>
            <w:tcBorders/>
            <w:vAlign w:val="center"/>
          </w:tcPr>
          <w:p>
            <w:pPr>
              <w:pStyle w:val="TableContents"/>
              <w:bidi w:val="0"/>
              <w:spacing w:before="0" w:after="283"/>
              <w:jc w:val="left"/>
              <w:rPr>
                <w:sz w:val="4"/>
                <w:szCs w:val="4"/>
              </w:rPr>
            </w:pPr>
            <w:r>
              <w:rPr>
                <w:sz w:val="4"/>
                <w:szCs w:val="4"/>
              </w:rPr>
            </w:r>
          </w:p>
        </w:tc>
        <w:tc>
          <w:tcPr>
            <w:tcW w:w="296" w:type="dxa"/>
            <w:gridSpan w:val="2"/>
            <w:tcBorders/>
            <w:vAlign w:val="center"/>
          </w:tcPr>
          <w:p>
            <w:pPr>
              <w:pStyle w:val="TableContents"/>
              <w:bidi w:val="0"/>
              <w:spacing w:before="0" w:after="283"/>
              <w:jc w:val="left"/>
              <w:rPr>
                <w:sz w:val="4"/>
                <w:szCs w:val="4"/>
              </w:rPr>
            </w:pPr>
            <w:r>
              <w:rPr>
                <w:sz w:val="4"/>
                <w:szCs w:val="4"/>
              </w:rPr>
            </w:r>
          </w:p>
        </w:tc>
        <w:tc>
          <w:tcPr>
            <w:tcW w:w="4752"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683" w:type="dxa"/>
            <w:tcBorders/>
          </w:tcPr>
          <w:p>
            <w:pPr>
              <w:pStyle w:val="TableContents"/>
              <w:pBdr>
                <w:bottom w:val="single" w:sz="2" w:space="1" w:color="000000"/>
              </w:pBdr>
              <w:bidi w:val="0"/>
              <w:spacing w:before="0" w:after="20"/>
              <w:jc w:val="left"/>
              <w:rPr/>
            </w:pPr>
            <w:r>
              <w:rPr/>
              <w:t>             </w:t>
            </w:r>
          </w:p>
        </w:tc>
        <w:tc>
          <w:tcPr>
            <w:tcW w:w="107"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pBdr>
                <w:bottom w:val="single" w:sz="2" w:space="1" w:color="000000"/>
              </w:pBdr>
              <w:bidi w:val="0"/>
              <w:spacing w:before="0" w:after="20"/>
              <w:jc w:val="left"/>
              <w:rPr/>
            </w:pPr>
            <w:r>
              <w:rPr/>
              <w:t> </w:t>
            </w:r>
          </w:p>
        </w:tc>
      </w:tr>
      <w:tr>
        <w:trPr/>
        <w:tc>
          <w:tcPr>
            <w:tcW w:w="36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83" w:type="dxa"/>
            <w:tcBorders/>
          </w:tcPr>
          <w:p>
            <w:pPr>
              <w:pStyle w:val="TableContents"/>
              <w:bidi w:val="0"/>
              <w:spacing w:before="0" w:after="283"/>
              <w:jc w:val="left"/>
              <w:rPr/>
            </w:pPr>
            <w:r>
              <w:rPr/>
              <w:t>Name: Jim Rogers</w:t>
            </w:r>
          </w:p>
        </w:tc>
        <w:tc>
          <w:tcPr>
            <w:tcW w:w="107"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Signature</w:t>
            </w:r>
          </w:p>
        </w:tc>
      </w:tr>
      <w:tr>
        <w:trPr/>
        <w:tc>
          <w:tcPr>
            <w:tcW w:w="36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83" w:type="dxa"/>
            <w:tcBorders/>
          </w:tcPr>
          <w:p>
            <w:pPr>
              <w:pStyle w:val="TableContents"/>
              <w:bidi w:val="0"/>
              <w:spacing w:before="0" w:after="283"/>
              <w:jc w:val="left"/>
              <w:rPr/>
            </w:pPr>
            <w:r>
              <w:rPr/>
              <w:t>Title: CFO</w:t>
            </w:r>
          </w:p>
        </w:tc>
        <w:tc>
          <w:tcPr>
            <w:tcW w:w="107"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pBdr>
                <w:bottom w:val="single" w:sz="2" w:space="1" w:color="000000"/>
              </w:pBdr>
              <w:bidi w:val="0"/>
              <w:spacing w:before="0" w:after="20"/>
              <w:jc w:val="left"/>
              <w:rPr/>
            </w:pPr>
            <w:r>
              <w:rPr/>
              <w:t> </w:t>
            </w:r>
          </w:p>
        </w:tc>
      </w:tr>
      <w:tr>
        <w:trPr/>
        <w:tc>
          <w:tcPr>
            <w:tcW w:w="36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8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Date</w:t>
            </w:r>
          </w:p>
        </w:tc>
      </w:tr>
      <w:tr>
        <w:trPr/>
        <w:tc>
          <w:tcPr>
            <w:tcW w:w="515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600 West Chicago Ave., Suite 551</w:t>
            </w:r>
          </w:p>
          <w:p>
            <w:pPr>
              <w:pStyle w:val="TableContents"/>
              <w:bidi w:val="0"/>
              <w:spacing w:before="0" w:after="20"/>
              <w:jc w:val="left"/>
              <w:rPr/>
            </w:pPr>
            <w:r>
              <w:rPr/>
              <w:t>                        </w:t>
            </w:r>
            <w:r>
              <w:rPr>
                <w:rFonts w:ascii="Times New Roman" w:hAnsi="Times New Roman"/>
                <w:sz w:val="20"/>
              </w:rPr>
              <w:t>Chicago, Illinois 60654</w:t>
            </w:r>
          </w:p>
        </w:tc>
        <w:tc>
          <w:tcPr>
            <w:tcW w:w="107"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pBdr>
                <w:bottom w:val="single" w:sz="2" w:space="1" w:color="000000"/>
              </w:pBdr>
              <w:bidi w:val="0"/>
              <w:spacing w:before="0" w:after="20"/>
              <w:jc w:val="left"/>
              <w:rPr/>
            </w:pPr>
            <w:r>
              <w:rPr/>
              <w:t> </w:t>
            </w:r>
          </w:p>
        </w:tc>
      </w:tr>
      <w:tr>
        <w:trPr/>
        <w:tc>
          <w:tcPr>
            <w:tcW w:w="36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8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bidi w:val="0"/>
              <w:spacing w:before="0" w:after="283"/>
              <w:jc w:val="left"/>
              <w:rPr/>
            </w:pPr>
            <w:r>
              <w:rPr/>
              <w:t>Address</w:t>
            </w:r>
          </w:p>
        </w:tc>
      </w:tr>
      <w:tr>
        <w:trPr/>
        <w:tc>
          <w:tcPr>
            <w:tcW w:w="367"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8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64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ATTACHMENTS:         2015 Stock Plan, as amended to the Date of Grant, and Restricted Stock Units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WHICH ARE THE SUBJECT OF THIS AGREEMENT HAVE NOT BEEN QUALIFIED WITH THE COMMISSIONER OF CORPORATIONS OF THE STATE OF DELAWARE AND THE ISSUANCE OF SUCH SECURITIES OR THE PAYMENT OR RECEIPT OF ANY PART OF THE CONSIDERATION THEREFOR PRIOR TO SUCH QUALIFICATION IS UNLAWFUL, UNLESS THE SALE OF SECURITIES IS EXEMPT FROM QUALIFICATION BY SECTION 73-207 OF THE DELAWARE SECURITIES ACT. THE RIGHTS OF ALL PARTIES TO THIS AGREEMENT ARE EXPRESSLY CONDITIONED UPON SUCH QUALIFICATION BEING OBTAINED, UNLESS THE SALE IS SO EXEMPT.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WHICH ARE THE SUBJECT OF THIS AGREEMENT HAVE BEEN ACQUIRED FOR INVESTMENT AND NOT WITH A VIEW TO, OR IN CONNECTION WITH, THE SALE OR DISTRIBUTION THEREOF. NO SUCH SALE OR DISPOSITION MAY BE EFFECTED WITHOUT AN EFFECTIVE REGISTRATION STATEMENT RELATED THERETO OR AN OPINION OF COUNSEL SATISFACTORY TO THE COMPANY THAT SUCH REGISTRATION IS NOT REQUIRED UNDER THE SECURITIES ACT OF 1933.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UNITS AGREEMENT </w:t>
      </w:r>
    </w:p>
    <w:p>
      <w:pPr>
        <w:pStyle w:val="TextBody"/>
        <w:bidi w:val="0"/>
        <w:spacing w:before="240" w:after="0"/>
        <w:jc w:val="left"/>
        <w:rPr>
          <w:rFonts w:ascii="Times New Roman" w:hAnsi="Times New Roman"/>
          <w:sz w:val="20"/>
        </w:rPr>
      </w:pPr>
      <w:r>
        <w:rPr>
          <w:rFonts w:ascii="Times New Roman" w:hAnsi="Times New Roman"/>
          <w:sz w:val="20"/>
        </w:rPr>
        <w:t xml:space="preserve">Tempus Health, Inc. has granted to the Participant named in the </w:t>
      </w:r>
      <w:r>
        <w:rPr>
          <w:rFonts w:ascii="Times New Roman" w:hAnsi="Times New Roman"/>
          <w:i/>
          <w:sz w:val="20"/>
        </w:rPr>
        <w:t>Notice of Grant of Restricted Stock Units</w:t>
      </w:r>
      <w:r>
        <w:rPr>
          <w:rFonts w:ascii="Times New Roman" w:hAnsi="Times New Roman"/>
          <w:sz w:val="20"/>
        </w:rPr>
        <w:t xml:space="preserve"> (the </w:t>
      </w:r>
      <w:r>
        <w:rPr>
          <w:rFonts w:ascii="Times New Roman" w:hAnsi="Times New Roman"/>
          <w:i/>
          <w:sz w:val="20"/>
        </w:rPr>
        <w:t></w:t>
      </w:r>
      <w:r>
        <w:rPr>
          <w:rFonts w:ascii="Times New Roman" w:hAnsi="Times New Roman"/>
          <w:b/>
          <w:i/>
          <w:sz w:val="20"/>
        </w:rPr>
        <w:t>Grant Notice</w:t>
      </w:r>
      <w:r>
        <w:rPr>
          <w:rFonts w:ascii="Times New Roman" w:hAnsi="Times New Roman"/>
          <w:i/>
          <w:sz w:val="20"/>
        </w:rPr>
        <w:t></w:t>
      </w:r>
      <w:r>
        <w:rPr>
          <w:rFonts w:ascii="Times New Roman" w:hAnsi="Times New Roman"/>
          <w:sz w:val="20"/>
        </w:rPr>
        <w:t xml:space="preserve">) to which this Restricted Stock Units Agreement (the </w:t>
      </w:r>
      <w:r>
        <w:rPr>
          <w:rFonts w:ascii="Times New Roman" w:hAnsi="Times New Roman"/>
          <w:i/>
          <w:sz w:val="20"/>
        </w:rPr>
        <w:t></w:t>
      </w:r>
      <w:r>
        <w:rPr>
          <w:rFonts w:ascii="Times New Roman" w:hAnsi="Times New Roman"/>
          <w:b/>
          <w:i/>
          <w:sz w:val="20"/>
        </w:rPr>
        <w:t>Agreement</w:t>
      </w:r>
      <w:r>
        <w:rPr>
          <w:rFonts w:ascii="Times New Roman" w:hAnsi="Times New Roman"/>
          <w:i/>
          <w:sz w:val="20"/>
        </w:rPr>
        <w:t></w:t>
      </w:r>
      <w:r>
        <w:rPr>
          <w:rFonts w:ascii="Times New Roman" w:hAnsi="Times New Roman"/>
          <w:sz w:val="20"/>
        </w:rPr>
        <w:t xml:space="preserve">) is attached an Award consisting of Restricted Stock Units subject to the terms and conditions set forth in the Grant Notice and this Agreement. The Award has been granted pursuant to and shall in all respects be subject to the terms conditions of the Tempus Health, Inc. 2015 Stock Plan (the </w:t>
      </w:r>
      <w:r>
        <w:rPr>
          <w:rFonts w:ascii="Times New Roman" w:hAnsi="Times New Roman"/>
          <w:i/>
          <w:sz w:val="20"/>
        </w:rPr>
        <w:t></w:t>
      </w:r>
      <w:r>
        <w:rPr>
          <w:rFonts w:ascii="Times New Roman" w:hAnsi="Times New Roman"/>
          <w:b/>
          <w:i/>
          <w:sz w:val="20"/>
        </w:rPr>
        <w:t>Plan</w:t>
      </w:r>
      <w:r>
        <w:rPr>
          <w:rFonts w:ascii="Times New Roman" w:hAnsi="Times New Roman"/>
          <w:i/>
          <w:sz w:val="20"/>
        </w:rPr>
        <w:t></w:t>
      </w:r>
      <w:r>
        <w:rPr>
          <w:rFonts w:ascii="Times New Roman" w:hAnsi="Times New Roman"/>
          <w:sz w:val="20"/>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and the Plan, (b) accepts the Award subject to all of the terms and conditions of the Grant Notice, this Agreement and the Plan and (c) agrees to accept as binding, conclusive and final all decisions or interpretations of the Board upon any questions arising under the Grant Notice, this Agreement or the Plan.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 AND CONSTRUCTION</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Definitions</w:t>
      </w:r>
      <w:r>
        <w:rPr>
          <w:rFonts w:ascii="Times New Roman" w:hAnsi="Times New Roman"/>
          <w:b/>
          <w:i/>
          <w:sz w:val="20"/>
        </w:rPr>
        <w:t>.</w:t>
      </w:r>
      <w:r>
        <w:rPr>
          <w:rFonts w:ascii="Times New Roman" w:hAnsi="Times New Roman"/>
          <w:sz w:val="20"/>
        </w:rPr>
        <w:t xml:space="preserve"> Capitalized terms shall have the meanings assigned to such terms in the Grant Notice or the Plan, unless otherwise defined herein or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w:t>
      </w:r>
      <w:r>
        <w:rPr>
          <w:rFonts w:ascii="Times New Roman" w:hAnsi="Times New Roman"/>
          <w:b/>
          <w:i/>
          <w:sz w:val="20"/>
        </w:rPr>
        <w:t>Initial Public Offering</w:t>
      </w:r>
      <w:r>
        <w:rPr>
          <w:rFonts w:ascii="Times New Roman" w:hAnsi="Times New Roman"/>
          <w:i/>
          <w:sz w:val="20"/>
        </w:rPr>
        <w:t></w:t>
      </w:r>
      <w:r>
        <w:rPr>
          <w:rFonts w:ascii="Times New Roman" w:hAnsi="Times New Roman"/>
          <w:sz w:val="20"/>
        </w:rPr>
        <w:t xml:space="preserve"> means the closing of the initial underwritten public offering of securities of the class of equity securities then subject to the Award pursuant to an effective registration statement filed under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t>
      </w:r>
      <w:r>
        <w:rPr>
          <w:rFonts w:ascii="Times New Roman" w:hAnsi="Times New Roman"/>
          <w:b/>
          <w:i/>
          <w:sz w:val="20"/>
        </w:rPr>
        <w:t>Liquidity Event</w:t>
      </w:r>
      <w:r>
        <w:rPr>
          <w:rFonts w:ascii="Times New Roman" w:hAnsi="Times New Roman"/>
          <w:i/>
          <w:sz w:val="20"/>
        </w:rPr>
        <w:t></w:t>
      </w:r>
      <w:r>
        <w:rPr>
          <w:rFonts w:ascii="Times New Roman" w:hAnsi="Times New Roman"/>
          <w:sz w:val="20"/>
        </w:rPr>
        <w:t xml:space="preserve"> means the first to occur, if any, of: (i) the declaration that the Initial Public Offering is effective; and (ii) the time immediately prior to the consummation of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w:t>
      </w:r>
      <w:r>
        <w:rPr>
          <w:rFonts w:ascii="Times New Roman" w:hAnsi="Times New Roman"/>
          <w:b/>
          <w:i/>
          <w:sz w:val="20"/>
        </w:rPr>
        <w:t>Units</w:t>
      </w:r>
      <w:r>
        <w:rPr>
          <w:rFonts w:ascii="Times New Roman" w:hAnsi="Times New Roman"/>
          <w:i/>
          <w:sz w:val="20"/>
        </w:rPr>
        <w:t></w:t>
      </w:r>
      <w:r>
        <w:rPr>
          <w:rFonts w:ascii="Times New Roman" w:hAnsi="Times New Roman"/>
          <w:sz w:val="20"/>
        </w:rPr>
        <w:t xml:space="preserve"> mean the Restricted Stock Units granted pursuant to the Award adjusted from time to time pursuant to Section 10.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Construction</w:t>
      </w:r>
      <w:r>
        <w:rPr>
          <w:rFonts w:ascii="Times New Roman" w:hAnsi="Times New Roman"/>
          <w:b/>
          <w:i/>
          <w:sz w:val="20"/>
        </w:rPr>
        <w:t>.</w:t>
      </w:r>
      <w:r>
        <w:rPr>
          <w:rFonts w:ascii="Times New Roman" w:hAnsi="Times New Roman"/>
          <w:sz w:val="20"/>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ADMINISTRATION</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questions of interpretation concerning the Grant Notice, this Agreement, the Plan or any other form of agreement or other document employed by the Company in the administration of the Plan or the Award shall be determined by the Board. All such determinations by the Board shall be final, binding and conclusive upon all persons having an interest in the Award, unless fraudulent or made in bad faith. Any and all actions, decisions and determinations taken or made by the Board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THE AWARD</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Grant of Units.</w:t>
      </w:r>
      <w:r>
        <w:rPr>
          <w:rFonts w:ascii="Times New Roman" w:hAnsi="Times New Roman"/>
          <w:sz w:val="20"/>
        </w:rPr>
        <w:t xml:space="preserve"> On the Date of Grant, the Participant shall acquire, subject to the provisions of this Agreement, the Total Number of Units set forth in the Grant Notice, subject to adjustment as provided in Section 10. Each Unit represents a right to receive on a date determined in accordance with the Grant Notice and this Agreement one (1) share of Stock.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No Monetary Payment Required.</w:t>
      </w:r>
      <w:r>
        <w:rPr>
          <w:rFonts w:ascii="Times New Roman" w:hAnsi="Times New Roman"/>
          <w:sz w:val="20"/>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Termination of the Award.</w:t>
      </w:r>
      <w:r>
        <w:rPr>
          <w:rFonts w:ascii="Times New Roman" w:hAnsi="Times New Roman"/>
          <w:sz w:val="20"/>
        </w:rPr>
        <w:t xml:space="preserve"> The Award shall terminate upon the first to occur of (a) a Change in Control to the extent provided in Section 8 or (b) the final settlement of all Vested Units in accordance with Section 6.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VESTING OF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Normal Vesting.</w:t>
      </w:r>
      <w:r>
        <w:rPr>
          <w:rFonts w:ascii="Times New Roman" w:hAnsi="Times New Roman"/>
          <w:sz w:val="20"/>
        </w:rPr>
        <w:t xml:space="preserve"> Units acquired pursuant to this Agreement shall become Vested Units as provided in the Grant Notice.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Effect of Termination of Service Prior to Liquidity Event Date.</w:t>
      </w:r>
      <w:r>
        <w:rPr>
          <w:rFonts w:ascii="Times New Roman" w:hAnsi="Times New Roman"/>
          <w:sz w:val="20"/>
        </w:rPr>
        <w:t xml:space="preserve"> If the Participants Service terminates for any reason prior to the Liquidity Event Date, then: </w:t>
      </w:r>
    </w:p>
    <w:p>
      <w:pPr>
        <w:pStyle w:val="TextBody"/>
        <w:bidi w:val="0"/>
        <w:spacing w:before="120" w:after="0"/>
        <w:jc w:val="left"/>
        <w:rPr>
          <w:rFonts w:ascii="Times New Roman" w:hAnsi="Times New Roman"/>
          <w:sz w:val="20"/>
        </w:rPr>
      </w:pPr>
      <w:r>
        <w:rPr>
          <w:rFonts w:ascii="Times New Roman" w:hAnsi="Times New Roman"/>
          <w:sz w:val="20"/>
        </w:rPr>
        <w:t xml:space="preserve">(a) all Units for which the service condition as set forth in the Grant Notice </w:t>
      </w:r>
      <w:r>
        <w:rPr>
          <w:rFonts w:ascii="Times New Roman" w:hAnsi="Times New Roman"/>
          <w:sz w:val="20"/>
          <w:u w:val="single"/>
        </w:rPr>
        <w:t>has</w:t>
      </w:r>
      <w:r>
        <w:rPr>
          <w:rFonts w:ascii="Times New Roman" w:hAnsi="Times New Roman"/>
          <w:sz w:val="20"/>
        </w:rPr>
        <w:t xml:space="preserve"> </w:t>
      </w:r>
      <w:r>
        <w:rPr>
          <w:rFonts w:ascii="Times New Roman" w:hAnsi="Times New Roman"/>
          <w:sz w:val="20"/>
          <w:u w:val="single"/>
        </w:rPr>
        <w:t>not</w:t>
      </w:r>
      <w:r>
        <w:rPr>
          <w:rFonts w:ascii="Times New Roman" w:hAnsi="Times New Roman"/>
          <w:sz w:val="20"/>
        </w:rPr>
        <w:t xml:space="preserve"> been satisfied shall be subject to the Company Reacquisition Right immediately upon the Participants termination of Service; and </w:t>
      </w:r>
    </w:p>
    <w:p>
      <w:pPr>
        <w:pStyle w:val="TextBody"/>
        <w:bidi w:val="0"/>
        <w:spacing w:before="120" w:after="0"/>
        <w:jc w:val="left"/>
        <w:rPr>
          <w:rFonts w:ascii="Times New Roman" w:hAnsi="Times New Roman"/>
          <w:sz w:val="20"/>
        </w:rPr>
      </w:pPr>
      <w:r>
        <w:rPr>
          <w:rFonts w:ascii="Times New Roman" w:hAnsi="Times New Roman"/>
          <w:sz w:val="20"/>
        </w:rPr>
        <w:t xml:space="preserve">(b) and all Units for which the service condition as set forth in the Grant Notice </w:t>
      </w:r>
      <w:r>
        <w:rPr>
          <w:rFonts w:ascii="Times New Roman" w:hAnsi="Times New Roman"/>
          <w:sz w:val="20"/>
          <w:u w:val="single"/>
        </w:rPr>
        <w:t>has</w:t>
      </w:r>
      <w:r>
        <w:rPr>
          <w:rFonts w:ascii="Times New Roman" w:hAnsi="Times New Roman"/>
          <w:sz w:val="20"/>
        </w:rPr>
        <w:t xml:space="preserve"> been satisfied as of the date of such termination of Service shall not then be subject to the Company Reacquisition Right, but instead shall become Vested Units, if at all, upon the subsequent occurrence of a Liquidity Event Date prior to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Effect of Termination of Service on or after Liquidity Event Date</w:t>
      </w:r>
      <w:r>
        <w:rPr>
          <w:rFonts w:ascii="Times New Roman" w:hAnsi="Times New Roman"/>
          <w:sz w:val="20"/>
        </w:rPr>
        <w:t xml:space="preserve">. If the Participants Service terminates for any reason on or after the Liquidity Event Date, then all Units that are not then Vested Units shall be subject to the Company Reacquisition Right immediately upon the Participants termination of Service.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Accelerated Vesting.</w:t>
      </w:r>
      <w:r>
        <w:rPr>
          <w:rFonts w:ascii="Times New Roman" w:hAnsi="Times New Roman"/>
          <w:sz w:val="20"/>
        </w:rPr>
        <w:t xml:space="preserve"> Notwithstanding any other provision of this Section 4, the Board shall have the authority, </w:t>
      </w:r>
      <w:r>
        <w:rPr>
          <w:rFonts w:ascii="Times New Roman" w:hAnsi="Times New Roman"/>
          <w:b/>
          <w:sz w:val="20"/>
        </w:rPr>
        <w:t>[at its discretion upon or following the Participants termination of Service prior to the Liquidity Event Date] [at its discretion at any time prior to the Liquidity Event Date]</w:t>
      </w:r>
      <w:r>
        <w:rPr>
          <w:rFonts w:ascii="Times New Roman" w:hAnsi="Times New Roman"/>
          <w:sz w:val="20"/>
        </w:rPr>
        <w:t xml:space="preserve">, but subject to Section13 to the extent applicable, to accelerate the vesting of such number of Units as the Board shall determine, and such accelerated Units shall be Vested Units for all purposes of this Agreement. The effective date of such accelerated vesting shall be the Settlement Date for such Vested Units, and such Vested Units shall be settled in accordance with Section 6.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COMPANY REACQUISITION RIGHT</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Grant of Company Reacquisition Right.</w:t>
      </w:r>
      <w:r>
        <w:rPr>
          <w:rFonts w:ascii="Times New Roman" w:hAnsi="Times New Roman"/>
          <w:sz w:val="20"/>
        </w:rPr>
        <w:t xml:space="preserve">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hAnsi="Times New Roman"/>
          <w:b/>
          <w:i/>
          <w:sz w:val="20"/>
        </w:rPr>
        <w:t>Unvested Units</w:t>
      </w:r>
      <w:r>
        <w:rPr>
          <w:rFonts w:ascii="Times New Roman" w:hAnsi="Times New Roman"/>
          <w:sz w:val="20"/>
        </w:rPr>
        <w:t xml:space="preserve">) except as provided in Section 4 above, and the Participant shall not be entitled to any payment therefor (the </w:t>
      </w:r>
      <w:r>
        <w:rPr>
          <w:rFonts w:ascii="Times New Roman" w:hAnsi="Times New Roman"/>
          <w:b/>
          <w:i/>
          <w:sz w:val="20"/>
        </w:rPr>
        <w:t>Company Reacquisition Right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Ownership Change Event, Non-Cash Dividends, Distributions and Adjustments</w:t>
      </w:r>
      <w:r>
        <w:rPr>
          <w:rFonts w:ascii="Times New Roman" w:hAnsi="Times New Roman"/>
          <w:b/>
          <w:i/>
          <w:sz w:val="20"/>
        </w:rPr>
        <w:t>.</w:t>
      </w:r>
      <w:r>
        <w:rPr>
          <w:rFonts w:ascii="Times New Roman" w:hAnsi="Times New Roman"/>
          <w:sz w:val="20"/>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10,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SETTLEMENT OF THE AWARD</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Issuance of Shares of Stock</w:t>
      </w:r>
      <w:r>
        <w:rPr>
          <w:rFonts w:ascii="Times New Roman" w:hAnsi="Times New Roman"/>
          <w:b/>
          <w:i/>
          <w:sz w:val="20"/>
        </w:rPr>
        <w:t>.</w:t>
      </w:r>
      <w:r>
        <w:rPr>
          <w:rFonts w:ascii="Times New Roman" w:hAnsi="Times New Roman"/>
          <w:sz w:val="20"/>
        </w:rPr>
        <w:t xml:space="preserve"> Subject to the provisions of Section 6.3 below, the Company shall issue to the Participant on the Settlement Date with respect to each Vested Unit to be settled on such date one (1) share of Stock. Shares of Stock issued in settlement of Units shall not be subject to any restriction on transfer other than any such restriction as may be required pursuant to Section 6.3, Section 7 or the Companys Trading Compliance Policy. Notwithstanding the foregoing, the Board, in its discretion, may provide for the settlement of any Vested Units, including without limitation those Units which become Vested Units in accordance with Section 4.4, by payment to the Participant in cash of an amount equal to the Fair Market Value on the payment date of the shares of Stock or other property otherwise issuable to the Participant pursuant to this Section.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Beneficial Ownership of Shares; Certificate Registration</w:t>
      </w:r>
      <w:r>
        <w:rPr>
          <w:rFonts w:ascii="Times New Roman" w:hAnsi="Times New Roman"/>
          <w:b/>
          <w:i/>
          <w:sz w:val="20"/>
        </w:rPr>
        <w:t>.</w:t>
      </w:r>
      <w:r>
        <w:rPr>
          <w:rFonts w:ascii="Times New Roman" w:hAnsi="Times New Roman"/>
          <w:sz w:val="20"/>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Restrictions on Grant of the Award and Issuance of Shares</w:t>
      </w:r>
      <w:r>
        <w:rPr>
          <w:rFonts w:ascii="Times New Roman" w:hAnsi="Times New Roman"/>
          <w:b/>
          <w:i/>
          <w:sz w:val="20"/>
        </w:rPr>
        <w:t>.</w:t>
      </w:r>
      <w:r>
        <w:rPr>
          <w:rFonts w:ascii="Times New Roman" w:hAnsi="Times New Roman"/>
          <w:sz w:val="20"/>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Fractional Shares</w:t>
      </w:r>
      <w:r>
        <w:rPr>
          <w:rFonts w:ascii="Times New Roman" w:hAnsi="Times New Roman"/>
          <w:b/>
          <w:i/>
          <w:sz w:val="20"/>
        </w:rPr>
        <w:t>.</w:t>
      </w:r>
      <w:r>
        <w:rPr>
          <w:rFonts w:ascii="Times New Roman" w:hAnsi="Times New Roman"/>
          <w:sz w:val="20"/>
        </w:rPr>
        <w:t xml:space="preserve"> The Company shall not be required to issue fractional shares upon the settlement of the Award.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TAX WITHHOLDING</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In General.</w:t>
      </w:r>
      <w:r>
        <w:rPr>
          <w:rFonts w:ascii="Times New Roman" w:hAnsi="Times New Roman"/>
          <w:sz w:val="20"/>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Assignment of Sale Proceeds.</w:t>
      </w:r>
      <w:r>
        <w:rPr>
          <w:rFonts w:ascii="Times New Roman" w:hAnsi="Times New Roman"/>
          <w:sz w:val="20"/>
        </w:rPr>
        <w:t xml:space="preserve"> 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w:t>
      </w:r>
    </w:p>
    <w:p>
      <w:pPr>
        <w:pStyle w:val="TextBody"/>
        <w:bidi w:val="0"/>
        <w:spacing w:before="12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Withholding in Shares.</w:t>
      </w:r>
      <w:r>
        <w:rPr>
          <w:rFonts w:ascii="Times New Roman" w:hAnsi="Times New Roman"/>
          <w:sz w:val="20"/>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EFFECT OF CHANGE IN CONTROL</w:t>
      </w:r>
      <w:r>
        <w:rPr>
          <w:rFonts w:ascii="Times New Roman" w:hAnsi="Times New Roman"/>
          <w:b/>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the event of a Change in Control, except to the extent that the Board determines to cash out the Award in accordance with Section 10.1(c) of the Plan, the surviving, continuing, successor, or purchasing entity or parent thereof, as the case may be (the </w:t>
      </w:r>
      <w:r>
        <w:rPr>
          <w:rFonts w:ascii="Times New Roman" w:hAnsi="Times New Roman"/>
          <w:b/>
          <w:i/>
          <w:sz w:val="20"/>
        </w:rPr>
        <w:t>Acquiror</w:t>
      </w:r>
      <w:r>
        <w:rPr>
          <w:rFonts w:ascii="Times New Roman" w:hAnsi="Times New Roman"/>
          <w:sz w:val="20"/>
        </w:rPr>
        <w:t xml:space="preserve">), may, without the consent of the Participant, assume or continue in full force and effect the Companys rights and obligations under all or any portion of the outstanding Units or substitute for all or any portion of the outstanding Units substantially equivalent rights with respect to the Acquirors stock. For purposes of this Section, a Unit shall be deemed assumed if, following the Change in Control, the Unit confers the right to receive, subject to the terms and conditions of the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Board may, with the consent of the Acquiror, provide for the consideration to be received upon settlement of the Unit to consist solely of common stock of the Acquiror equal in Fair Market Value to the per share consideration received by holders of Stock pursuant to the Change in Control. The Award shall terminate and cease to be outstanding effective as of the time of consummation of the Change in Control to the extent that Units subject to the Award are neither assumed or continued by the Acquiror in connection with the Change in Control nor settled as of the time of the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RIGHT OF FIRST REFUSAL</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Grant of Right of First Refusal</w:t>
      </w:r>
      <w:r>
        <w:rPr>
          <w:rFonts w:ascii="Times New Roman" w:hAnsi="Times New Roman"/>
          <w:b/>
          <w:i/>
          <w:sz w:val="20"/>
        </w:rPr>
        <w:t>.</w:t>
      </w:r>
      <w:r>
        <w:rPr>
          <w:rFonts w:ascii="Times New Roman" w:hAnsi="Times New Roman"/>
          <w:sz w:val="20"/>
        </w:rPr>
        <w:t xml:space="preserve"> Except as provided in Section 9.7, in the event the Participant, the Participants legal representative, or other holder of shares acquired upon settlement of the Award proposes to sell, exchange, transfer, pledge, or otherwise dispose of any such shares (the </w:t>
      </w:r>
      <w:r>
        <w:rPr>
          <w:rFonts w:ascii="Times New Roman" w:hAnsi="Times New Roman"/>
          <w:i/>
          <w:sz w:val="20"/>
        </w:rPr>
        <w:t></w:t>
      </w:r>
      <w:r>
        <w:rPr>
          <w:rFonts w:ascii="Times New Roman" w:hAnsi="Times New Roman"/>
          <w:b/>
          <w:i/>
          <w:sz w:val="20"/>
        </w:rPr>
        <w:t>Transfer Shares</w:t>
      </w:r>
      <w:r>
        <w:rPr>
          <w:rFonts w:ascii="Times New Roman" w:hAnsi="Times New Roman"/>
          <w:i/>
          <w:sz w:val="20"/>
        </w:rPr>
        <w:t></w:t>
      </w:r>
      <w:r>
        <w:rPr>
          <w:rFonts w:ascii="Times New Roman" w:hAnsi="Times New Roman"/>
          <w:sz w:val="20"/>
        </w:rPr>
        <w:t xml:space="preserve">) to any person or entity, including, without limitation, any stockholder of a Participating Company, the Company shall have the right to repurchase the Transfer Shares under the terms and subject to the conditions set forth in this Section (the </w:t>
      </w:r>
      <w:r>
        <w:rPr>
          <w:rFonts w:ascii="Times New Roman" w:hAnsi="Times New Roman"/>
          <w:i/>
          <w:sz w:val="20"/>
        </w:rPr>
        <w:t></w:t>
      </w:r>
      <w:r>
        <w:rPr>
          <w:rFonts w:ascii="Times New Roman" w:hAnsi="Times New Roman"/>
          <w:b/>
          <w:i/>
          <w:sz w:val="20"/>
        </w:rPr>
        <w:t>Right of First Refusal</w:t>
      </w:r>
      <w:r>
        <w:rPr>
          <w:rFonts w:ascii="Times New Roman" w:hAnsi="Times New Roman"/>
          <w:i/>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Notice of Proposed Transfer</w:t>
      </w:r>
      <w:r>
        <w:rPr>
          <w:rFonts w:ascii="Times New Roman" w:hAnsi="Times New Roman"/>
          <w:b/>
          <w:i/>
          <w:sz w:val="20"/>
        </w:rPr>
        <w:t>.</w:t>
      </w:r>
      <w:r>
        <w:rPr>
          <w:rFonts w:ascii="Times New Roman" w:hAnsi="Times New Roman"/>
          <w:sz w:val="20"/>
        </w:rPr>
        <w:t xml:space="preserve"> Prior to any proposed transfer of the Transfer Shares, the Participant shall deliver written notice (the </w:t>
      </w:r>
      <w:r>
        <w:rPr>
          <w:rFonts w:ascii="Times New Roman" w:hAnsi="Times New Roman"/>
          <w:i/>
          <w:sz w:val="20"/>
        </w:rPr>
        <w:t></w:t>
      </w:r>
      <w:r>
        <w:rPr>
          <w:rFonts w:ascii="Times New Roman" w:hAnsi="Times New Roman"/>
          <w:b/>
          <w:i/>
          <w:sz w:val="20"/>
        </w:rPr>
        <w:t>Transfer Notice</w:t>
      </w:r>
      <w:r>
        <w:rPr>
          <w:rFonts w:ascii="Times New Roman" w:hAnsi="Times New Roman"/>
          <w:i/>
          <w:sz w:val="20"/>
        </w:rPr>
        <w:t></w:t>
      </w:r>
      <w:r>
        <w:rPr>
          <w:rFonts w:ascii="Times New Roman" w:hAnsi="Times New Roman"/>
          <w:sz w:val="20"/>
        </w:rPr>
        <w:t xml:space="preserve">) to the Company describing fully the proposed transfer, including the number of Transfer Shares, the name and address of the proposed transferee (the </w:t>
      </w:r>
      <w:r>
        <w:rPr>
          <w:rFonts w:ascii="Times New Roman" w:hAnsi="Times New Roman"/>
          <w:i/>
          <w:sz w:val="20"/>
        </w:rPr>
        <w:t></w:t>
      </w:r>
      <w:r>
        <w:rPr>
          <w:rFonts w:ascii="Times New Roman" w:hAnsi="Times New Roman"/>
          <w:b/>
          <w:i/>
          <w:sz w:val="20"/>
        </w:rPr>
        <w:t>Proposed Transferee</w:t>
      </w:r>
      <w:r>
        <w:rPr>
          <w:rFonts w:ascii="Times New Roman" w:hAnsi="Times New Roman"/>
          <w:i/>
          <w:sz w:val="20"/>
        </w:rPr>
        <w:t></w:t>
      </w:r>
      <w:r>
        <w:rPr>
          <w:rFonts w:ascii="Times New Roman" w:hAnsi="Times New Roman"/>
          <w:sz w:val="20"/>
        </w:rPr>
        <w:t xml:space="preserve">) and, if the transfer is voluntary, the proposed transfer price, and containing such information necessary to show the bona fide nature of the proposed transfer. In the event of a bona fide gift or involuntary transfer, the proposed transfer price shall be deemed to be the Fair Market Value of the Transfer Shares, as determined by the Board in good faith. If the Participant proposes to transfer any Transfer Shares to more than one Proposed Transferee, the Participant shall provide a separate Transfer Notice for the proposed transfer to each Proposed Transferee. The Transfer Notice shall be signed by both the Participant and the Proposed Transferee and must constitute a binding commitment of the Participant and the Proposed Transferee for the transfer of the Transfer Shares to the Proposed Transferee subject only to the 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9.3 </w:t>
      </w:r>
      <w:r>
        <w:rPr>
          <w:rFonts w:ascii="Times New Roman" w:hAnsi="Times New Roman"/>
          <w:b/>
          <w:sz w:val="20"/>
        </w:rPr>
        <w:t>Bona Fide Transfer</w:t>
      </w:r>
      <w:r>
        <w:rPr>
          <w:rFonts w:ascii="Times New Roman" w:hAnsi="Times New Roman"/>
          <w:b/>
          <w:i/>
          <w:sz w:val="20"/>
        </w:rPr>
        <w:t>.</w:t>
      </w:r>
      <w:r>
        <w:rPr>
          <w:rFonts w:ascii="Times New Roman" w:hAnsi="Times New Roman"/>
          <w:sz w:val="20"/>
        </w:rPr>
        <w:t xml:space="preserve"> If the Company determines that the information provided by the Participant in the Transfer Notice is insufficient to establish the bona fide nature of a proposed voluntary transfer, the Company shall give the Participant written notice of the Participants failure to comply with the procedure described in this Section 9, and the Participant shall have no right to transfer the Transfer Shares without first complying with the procedure described in this Section 9. The Participant shall not be permitted to transfer the Transfer Shares if the proposed transfer is not bona fide.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9.4 </w:t>
      </w:r>
      <w:r>
        <w:rPr>
          <w:rFonts w:ascii="Times New Roman" w:hAnsi="Times New Roman"/>
          <w:b/>
          <w:sz w:val="20"/>
        </w:rPr>
        <w:t>Exercise of Right of First Refusal</w:t>
      </w:r>
      <w:r>
        <w:rPr>
          <w:rFonts w:ascii="Times New Roman" w:hAnsi="Times New Roman"/>
          <w:b/>
          <w:i/>
          <w:sz w:val="20"/>
        </w:rPr>
        <w:t>.</w:t>
      </w:r>
      <w:r>
        <w:rPr>
          <w:rFonts w:ascii="Times New Roman" w:hAnsi="Times New Roman"/>
          <w:sz w:val="20"/>
        </w:rPr>
        <w:t xml:space="preserve"> If the Company determines the proposed transfer to be bona fide, the Company shall have the right to purchase all, but not less than all, of the Transfer Shares (except as the Company and the Participant otherwise agree) at the purchase price and on the terms set forth in the Transfer Notice by delivery to the Participant of a notice of exercise of the Right of First Refusal within thirty (30) days after the date the Transfer Notice is delivered to the Company. The Companys exercise or failure to exercise the Right of First Refusal with respect to any proposed transfer described in a Transfer Notice shall not affect the Companys right to exercise the Right of First Refusal with respect to any proposed transfer described in any other Transfer Notice, whether or not such other Transfer Notice is issued by the Participant or issued by a person other than the Participant with respect to a proposed transfer to the same Proposed Transferee. If the Company exercises the Right of First Refusal, the Company and the Participant shall thereupon consummate the sale of the Transfer Shares to the Company on the terms set forth in the Transfer Notice within sixty (60) days after the date the Transfer Notice is delivered to the Company (unless a longer period is offered by the Proposed Transferee); provided, however, that in the event the Transfer Notice provides for the payment for the Transfer Shares other than in cash, the Company shall have the option of paying for the Transfer Shares by the present value cash equivalent of the consideration described in the Transfer Notice as reasonably determined by the Company. For purposes of the foregoing, cancellation of any indebtedness of the Participant to any Participating Company shall be treated as payment to the Participant in cash to the extent of the unpaid principal and any accrued interest canceled. Notwithstanding anything contained in this Section to the contrary, the period during which the Company may exercise the Right of First Refusal and consummate the purchase of the Transfer Shares from the Participant shall terminate no sooner than the completion of a period of eight (8) months following the date on which the Participant acquired the Transfer Shares. </w:t>
      </w:r>
    </w:p>
    <w:p>
      <w:pPr>
        <w:pStyle w:val="TextBody"/>
        <w:bidi w:val="0"/>
        <w:spacing w:before="120" w:after="0"/>
        <w:jc w:val="left"/>
        <w:rPr>
          <w:rFonts w:ascii="Times New Roman" w:hAnsi="Times New Roman"/>
          <w:sz w:val="20"/>
        </w:rPr>
      </w:pPr>
      <w:r>
        <w:rPr>
          <w:rFonts w:ascii="Times New Roman" w:hAnsi="Times New Roman"/>
          <w:sz w:val="20"/>
        </w:rPr>
        <w:t xml:space="preserve">9.5 </w:t>
      </w:r>
      <w:r>
        <w:rPr>
          <w:rFonts w:ascii="Times New Roman" w:hAnsi="Times New Roman"/>
          <w:b/>
          <w:sz w:val="20"/>
        </w:rPr>
        <w:t>Failure to Exercise Right of First Refusal</w:t>
      </w:r>
      <w:r>
        <w:rPr>
          <w:rFonts w:ascii="Times New Roman" w:hAnsi="Times New Roman"/>
          <w:b/>
          <w:i/>
          <w:sz w:val="20"/>
        </w:rPr>
        <w:t>.</w:t>
      </w:r>
      <w:r>
        <w:rPr>
          <w:rFonts w:ascii="Times New Roman" w:hAnsi="Times New Roman"/>
          <w:sz w:val="20"/>
        </w:rPr>
        <w:t xml:space="preserve"> If the Company fails to exercise the Right of First Refusal in full (or to such lesser extent as the Company and the Participant otherwise agree) within the period specified in Section 9.4, the Participant may conclude a transfer to the Proposed Transferee of the Transfer Shares on the terms and conditions described in the Transfer Notice, provided such transfer occurs not later than ninety (90) days following delivery to the Company of the Transfer Notice or, if applicable, following the end of the period described in the last sentence of Section 9.4. The Company shall have the right to demand further assurances from the Participant and the Proposed Transferee (in a form satisfactory to the Company) that the transfer of the Transfer Shares was actually carried out on the terms and conditions described in the Transfer Notice. No Transfer Shares shall be transferred on the books of the Company until the Company has received such assurances, if so demanded, and has approved the proposed transfer as bona fide. Any proposed transfer on terms and conditions different from those described in the Transfer Notice, as well as any subsequent proposed transfer by the Participant, shall again be subject to the Right of First Refusal and shall require compliance by the Participant with the procedure described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9.6 </w:t>
      </w:r>
      <w:r>
        <w:rPr>
          <w:rFonts w:ascii="Times New Roman" w:hAnsi="Times New Roman"/>
          <w:b/>
          <w:sz w:val="20"/>
        </w:rPr>
        <w:t>Transferees of Transfer Shares</w:t>
      </w:r>
      <w:r>
        <w:rPr>
          <w:rFonts w:ascii="Times New Roman" w:hAnsi="Times New Roman"/>
          <w:b/>
          <w:i/>
          <w:sz w:val="20"/>
        </w:rPr>
        <w:t>.</w:t>
      </w:r>
      <w:r>
        <w:rPr>
          <w:rFonts w:ascii="Times New Roman" w:hAnsi="Times New Roman"/>
          <w:sz w:val="20"/>
        </w:rPr>
        <w:t xml:space="preserve"> All transferees of the Transfer Shares or any interest therein, other than the Company, shall be required as a condition of such transfer to agree in writing (in a form satisfactory to the Company) that such transferee shall receive and hold such Transfer Shares or interest therein subject to all of the terms and conditions of this Agreement, including this Section 9 providing for the Right of First Refusal with respect to any subsequent transfer. Any sale or transfer of any Shares shall be void unless the provisions of this Section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9.7 </w:t>
      </w:r>
      <w:r>
        <w:rPr>
          <w:rFonts w:ascii="Times New Roman" w:hAnsi="Times New Roman"/>
          <w:b/>
          <w:sz w:val="20"/>
        </w:rPr>
        <w:t>Transfers Not Subject to Right of First Refusal</w:t>
      </w:r>
      <w:r>
        <w:rPr>
          <w:rFonts w:ascii="Times New Roman" w:hAnsi="Times New Roman"/>
          <w:b/>
          <w:i/>
          <w:sz w:val="20"/>
        </w:rPr>
        <w:t>.</w:t>
      </w:r>
      <w:r>
        <w:rPr>
          <w:rFonts w:ascii="Times New Roman" w:hAnsi="Times New Roman"/>
          <w:sz w:val="20"/>
        </w:rPr>
        <w:t xml:space="preserve"> The Right of First Refusal shall not apply to any transfer or exchange of the Shares if such transfer or exchange is in connection with an Ownership Change Event. If the consideration received pursuant to such transfer or exchange consists of stock of a Participating Company, such consideration shall remain subject to the Right of First Refusal unless the provisions of Section 9.9 result in a termination of the 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9.8 </w:t>
      </w:r>
      <w:r>
        <w:rPr>
          <w:rFonts w:ascii="Times New Roman" w:hAnsi="Times New Roman"/>
          <w:b/>
          <w:sz w:val="20"/>
        </w:rPr>
        <w:t>Assignment of Right of First Refusal</w:t>
      </w:r>
      <w:r>
        <w:rPr>
          <w:rFonts w:ascii="Times New Roman" w:hAnsi="Times New Roman"/>
          <w:b/>
          <w:i/>
          <w:sz w:val="20"/>
        </w:rPr>
        <w:t>.</w:t>
      </w:r>
      <w:r>
        <w:rPr>
          <w:rFonts w:ascii="Times New Roman" w:hAnsi="Times New Roman"/>
          <w:sz w:val="20"/>
        </w:rPr>
        <w:t xml:space="preserve"> The Company shall have the right to assign the Right of First Refusal at any time, whether or not there has been an attempted transfer, to one or more persons as may be selected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9.9 </w:t>
      </w:r>
      <w:r>
        <w:rPr>
          <w:rFonts w:ascii="Times New Roman" w:hAnsi="Times New Roman"/>
          <w:b/>
          <w:sz w:val="20"/>
        </w:rPr>
        <w:t>Early Termination of Right of First Refusal</w:t>
      </w:r>
      <w:r>
        <w:rPr>
          <w:rFonts w:ascii="Times New Roman" w:hAnsi="Times New Roman"/>
          <w:b/>
          <w:i/>
          <w:sz w:val="20"/>
        </w:rPr>
        <w:t>.</w:t>
      </w:r>
      <w:r>
        <w:rPr>
          <w:rFonts w:ascii="Times New Roman" w:hAnsi="Times New Roman"/>
          <w:sz w:val="20"/>
        </w:rPr>
        <w:t xml:space="preserve"> The other provisions of this Agreement notwithstanding, the Right of First Refusal shall terminate and be of no further force and effect upon the existence of a public market for the class of shares subject to the Right of First Refusal. A </w:t>
      </w:r>
      <w:r>
        <w:rPr>
          <w:rFonts w:ascii="Times New Roman" w:hAnsi="Times New Roman"/>
          <w:i/>
          <w:sz w:val="20"/>
        </w:rPr>
        <w:t></w:t>
      </w:r>
      <w:r>
        <w:rPr>
          <w:rFonts w:ascii="Times New Roman" w:hAnsi="Times New Roman"/>
          <w:b/>
          <w:i/>
          <w:sz w:val="20"/>
        </w:rPr>
        <w:t>public market</w:t>
      </w:r>
      <w:r>
        <w:rPr>
          <w:rFonts w:ascii="Times New Roman" w:hAnsi="Times New Roman"/>
          <w:i/>
          <w:sz w:val="20"/>
        </w:rPr>
        <w:t></w:t>
      </w:r>
      <w:r>
        <w:rPr>
          <w:rFonts w:ascii="Times New Roman" w:hAnsi="Times New Roman"/>
          <w:sz w:val="20"/>
        </w:rPr>
        <w:t xml:space="preserve"> shall be deemed to exist if (i) such stock is listed on a national securities exchange (as that term is used in the Exchange Act) or (ii) such stock is traded on the over-the-counter market and prices therefor are published daily on business days in a recognized financial journal.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ADJUSTMENTS FOR CHANGES IN CAPITAL STRUCTURE</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Board, and its determination shall be final, binding and conclusive.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RIGHTS AS A STOCKHOLDER, DIRECTOR, EMPLOYEE OR CONSULTANT</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LEGENDS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any time place legends referencing the Right of First Refusal and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 Unless otherwise specified by the Company, legends placed on such certificates may include, but shall not be limited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12.1 THE SECURITIES EVIDENCED BY THIS CERTIFICATE HAVE NOT BEEN REGISTERED UNDER THE SECURITIES ACT OF 1933, AS AMENDED, AND MAY NOT BE SOLD, TRANSFERRED, ASSIGNED OR HYPOTHECATED UNLESS THERE IS AN EFFECTIVE REGISTRATION STATEMENT UNDER SUCH ACT COVERING SUCH SECURITIES, THE SALE IS MADE IN ACCORDANCE WITH RULE 144 OR RULE 701 UNDER THE ACT, OR THE COMPANY RECEIVES AN OPINION OF COUNSEL REASONABLY SATISFACTORY TO THE COMPANY, STATING THAT SUCH SALE, TRANSFER, ASSIGNMENT OR HYPOTHECATION IS EXEMPT FROM THE REGISTRATION AND PROSPECTUS DELIVERY REQUIREMENTS OF SUCH ACT. </w:t>
      </w:r>
    </w:p>
    <w:p>
      <w:pPr>
        <w:pStyle w:val="TextBody"/>
        <w:bidi w:val="0"/>
        <w:spacing w:before="120" w:after="0"/>
        <w:jc w:val="left"/>
        <w:rPr>
          <w:rFonts w:ascii="Times New Roman" w:hAnsi="Times New Roman"/>
          <w:sz w:val="20"/>
        </w:rPr>
      </w:pPr>
      <w:r>
        <w:rPr>
          <w:rFonts w:ascii="Times New Roman" w:hAnsi="Times New Roman"/>
          <w:sz w:val="20"/>
        </w:rPr>
        <w:t xml:space="preserve">12.2 THE SHARES REPRESENTED BY THIS CERTIFICATE ARE SUBJECT TO CERTAIN RESTRICTIONS ON TRANSFER AND REPURCHASE OPTIONS IN FAVOR OF THE CORPORATION OR ITS ASSIGNEE SET FORTH IN AN AGREEMENT BETWEEN THE CORPORATION AND THE REGISTERED HOLDER, OR SUCH HOLDERS PREDECESSOR IN INTEREST, A COPY OF WHICH IS ON FILE AT THE PRINCIPAL OFFICE OF THIS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COMPLIANCE WITH SECTION</w:t>
      </w:r>
      <w:r>
        <w:rPr>
          <w:rFonts w:ascii="Times New Roman" w:hAnsi="Times New Roman"/>
          <w:sz w:val="20"/>
          <w:u w:val="single"/>
        </w:rPr>
        <w:t> </w:t>
      </w:r>
      <w:r>
        <w:rPr>
          <w:rFonts w:ascii="Times New Roman" w:hAnsi="Times New Roman"/>
          <w:b/>
          <w:sz w:val="20"/>
          <w:u w:val="single"/>
        </w:rPr>
        <w:t>409A</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It is intended that any election, payment or benefit which is made or provided pursuant to or in connection with this Award that may result in nonqualified deferred compensation within the meaning of Section 409A shall comply in all respects with the applicable requirements of Section 409A (including applicable regulations or other administrative guidance thereunder, as determined by the Board in good faith) to avoid the unfavorable tax consequences provided therein for non-compliance and the Award shall be so construed. In connection with effecting such compliance with Section 409A, the following shall apply: </w:t>
      </w:r>
    </w:p>
    <w:p>
      <w:pPr>
        <w:pStyle w:val="TextBody"/>
        <w:bidi w:val="0"/>
        <w:spacing w:before="12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 xml:space="preserve">Separation from Service; Required Delay in Payment to Specified Employee. </w:t>
      </w:r>
      <w:r>
        <w:rPr>
          <w:rFonts w:ascii="Times New Roman" w:hAnsi="Times New Roman"/>
          <w:sz w:val="20"/>
        </w:rPr>
        <w:t xml:space="preserve">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hAnsi="Times New Roman"/>
          <w:i/>
          <w:sz w:val="20"/>
        </w:rPr>
        <w:t></w:t>
      </w:r>
      <w:r>
        <w:rPr>
          <w:rFonts w:ascii="Times New Roman" w:hAnsi="Times New Roman"/>
          <w:b/>
          <w:i/>
          <w:sz w:val="20"/>
        </w:rPr>
        <w:t>Section</w:t>
      </w:r>
      <w:r>
        <w:rPr>
          <w:rFonts w:ascii="Times New Roman" w:hAnsi="Times New Roman"/>
          <w:sz w:val="20"/>
        </w:rPr>
        <w:t> </w:t>
      </w:r>
      <w:r>
        <w:rPr>
          <w:rFonts w:ascii="Times New Roman" w:hAnsi="Times New Roman"/>
          <w:b/>
          <w:i/>
          <w:sz w:val="20"/>
        </w:rPr>
        <w:t>409A Regulations</w:t>
      </w:r>
      <w:r>
        <w:rPr>
          <w:rFonts w:ascii="Times New Roman" w:hAnsi="Times New Roman"/>
          <w:i/>
          <w:sz w:val="20"/>
        </w:rPr>
        <w:t></w:t>
      </w:r>
      <w:r>
        <w:rPr>
          <w:rFonts w:ascii="Times New Roman" w:hAnsi="Times New Roman"/>
          <w:sz w:val="20"/>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hAnsi="Times New Roman"/>
          <w:i/>
          <w:sz w:val="20"/>
        </w:rPr>
        <w:t></w:t>
      </w:r>
      <w:r>
        <w:rPr>
          <w:rFonts w:ascii="Times New Roman" w:hAnsi="Times New Roman"/>
          <w:b/>
          <w:i/>
          <w:sz w:val="20"/>
        </w:rPr>
        <w:t>Delayed Payment Date</w:t>
      </w:r>
      <w:r>
        <w:rPr>
          <w:rFonts w:ascii="Times New Roman" w:hAnsi="Times New Roman"/>
          <w:i/>
          <w:sz w:val="20"/>
        </w:rPr>
        <w:t></w:t>
      </w:r>
      <w:r>
        <w:rPr>
          <w:rFonts w:ascii="Times New Roman" w:hAnsi="Times New Roman"/>
          <w:sz w:val="20"/>
        </w:rPr>
        <w:t xml:space="preserve">)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 </w:t>
      </w:r>
    </w:p>
    <w:p>
      <w:pPr>
        <w:pStyle w:val="TextBody"/>
        <w:bidi w:val="0"/>
        <w:spacing w:before="12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Other Changes in Time of Payment.</w:t>
      </w:r>
      <w:r>
        <w:rPr>
          <w:rFonts w:ascii="Times New Roman" w:hAnsi="Times New Roman"/>
          <w:sz w:val="20"/>
        </w:rPr>
        <w:t xml:space="preserve"> Neither the Participant nor the Company shall take any action to accelerate or delay the payment of any benefits under this Agreement in any manner which would not be in compliance with the Section 409A Regulations. </w:t>
      </w:r>
    </w:p>
    <w:p>
      <w:pPr>
        <w:pStyle w:val="TextBody"/>
        <w:bidi w:val="0"/>
        <w:spacing w:before="12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Amendments to Comply with Section</w:t>
      </w:r>
      <w:r>
        <w:rPr>
          <w:rFonts w:ascii="Times New Roman" w:hAnsi="Times New Roman"/>
          <w:sz w:val="20"/>
        </w:rPr>
        <w:t> </w:t>
      </w:r>
      <w:r>
        <w:rPr>
          <w:rFonts w:ascii="Times New Roman" w:hAnsi="Times New Roman"/>
          <w:b/>
          <w:sz w:val="20"/>
        </w:rPr>
        <w:t>409A; Indemnification.</w:t>
      </w:r>
      <w:r>
        <w:rPr>
          <w:rFonts w:ascii="Times New Roman" w:hAnsi="Times New Roman"/>
          <w:sz w:val="20"/>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 </w:t>
      </w:r>
    </w:p>
    <w:p>
      <w:pPr>
        <w:pStyle w:val="TextBody"/>
        <w:bidi w:val="0"/>
        <w:spacing w:before="120" w:after="0"/>
        <w:jc w:val="left"/>
        <w:rPr>
          <w:rFonts w:ascii="Times New Roman" w:hAnsi="Times New Roman"/>
          <w:sz w:val="20"/>
        </w:rPr>
      </w:pPr>
      <w:r>
        <w:rPr>
          <w:rFonts w:ascii="Times New Roman" w:hAnsi="Times New Roman"/>
          <w:sz w:val="20"/>
        </w:rPr>
        <w:t xml:space="preserve">13.4 </w:t>
      </w:r>
      <w:r>
        <w:rPr>
          <w:rFonts w:ascii="Times New Roman" w:hAnsi="Times New Roman"/>
          <w:b/>
          <w:sz w:val="20"/>
        </w:rPr>
        <w:t>Advice of Independent Tax Advisor.</w:t>
      </w:r>
      <w:r>
        <w:rPr>
          <w:rFonts w:ascii="Times New Roman" w:hAnsi="Times New Roman"/>
          <w:sz w:val="20"/>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b/>
          <w:sz w:val="20"/>
          <w:u w:val="single"/>
        </w:rPr>
        <w:t>LOCK-UP AGREEMENT</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Participant hereby agrees that in the event of any underwritten public offering of stock, including an initial public offering of stock, made by the Company pursuant to an effective registration statement filed under the Securities Act, the Participant shall not offer, sell, contract to sell, pledge, hypothecate, grant any option to purchase or make any short sale of, or otherwise dispose of any shares of stock of the Company or any rights to acquire stock of the Company for such period of time from and after the effective date of such registration statement as may be established by the underwriter for such public offering; provided, however, that such period of time shall not exceed one hundred eighty (180) days from the effective date of the registration statement to be filed in connection with such public offering; provided, further, however, that such one hundred eighty (180) day period may be extended for an additional period, not to exceed twenty (20) days, upon the request of the Company or the underwriter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 The foregoing limitation shall not apply to shares registered in the public offering under the Securities Act. The Participant hereby agrees to enter into any agreement reasonably required by the underwriters to implement the foregoing within a reasonable timeframe if so requested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b/>
          <w:sz w:val="20"/>
          <w:u w:val="single"/>
        </w:rPr>
        <w:t>RESTRICTIONS ON TRANSFER OF SHARES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existence of a public market for the Stock, the Board may prohibit the Participant and any transferee of such Participant from selling, transferring, assigning, pledging, or otherwise disposing of or encumbering any shares acquired pursuant to the Award (each, a </w:t>
      </w:r>
      <w:r>
        <w:rPr>
          <w:rFonts w:ascii="Times New Roman" w:hAnsi="Times New Roman"/>
          <w:i/>
          <w:sz w:val="20"/>
        </w:rPr>
        <w:t></w:t>
      </w:r>
      <w:r>
        <w:rPr>
          <w:rFonts w:ascii="Times New Roman" w:hAnsi="Times New Roman"/>
          <w:b/>
          <w:i/>
          <w:sz w:val="20"/>
        </w:rPr>
        <w:t>Transfer</w:t>
      </w:r>
      <w:r>
        <w:rPr>
          <w:rFonts w:ascii="Times New Roman" w:hAnsi="Times New Roman"/>
          <w:i/>
          <w:sz w:val="20"/>
        </w:rPr>
        <w:t></w:t>
      </w:r>
      <w:r>
        <w:rPr>
          <w:rFonts w:ascii="Times New Roman" w:hAnsi="Times New Roman"/>
          <w:sz w:val="20"/>
        </w:rPr>
        <w:t xml:space="preserve">) without the prior written consent of the Board. The Board may withhold consent for any reason, including without limitation any Transfer (i) to any individual or entity identified by the Company as a potential competitor or considered by the Company to be unfriendly, or (ii) if such Transfer increases the risk of the Company having a class of security held of record by such number of persons as would require the Company to register any class of securities under the Exchange Act; or (iii) if such Transfer would result in the loss of any federal or state securities law exemption relied upon by the Company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would be of less than all of the shares of Stock then held by the stockholder and its affiliates or is to be made to more than a single transferee. No shares acquired pursuant to this Award may be sold, exchanged, transferred (including, without limitation, any transfer to a nominee or agent of the Participant), assigned, pledged, hypothecated or otherwise disposed of, including by operation of law in any manner which violates any of the provisions of this Agreement,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MISCELLANEOUS PROVISIONS</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16.1 </w:t>
      </w:r>
      <w:r>
        <w:rPr>
          <w:rFonts w:ascii="Times New Roman" w:hAnsi="Times New Roman"/>
          <w:b/>
          <w:sz w:val="20"/>
        </w:rPr>
        <w:t>Termination or Amendment.</w:t>
      </w:r>
      <w:r>
        <w:rPr>
          <w:rFonts w:ascii="Times New Roman" w:hAnsi="Times New Roman"/>
          <w:sz w:val="20"/>
        </w:rPr>
        <w:t xml:space="preserve"> The Board may terminate or amend the Plan or this Agreement at any time; provided, however, that except as provided in Section 8 in connection with a Change in Control, no such termination or amendment may have a materially adverse effect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 </w:t>
      </w:r>
    </w:p>
    <w:p>
      <w:pPr>
        <w:pStyle w:val="TextBody"/>
        <w:bidi w:val="0"/>
        <w:spacing w:before="120" w:after="0"/>
        <w:jc w:val="left"/>
        <w:rPr>
          <w:rFonts w:ascii="Times New Roman" w:hAnsi="Times New Roman"/>
          <w:sz w:val="20"/>
        </w:rPr>
      </w:pPr>
      <w:r>
        <w:rPr>
          <w:rFonts w:ascii="Times New Roman" w:hAnsi="Times New Roman"/>
          <w:sz w:val="20"/>
        </w:rPr>
        <w:t xml:space="preserve">16.2 </w:t>
      </w:r>
      <w:r>
        <w:rPr>
          <w:rFonts w:ascii="Times New Roman" w:hAnsi="Times New Roman"/>
          <w:b/>
          <w:sz w:val="20"/>
        </w:rPr>
        <w:t>Nontransferability of the Award.</w:t>
      </w:r>
      <w:r>
        <w:rPr>
          <w:rFonts w:ascii="Times New Roman" w:hAnsi="Times New Roman"/>
          <w:sz w:val="20"/>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and, for so long as the Company is relying on an order of the Securities and Exchange Commission (the </w:t>
      </w:r>
      <w:r>
        <w:rPr>
          <w:rFonts w:ascii="Times New Roman" w:hAnsi="Times New Roman"/>
          <w:i/>
          <w:sz w:val="20"/>
        </w:rPr>
        <w:t></w:t>
      </w:r>
      <w:r>
        <w:rPr>
          <w:rFonts w:ascii="Times New Roman" w:hAnsi="Times New Roman"/>
          <w:b/>
          <w:i/>
          <w:sz w:val="20"/>
        </w:rPr>
        <w:t>SEC</w:t>
      </w:r>
      <w:r>
        <w:rPr>
          <w:rFonts w:ascii="Times New Roman" w:hAnsi="Times New Roman"/>
          <w:i/>
          <w:sz w:val="20"/>
        </w:rPr>
        <w:t></w:t>
      </w:r>
      <w:r>
        <w:rPr>
          <w:rFonts w:ascii="Times New Roman" w:hAnsi="Times New Roman"/>
          <w:sz w:val="20"/>
        </w:rPr>
        <w:t xml:space="preserve">) under Section 12(h) of the Exchange Act or a no-action position of the Staff of the SEC relieving the Company from registration under Section 12(g) of the Exchange Act of the Units and the shares of Stock subject thereto, the restrictions on transfer provided by Rule 12h-1(f) under the Exchange Act that would apply were the Units subject to such rule (including the requirement under such rule that any permitted transferee may not further transfer the Units). No Units subject to this Award, or the shares of Stock underlying such Units, shall, prior to the settlement of the Units, be subject to any short position, put equivalent position or call equivalent position by the Participant, as such terms are defined in Rule 16a-1 under the Exchange Act, until the Company becomes subject to Section 13 or Section 15(d) of the Exchange Act or is no longer relying on such SEC order or SEC Staff no action position. All rights with respect to the Award shall be exercisable during the Participants lifetime only by the Participant or the Participants guardian or legal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16.3 </w:t>
      </w:r>
      <w:r>
        <w:rPr>
          <w:rFonts w:ascii="Times New Roman" w:hAnsi="Times New Roman"/>
          <w:b/>
          <w:sz w:val="20"/>
        </w:rPr>
        <w:t>Further Instruments.</w:t>
      </w:r>
      <w:r>
        <w:rPr>
          <w:rFonts w:ascii="Times New Roman" w:hAnsi="Times New Roman"/>
          <w:sz w:val="20"/>
        </w:rPr>
        <w:t xml:space="preserve"> The parties hereto agree to execute such further instruments and to take such further action as may reasonably be necessary to carry out the intent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16.4 </w:t>
      </w:r>
      <w:r>
        <w:rPr>
          <w:rFonts w:ascii="Times New Roman" w:hAnsi="Times New Roman"/>
          <w:b/>
          <w:sz w:val="20"/>
        </w:rPr>
        <w:t>Binding Effect.</w:t>
      </w:r>
      <w:r>
        <w:rPr>
          <w:rFonts w:ascii="Times New Roman" w:hAnsi="Times New Roman"/>
          <w:sz w:val="20"/>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16.5 </w:t>
      </w:r>
      <w:r>
        <w:rPr>
          <w:rFonts w:ascii="Times New Roman" w:hAnsi="Times New Roman"/>
          <w:b/>
          <w:sz w:val="20"/>
        </w:rPr>
        <w:t>Delivery of Documents and Notices.</w:t>
      </w:r>
      <w:r>
        <w:rPr>
          <w:rFonts w:ascii="Times New Roman" w:hAnsi="Times New Roman"/>
          <w:sz w:val="20"/>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Description of Electronic Delivery.</w:t>
      </w:r>
      <w:r>
        <w:rPr>
          <w:rFonts w:ascii="Times New Roman" w:hAnsi="Times New Roman"/>
          <w:sz w:val="20"/>
        </w:rPr>
        <w:t xml:space="preserve"> 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Consent to Electronic Delivery.</w:t>
      </w:r>
      <w:r>
        <w:rPr>
          <w:rFonts w:ascii="Times New Roman" w:hAnsi="Times New Roman"/>
          <w:sz w:val="20"/>
        </w:rPr>
        <w:t xml:space="preserve"> The Participant acknowledges that the Participant has read Section 16.5(a) of this Agreement and consents to the electronic delivery of the Plan documents and, if permitted by the Company, the delivery of the Grant Notice, as described in Section 16.5(a).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16.5(a)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16.5(a). </w:t>
      </w:r>
    </w:p>
    <w:p>
      <w:pPr>
        <w:pStyle w:val="TextBody"/>
        <w:bidi w:val="0"/>
        <w:spacing w:before="120" w:after="0"/>
        <w:jc w:val="left"/>
        <w:rPr>
          <w:rFonts w:ascii="Times New Roman" w:hAnsi="Times New Roman"/>
          <w:sz w:val="20"/>
        </w:rPr>
      </w:pPr>
      <w:r>
        <w:rPr>
          <w:rFonts w:ascii="Times New Roman" w:hAnsi="Times New Roman"/>
          <w:sz w:val="20"/>
        </w:rPr>
        <w:t xml:space="preserve">16.6 </w:t>
      </w:r>
      <w:r>
        <w:rPr>
          <w:rFonts w:ascii="Times New Roman" w:hAnsi="Times New Roman"/>
          <w:b/>
          <w:sz w:val="20"/>
        </w:rPr>
        <w:t>Integrated Agreement.</w:t>
      </w:r>
      <w:r>
        <w:rPr>
          <w:rFonts w:ascii="Times New Roman" w:hAnsi="Times New Roman"/>
          <w:sz w:val="20"/>
        </w:rPr>
        <w:t xml:space="preserve"> The Grant Notice,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16.7 </w:t>
      </w:r>
      <w:r>
        <w:rPr>
          <w:rFonts w:ascii="Times New Roman" w:hAnsi="Times New Roman"/>
          <w:b/>
          <w:sz w:val="20"/>
        </w:rPr>
        <w:t>Applicable Law.</w:t>
      </w:r>
      <w:r>
        <w:rPr>
          <w:rFonts w:ascii="Times New Roman" w:hAnsi="Times New Roman"/>
          <w:sz w:val="20"/>
        </w:rPr>
        <w:t xml:space="preserve"> This Agreement shall be governed by the laws of the State of Delaware as such laws are applied to agreements between Delaware residents entered into and to be performed entirely within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16.8 </w:t>
      </w:r>
      <w:r>
        <w:rPr>
          <w:rFonts w:ascii="Times New Roman" w:hAnsi="Times New Roman"/>
          <w:b/>
          <w:sz w:val="20"/>
        </w:rPr>
        <w:t>Counterparts.</w:t>
      </w:r>
      <w:r>
        <w:rPr>
          <w:rFonts w:ascii="Times New Roman" w:hAnsi="Times New Roman"/>
          <w:sz w:val="20"/>
        </w:rPr>
        <w:t xml:space="preserve"> The Grant Notice may be executed in counterparts, each of which shall be deemed an original, but all of which together shall constitute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right"/>
        <w:rPr>
          <w:rFonts w:ascii="Times New Roman" w:hAnsi="Times New Roman"/>
          <w:b/>
          <w:sz w:val="20"/>
        </w:rPr>
      </w:pPr>
      <w:bookmarkStart w:id="44" w:name="filename7.htm"/>
      <w:bookmarkStart w:id="45" w:name="ksfilename7"/>
      <w:bookmarkEnd w:id="44"/>
      <w:bookmarkEnd w:id="45"/>
      <w:r>
        <w:rPr>
          <w:rFonts w:ascii="Times New Roman" w:hAnsi="Times New Roman"/>
          <w:b/>
          <w:sz w:val="20"/>
        </w:rPr>
        <w:t xml:space="preserve">Exhibit 10.12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OF LEASE </w:t>
      </w:r>
    </w:p>
    <w:p>
      <w:pPr>
        <w:pStyle w:val="TextBody"/>
        <w:bidi w:val="0"/>
        <w:spacing w:before="240" w:after="0"/>
        <w:jc w:val="center"/>
        <w:rPr>
          <w:rFonts w:ascii="Times New Roman" w:hAnsi="Times New Roman"/>
          <w:sz w:val="20"/>
        </w:rPr>
      </w:pPr>
      <w:r>
        <w:rPr>
          <w:rFonts w:ascii="Times New Roman" w:hAnsi="Times New Roman"/>
          <w:sz w:val="20"/>
        </w:rPr>
        <w:t xml:space="preserve">EQC 600 WEST CHICAGO PROPERTY LLC, a Delaware limited liability company, </w:t>
      </w:r>
    </w:p>
    <w:p>
      <w:pPr>
        <w:pStyle w:val="TextBody"/>
        <w:bidi w:val="0"/>
        <w:spacing w:before="0" w:after="0"/>
        <w:jc w:val="center"/>
        <w:rPr>
          <w:rFonts w:ascii="Times New Roman" w:hAnsi="Times New Roman"/>
          <w:sz w:val="20"/>
        </w:rPr>
      </w:pPr>
      <w:r>
        <w:rPr>
          <w:rFonts w:ascii="Times New Roman" w:hAnsi="Times New Roman"/>
          <w:sz w:val="20"/>
        </w:rPr>
        <w:t xml:space="preserve">LANDLORD,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TEMPOS LABS,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0" w:after="0"/>
        <w:jc w:val="center"/>
        <w:rPr>
          <w:rFonts w:ascii="Times New Roman" w:hAnsi="Times New Roman"/>
          <w:sz w:val="20"/>
        </w:rPr>
      </w:pPr>
      <w:r>
        <w:rPr>
          <w:rFonts w:ascii="Times New Roman" w:hAnsi="Times New Roman"/>
          <w:sz w:val="20"/>
        </w:rPr>
        <w:t xml:space="preserve">TENANT </w:t>
      </w:r>
    </w:p>
    <w:p>
      <w:pPr>
        <w:pStyle w:val="TextBody"/>
        <w:bidi w:val="0"/>
        <w:spacing w:before="240" w:after="0"/>
        <w:jc w:val="center"/>
        <w:rPr>
          <w:rFonts w:ascii="Times New Roman" w:hAnsi="Times New Roman"/>
          <w:sz w:val="20"/>
        </w:rPr>
      </w:pPr>
      <w:r>
        <w:rPr>
          <w:rFonts w:ascii="Times New Roman" w:hAnsi="Times New Roman"/>
          <w:sz w:val="20"/>
        </w:rPr>
        <w:t xml:space="preserve">PREMISES:    Portion of the 5th Floor </w:t>
      </w:r>
    </w:p>
    <w:p>
      <w:pPr>
        <w:pStyle w:val="TextBody"/>
        <w:bidi w:val="0"/>
        <w:spacing w:before="0" w:after="0"/>
        <w:jc w:val="center"/>
        <w:rPr/>
      </w:pPr>
      <w:r>
        <w:rPr/>
        <w:t>                                                                       </w:t>
      </w:r>
      <w:r>
        <w:rPr>
          <w:rFonts w:ascii="Times New Roman" w:hAnsi="Times New Roman"/>
          <w:sz w:val="20"/>
        </w:rPr>
        <w:t xml:space="preserve">600 West Chicago Avenue, Chicago, Illinois 60654 </w:t>
      </w:r>
    </w:p>
    <w:p>
      <w:pPr>
        <w:pStyle w:val="TextBody"/>
        <w:bidi w:val="0"/>
        <w:spacing w:before="240" w:after="0"/>
        <w:jc w:val="center"/>
        <w:rPr>
          <w:rFonts w:ascii="Times New Roman" w:hAnsi="Times New Roman"/>
          <w:sz w:val="20"/>
        </w:rPr>
      </w:pPr>
      <w:r>
        <w:rPr>
          <w:rFonts w:ascii="Times New Roman" w:hAnsi="Times New Roman"/>
          <w:sz w:val="20"/>
        </w:rPr>
        <w:t xml:space="preserve">DATED: January 18, 2018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1"/>
        <w:gridCol w:w="263"/>
        <w:gridCol w:w="96"/>
        <w:gridCol w:w="432"/>
        <w:gridCol w:w="63"/>
      </w:tblGrid>
      <w:tr>
        <w:trPr/>
        <w:tc>
          <w:tcPr>
            <w:tcW w:w="9351"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5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528"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 BASIC LEASE PROVISIONS; ADDITIONAL DEFINITIONS.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 DEMISE, PREMISES, TERM, RENT, SECURITY DEPOSIT</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3 USE AND OCCUPANCY</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4 ALTERATIONS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5 CONDITION OF THE PREMISES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6 REPAIRS: FLOOR LOAD</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7 TAXES AND OPERATING EXPENSES.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8 LEGAL REQUIREMENTS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9 SUBORDINATION AND ATTORNMENT; ESTOPPEL CERTIFICATES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10 SERVICES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11 INSURANCE</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12 DESTRUCTION OF THE PREMISES; PROPERTY LOSS OR DAMAGE</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13 EMINENT DOMAIN</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14 ASSIGNMENT AND SUBLETTING</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15 ACCESS TO PREMISES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16 TENANTS DEFAULTS.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17 REMEDIES AND DAMAGES.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18 FEES AND EXPENSES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19 NO REPRESENTATIONS BY LANDLORD</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20 END OF TERM</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21 QUIET ENJOYMENT</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22 NO WAIVER; NO LIABILITY</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23 WAIVER OF TRIAL BY JURY</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24 INABILITY TO PERFORM</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25 BILLS AND NOTICES -</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351" w:type="dxa"/>
            <w:tcBorders/>
            <w:vAlign w:val="center"/>
          </w:tcPr>
          <w:p>
            <w:pPr>
              <w:pStyle w:val="TableContents"/>
              <w:bidi w:val="0"/>
              <w:spacing w:before="0" w:after="283"/>
              <w:jc w:val="left"/>
              <w:rPr>
                <w:sz w:val="4"/>
                <w:szCs w:val="4"/>
              </w:rPr>
            </w:pPr>
            <w:r>
              <w:rPr>
                <w:sz w:val="4"/>
                <w:szCs w:val="4"/>
              </w:rPr>
            </w:r>
          </w:p>
        </w:tc>
        <w:tc>
          <w:tcPr>
            <w:tcW w:w="854" w:type="dxa"/>
            <w:gridSpan w:val="4"/>
            <w:tcBorders/>
            <w:vAlign w:val="center"/>
          </w:tcPr>
          <w:p>
            <w:pPr>
              <w:pStyle w:val="TableContents"/>
              <w:bidi w:val="0"/>
              <w:spacing w:before="0" w:after="283"/>
              <w:jc w:val="left"/>
              <w:rPr>
                <w:sz w:val="4"/>
                <w:szCs w:val="4"/>
              </w:rPr>
            </w:pPr>
            <w:r>
              <w:rPr>
                <w:sz w:val="4"/>
                <w:szCs w:val="4"/>
              </w:rPr>
            </w:r>
          </w:p>
        </w:tc>
      </w:tr>
      <w:tr>
        <w:trPr/>
        <w:tc>
          <w:tcPr>
            <w:tcW w:w="9351" w:type="dxa"/>
            <w:tcBorders/>
          </w:tcPr>
          <w:p>
            <w:pPr>
              <w:pStyle w:val="TableContents"/>
              <w:bidi w:val="0"/>
              <w:spacing w:before="0" w:after="0"/>
              <w:jc w:val="left"/>
              <w:rPr>
                <w:rFonts w:ascii="Times New Roman" w:hAnsi="Times New Roman"/>
                <w:sz w:val="20"/>
              </w:rPr>
            </w:pPr>
            <w:r>
              <w:rPr>
                <w:rFonts w:ascii="Times New Roman" w:hAnsi="Times New Roman"/>
                <w:sz w:val="20"/>
              </w:rPr>
              <w:t>ARTICLE 26 RULES AND REGULATIONS</w:t>
            </w:r>
          </w:p>
        </w:tc>
        <w:tc>
          <w:tcPr>
            <w:tcW w:w="26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5"/>
        <w:gridCol w:w="265"/>
        <w:gridCol w:w="96"/>
        <w:gridCol w:w="427"/>
        <w:gridCol w:w="62"/>
      </w:tblGrid>
      <w:tr>
        <w:trPr/>
        <w:tc>
          <w:tcPr>
            <w:tcW w:w="935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5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ARTICLE 27 BROKER</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ARTICLE 28 INDEMNITY</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ARTICLE 29 BUILDING IMPROVEMENTS, SCAFFOLDING AND DELIVERIES.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ARTICLE 30 INTENTIONALLY OMITTED.</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ARTICLE 31 MISCELLANEOUS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1"/>
        <w:gridCol w:w="122"/>
        <w:gridCol w:w="8392"/>
      </w:tblGrid>
      <w:tr>
        <w:trPr/>
        <w:tc>
          <w:tcPr>
            <w:tcW w:w="169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392" w:type="dxa"/>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EXHIBITS</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sz w:val="4"/>
                <w:szCs w:val="4"/>
              </w:rPr>
            </w:pPr>
            <w:r>
              <w:rPr>
                <w:sz w:val="4"/>
                <w:szCs w:val="4"/>
              </w:rPr>
            </w:r>
          </w:p>
        </w:tc>
      </w:tr>
      <w:tr>
        <w:trPr>
          <w:trHeight w:val="120" w:hRule="atLeast"/>
        </w:trPr>
        <w:tc>
          <w:tcPr>
            <w:tcW w:w="1691" w:type="dxa"/>
            <w:tcBorders/>
            <w:vAlign w:val="center"/>
          </w:tcPr>
          <w:p>
            <w:pPr>
              <w:pStyle w:val="TableContents"/>
              <w:bidi w:val="0"/>
              <w:spacing w:before="0" w:after="283"/>
              <w:jc w:val="left"/>
              <w:rPr>
                <w:sz w:val="4"/>
                <w:szCs w:val="4"/>
              </w:rPr>
            </w:pPr>
            <w:r>
              <w:rPr>
                <w:sz w:val="4"/>
                <w:szCs w:val="4"/>
              </w:rPr>
            </w:r>
          </w:p>
        </w:tc>
        <w:tc>
          <w:tcPr>
            <w:tcW w:w="8514" w:type="dxa"/>
            <w:gridSpan w:val="2"/>
            <w:tcBorders/>
            <w:vAlign w:val="center"/>
          </w:tcPr>
          <w:p>
            <w:pPr>
              <w:pStyle w:val="TableContents"/>
              <w:bidi w:val="0"/>
              <w:spacing w:before="0" w:after="283"/>
              <w:jc w:val="left"/>
              <w:rPr>
                <w:sz w:val="4"/>
                <w:szCs w:val="4"/>
              </w:rPr>
            </w:pPr>
            <w:r>
              <w:rPr>
                <w:sz w:val="4"/>
                <w:szCs w:val="4"/>
              </w:rPr>
            </w:r>
          </w:p>
        </w:tc>
      </w:tr>
      <w:tr>
        <w:trPr/>
        <w:tc>
          <w:tcPr>
            <w:tcW w:w="1691" w:type="dxa"/>
            <w:tcBorders/>
          </w:tcPr>
          <w:p>
            <w:pPr>
              <w:pStyle w:val="TableContents"/>
              <w:bidi w:val="0"/>
              <w:spacing w:before="0" w:after="283"/>
              <w:jc w:val="left"/>
              <w:rPr/>
            </w:pPr>
            <w:r>
              <w:rPr/>
              <w:t>Exhibit A:</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Floor Plan of the Premises</w:t>
            </w:r>
          </w:p>
        </w:tc>
      </w:tr>
      <w:tr>
        <w:trPr/>
        <w:tc>
          <w:tcPr>
            <w:tcW w:w="1691" w:type="dxa"/>
            <w:tcBorders/>
          </w:tcPr>
          <w:p>
            <w:pPr>
              <w:pStyle w:val="TableContents"/>
              <w:bidi w:val="0"/>
              <w:spacing w:before="0" w:after="283"/>
              <w:jc w:val="left"/>
              <w:rPr/>
            </w:pPr>
            <w:r>
              <w:rPr/>
              <w:t>Exhibit B:</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Rules and Regulations</w:t>
            </w:r>
          </w:p>
        </w:tc>
      </w:tr>
      <w:tr>
        <w:trPr/>
        <w:tc>
          <w:tcPr>
            <w:tcW w:w="1691" w:type="dxa"/>
            <w:tcBorders/>
          </w:tcPr>
          <w:p>
            <w:pPr>
              <w:pStyle w:val="TableContents"/>
              <w:bidi w:val="0"/>
              <w:spacing w:before="0" w:after="283"/>
              <w:jc w:val="left"/>
              <w:rPr/>
            </w:pPr>
            <w:r>
              <w:rPr/>
              <w:t>Exhibit C:</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Fixed Rent Schedule</w:t>
            </w:r>
          </w:p>
        </w:tc>
      </w:tr>
      <w:tr>
        <w:trPr/>
        <w:tc>
          <w:tcPr>
            <w:tcW w:w="1691" w:type="dxa"/>
            <w:tcBorders/>
          </w:tcPr>
          <w:p>
            <w:pPr>
              <w:pStyle w:val="TableContents"/>
              <w:bidi w:val="0"/>
              <w:spacing w:before="0" w:after="283"/>
              <w:jc w:val="left"/>
              <w:rPr/>
            </w:pPr>
            <w:r>
              <w:rPr/>
              <w:t>Exhibit D:</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Work Letter</w:t>
            </w:r>
          </w:p>
        </w:tc>
      </w:tr>
      <w:tr>
        <w:trPr/>
        <w:tc>
          <w:tcPr>
            <w:tcW w:w="1691" w:type="dxa"/>
            <w:tcBorders/>
          </w:tcPr>
          <w:p>
            <w:pPr>
              <w:pStyle w:val="TableContents"/>
              <w:bidi w:val="0"/>
              <w:spacing w:before="0" w:after="283"/>
              <w:jc w:val="left"/>
              <w:rPr/>
            </w:pPr>
            <w:r>
              <w:rPr/>
              <w:t>Exhibit E:</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Additional Provisions</w:t>
            </w:r>
          </w:p>
        </w:tc>
      </w:tr>
      <w:tr>
        <w:trPr/>
        <w:tc>
          <w:tcPr>
            <w:tcW w:w="1691" w:type="dxa"/>
            <w:tcBorders/>
          </w:tcPr>
          <w:p>
            <w:pPr>
              <w:pStyle w:val="TableContents"/>
              <w:bidi w:val="0"/>
              <w:spacing w:before="0" w:after="283"/>
              <w:jc w:val="left"/>
              <w:rPr/>
            </w:pPr>
            <w:r>
              <w:rPr/>
              <w:t>Exhibit E-1:</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First, Second and Third Expansion Spaces</w:t>
            </w:r>
          </w:p>
        </w:tc>
      </w:tr>
      <w:tr>
        <w:trPr/>
        <w:tc>
          <w:tcPr>
            <w:tcW w:w="1691" w:type="dxa"/>
            <w:tcBorders/>
          </w:tcPr>
          <w:p>
            <w:pPr>
              <w:pStyle w:val="TableContents"/>
              <w:bidi w:val="0"/>
              <w:spacing w:before="0" w:after="283"/>
              <w:jc w:val="left"/>
              <w:rPr/>
            </w:pPr>
            <w:r>
              <w:rPr/>
              <w:t>Exhibit F:</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Cleaning Specifications</w:t>
            </w:r>
          </w:p>
        </w:tc>
      </w:tr>
      <w:tr>
        <w:trPr/>
        <w:tc>
          <w:tcPr>
            <w:tcW w:w="1691" w:type="dxa"/>
            <w:tcBorders/>
          </w:tcPr>
          <w:p>
            <w:pPr>
              <w:pStyle w:val="TableContents"/>
              <w:bidi w:val="0"/>
              <w:spacing w:before="0" w:after="283"/>
              <w:jc w:val="left"/>
              <w:rPr/>
            </w:pPr>
            <w:r>
              <w:rPr/>
              <w:t>Exhibit G:</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Premises Acceptance Letter</w:t>
            </w:r>
          </w:p>
        </w:tc>
      </w:tr>
      <w:tr>
        <w:trPr/>
        <w:tc>
          <w:tcPr>
            <w:tcW w:w="1691" w:type="dxa"/>
            <w:tcBorders/>
          </w:tcPr>
          <w:p>
            <w:pPr>
              <w:pStyle w:val="TableContents"/>
              <w:bidi w:val="0"/>
              <w:spacing w:before="0" w:after="283"/>
              <w:jc w:val="left"/>
              <w:rPr/>
            </w:pPr>
            <w:r>
              <w:rPr/>
              <w:t>Exhibit H:</w:t>
            </w:r>
          </w:p>
        </w:tc>
        <w:tc>
          <w:tcPr>
            <w:tcW w:w="122" w:type="dxa"/>
            <w:tcBorders/>
            <w:vAlign w:val="bottom"/>
          </w:tcPr>
          <w:p>
            <w:pPr>
              <w:pStyle w:val="TableContents"/>
              <w:bidi w:val="0"/>
              <w:spacing w:before="0" w:after="283"/>
              <w:jc w:val="left"/>
              <w:rPr/>
            </w:pPr>
            <w:r>
              <w:rPr/>
              <w:t>  </w:t>
            </w:r>
          </w:p>
        </w:tc>
        <w:tc>
          <w:tcPr>
            <w:tcW w:w="8392" w:type="dxa"/>
            <w:tcBorders/>
          </w:tcPr>
          <w:p>
            <w:pPr>
              <w:pStyle w:val="TableContents"/>
              <w:bidi w:val="0"/>
              <w:spacing w:before="0" w:after="283"/>
              <w:jc w:val="left"/>
              <w:rPr/>
            </w:pPr>
            <w:r>
              <w:rPr/>
              <w:t>Form of Letter of Credit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AGREEMENT OF LEASE</w:t>
      </w:r>
      <w:r>
        <w:rPr>
          <w:rFonts w:ascii="Times New Roman" w:hAnsi="Times New Roman"/>
          <w:sz w:val="20"/>
        </w:rPr>
        <w:t xml:space="preserve"> (</w:t>
      </w:r>
      <w:r>
        <w:rPr>
          <w:rFonts w:ascii="Times New Roman" w:hAnsi="Times New Roman"/>
          <w:b/>
          <w:sz w:val="20"/>
        </w:rPr>
        <w:t>Lease</w:t>
      </w:r>
      <w:r>
        <w:rPr>
          <w:rFonts w:ascii="Times New Roman" w:hAnsi="Times New Roman"/>
          <w:sz w:val="20"/>
        </w:rPr>
        <w:t>), dated as of January 18, 2018 (</w:t>
      </w:r>
      <w:r>
        <w:rPr>
          <w:rFonts w:ascii="Times New Roman" w:hAnsi="Times New Roman"/>
          <w:b/>
          <w:sz w:val="20"/>
        </w:rPr>
        <w:t>Effective Date</w:t>
      </w:r>
      <w:r>
        <w:rPr>
          <w:rFonts w:ascii="Times New Roman" w:hAnsi="Times New Roman"/>
          <w:sz w:val="20"/>
        </w:rPr>
        <w:t xml:space="preserve">) between </w:t>
      </w:r>
      <w:r>
        <w:rPr>
          <w:rFonts w:ascii="Times New Roman" w:hAnsi="Times New Roman"/>
          <w:b/>
          <w:sz w:val="20"/>
        </w:rPr>
        <w:t>EQC 600 WEST CHICAGO PROPERTY LLC</w:t>
      </w:r>
      <w:r>
        <w:rPr>
          <w:rFonts w:ascii="Times New Roman" w:hAnsi="Times New Roman"/>
          <w:sz w:val="20"/>
        </w:rPr>
        <w:t>, a Delaware limited liability company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TEMPUS LABS, INC.</w:t>
      </w:r>
      <w:r>
        <w:rPr>
          <w:rFonts w:ascii="Times New Roman" w:hAnsi="Times New Roman"/>
          <w:sz w:val="20"/>
        </w:rPr>
        <w:t>, a Delaware corporation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for themselves, their legal representatives, successors and assigns, covenant and agree as follows. </w:t>
      </w:r>
    </w:p>
    <w:p>
      <w:pPr>
        <w:pStyle w:val="TextBody"/>
        <w:bidi w:val="0"/>
        <w:spacing w:before="240" w:after="0"/>
        <w:jc w:val="left"/>
        <w:rPr>
          <w:rFonts w:ascii="Times New Roman" w:hAnsi="Times New Roman"/>
          <w:sz w:val="20"/>
        </w:rPr>
      </w:pPr>
      <w:r>
        <w:rPr>
          <w:rFonts w:ascii="Times New Roman" w:hAnsi="Times New Roman"/>
          <w:b/>
          <w:sz w:val="20"/>
        </w:rPr>
        <w:t>ARTICLE 1 BASIC LEASE PROVISIONS; ADDITIONAL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1.1</w:t>
      </w:r>
      <w:r>
        <w:rPr>
          <w:rFonts w:ascii="Times New Roman" w:hAnsi="Times New Roman"/>
          <w:sz w:val="20"/>
        </w:rPr>
        <w:t xml:space="preserve"> </w:t>
      </w:r>
      <w:r>
        <w:rPr>
          <w:rFonts w:ascii="Times New Roman" w:hAnsi="Times New Roman"/>
          <w:b/>
          <w:sz w:val="20"/>
          <w:u w:val="single"/>
        </w:rPr>
        <w:t>Basic Lease Provisions</w:t>
      </w:r>
      <w:r>
        <w:rPr>
          <w:rFonts w:ascii="Times New Roman" w:hAnsi="Times New Roman"/>
          <w:sz w:val="20"/>
        </w:rPr>
        <w:t xml:space="preserve">. The provisions of this </w:t>
      </w:r>
      <w:r>
        <w:rPr>
          <w:rFonts w:ascii="Times New Roman" w:hAnsi="Times New Roman"/>
          <w:sz w:val="20"/>
          <w:u w:val="single"/>
        </w:rPr>
        <w:t>Section 1.1</w:t>
      </w:r>
      <w:r>
        <w:rPr>
          <w:rFonts w:ascii="Times New Roman" w:hAnsi="Times New Roman"/>
          <w:sz w:val="20"/>
        </w:rPr>
        <w:t xml:space="preserve"> are intended to be definitional in nature and in outline form and may be addressed in detail in other Articles of this Lease.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5"/>
        <w:gridCol w:w="120"/>
        <w:gridCol w:w="7950"/>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50" w:type="dxa"/>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Broker:</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CBRE, Inc. (</w:t>
            </w:r>
            <w:r>
              <w:rPr>
                <w:b/>
              </w:rPr>
              <w:t>Tenants Broker</w:t>
            </w:r>
            <w:r>
              <w:rPr/>
              <w:t>) and The Telos Group LLC (</w:t>
            </w:r>
            <w:r>
              <w:rPr>
                <w:b/>
              </w:rPr>
              <w:t>Landlords Broker</w:t>
            </w:r>
            <w:r>
              <w:rPr/>
              <w:t>)</w:t>
            </w:r>
          </w:p>
        </w:tc>
      </w:tr>
      <w:tr>
        <w:trPr>
          <w:trHeight w:val="120" w:hRule="atLeast"/>
        </w:trPr>
        <w:tc>
          <w:tcPr>
            <w:tcW w:w="2135"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600 Building or Building:</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All the buildings, equipment and other improvements and appurtenances now located or hereafter erected, constructed or placed upon the real property and any and all alterations, renewals, replacements, additions and substitutions thereto, presently known by the address of 600 West Chicago Avenue, Chicago, Illinois. For purposes of clarification. the term 600 Building does not include any residential buildings. structures or units or parking facilities.</w:t>
            </w:r>
          </w:p>
        </w:tc>
      </w:tr>
      <w:tr>
        <w:trPr>
          <w:trHeight w:val="120" w:hRule="atLeast"/>
        </w:trPr>
        <w:tc>
          <w:tcPr>
            <w:tcW w:w="2135"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900 Building or 900 Building:</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All the buildings, equipment and other improvements and appurtenances now located or hereafter erected, constructed or placed upon the real property and any and all alterations, renewals, replacements, additions and substitutions thereto, presently known by the address of 900 North Kingsbury, Chicago, Illinois. For purposes of clarification, the term 900 Building and 900 North Building does not include floors 8-11 or any residential buildings, structures or units or parking facilities.</w:t>
            </w:r>
          </w:p>
        </w:tc>
      </w:tr>
      <w:tr>
        <w:trPr>
          <w:trHeight w:val="120" w:hRule="atLeast"/>
        </w:trPr>
        <w:tc>
          <w:tcPr>
            <w:tcW w:w="2135"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Commencement Date:</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 xml:space="preserve">The date which is the earlier of (i) 180 days after the Delivery Date (as defined in </w:t>
            </w:r>
            <w:r>
              <w:rPr>
                <w:u w:val="single"/>
              </w:rPr>
              <w:t>Section 1</w:t>
            </w:r>
            <w:r>
              <w:rPr/>
              <w:t xml:space="preserve"> of </w:t>
            </w:r>
            <w:r>
              <w:rPr>
                <w:u w:val="single"/>
              </w:rPr>
              <w:t>Exhibit D</w:t>
            </w:r>
            <w:r>
              <w:rPr/>
              <w:t>) (the </w:t>
            </w:r>
            <w:r>
              <w:rPr>
                <w:b/>
              </w:rPr>
              <w:t>Build Out Period</w:t>
            </w:r>
            <w:r>
              <w:rPr/>
              <w:t>), and (ii) the date on which Tenant commences its business operations in the Premises. If Tenant commences its business operations in the Premises prior to the last day of the Build Out Period, the period of time beginning on the date on which Tenant so commences its business operations in the Premises and ending on the last day of the Build Out Period is referred to as the </w:t>
            </w:r>
            <w:r>
              <w:rPr>
                <w:b/>
              </w:rPr>
              <w:t>Beneficial Occupancy Period</w:t>
            </w:r>
            <w:r>
              <w:rPr/>
              <w:t>:</w:t>
            </w:r>
          </w:p>
        </w:tc>
      </w:tr>
      <w:tr>
        <w:trPr>
          <w:trHeight w:val="120" w:hRule="atLeast"/>
        </w:trPr>
        <w:tc>
          <w:tcPr>
            <w:tcW w:w="2135"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.Expiration Date:</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The last day of the 132nd calendar month from and including the Commencement Date.</w:t>
            </w:r>
          </w:p>
        </w:tc>
      </w:tr>
      <w:tr>
        <w:trPr>
          <w:trHeight w:val="120" w:hRule="atLeast"/>
        </w:trPr>
        <w:tc>
          <w:tcPr>
            <w:tcW w:w="2135"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Fixed Rent:</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 xml:space="preserve">As set forth on </w:t>
            </w:r>
            <w:r>
              <w:rPr>
                <w:u w:val="single"/>
              </w:rPr>
              <w:t>Exhibit C</w:t>
            </w:r>
            <w:r>
              <w:rPr/>
              <w:t xml:space="preserve"> attached hereto and incorporated herein.</w:t>
            </w:r>
          </w:p>
        </w:tc>
      </w:tr>
      <w:tr>
        <w:trPr>
          <w:trHeight w:val="120" w:hRule="atLeast"/>
        </w:trPr>
        <w:tc>
          <w:tcPr>
            <w:tcW w:w="2135"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Landlords Agent:</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CBRE Inc., or any other person or entity designated at any time and from time to time by Landlord as Landlords Agent and their successors and assigns.</w:t>
            </w:r>
          </w:p>
        </w:tc>
      </w:tr>
      <w:tr>
        <w:trPr>
          <w:trHeight w:val="120" w:hRule="atLeast"/>
        </w:trPr>
        <w:tc>
          <w:tcPr>
            <w:tcW w:w="2135" w:type="dxa"/>
            <w:tcBorders/>
            <w:vAlign w:val="center"/>
          </w:tcPr>
          <w:p>
            <w:pPr>
              <w:pStyle w:val="TableContents"/>
              <w:bidi w:val="0"/>
              <w:spacing w:before="0" w:after="283"/>
              <w:jc w:val="left"/>
              <w:rPr>
                <w:sz w:val="4"/>
                <w:szCs w:val="4"/>
              </w:rPr>
            </w:pPr>
            <w:r>
              <w:rPr>
                <w:sz w:val="4"/>
                <w:szCs w:val="4"/>
              </w:rPr>
            </w:r>
          </w:p>
        </w:tc>
        <w:tc>
          <w:tcPr>
            <w:tcW w:w="8070"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tcPr>
          <w:p>
            <w:pPr>
              <w:pStyle w:val="TableContents"/>
              <w:bidi w:val="0"/>
              <w:spacing w:before="0" w:after="283"/>
              <w:jc w:val="left"/>
              <w:rPr>
                <w:u w:val="single"/>
              </w:rPr>
            </w:pPr>
            <w:r>
              <w:rPr>
                <w:u w:val="single"/>
              </w:rPr>
              <w:t>Permitted Use:</w:t>
            </w:r>
          </w:p>
        </w:tc>
        <w:tc>
          <w:tcPr>
            <w:tcW w:w="120" w:type="dxa"/>
            <w:tcBorders/>
            <w:vAlign w:val="bottom"/>
          </w:tcPr>
          <w:p>
            <w:pPr>
              <w:pStyle w:val="TableContents"/>
              <w:bidi w:val="0"/>
              <w:spacing w:before="0" w:after="283"/>
              <w:jc w:val="left"/>
              <w:rPr/>
            </w:pPr>
            <w:r>
              <w:rPr/>
              <w:t>  </w:t>
            </w:r>
          </w:p>
        </w:tc>
        <w:tc>
          <w:tcPr>
            <w:tcW w:w="7950" w:type="dxa"/>
            <w:tcBorders/>
          </w:tcPr>
          <w:p>
            <w:pPr>
              <w:pStyle w:val="TableContents"/>
              <w:bidi w:val="0"/>
              <w:spacing w:before="0" w:after="283"/>
              <w:jc w:val="left"/>
              <w:rPr/>
            </w:pPr>
            <w:r>
              <w:rPr/>
              <w:t xml:space="preserve">The Premises shall be used by Tenant, in compliance with all Legal Requirements, solely as executive and general offices, the Laboratory Use (defined in </w:t>
            </w:r>
            <w:r>
              <w:rPr>
                <w:u w:val="single"/>
              </w:rPr>
              <w:t>Section 3.2</w:t>
            </w:r>
            <w:r>
              <w:rPr/>
              <w:t xml:space="preserve"> of this Lease as set forth in </w:t>
            </w:r>
            <w:r>
              <w:rPr>
                <w:u w:val="single"/>
              </w:rPr>
              <w:t>Section 9</w:t>
            </w:r>
            <w:r>
              <w:rPr/>
              <w:t xml:space="preserve"> of Exhibit E attached hereto), and uses ancillary thereto, and for no other purpose.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08"/>
        <w:gridCol w:w="123"/>
        <w:gridCol w:w="7974"/>
      </w:tblGrid>
      <w:tr>
        <w:trPr/>
        <w:tc>
          <w:tcPr>
            <w:tcW w:w="210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974" w:type="dxa"/>
            <w:tcBorders/>
            <w:vAlign w:val="center"/>
          </w:tcPr>
          <w:p>
            <w:pPr>
              <w:pStyle w:val="TableContents"/>
              <w:bidi w:val="0"/>
              <w:spacing w:before="0" w:after="283"/>
              <w:jc w:val="left"/>
              <w:rPr>
                <w:sz w:val="4"/>
                <w:szCs w:val="4"/>
              </w:rPr>
            </w:pPr>
            <w:r>
              <w:rPr>
                <w:sz w:val="4"/>
                <w:szCs w:val="4"/>
              </w:rPr>
            </w:r>
          </w:p>
        </w:tc>
      </w:tr>
      <w:tr>
        <w:trPr/>
        <w:tc>
          <w:tcPr>
            <w:tcW w:w="2108" w:type="dxa"/>
            <w:tcBorders/>
          </w:tcPr>
          <w:p>
            <w:pPr>
              <w:pStyle w:val="TableContents"/>
              <w:bidi w:val="0"/>
              <w:spacing w:before="0" w:after="283"/>
              <w:jc w:val="left"/>
              <w:rPr>
                <w:u w:val="single"/>
              </w:rPr>
            </w:pPr>
            <w:r>
              <w:rPr>
                <w:u w:val="single"/>
              </w:rPr>
              <w:t>Premises:</w:t>
            </w:r>
          </w:p>
        </w:tc>
        <w:tc>
          <w:tcPr>
            <w:tcW w:w="123" w:type="dxa"/>
            <w:tcBorders/>
            <w:vAlign w:val="bottom"/>
          </w:tcPr>
          <w:p>
            <w:pPr>
              <w:pStyle w:val="TableContents"/>
              <w:bidi w:val="0"/>
              <w:spacing w:before="0" w:after="283"/>
              <w:jc w:val="left"/>
              <w:rPr/>
            </w:pPr>
            <w:r>
              <w:rPr/>
              <w:t>  </w:t>
            </w:r>
          </w:p>
        </w:tc>
        <w:tc>
          <w:tcPr>
            <w:tcW w:w="7974" w:type="dxa"/>
            <w:tcBorders/>
          </w:tcPr>
          <w:p>
            <w:pPr>
              <w:pStyle w:val="TableContents"/>
              <w:bidi w:val="0"/>
              <w:spacing w:before="0" w:after="283"/>
              <w:jc w:val="left"/>
              <w:rPr/>
            </w:pPr>
            <w:r>
              <w:rPr/>
              <w:t xml:space="preserve">A portion of the 5th floor of the 600 Building, as shown on the floor plan attached to this Lease as </w:t>
            </w:r>
            <w:r>
              <w:rPr>
                <w:u w:val="single"/>
              </w:rPr>
              <w:t>Exhibit A</w:t>
            </w:r>
            <w:r>
              <w:rPr/>
              <w:t>.</w:t>
            </w:r>
          </w:p>
        </w:tc>
      </w:tr>
      <w:tr>
        <w:trPr>
          <w:trHeight w:val="120" w:hRule="atLeast"/>
        </w:trPr>
        <w:tc>
          <w:tcPr>
            <w:tcW w:w="2108"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r>
      <w:tr>
        <w:trPr/>
        <w:tc>
          <w:tcPr>
            <w:tcW w:w="2108" w:type="dxa"/>
            <w:tcBorders/>
          </w:tcPr>
          <w:p>
            <w:pPr>
              <w:pStyle w:val="TableContents"/>
              <w:bidi w:val="0"/>
              <w:spacing w:before="0" w:after="283"/>
              <w:jc w:val="left"/>
              <w:rPr>
                <w:u w:val="single"/>
              </w:rPr>
            </w:pPr>
            <w:r>
              <w:rPr>
                <w:u w:val="single"/>
              </w:rPr>
              <w:t>Premises</w:t>
            </w:r>
          </w:p>
        </w:tc>
        <w:tc>
          <w:tcPr>
            <w:tcW w:w="123" w:type="dxa"/>
            <w:tcBorders/>
            <w:vAlign w:val="bottom"/>
          </w:tcPr>
          <w:p>
            <w:pPr>
              <w:pStyle w:val="TableContents"/>
              <w:bidi w:val="0"/>
              <w:spacing w:before="0" w:after="283"/>
              <w:jc w:val="left"/>
              <w:rPr/>
            </w:pPr>
            <w:r>
              <w:rPr/>
              <w:t>  </w:t>
            </w:r>
          </w:p>
        </w:tc>
        <w:tc>
          <w:tcPr>
            <w:tcW w:w="7974" w:type="dxa"/>
            <w:tcBorders/>
          </w:tcPr>
          <w:p>
            <w:pPr>
              <w:pStyle w:val="TableContents"/>
              <w:bidi w:val="0"/>
              <w:spacing w:before="0" w:after="283"/>
              <w:jc w:val="left"/>
              <w:rPr/>
            </w:pPr>
            <w:r>
              <w:rPr/>
              <w:t xml:space="preserve">The Rentable Square Foot area of the Premises described on the floor plan attached as </w:t>
            </w:r>
            <w:r>
              <w:rPr>
                <w:u w:val="single"/>
              </w:rPr>
              <w:t>Exhibit A</w:t>
            </w:r>
            <w:r>
              <w:rPr/>
              <w:t xml:space="preserve"> hereto, as the Premises Area may be increased or decreased from time to time pursuant to this Lease. Landlord and Tenant agree that for purposes of this Lease, the Rentable Square Foot Area of the Premises is 78,017 which shall not be subject to remeasurement or adjustment.</w:t>
            </w:r>
          </w:p>
        </w:tc>
      </w:tr>
      <w:tr>
        <w:trPr>
          <w:trHeight w:val="120" w:hRule="atLeast"/>
        </w:trPr>
        <w:tc>
          <w:tcPr>
            <w:tcW w:w="2108"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r>
      <w:tr>
        <w:trPr/>
        <w:tc>
          <w:tcPr>
            <w:tcW w:w="2108" w:type="dxa"/>
            <w:tcBorders/>
          </w:tcPr>
          <w:p>
            <w:pPr>
              <w:pStyle w:val="TableContents"/>
              <w:bidi w:val="0"/>
              <w:spacing w:before="0" w:after="283"/>
              <w:jc w:val="left"/>
              <w:rPr>
                <w:u w:val="single"/>
              </w:rPr>
            </w:pPr>
            <w:r>
              <w:rPr>
                <w:u w:val="single"/>
              </w:rPr>
              <w:t>Security Deposit:</w:t>
            </w:r>
          </w:p>
        </w:tc>
        <w:tc>
          <w:tcPr>
            <w:tcW w:w="123" w:type="dxa"/>
            <w:tcBorders/>
            <w:vAlign w:val="bottom"/>
          </w:tcPr>
          <w:p>
            <w:pPr>
              <w:pStyle w:val="TableContents"/>
              <w:bidi w:val="0"/>
              <w:spacing w:before="0" w:after="283"/>
              <w:jc w:val="left"/>
              <w:rPr/>
            </w:pPr>
            <w:r>
              <w:rPr/>
              <w:t>  </w:t>
            </w:r>
          </w:p>
        </w:tc>
        <w:tc>
          <w:tcPr>
            <w:tcW w:w="7974" w:type="dxa"/>
            <w:tcBorders/>
          </w:tcPr>
          <w:p>
            <w:pPr>
              <w:pStyle w:val="TableContents"/>
              <w:bidi w:val="0"/>
              <w:spacing w:before="0" w:after="283"/>
              <w:jc w:val="left"/>
              <w:rPr/>
            </w:pPr>
            <w:r>
              <w:rPr/>
              <w:t xml:space="preserve">$500,000.00, subject to </w:t>
            </w:r>
            <w:r>
              <w:rPr>
                <w:u w:val="single"/>
              </w:rPr>
              <w:t>Sections 2.5 and 2.6</w:t>
            </w:r>
            <w:r>
              <w:rPr/>
              <w:t>.</w:t>
            </w:r>
          </w:p>
        </w:tc>
      </w:tr>
      <w:tr>
        <w:trPr>
          <w:trHeight w:val="120" w:hRule="atLeast"/>
        </w:trPr>
        <w:tc>
          <w:tcPr>
            <w:tcW w:w="2108"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r>
      <w:tr>
        <w:trPr/>
        <w:tc>
          <w:tcPr>
            <w:tcW w:w="2108" w:type="dxa"/>
            <w:tcBorders/>
          </w:tcPr>
          <w:p>
            <w:pPr>
              <w:pStyle w:val="TableContents"/>
              <w:bidi w:val="0"/>
              <w:spacing w:before="0" w:after="283"/>
              <w:jc w:val="left"/>
              <w:rPr>
                <w:u w:val="single"/>
              </w:rPr>
            </w:pPr>
            <w:r>
              <w:rPr>
                <w:u w:val="single"/>
              </w:rPr>
              <w:t>Tenants Proportionate Share:</w:t>
            </w:r>
          </w:p>
        </w:tc>
        <w:tc>
          <w:tcPr>
            <w:tcW w:w="123" w:type="dxa"/>
            <w:tcBorders/>
            <w:vAlign w:val="bottom"/>
          </w:tcPr>
          <w:p>
            <w:pPr>
              <w:pStyle w:val="TableContents"/>
              <w:bidi w:val="0"/>
              <w:spacing w:before="0" w:after="283"/>
              <w:jc w:val="left"/>
              <w:rPr/>
            </w:pPr>
            <w:r>
              <w:rPr/>
              <w:t>  </w:t>
            </w:r>
          </w:p>
        </w:tc>
        <w:tc>
          <w:tcPr>
            <w:tcW w:w="7974" w:type="dxa"/>
            <w:tcBorders/>
          </w:tcPr>
          <w:p>
            <w:pPr>
              <w:pStyle w:val="TableContents"/>
              <w:bidi w:val="0"/>
              <w:spacing w:before="0" w:after="283"/>
              <w:jc w:val="left"/>
              <w:rPr/>
            </w:pPr>
            <w:r>
              <w:rPr/>
              <w:t>6.5281% (78,017/1,195,099)</w:t>
            </w:r>
          </w:p>
        </w:tc>
      </w:tr>
      <w:tr>
        <w:trPr>
          <w:trHeight w:val="120" w:hRule="atLeast"/>
        </w:trPr>
        <w:tc>
          <w:tcPr>
            <w:tcW w:w="2108" w:type="dxa"/>
            <w:tcBorders/>
            <w:vAlign w:val="center"/>
          </w:tcPr>
          <w:p>
            <w:pPr>
              <w:pStyle w:val="TableContents"/>
              <w:bidi w:val="0"/>
              <w:spacing w:before="0" w:after="283"/>
              <w:jc w:val="left"/>
              <w:rPr>
                <w:sz w:val="4"/>
                <w:szCs w:val="4"/>
              </w:rPr>
            </w:pPr>
            <w:r>
              <w:rPr>
                <w:sz w:val="4"/>
                <w:szCs w:val="4"/>
              </w:rPr>
            </w:r>
          </w:p>
        </w:tc>
        <w:tc>
          <w:tcPr>
            <w:tcW w:w="8097" w:type="dxa"/>
            <w:gridSpan w:val="2"/>
            <w:tcBorders/>
            <w:vAlign w:val="center"/>
          </w:tcPr>
          <w:p>
            <w:pPr>
              <w:pStyle w:val="TableContents"/>
              <w:bidi w:val="0"/>
              <w:spacing w:before="0" w:after="283"/>
              <w:jc w:val="left"/>
              <w:rPr>
                <w:sz w:val="4"/>
                <w:szCs w:val="4"/>
              </w:rPr>
            </w:pPr>
            <w:r>
              <w:rPr>
                <w:sz w:val="4"/>
                <w:szCs w:val="4"/>
              </w:rPr>
            </w:r>
          </w:p>
        </w:tc>
      </w:tr>
      <w:tr>
        <w:trPr/>
        <w:tc>
          <w:tcPr>
            <w:tcW w:w="2108" w:type="dxa"/>
            <w:tcBorders/>
          </w:tcPr>
          <w:p>
            <w:pPr>
              <w:pStyle w:val="TableContents"/>
              <w:bidi w:val="0"/>
              <w:spacing w:before="0" w:after="283"/>
              <w:jc w:val="left"/>
              <w:rPr>
                <w:u w:val="single"/>
              </w:rPr>
            </w:pPr>
            <w:r>
              <w:rPr>
                <w:u w:val="single"/>
              </w:rPr>
              <w:t>Term:</w:t>
            </w:r>
          </w:p>
        </w:tc>
        <w:tc>
          <w:tcPr>
            <w:tcW w:w="123" w:type="dxa"/>
            <w:tcBorders/>
            <w:vAlign w:val="bottom"/>
          </w:tcPr>
          <w:p>
            <w:pPr>
              <w:pStyle w:val="TableContents"/>
              <w:bidi w:val="0"/>
              <w:spacing w:before="0" w:after="283"/>
              <w:jc w:val="left"/>
              <w:rPr/>
            </w:pPr>
            <w:r>
              <w:rPr/>
              <w:t>  </w:t>
            </w:r>
          </w:p>
        </w:tc>
        <w:tc>
          <w:tcPr>
            <w:tcW w:w="7974" w:type="dxa"/>
            <w:tcBorders/>
          </w:tcPr>
          <w:p>
            <w:pPr>
              <w:pStyle w:val="TableContents"/>
              <w:bidi w:val="0"/>
              <w:spacing w:before="0" w:after="283"/>
              <w:jc w:val="left"/>
              <w:rPr/>
            </w:pPr>
            <w:r>
              <w:rPr/>
              <w:t>The term of this Lease, which shall commence on the Commencement Date and shall expire on the Expiration Date, unless sooner terminated or extended pursuant to the terms of this Lease.</w:t>
            </w:r>
          </w:p>
        </w:tc>
      </w:tr>
    </w:tbl>
    <w:p>
      <w:pPr>
        <w:pStyle w:val="TextBody"/>
        <w:bidi w:val="0"/>
        <w:spacing w:before="240" w:after="0"/>
        <w:jc w:val="left"/>
        <w:rPr>
          <w:rFonts w:ascii="Times New Roman" w:hAnsi="Times New Roman"/>
          <w:b/>
          <w:sz w:val="20"/>
        </w:rPr>
      </w:pPr>
      <w:r>
        <w:rPr>
          <w:rFonts w:ascii="Times New Roman" w:hAnsi="Times New Roman"/>
          <w:b/>
          <w:sz w:val="20"/>
          <w:u w:val="single"/>
        </w:rPr>
        <w:t>Section 1.2</w:t>
      </w:r>
      <w:r>
        <w:rPr>
          <w:rFonts w:ascii="Times New Roman" w:hAnsi="Times New Roman"/>
          <w:b/>
          <w:sz w:val="20"/>
        </w:rPr>
        <w:t xml:space="preserve"> </w:t>
      </w:r>
      <w:r>
        <w:rPr>
          <w:rFonts w:ascii="Times New Roman" w:hAnsi="Times New Roman"/>
          <w:b/>
          <w:sz w:val="20"/>
          <w:u w:val="single"/>
        </w:rPr>
        <w:t xml:space="preserve">Additional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7"/>
        <w:gridCol w:w="121"/>
        <w:gridCol w:w="8027"/>
      </w:tblGrid>
      <w:tr>
        <w:trPr/>
        <w:tc>
          <w:tcPr>
            <w:tcW w:w="205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Additional Rent</w:t>
            </w:r>
          </w:p>
        </w:tc>
        <w:tc>
          <w:tcPr>
            <w:tcW w:w="121" w:type="dxa"/>
            <w:tcBorders/>
            <w:vAlign w:val="bottom"/>
          </w:tcPr>
          <w:p>
            <w:pPr>
              <w:pStyle w:val="TableContents"/>
              <w:bidi w:val="0"/>
              <w:spacing w:before="0" w:after="283"/>
              <w:jc w:val="left"/>
              <w:rPr/>
            </w:pPr>
            <w:r>
              <w:rPr/>
              <w:t>  </w:t>
            </w:r>
          </w:p>
        </w:tc>
        <w:tc>
          <w:tcPr>
            <w:tcW w:w="8027" w:type="dxa"/>
            <w:tcBorders/>
          </w:tcPr>
          <w:p>
            <w:pPr>
              <w:pStyle w:val="TableContents"/>
              <w:bidi w:val="0"/>
              <w:spacing w:before="0" w:after="283"/>
              <w:jc w:val="left"/>
              <w:rPr/>
            </w:pPr>
            <w:r>
              <w:rPr/>
              <w:t>All sums other than Fixed Rent payable by Tenant to landlord under this Lease, including, without limitation, Tenants Tax Payment, Tenants Operating Payment, overtime or excess service charges, any fees and amounts due under Article 10 hereof, and interest and other costs related to Tenants failure to perform any of its obligations under this Lease. If Tenant fans to timely pay any amount of Additional Rent as required under this Lease beyond any applicable notice and cure periods, Landlord shall have the same rights and remedies reserved by Landlord herein for a failure to timely pay Fixed Rent.</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Affiliate:</w:t>
            </w:r>
          </w:p>
        </w:tc>
        <w:tc>
          <w:tcPr>
            <w:tcW w:w="121" w:type="dxa"/>
            <w:tcBorders/>
            <w:vAlign w:val="bottom"/>
          </w:tcPr>
          <w:p>
            <w:pPr>
              <w:pStyle w:val="TableContents"/>
              <w:bidi w:val="0"/>
              <w:spacing w:before="0" w:after="283"/>
              <w:jc w:val="left"/>
              <w:rPr/>
            </w:pPr>
            <w:r>
              <w:rPr/>
              <w:t>  </w:t>
            </w:r>
          </w:p>
        </w:tc>
        <w:tc>
          <w:tcPr>
            <w:tcW w:w="8027" w:type="dxa"/>
            <w:tcBorders/>
          </w:tcPr>
          <w:p>
            <w:pPr>
              <w:pStyle w:val="TableContents"/>
              <w:bidi w:val="0"/>
              <w:spacing w:before="0" w:after="283"/>
              <w:jc w:val="left"/>
              <w:rPr/>
            </w:pPr>
            <w:r>
              <w:rPr/>
              <w:t>With respect to any Person, any other Person that, directly or indirectly, through one or mare intermediaries, Controls, is Controlled by, or is under common Control with, such first Person.</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Alterations:</w:t>
            </w:r>
          </w:p>
        </w:tc>
        <w:tc>
          <w:tcPr>
            <w:tcW w:w="121" w:type="dxa"/>
            <w:tcBorders/>
            <w:vAlign w:val="bottom"/>
          </w:tcPr>
          <w:p>
            <w:pPr>
              <w:pStyle w:val="TableContents"/>
              <w:bidi w:val="0"/>
              <w:spacing w:before="0" w:after="283"/>
              <w:jc w:val="left"/>
              <w:rPr/>
            </w:pPr>
            <w:r>
              <w:rPr/>
              <w:t>  </w:t>
            </w:r>
          </w:p>
        </w:tc>
        <w:tc>
          <w:tcPr>
            <w:tcW w:w="8027" w:type="dxa"/>
            <w:tcBorders/>
          </w:tcPr>
          <w:p>
            <w:pPr>
              <w:pStyle w:val="TableContents"/>
              <w:bidi w:val="0"/>
              <w:spacing w:before="0" w:after="283"/>
              <w:jc w:val="left"/>
              <w:rPr/>
            </w:pPr>
            <w:r>
              <w:rPr/>
              <w:t>Alterations, installations, improvements, additions or other physical changes (other than decorations consisting of painting, wall coverings and carpeting in the Premises which are not visible from outside the Premises) in or about the Premises or elsewhere in the Building, including, without limitation, Tenants Alterations.</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Base Rate:</w:t>
            </w:r>
          </w:p>
        </w:tc>
        <w:tc>
          <w:tcPr>
            <w:tcW w:w="121" w:type="dxa"/>
            <w:tcBorders/>
            <w:vAlign w:val="bottom"/>
          </w:tcPr>
          <w:p>
            <w:pPr>
              <w:pStyle w:val="TableContents"/>
              <w:bidi w:val="0"/>
              <w:spacing w:before="0" w:after="283"/>
              <w:jc w:val="left"/>
              <w:rPr/>
            </w:pPr>
            <w:r>
              <w:rPr/>
              <w:t>  </w:t>
            </w:r>
          </w:p>
        </w:tc>
        <w:tc>
          <w:tcPr>
            <w:tcW w:w="8027" w:type="dxa"/>
            <w:tcBorders/>
          </w:tcPr>
          <w:p>
            <w:pPr>
              <w:pStyle w:val="TableContents"/>
              <w:bidi w:val="0"/>
              <w:spacing w:before="0" w:after="283"/>
              <w:jc w:val="left"/>
              <w:rPr/>
            </w:pPr>
            <w:r>
              <w:rPr/>
              <w:t>The annual rate of interest publicly announced from time to time by Citibank, NA., New York, New York (or any successor thereto) as its base rate, or such other term as may be used by Citibank, N.A. from time to time for the rate presently referred to as its base rate.</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Building Systems:</w:t>
            </w:r>
          </w:p>
        </w:tc>
        <w:tc>
          <w:tcPr>
            <w:tcW w:w="121" w:type="dxa"/>
            <w:tcBorders/>
            <w:vAlign w:val="bottom"/>
          </w:tcPr>
          <w:p>
            <w:pPr>
              <w:pStyle w:val="TableContents"/>
              <w:bidi w:val="0"/>
              <w:spacing w:before="0" w:after="283"/>
              <w:jc w:val="left"/>
              <w:rPr/>
            </w:pPr>
            <w:r>
              <w:rPr/>
              <w:t>  </w:t>
            </w:r>
          </w:p>
        </w:tc>
        <w:tc>
          <w:tcPr>
            <w:tcW w:w="8027" w:type="dxa"/>
            <w:tcBorders/>
          </w:tcPr>
          <w:p>
            <w:pPr>
              <w:pStyle w:val="TableContents"/>
              <w:bidi w:val="0"/>
              <w:spacing w:before="0" w:after="283"/>
              <w:jc w:val="left"/>
              <w:rPr/>
            </w:pPr>
            <w:r>
              <w:rPr/>
              <w:t>The mechanical, electrical, heating, ventilating, air conditioning, elevator, plumbing, sanitary, life-safety, utility and all other service systems of the Building, but not including the portions of such systems installed in the Premises or elsewhere in the Building by Tenant for Tenants exclusive use or by another tenant or occupant for such other tenants or occupants use.</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Business Days:</w:t>
            </w:r>
          </w:p>
        </w:tc>
        <w:tc>
          <w:tcPr>
            <w:tcW w:w="121" w:type="dxa"/>
            <w:tcBorders/>
            <w:vAlign w:val="bottom"/>
          </w:tcPr>
          <w:p>
            <w:pPr>
              <w:pStyle w:val="TableContents"/>
              <w:bidi w:val="0"/>
              <w:spacing w:before="0" w:after="283"/>
              <w:jc w:val="left"/>
              <w:rPr/>
            </w:pPr>
            <w:r>
              <w:rPr/>
              <w:t>  </w:t>
            </w:r>
          </w:p>
        </w:tc>
        <w:tc>
          <w:tcPr>
            <w:tcW w:w="8027" w:type="dxa"/>
            <w:tcBorders/>
          </w:tcPr>
          <w:p>
            <w:pPr>
              <w:pStyle w:val="TableContents"/>
              <w:bidi w:val="0"/>
              <w:spacing w:before="0" w:after="283"/>
              <w:jc w:val="left"/>
              <w:rPr/>
            </w:pPr>
            <w:r>
              <w:rPr/>
              <w:t>All days, excluding Saturdays, Sundays, and all days observed by the City of Chicago, the State of Illinois, or the United States of America or any unions serving the Building as legal holidays.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117"/>
        <w:gridCol w:w="120"/>
        <w:gridCol w:w="7968"/>
      </w:tblGrid>
      <w:tr>
        <w:trPr/>
        <w:tc>
          <w:tcPr>
            <w:tcW w:w="21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68" w:type="dxa"/>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Control:</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As to any Person: (a) the ownership, erectly or Wire*. of more than Any per cart (SO%) of (0 the outstanding voting stock of a corporation, or (II) the beneficial ownership [Merest*, however characterized, of any other entity, and/or (b) the possession, directly or indirectly, of the power to direct or cause the canyon of the management and pews of such Person, whether through the ownership of voting securities or other ownership interests. by statute, or by contact.</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8088" w:type="dxa"/>
            <w:gridSpan w:val="2"/>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Default Rate:</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 rate per annum equal to the lesser of four (4) percentage points above the Base Rate or the highest rate permitted by applicable law.</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8088" w:type="dxa"/>
            <w:gridSpan w:val="2"/>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Environmental Laws:</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All Legal Requirements now or hereafter in effect relating to the environment, health, safety, or Hazardous Materials.</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8088" w:type="dxa"/>
            <w:gridSpan w:val="2"/>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Governmental Authority:</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Any of the United States of America, the State of Illinois, the City of Chicago, any political subdivision thereof and any agency, department, commission, board, bureau or instrumentality of any of the foregoing, now existing or hereafter created, having jurisdiction over the Real Property or any portion thereof or the vaults, curbs, sidewalks, streets and wets adjacent thereto.</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8088" w:type="dxa"/>
            <w:gridSpan w:val="2"/>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Hazardous Materials:</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Any substances, materials or wastes regulated by any Governmental Authority or deemed or defined as a °hazardous substance</w:t>
            </w:r>
            <w:r>
              <w:rPr>
                <w:b/>
              </w:rPr>
              <w:t xml:space="preserve">. </w:t>
            </w:r>
            <w:r>
              <w:rPr/>
              <w:t>hazardous material</w:t>
            </w:r>
            <w:r>
              <w:rPr>
                <w:b/>
              </w:rPr>
              <w:t xml:space="preserve">, </w:t>
            </w:r>
            <w:r>
              <w:rPr/>
              <w:t>toxic substance</w:t>
            </w:r>
            <w:r>
              <w:rPr>
                <w:b/>
              </w:rPr>
              <w:t xml:space="preserve">, </w:t>
            </w:r>
            <w:r>
              <w:rPr/>
              <w:t>toxic pollutant</w:t>
            </w:r>
            <w:r>
              <w:rPr>
                <w:b/>
              </w:rPr>
              <w:t xml:space="preserve">, </w:t>
            </w:r>
            <w:r>
              <w:rPr/>
              <w:t>contaminant</w:t>
            </w:r>
            <w:r>
              <w:rPr>
                <w:b/>
              </w:rPr>
              <w:t xml:space="preserve">, </w:t>
            </w:r>
            <w:r>
              <w:rPr/>
              <w:t>pollutant</w:t>
            </w:r>
            <w:r>
              <w:rPr>
                <w:b/>
              </w:rPr>
              <w:t xml:space="preserve">, </w:t>
            </w:r>
            <w:r>
              <w:rPr/>
              <w:t>solid waste</w:t>
            </w:r>
            <w:r>
              <w:rPr>
                <w:b/>
              </w:rPr>
              <w:t xml:space="preserve">, </w:t>
            </w:r>
            <w:r>
              <w:rPr/>
              <w:t>hazardous waste or words of similar import under applicable Legal Requirements, oil and petroleum palate natural or synthetic gas, polychlorinated biphenyls, asbestos in any form, urea formaldehyde, radon gas, or the emission of non-ionizing radiation, microwave radiation or electromagnetic fields at levels in access of those (if any) specified by any Governmental Authority or which may cause a health hazed or danger to property, or the emission of any loon of ionizing radiation.</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8088" w:type="dxa"/>
            <w:gridSpan w:val="2"/>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Legal Requirements:</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Ail present and future laws. rules, orders, ordinances, regulations, statutes, requirements, codes, executive orders, rules of common law, and any judicial interpretations thereof, extraordinary as well as ordinary, of all Governmental Authorities, including the Americans with Disabilities Act (42 U.S.C. §12,101 et seq.), the Comprehensive Environmental Response Compensation and Liability Act of 1980, as amended (42 U.S.C. 89801 at seq.), the Chicago Building Code (</w:t>
            </w:r>
            <w:r>
              <w:rPr>
                <w:u w:val="single"/>
              </w:rPr>
              <w:t>Title 17 Municipal, Code of Chicago</w:t>
            </w:r>
            <w:r>
              <w:rPr/>
              <w:t>) and any law of like import, Chapter 2-120-580 through 920 of the Municipal Code of Chicago regarding landmark restrictions and conditions affecting the Real Property. and all rules, regulations and government orders with respect thereto, and of any applicable Nit rating bureau, or other body exercising similar functions, affecting the Real Property or the maintenance, use or occupation thereof, or any street or sidewalk comprising a part of or in from thereof or any vault ln or under the Building.</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8088" w:type="dxa"/>
            <w:gridSpan w:val="2"/>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Mortgage:</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Any mortgage or trust indenture which may now or hereafter affect the Real Property, the Building or any Superior Lease and the leasehold interest created thereby, and all renewals, extensions, supplements, amendments, modifications, consolidations and replacements thereof or thereto, substitutions therefor, and advances made thereunder.</w:t>
            </w:r>
          </w:p>
        </w:tc>
      </w:tr>
      <w:tr>
        <w:trPr>
          <w:trHeight w:val="120" w:hRule="atLeast"/>
        </w:trPr>
        <w:tc>
          <w:tcPr>
            <w:tcW w:w="2117" w:type="dxa"/>
            <w:tcBorders/>
            <w:vAlign w:val="center"/>
          </w:tcPr>
          <w:p>
            <w:pPr>
              <w:pStyle w:val="TableContents"/>
              <w:bidi w:val="0"/>
              <w:spacing w:before="0" w:after="283"/>
              <w:jc w:val="left"/>
              <w:rPr>
                <w:sz w:val="4"/>
                <w:szCs w:val="4"/>
              </w:rPr>
            </w:pPr>
            <w:r>
              <w:rPr>
                <w:sz w:val="4"/>
                <w:szCs w:val="4"/>
              </w:rPr>
            </w:r>
          </w:p>
        </w:tc>
        <w:tc>
          <w:tcPr>
            <w:tcW w:w="8088" w:type="dxa"/>
            <w:gridSpan w:val="2"/>
            <w:tcBorders/>
            <w:vAlign w:val="center"/>
          </w:tcPr>
          <w:p>
            <w:pPr>
              <w:pStyle w:val="TableContents"/>
              <w:bidi w:val="0"/>
              <w:spacing w:before="0" w:after="283"/>
              <w:jc w:val="left"/>
              <w:rPr>
                <w:sz w:val="4"/>
                <w:szCs w:val="4"/>
              </w:rPr>
            </w:pPr>
            <w:r>
              <w:rPr>
                <w:sz w:val="4"/>
                <w:szCs w:val="4"/>
              </w:rPr>
            </w:r>
          </w:p>
        </w:tc>
      </w:tr>
      <w:tr>
        <w:trPr/>
        <w:tc>
          <w:tcPr>
            <w:tcW w:w="2117" w:type="dxa"/>
            <w:tcBorders/>
          </w:tcPr>
          <w:p>
            <w:pPr>
              <w:pStyle w:val="TableContents"/>
              <w:bidi w:val="0"/>
              <w:spacing w:before="0" w:after="283"/>
              <w:jc w:val="left"/>
              <w:rPr>
                <w:u w:val="single"/>
              </w:rPr>
            </w:pPr>
            <w:r>
              <w:rPr>
                <w:u w:val="single"/>
              </w:rPr>
              <w:t>Mortgagee:</w:t>
            </w:r>
          </w:p>
        </w:tc>
        <w:tc>
          <w:tcPr>
            <w:tcW w:w="120" w:type="dxa"/>
            <w:tcBorders/>
            <w:vAlign w:val="bottom"/>
          </w:tcPr>
          <w:p>
            <w:pPr>
              <w:pStyle w:val="TableContents"/>
              <w:bidi w:val="0"/>
              <w:spacing w:before="0" w:after="283"/>
              <w:jc w:val="left"/>
              <w:rPr/>
            </w:pPr>
            <w:r>
              <w:rPr/>
              <w:t>  </w:t>
            </w:r>
          </w:p>
        </w:tc>
        <w:tc>
          <w:tcPr>
            <w:tcW w:w="7968" w:type="dxa"/>
            <w:tcBorders/>
          </w:tcPr>
          <w:p>
            <w:pPr>
              <w:pStyle w:val="TableContents"/>
              <w:bidi w:val="0"/>
              <w:spacing w:before="0" w:after="283"/>
              <w:jc w:val="left"/>
              <w:rPr/>
            </w:pPr>
            <w:r>
              <w:rPr/>
              <w:t>Any mortgagee, trustee or other holder of a Mortgage.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57"/>
        <w:gridCol w:w="123"/>
        <w:gridCol w:w="8025"/>
      </w:tblGrid>
      <w:tr>
        <w:trPr/>
        <w:tc>
          <w:tcPr>
            <w:tcW w:w="205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025" w:type="dxa"/>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Person:</w:t>
            </w:r>
          </w:p>
        </w:tc>
        <w:tc>
          <w:tcPr>
            <w:tcW w:w="123"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Any individual, corporation, partnership, limited liability company, limited liability partnership, joint venture, estate, trust, unincorporated association, business trust, tenancy-in-common or other entity, or any Governmental Authority.</w:t>
            </w:r>
          </w:p>
        </w:tc>
      </w:tr>
      <w:tr>
        <w:trPr>
          <w:trHeight w:val="120" w:hRule="atLeast"/>
        </w:trPr>
        <w:tc>
          <w:tcPr>
            <w:tcW w:w="2057" w:type="dxa"/>
            <w:tcBorders/>
            <w:vAlign w:val="center"/>
          </w:tcPr>
          <w:p>
            <w:pPr>
              <w:pStyle w:val="TableContents"/>
              <w:bidi w:val="0"/>
              <w:spacing w:before="0" w:after="283"/>
              <w:jc w:val="left"/>
              <w:rPr>
                <w:sz w:val="4"/>
                <w:szCs w:val="4"/>
              </w:rPr>
            </w:pPr>
            <w:r>
              <w:rPr>
                <w:sz w:val="4"/>
                <w:szCs w:val="4"/>
              </w:rPr>
            </w:r>
          </w:p>
        </w:tc>
        <w:tc>
          <w:tcPr>
            <w:tcW w:w="8148" w:type="dxa"/>
            <w:gridSpan w:val="2"/>
            <w:tcBorders/>
            <w:vAlign w:val="center"/>
          </w:tcPr>
          <w:p>
            <w:pPr>
              <w:pStyle w:val="TableContents"/>
              <w:bidi w:val="0"/>
              <w:spacing w:before="0" w:after="283"/>
              <w:jc w:val="left"/>
              <w:rPr>
                <w:sz w:val="4"/>
                <w:szCs w:val="4"/>
              </w:rPr>
            </w:pPr>
            <w:r>
              <w:rPr>
                <w:sz w:val="4"/>
                <w:szCs w:val="4"/>
              </w:rPr>
            </w:r>
          </w:p>
        </w:tc>
      </w:tr>
      <w:tr>
        <w:trPr/>
        <w:tc>
          <w:tcPr>
            <w:tcW w:w="2057" w:type="dxa"/>
            <w:tcBorders/>
          </w:tcPr>
          <w:p>
            <w:pPr>
              <w:pStyle w:val="TableContents"/>
              <w:bidi w:val="0"/>
              <w:spacing w:before="0" w:after="283"/>
              <w:jc w:val="left"/>
              <w:rPr>
                <w:u w:val="single"/>
              </w:rPr>
            </w:pPr>
            <w:r>
              <w:rPr>
                <w:u w:val="single"/>
              </w:rPr>
              <w:t>Prohibited Use:</w:t>
            </w:r>
          </w:p>
        </w:tc>
        <w:tc>
          <w:tcPr>
            <w:tcW w:w="123" w:type="dxa"/>
            <w:tcBorders/>
            <w:vAlign w:val="bottom"/>
          </w:tcPr>
          <w:p>
            <w:pPr>
              <w:pStyle w:val="TableContents"/>
              <w:bidi w:val="0"/>
              <w:spacing w:before="0" w:after="283"/>
              <w:jc w:val="left"/>
              <w:rPr/>
            </w:pPr>
            <w:r>
              <w:rPr/>
              <w:t>  </w:t>
            </w:r>
          </w:p>
        </w:tc>
        <w:tc>
          <w:tcPr>
            <w:tcW w:w="8025" w:type="dxa"/>
            <w:tcBorders/>
          </w:tcPr>
          <w:p>
            <w:pPr>
              <w:pStyle w:val="TableContents"/>
              <w:bidi w:val="0"/>
              <w:spacing w:before="0" w:after="283"/>
              <w:jc w:val="left"/>
              <w:rPr/>
            </w:pPr>
            <w:r>
              <w:rPr/>
              <w:t xml:space="preserve">Any use, occupancy or purpose which is not a Permitted Use or any use or occupancy of the Premises that in Landlords reasonable judgment would: (a) cause damage to the Building, the 900 North Building (defined below), the Premises or any equipment, facilities or other systems therein; (b) impair the appearance of the Premises, the Building or the 900 North Building; (c) interfere with the efficient and economical maintenance, operation and repair of the Premises or the Building or the equipment, facings or systems thereof; (d) adversely affect any service provided to, and/or the use and occupancy by, any Building or the 900 North Building tenant or occupants; (e) violate the certificate of occupancy issued for the Premises or the Building or (f) adversely affect the first class image of the Building or the 900 North Building. </w:t>
            </w:r>
            <w:r>
              <w:rPr>
                <w:u w:val="single"/>
              </w:rPr>
              <w:t>Prohibited</w:t>
            </w:r>
            <w:r>
              <w:rPr/>
              <w:t xml:space="preserve"> </w:t>
            </w:r>
            <w:r>
              <w:rPr>
                <w:u w:val="single"/>
              </w:rPr>
              <w:t>Use</w:t>
            </w:r>
            <w:r>
              <w:rPr/>
              <w:t xml:space="preserve"> also includes the use of any part of the Premises for: (i) a restaurant, tavern or bar; (ii) the preparation, consumption, storage, manufacture or sale of food or beverages (except in connection with vending machines and/or a pantry (which may include a microwave oven) installed solely and exclusively for the use of Tenants employees and invitees), liquor, tobacco or drugs; (iii) the business of photocopying, multililth or offset printing (except photocopying in connection with Tenants own business); (iv) a typing or stenography business; (v) a school or classroom; (vi) lodging or sleeping; (vii) the operation of retail facilities (meaning a business whose primary patronage arises from the generated solicitation of the general public to visit Tenants offices in person without a prior appointment) or a savings and loan association or retail facilities or any financial, lending, securities brokerage or investment activity, except as permitted pursuant to the Permitted Use; (viii) a payroll office; (ix) a barber, beauty or manicure shop; (x) an employment agency, executive search firm or similar enterprise; (xi) offices of the City of Chicago or the State of Illinois or of any other Governmental Authority, any foreign government, the United Nations. or any agency or department of any of the foregoing; (xi) the manufacture, retail sale, storage of merchandise or auction of merchandise, goods or property of tiny kind to the general public; (xiii) the rendering of medical, dental or other therapeutic or diagnostic services expressly including, without limitation, a clinic, office or other facility performing abortions; (xiv) any pornographic indecent or immoral use or purpose including, without limitation, an establishment selling or exhibiting pornographic materials or drug related paraphernalia or an adult theatre or live performance theatre exhibiting nude or lewd performers or performances or lascivious behavior; (xv) any illegal purposes or any activity constituting a legal nuisance; (xvi) a fire sale, bankruptcy or going out of business sale (unless permitted pursuant to a court order with proper permits issued by the City of Chicago); (xvii) a mortuary or funeral home; (xviii) a carnival or flea market; (xix) an off-track betting store or parlor; (xx) a pawn shop or currency exchange; (xxi) a deep discount store; (xxii) a bowling alley, disco, nightclub, pool or billiard hall, dance hall or amusement or video arcade; (xxiii) a massage parlor; (xxiv) a gun shop or firing range; (xxv) a salvage shop; (xxvi) a methadone clinic or drug or alcohol dependency clinic; (xxvii) a dry cleaner or other use which produces odors that emanate beyond the Premises; or (xxviii) any other use inconsistent with comparable buildings in a 1⁄2 mile radius of the Real Property.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072"/>
        <w:gridCol w:w="122"/>
        <w:gridCol w:w="8011"/>
      </w:tblGrid>
      <w:tr>
        <w:trPr/>
        <w:tc>
          <w:tcPr>
            <w:tcW w:w="207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Real Property:</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Collectively, the Building, the land on which the Building is located, and any other buildings, improvements and structures located on such land. For purposes of clarification, the term </w:t>
            </w:r>
            <w:r>
              <w:rPr>
                <w:b/>
              </w:rPr>
              <w:t>Real Property</w:t>
            </w:r>
            <w:r>
              <w:rPr/>
              <w:t> does not include any residential buildings, structures or units or parking facilities.</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Rent:</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Fixed Rent and Additional Rent, collectively.</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Rentable Square Feet (Foot or Footage):</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 xml:space="preserve">The deemed rentable area of the Building or any portion thereof, computed on the basis set forth below; </w:t>
            </w:r>
            <w:r>
              <w:rPr>
                <w:u w:val="single"/>
              </w:rPr>
              <w:t>provided</w:t>
            </w:r>
            <w:r>
              <w:rPr/>
              <w:t xml:space="preserve">, </w:t>
            </w:r>
            <w:r>
              <w:rPr>
                <w:u w:val="single"/>
              </w:rPr>
              <w:t>however</w:t>
            </w:r>
            <w:r>
              <w:rPr/>
              <w:t>, that in no event shall such deemed Rentable Square Footage constitute or imply any representation or warranty by Landlord as to the actual size of any floor or other portion of the Building, including the Premises.</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Rules and Regulations:</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 xml:space="preserve">The rules and regulations attached to this Lease as </w:t>
            </w:r>
            <w:r>
              <w:rPr>
                <w:u w:val="single"/>
              </w:rPr>
              <w:t>Exhibit B</w:t>
            </w:r>
            <w:r>
              <w:rPr/>
              <w:t xml:space="preserve"> and such additional rules and regulations as Landlord may adopt from time to time in a reasonable manner and which do not materially and adversely interfere with Tenants use of the Premises as permitted hereunder or reduce Tenants rights under this Lease.</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Substantial Completion:</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As to any construction performed by any party in the Premises, that all of such work has been completed substantially in accordance with (i) the provisions of this Lease applicable thereto, and (ii) the plans and specifications for such work, except for minor details of construction, decoration and mechanical adjustments. if any, the noncompletion of which does not materially interfere with Tenants use of the Premises, and with are capable of being corrected (in Landlords reasonable judgment) within thirty (30) days by the party performing the same (collectively the </w:t>
            </w:r>
            <w:r>
              <w:rPr>
                <w:b/>
              </w:rPr>
              <w:t>Punchlist Items</w:t>
            </w:r>
            <w:r>
              <w:rPr/>
              <w:t>) or which, in accordance with good construction practice, should be completed after the completion of other work to. be performed in the Premises.</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Superior Lease:</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Any ground or underlying lease of the Real Property or any part thereof heretofore or hereafter made by Landlord, as lessee, and all renewals, extensions, supplements, amendments and modifications thereof.</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Superior Lease:</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A lessor under a Superior Lease.</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Tenants Alterations:</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All Alterations, including Tenants initial Alterations, as defined in Section 4.1, in and to the Premises and elsewhere in the Building which may be made by or on behalf of Tenant prior to and during the Term, or any renewal thereof.</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Tenant Party:</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Any Tenant, any Affiliate of Tenant, any assignee of Tenant, any subtenant or any other occupant of the Premises, or any of their respective direct or indirect partners, officers, shareholders, directors, members, trustees, beneficiaries, employees, principals, contractors, licensees, invitees, servants, agents or representatives.</w:t>
            </w:r>
          </w:p>
        </w:tc>
      </w:tr>
      <w:tr>
        <w:trPr>
          <w:trHeight w:val="120" w:hRule="atLeast"/>
        </w:trPr>
        <w:tc>
          <w:tcPr>
            <w:tcW w:w="2072" w:type="dxa"/>
            <w:tcBorders/>
            <w:vAlign w:val="center"/>
          </w:tcPr>
          <w:p>
            <w:pPr>
              <w:pStyle w:val="TableContents"/>
              <w:bidi w:val="0"/>
              <w:spacing w:before="0" w:after="283"/>
              <w:jc w:val="left"/>
              <w:rPr>
                <w:sz w:val="4"/>
                <w:szCs w:val="4"/>
              </w:rPr>
            </w:pPr>
            <w:r>
              <w:rPr>
                <w:sz w:val="4"/>
                <w:szCs w:val="4"/>
              </w:rPr>
            </w:r>
          </w:p>
        </w:tc>
        <w:tc>
          <w:tcPr>
            <w:tcW w:w="8133" w:type="dxa"/>
            <w:gridSpan w:val="2"/>
            <w:tcBorders/>
            <w:vAlign w:val="center"/>
          </w:tcPr>
          <w:p>
            <w:pPr>
              <w:pStyle w:val="TableContents"/>
              <w:bidi w:val="0"/>
              <w:spacing w:before="0" w:after="283"/>
              <w:jc w:val="left"/>
              <w:rPr>
                <w:sz w:val="4"/>
                <w:szCs w:val="4"/>
              </w:rPr>
            </w:pPr>
            <w:r>
              <w:rPr>
                <w:sz w:val="4"/>
                <w:szCs w:val="4"/>
              </w:rPr>
            </w:r>
          </w:p>
        </w:tc>
      </w:tr>
      <w:tr>
        <w:trPr/>
        <w:tc>
          <w:tcPr>
            <w:tcW w:w="2072" w:type="dxa"/>
            <w:tcBorders/>
          </w:tcPr>
          <w:p>
            <w:pPr>
              <w:pStyle w:val="TableContents"/>
              <w:bidi w:val="0"/>
              <w:spacing w:before="0" w:after="283"/>
              <w:jc w:val="left"/>
              <w:rPr>
                <w:u w:val="single"/>
              </w:rPr>
            </w:pPr>
            <w:r>
              <w:rPr>
                <w:u w:val="single"/>
              </w:rPr>
              <w:t>Tenants Property;</w:t>
            </w:r>
          </w:p>
        </w:tc>
        <w:tc>
          <w:tcPr>
            <w:tcW w:w="122" w:type="dxa"/>
            <w:tcBorders/>
            <w:vAlign w:val="bottom"/>
          </w:tcPr>
          <w:p>
            <w:pPr>
              <w:pStyle w:val="TableContents"/>
              <w:bidi w:val="0"/>
              <w:spacing w:before="0" w:after="283"/>
              <w:jc w:val="left"/>
              <w:rPr/>
            </w:pPr>
            <w:r>
              <w:rPr/>
              <w:t>  </w:t>
            </w:r>
          </w:p>
        </w:tc>
        <w:tc>
          <w:tcPr>
            <w:tcW w:w="8011" w:type="dxa"/>
            <w:tcBorders/>
          </w:tcPr>
          <w:p>
            <w:pPr>
              <w:pStyle w:val="TableContents"/>
              <w:bidi w:val="0"/>
              <w:spacing w:before="0" w:after="283"/>
              <w:jc w:val="left"/>
              <w:rPr/>
            </w:pPr>
            <w:r>
              <w:rPr/>
              <w:t>Tenants movable fixtures and movable partitions, telephone and other communications equipment, computer systems, furniture, trade fixtures, furnishings, and other items of personal property installed by Tenant which are removable without material damage to the Premises or Building.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ARTICLE 2 DEMISE, PREMISES, TERM, RENT, SECURITY DEPOSIT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2.1</w:t>
      </w:r>
      <w:r>
        <w:rPr>
          <w:rFonts w:ascii="Times New Roman" w:hAnsi="Times New Roman"/>
          <w:sz w:val="20"/>
        </w:rPr>
        <w:t xml:space="preserve"> </w:t>
      </w:r>
      <w:r>
        <w:rPr>
          <w:rFonts w:ascii="Times New Roman" w:hAnsi="Times New Roman"/>
          <w:b/>
          <w:sz w:val="20"/>
          <w:u w:val="single"/>
        </w:rPr>
        <w:t>Lease of Premises; Possession prior to Commencement Date</w:t>
      </w:r>
      <w:r>
        <w:rPr>
          <w:rFonts w:ascii="Times New Roman" w:hAnsi="Times New Roman"/>
          <w:sz w:val="20"/>
        </w:rPr>
        <w:t xml:space="preserve">. Subject to the terms of this Lease, Landlord leases to Tenant and Tenant leases from Landlord the Premises for the Term. In addition, Landlord grants to Tenant the right to use. on a non-exclusive basis and in common with other tenants, the lobby area and other building common areas which are meant to be used by tenants of the Building. Subject to Landlords obligation to correct Latent Defects (as defined in Section 5.1) pursuant to the terms of Section 5.1, Tenant accepts the Premises in as is condition and configuration without any representations or warranties by Landlord or any party acting on Landlords behalf. By taking possession of the Premises, Tenant agrees that the Premises are in good order and satisfactory condition and that Landlord has no obligation to perform any work in the Premises, the Building or the Real Property or otherwise prepare the Premises for Tenants occupancy, provided, nothing contained in this Section 2.1 shall in any way limit, reduce or affect Landlords maintenance obligations as to the Premises pursuant to the terms and provisions of this Lease. Landlord shall not be liable for, and the validity of this Lease shall not be impaired by, a failure to deliver possession of the Premises or any other space due to the holdover or continued wrongful possession of such space by another party. Except as otherwise provided in this Lease, Tenant shall not be permitted to take possession of or enter the Premises prior to the Commencement Date without Landlords permission. If Tenant takes possession of or enters the Premises before the Commencement Date, Tenant shall pay for all services requested by Tenant (e.g., freight elevator usage and utilities) and Tenant shall be subject to the terms and conditions of this Lease; provided, however, (i) except for the cost of such services requested by Tenant. Tenant shall not be required to pay Rent for any entry or possession before the Commencement Date during which Tenant, with Landlords approval, has entered, or is in possession of, the Premises for the sole purpose of performing improvements or installing furniture, equipment or other personal property, and (ii) during the Beneficial Occupancy Period, Tenant shall not be required to pay Rent but shall pay the cost of utilities and janitorial services for the Premises and for any services specifically requested by Tenant. </w:t>
      </w:r>
    </w:p>
    <w:p>
      <w:pPr>
        <w:pStyle w:val="TextBody"/>
        <w:bidi w:val="0"/>
        <w:spacing w:before="240" w:after="0"/>
        <w:jc w:val="left"/>
        <w:rPr>
          <w:rFonts w:ascii="Times New Roman" w:hAnsi="Times New Roman"/>
          <w:sz w:val="20"/>
        </w:rPr>
      </w:pPr>
      <w:r>
        <w:rPr>
          <w:rFonts w:ascii="Times New Roman" w:hAnsi="Times New Roman"/>
          <w:sz w:val="20"/>
        </w:rPr>
        <w:t xml:space="preserve">A form of premises acceptance letter is attached as </w:t>
      </w:r>
      <w:r>
        <w:rPr>
          <w:rFonts w:ascii="Times New Roman" w:hAnsi="Times New Roman"/>
          <w:sz w:val="20"/>
          <w:u w:val="single"/>
        </w:rPr>
        <w:t>Exhibit G</w:t>
      </w:r>
      <w:r>
        <w:rPr>
          <w:rFonts w:ascii="Times New Roman" w:hAnsi="Times New Roman"/>
          <w:sz w:val="20"/>
        </w:rPr>
        <w:t xml:space="preserve"> (the </w:t>
      </w:r>
      <w:r>
        <w:rPr>
          <w:rFonts w:ascii="Times New Roman" w:hAnsi="Times New Roman"/>
          <w:b/>
          <w:sz w:val="20"/>
        </w:rPr>
        <w:t>Premises Acceptance Letter</w:t>
      </w:r>
      <w:r>
        <w:rPr>
          <w:rFonts w:ascii="Times New Roman" w:hAnsi="Times New Roman"/>
          <w:sz w:val="20"/>
        </w:rPr>
        <w:t>), Promptly after the determination of the Commencement Date, Landlord and Tenant shall execute and deliver a Premises Acceptance Letter specifying the dates referenced therein. If Tenant fails to execute and return the Premises Acceptance Letter, or to provide written objection to the statements contained in the Premises Acceptance Letter, within 30 days after the date Tenant receives the Premises Acceptance Letter from Landlord, Landlord shall provide an additional written notice to Tenant (</w:t>
      </w:r>
      <w:r>
        <w:rPr>
          <w:rFonts w:ascii="Times New Roman" w:hAnsi="Times New Roman"/>
          <w:b/>
          <w:sz w:val="20"/>
        </w:rPr>
        <w:t>Landlords Additional PAL Notice</w:t>
      </w:r>
      <w:r>
        <w:rPr>
          <w:rFonts w:ascii="Times New Roman" w:hAnsi="Times New Roman"/>
          <w:sz w:val="20"/>
        </w:rPr>
        <w:t xml:space="preserve">) advising Tenant that it has not executed the Premises Acceptance Letter or provided written objections thereto and that Tenant will be deemed to have approved the statements contained therein if Tenant does not deliver to Landlord either a signed Premises Acceptance Letter or written objections thereto within 5 Business Days after receipt of Landlords Additional PAL Notice. If Tenant falls to provide Landlord with either a signed Premises Acceptance Letter or written objections thereto within 5 Business Days after receipt of Landlords Additional PAL Notice, Tenant shall be deemed to have approved the statements contained in the Premises Acceptance Letter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2.2</w:t>
      </w:r>
      <w:r>
        <w:rPr>
          <w:rFonts w:ascii="Times New Roman" w:hAnsi="Times New Roman"/>
          <w:sz w:val="20"/>
        </w:rPr>
        <w:t xml:space="preserve"> </w:t>
      </w:r>
      <w:r>
        <w:rPr>
          <w:rFonts w:ascii="Times New Roman" w:hAnsi="Times New Roman"/>
          <w:b/>
          <w:sz w:val="20"/>
          <w:u w:val="single"/>
        </w:rPr>
        <w:t>Payment of Rent</w:t>
      </w:r>
      <w:r>
        <w:rPr>
          <w:rFonts w:ascii="Times New Roman" w:hAnsi="Times New Roman"/>
          <w:sz w:val="20"/>
        </w:rPr>
        <w:t xml:space="preserve">. Tenant shall pay to Landlord, without notice or demand, and without any set-off, counterclaim, abatement or deduction whatsoever, except as may be expressly set forth in this Lease, in lawful money of the United States by check or federal wire transfer of immediately available funds: (i) Fixed Rent in equal monthly installments, in advance, on the first (1st) day of each calendar month during the Term, commencing on the Commencement Date, and (ii) Additional Rent, at the times and in the manner set forth in this Lease. All other items of Rent shall be due and payable by Tenant on or before 30 days after billing by Landlord. All payments of Rent shall be made by electronic money transfer in accordance with Landlords written instructions regarding the same or by such other means or method of payment as Landlord may direct in writing. Unless otherwise notified in writing by Landlord, all payments of Rent shall be made by ACH transfer to Landlord in accordance with the following: Bank: PNC Bank, Bank Address: 1950 East Route 70, Cherry Hill, NJ 08003, Account Name: EQC Operating Trust, ABA Routing #: 031207607, Account #: 8026300702, Reference: 605280. Except as otherwise expressly set forth in this Lease, Tenants obligations to pay Rent are independent of each and every covenant contained in this Lease.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2.3</w:t>
      </w:r>
      <w:r>
        <w:rPr>
          <w:rFonts w:ascii="Times New Roman" w:hAnsi="Times New Roman"/>
          <w:sz w:val="20"/>
        </w:rPr>
        <w:t xml:space="preserve"> </w:t>
      </w:r>
      <w:r>
        <w:rPr>
          <w:rFonts w:ascii="Times New Roman" w:hAnsi="Times New Roman"/>
          <w:b/>
          <w:sz w:val="20"/>
          <w:u w:val="single"/>
        </w:rPr>
        <w:t>First Months</w:t>
      </w:r>
      <w:r>
        <w:rPr>
          <w:rFonts w:ascii="Times New Roman" w:hAnsi="Times New Roman"/>
          <w:sz w:val="20"/>
        </w:rPr>
        <w:t xml:space="preserve">. Rent. Tenant shall pay to Landlord an amount equal to the first full month of Fixed Rent due under this Lease upon the execution of this Lease by Tenant, which payment shall be applied by Landlord to the first months Fixed Rent due under this Lease following the Abatement Period (defined in Section 2.4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2.4</w:t>
      </w:r>
      <w:r>
        <w:rPr>
          <w:rFonts w:ascii="Times New Roman" w:hAnsi="Times New Roman"/>
          <w:sz w:val="20"/>
        </w:rPr>
        <w:t xml:space="preserve"> </w:t>
      </w:r>
      <w:r>
        <w:rPr>
          <w:rFonts w:ascii="Times New Roman" w:hAnsi="Times New Roman"/>
          <w:b/>
          <w:sz w:val="20"/>
          <w:u w:val="single"/>
        </w:rPr>
        <w:t>Rent Abatement</w:t>
      </w:r>
      <w:r>
        <w:rPr>
          <w:rFonts w:ascii="Times New Roman" w:hAnsi="Times New Roman"/>
          <w:sz w:val="20"/>
        </w:rPr>
        <w:t xml:space="preserve">. Notwithstanding anything to the contrary set forth in </w:t>
      </w:r>
      <w:r>
        <w:rPr>
          <w:rFonts w:ascii="Times New Roman" w:hAnsi="Times New Roman"/>
          <w:sz w:val="20"/>
          <w:u w:val="single"/>
        </w:rPr>
        <w:t>Exhibit C</w:t>
      </w:r>
      <w:r>
        <w:rPr>
          <w:rFonts w:ascii="Times New Roman" w:hAnsi="Times New Roman"/>
          <w:sz w:val="20"/>
        </w:rPr>
        <w:t xml:space="preserve"> so long as no Event of Default has occurred and is continuing, but subject to </w:t>
      </w:r>
      <w:r>
        <w:rPr>
          <w:rFonts w:ascii="Times New Roman" w:hAnsi="Times New Roman"/>
          <w:sz w:val="20"/>
          <w:u w:val="single"/>
        </w:rPr>
        <w:t>Section 7(c)</w:t>
      </w:r>
      <w:r>
        <w:rPr>
          <w:rFonts w:ascii="Times New Roman" w:hAnsi="Times New Roman"/>
          <w:sz w:val="20"/>
        </w:rPr>
        <w:t xml:space="preserve"> of </w:t>
      </w:r>
      <w:r>
        <w:rPr>
          <w:rFonts w:ascii="Times New Roman" w:hAnsi="Times New Roman"/>
          <w:sz w:val="20"/>
          <w:u w:val="single"/>
        </w:rPr>
        <w:t>Exhibit D</w:t>
      </w:r>
      <w:r>
        <w:rPr>
          <w:rFonts w:ascii="Times New Roman" w:hAnsi="Times New Roman"/>
          <w:sz w:val="20"/>
        </w:rPr>
        <w:t xml:space="preserve"> Tenant shall be entitled to (a) an abatement of 100% of the Fixed Rent due with respect to the Premises during each of the first 12 consecutive full calendar months following the Commencement Date (the </w:t>
      </w:r>
      <w:r>
        <w:rPr>
          <w:rFonts w:ascii="Times New Roman" w:hAnsi="Times New Roman"/>
          <w:b/>
          <w:sz w:val="20"/>
        </w:rPr>
        <w:t>Rent Abatement Period</w:t>
      </w:r>
      <w:r>
        <w:rPr>
          <w:rFonts w:ascii="Times New Roman" w:hAnsi="Times New Roman"/>
          <w:sz w:val="20"/>
        </w:rPr>
        <w:t>) (the total amount of Fixed Rent abated during the Rent Abatement Period is referred to as the </w:t>
      </w:r>
      <w:r>
        <w:rPr>
          <w:rFonts w:ascii="Times New Roman" w:hAnsi="Times New Roman"/>
          <w:b/>
          <w:sz w:val="20"/>
        </w:rPr>
        <w:t>Abated Base Rent</w:t>
      </w:r>
      <w:r>
        <w:rPr>
          <w:rFonts w:ascii="Times New Roman" w:hAnsi="Times New Roman"/>
          <w:sz w:val="20"/>
        </w:rPr>
        <w:t>), plus (b) an abatement of 100% of Tenants Operating Payment and Tenants Tax Payment payable for the Premises with respect to the Rent Abatement Period (collectively, the </w:t>
      </w:r>
      <w:r>
        <w:rPr>
          <w:rFonts w:ascii="Times New Roman" w:hAnsi="Times New Roman"/>
          <w:b/>
          <w:sz w:val="20"/>
        </w:rPr>
        <w:t>Abated Additional Rent</w:t>
      </w:r>
      <w:r>
        <w:rPr>
          <w:rFonts w:ascii="Times New Roman" w:hAnsi="Times New Roman"/>
          <w:sz w:val="20"/>
        </w:rPr>
        <w:t>). The Abated Base Rent and the Abated Additional Rent collectively are referred to as the </w:t>
      </w:r>
      <w:r>
        <w:rPr>
          <w:rFonts w:ascii="Times New Roman" w:hAnsi="Times New Roman"/>
          <w:b/>
          <w:sz w:val="20"/>
        </w:rPr>
        <w:t>Abated Rent.</w:t>
      </w:r>
      <w:r>
        <w:rPr>
          <w:rFonts w:ascii="Times New Roman" w:hAnsi="Times New Roman"/>
          <w:sz w:val="20"/>
        </w:rPr>
        <w:t xml:space="preserve"> During the Rent Abatement Period, only Fixed Rent, Tenants Operating Payment and Tenants Tax Payment shall be abated, and all other Additional Rent and other costs and charges specified in the Lease shall remain as due and payable pursuant to the provisions of the Lease.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2.5</w:t>
      </w:r>
      <w:r>
        <w:rPr>
          <w:rFonts w:ascii="Times New Roman" w:hAnsi="Times New Roman"/>
          <w:sz w:val="20"/>
        </w:rPr>
        <w:t xml:space="preserve"> </w:t>
      </w:r>
      <w:r>
        <w:rPr>
          <w:rFonts w:ascii="Times New Roman" w:hAnsi="Times New Roman"/>
          <w:b/>
          <w:sz w:val="20"/>
          <w:u w:val="single"/>
        </w:rPr>
        <w:t>Security Deposit</w:t>
      </w:r>
      <w:r>
        <w:rPr>
          <w:rFonts w:ascii="Times New Roman" w:hAnsi="Times New Roman"/>
          <w:sz w:val="20"/>
        </w:rPr>
        <w:t xml:space="preserve">. The Security Deposit shall be delivered to Landlord upon the execution of this Lease by Tenant and held by Landlord without liability for interest (unless required by Legal Requirements) as security for the performance of Tenants obligations. The Security Deposit is not an advance payment of Rent or a measure of damages. Landlord may from time to time and without prejudice to any other remedy provided in this Lease or by Legal Requirements, use all or a portion of the Security Deposit to the extent necessary to satisfy past due Rent or to satisfy any other obligation, loss or damage resulting from Tenants breach under this Lease. If Landlord uses any portion of the Security Deposit, Tenant within five (5) Business Days after written demand, shall restore the Security Deposit to its original amount Landlord shall return any unapplied portion of the Security Deposit to Tenant within thirty (30) days after the later to occur of the Expiration Date or the date Tenant surrenders the Premises to Landlord in compliance with the terms of this Lease. Landlord may assign the Security Deposit to a successor or transferee and, following the assignment, Landlord shall have no further liability for the return of the Security Deposit. Landlord shall not be required to keep the Security Deposit separate from its other accounts.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remaining terms of this </w:t>
      </w:r>
      <w:r>
        <w:rPr>
          <w:rFonts w:ascii="Times New Roman" w:hAnsi="Times New Roman"/>
          <w:sz w:val="20"/>
          <w:u w:val="single"/>
        </w:rPr>
        <w:t>Section 2.5</w:t>
      </w:r>
      <w:r>
        <w:rPr>
          <w:rFonts w:ascii="Times New Roman" w:hAnsi="Times New Roman"/>
          <w:sz w:val="20"/>
        </w:rPr>
        <w:t xml:space="preserve"> and provided that, during the twelve (12) month period immediately preceding the effective date of any reduction of the Security Deposit, Tenant has timely paid all Rent and no Event of Default has occurred and is continuing under this Lease as of the date upon which Tenant is entitled to a reduction in the Security Deposit pursuant to this </w:t>
      </w:r>
      <w:r>
        <w:rPr>
          <w:rFonts w:ascii="Times New Roman" w:hAnsi="Times New Roman"/>
          <w:sz w:val="20"/>
          <w:u w:val="single"/>
        </w:rPr>
        <w:t>Section 2.5</w:t>
      </w:r>
      <w:r>
        <w:rPr>
          <w:rFonts w:ascii="Times New Roman" w:hAnsi="Times New Roman"/>
          <w:sz w:val="20"/>
        </w:rPr>
        <w:t xml:space="preserve"> (the </w:t>
      </w:r>
      <w:r>
        <w:rPr>
          <w:rFonts w:ascii="Times New Roman" w:hAnsi="Times New Roman"/>
          <w:b/>
          <w:sz w:val="20"/>
        </w:rPr>
        <w:t>Security Reduction Conditions</w:t>
      </w:r>
      <w:r>
        <w:rPr>
          <w:rFonts w:ascii="Times New Roman" w:hAnsi="Times New Roman"/>
          <w:sz w:val="20"/>
        </w:rPr>
        <w:t xml:space="preserve">), Tenant shall have the right to reduce the amount of the Security Deposit so that the new Security Deposit amounts will be as follows: (i) $250,000.00 effective as of the last day of the 48th full calendar month of the Term; and (ii) $0.00 effective as of last day of the 60th full calendar month of the Term. If Tenant is not entitled to reduce the Security Deposit as of a particular reduction effective date due to Tenants failure to satisfy the Security Reduction Conditions during the twelve (12) month period prior to that particular reduction effective date, then any subsequent reduction(s) Tenant is entitled to hereunder shall be reduced by the amount of the reduction Tenant would have been entitled to had Tenant satisfied the Security Reduction Conditions during such twelve (12) month period. Notwithstanding anything to the contrary contained herein, if an Event of Default has occurred under this Lease at any time prior to the effective date of any reduction of the Security Deposit and Tenant has failed to cure such Event of Default, then Tenant shall have no further right to reduce the amount of the Security Deposit as described herein. </w:t>
      </w:r>
    </w:p>
    <w:p>
      <w:pPr>
        <w:pStyle w:val="TextBody"/>
        <w:bidi w:val="0"/>
        <w:spacing w:before="240" w:after="0"/>
        <w:jc w:val="left"/>
        <w:rPr>
          <w:rFonts w:ascii="Times New Roman" w:hAnsi="Times New Roman"/>
          <w:sz w:val="20"/>
        </w:rPr>
      </w:pPr>
      <w:r>
        <w:rPr>
          <w:rFonts w:ascii="Times New Roman" w:hAnsi="Times New Roman"/>
          <w:sz w:val="20"/>
        </w:rPr>
        <w:t>If Tenant is entitled to a reduction in the Security Deposit, Tenant shall provide Landlord with written notice requesting that the Security Deposit be reduced as provided above (the </w:t>
      </w:r>
      <w:r>
        <w:rPr>
          <w:rFonts w:ascii="Times New Roman" w:hAnsi="Times New Roman"/>
          <w:b/>
          <w:sz w:val="20"/>
        </w:rPr>
        <w:t>Security Reduction Notice</w:t>
      </w:r>
      <w:r>
        <w:rPr>
          <w:rFonts w:ascii="Times New Roman" w:hAnsi="Times New Roman"/>
          <w:sz w:val="20"/>
        </w:rPr>
        <w:t xml:space="preserve">). If Tenant provides Landlord with a Security Reduction Notice, and Tenant is entitled to reduce the Security Deposit as provided herein, Landlord shall refund the applicable portion of the Security Deposit to Tenant within thirty (30) days after the later to occur of (a) Landlords receipt of the Security Reduction Notice, or (b) the date upon which Tenant is entitled to a reduction in the Security Deposit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2.6</w:t>
      </w:r>
      <w:r>
        <w:rPr>
          <w:rFonts w:ascii="Times New Roman" w:hAnsi="Times New Roman"/>
          <w:sz w:val="20"/>
        </w:rPr>
        <w:t xml:space="preserve"> </w:t>
      </w:r>
      <w:r>
        <w:rPr>
          <w:rFonts w:ascii="Times New Roman" w:hAnsi="Times New Roman"/>
          <w:b/>
          <w:sz w:val="20"/>
          <w:u w:val="single"/>
        </w:rPr>
        <w:t>Letter of Credit</w:t>
      </w:r>
      <w:r>
        <w:rPr>
          <w:rFonts w:ascii="Times New Roman" w:hAnsi="Times New Roman"/>
          <w:sz w:val="20"/>
        </w:rPr>
        <w:t>. The Security Deposit may be in the form of negotiable standby letter of credit (the </w:t>
      </w:r>
      <w:r>
        <w:rPr>
          <w:rFonts w:ascii="Times New Roman" w:hAnsi="Times New Roman"/>
          <w:b/>
          <w:sz w:val="20"/>
        </w:rPr>
        <w:t>Letter of Credit</w:t>
      </w:r>
      <w:r>
        <w:rPr>
          <w:rFonts w:ascii="Times New Roman" w:hAnsi="Times New Roman"/>
          <w:sz w:val="20"/>
        </w:rPr>
        <w:t xml:space="preserve">), which Letter of Credit shall be delivered to Landlord upon the execution of this Lease by Tenant and shall: (a) be in the amount of $500,000.00, (b) be issued on the form attached hereto as </w:t>
      </w:r>
      <w:r>
        <w:rPr>
          <w:rFonts w:ascii="Times New Roman" w:hAnsi="Times New Roman"/>
          <w:sz w:val="20"/>
          <w:u w:val="single"/>
        </w:rPr>
        <w:t>Exhibit H</w:t>
      </w:r>
      <w:r>
        <w:rPr>
          <w:rFonts w:ascii="Times New Roman" w:hAnsi="Times New Roman"/>
          <w:sz w:val="20"/>
        </w:rPr>
        <w:t xml:space="preserve"> or another form meeting the requirements set forth herein and otherwise acceptable to Landlord, (c) name Landlord as its beneficiary, (d) be drawn on an FDIC insured financial institution satisfactory to the Landlord (the </w:t>
      </w:r>
      <w:r>
        <w:rPr>
          <w:rFonts w:ascii="Times New Roman" w:hAnsi="Times New Roman"/>
          <w:b/>
          <w:sz w:val="20"/>
        </w:rPr>
        <w:t>Issuing Banks</w:t>
      </w:r>
      <w:r>
        <w:rPr>
          <w:rFonts w:ascii="Times New Roman" w:hAnsi="Times New Roman"/>
          <w:sz w:val="20"/>
        </w:rPr>
        <w:t>), (e) be able to be drawn upon in Chicago, Illinois, (f) be callable at sight, unconditional and irrevocable, (g) be fully assignable, without a fee (or with a fee that shall be payable by Tenant), by Landlord and its successors and assigns, (h) permit partial draws and multiple presentations. If permitted by applicable Legal Requirements, the Letter of Credit shall be an evergreen letter of credit, which shall be for a term of not less than 1 year, and which provides that the same shall be automatically renewed for successive 1 year periods through a date which is not earlier than thirty (30) days after the Expiration Date of this Lease, as such date is renewed or extended (the </w:t>
      </w:r>
      <w:r>
        <w:rPr>
          <w:rFonts w:ascii="Times New Roman" w:hAnsi="Times New Roman"/>
          <w:b/>
          <w:sz w:val="20"/>
        </w:rPr>
        <w:t>LOC Expiration Date</w:t>
      </w:r>
      <w:r>
        <w:rPr>
          <w:rFonts w:ascii="Times New Roman" w:hAnsi="Times New Roman"/>
          <w:sz w:val="20"/>
        </w:rPr>
        <w:t xml:space="preserve">). In the event an evergreen letter of credit is not permitted by applicable Legal Requirements or a letter of credit cannot be obtained through the LOC Expiration Date, the Letter of Credit (and any renewals or replacements thereof) shall be for a term of not less than 1 year, and Tenant agrees that it shall from time to time, as necessary, as a result of the expiration of the Letter of Credit then in effect, renew or replace the original and any subsequent Letter of Credit so that a Letter of Credit, in the amount required hereunder and meeting the requirements set forth herein, is in effect until a date which is at least thirty (30) days after the LOC Expiration Date. If the LOC Expiration Date is after the stated expiration date of the Letter of Credit then held by Landlord and either the issuing Bank does not renew the Letter of Credit at least sixty (60) days prior to the stated expiration date of such Letter of Credit or Tenant fails to furnish to Landlord such renewal or replacement at least sixty (60) days prior to the stated expiration date of such Letter of Credit, then Landlord, or its managing agent, may draw upon such Letter of Credit and hold the proceeds thereof (and such proceeds need not be segregated) as a Security Deposit pursuant to the terms of </w:t>
      </w:r>
      <w:r>
        <w:rPr>
          <w:rFonts w:ascii="Times New Roman" w:hAnsi="Times New Roman"/>
          <w:sz w:val="20"/>
          <w:u w:val="single"/>
        </w:rPr>
        <w:t>Section 2.5</w:t>
      </w:r>
      <w:r>
        <w:rPr>
          <w:rFonts w:ascii="Times New Roman" w:hAnsi="Times New Roman"/>
          <w:sz w:val="20"/>
        </w:rPr>
        <w:t xml:space="preserve"> above. In addition, Landlord, or its then managing agent, shall have the right to draw down an amount up to the face amount of the Letter of Credit if any of the following shall have occurred or are applicable: (1) such amount is due to Landlord under the terms and conditions of this Lease and remains unpaid after the expiration of any applicable notice and cure period, or (2) Tenant has filed a voluntary petition under the U. S. Bankruptcy Code or any state bankruptcy code (collectively, </w:t>
      </w:r>
      <w:r>
        <w:rPr>
          <w:rFonts w:ascii="Times New Roman" w:hAnsi="Times New Roman"/>
          <w:b/>
          <w:sz w:val="20"/>
        </w:rPr>
        <w:t>Bankruptcy Code</w:t>
      </w:r>
      <w:r>
        <w:rPr>
          <w:rFonts w:ascii="Times New Roman" w:hAnsi="Times New Roman"/>
          <w:sz w:val="20"/>
        </w:rPr>
        <w:t xml:space="preserve">), or (3) an involuntary petition has been filed against Tenant under the Bankruptcy Code, or (4) the long term rating of the issuing Bank has been downgraded to BBB or lower (by Standard &amp; Poors) or Baa2 or lower (by Moodys) and Tenant has failed to deliver a new Letter of Credit from a bank with a long term rating of A or higher (by Standard &amp; Poors) or A2 or higher (by Moodys) and otherwise meeting the requirements set forth in this Section within ten (10) Business Days following notice from Landlord. The Letter of Credit will be honored by the issuing Bank regardless of whether Tenant disputes Landlords right to draw upon the Letter of Credit. Any renewal or replacement of the original or any subsequent Letter of Credit shall meet the requirements for the original Letter of Credit as set forth above, except that such replacement or renewal shall be issued by an FDIC insured financial institution satisfactory to the Landlord at the time of the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If Landlord draws on the Letter of Credit as permitted in this Lease or by the Letter of Credit, then, within ten (10) Business Days after receipt of Landlords written demand, Tenant shall restore the amount available under the Letter of Credit to its original amount by providing Landlord with an amendment to the Letter of Credit evidencing that the amount available under the Letter of Credit has been restored to its original amount and Tenants failure to do so shall constitute an incurable Default. In the alternative, Tenant may provide Landlord with cash, to be held by Landlord in accordance with </w:t>
      </w:r>
      <w:r>
        <w:rPr>
          <w:rFonts w:ascii="Times New Roman" w:hAnsi="Times New Roman"/>
          <w:sz w:val="20"/>
          <w:u w:val="single"/>
        </w:rPr>
        <w:t>Section 2.5</w:t>
      </w:r>
      <w:r>
        <w:rPr>
          <w:rFonts w:ascii="Times New Roman" w:hAnsi="Times New Roman"/>
          <w:sz w:val="20"/>
        </w:rPr>
        <w:t xml:space="preserve"> above, equal to the restoration amount required under the Letter of Credit. If Landlord desires to assign the Letter of Credit, Tenant shall execute and deliver to the issuing Bank and documents required to effectuate such transfer and pay any transfer and processing fees. </w:t>
      </w:r>
    </w:p>
    <w:p>
      <w:pPr>
        <w:pStyle w:val="TextBody"/>
        <w:bidi w:val="0"/>
        <w:spacing w:before="240" w:after="0"/>
        <w:jc w:val="left"/>
        <w:rPr>
          <w:rFonts w:ascii="Times New Roman" w:hAnsi="Times New Roman"/>
          <w:sz w:val="20"/>
        </w:rPr>
      </w:pPr>
      <w:r>
        <w:rPr>
          <w:rFonts w:ascii="Times New Roman" w:hAnsi="Times New Roman"/>
          <w:sz w:val="20"/>
        </w:rPr>
        <w:t>The use, application or retention of the Letter of Credit, or any portion thereof, by Landlord shall not prevent Landlord from exercising any other right or remedy provided by this Lease or by any applicable Legal Requirements, it being intended that Landlord shall not first be required to proceed against the Letter of Credit, and it shall not operate as a limitation on any recovery to which Landlord may otherwise be entitled. Tenant agrees not to interfere in any way with payment to Landlord of the proceeds of the Letter of Credit. No condition or term of this Lease shall be deemed to render the Letter of Credit conditional to justify the issuing Bank in failing to honor a drawing upon such Letter of Credit in a timely manner. Tenant agrees and acknowledges that (a) the Letter of Credit constitutes a separate and independent contract between Landlord and the issuing Bank, (b) Tenant is not a third party beneficiary of such contract, (c)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Tenant has no property interest whatsoever in the Letter of Credit or the proceeds thereof, and (d) in the event Tenant becomes a debtor under any chapter of the Bankruptcy Code, neither Tenant, any trustee, nor Tenants bankruptcy estate shall have any right to restrict or limit Landlords claim and/or rights to the Letter of Credit and/or the proceeds thereof by application of Section 502(b)(6) of the U. S. Bankruptcy Code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remaining terms of this </w:t>
      </w:r>
      <w:r>
        <w:rPr>
          <w:rFonts w:ascii="Times New Roman" w:hAnsi="Times New Roman"/>
          <w:sz w:val="20"/>
          <w:u w:val="single"/>
        </w:rPr>
        <w:t>Section 2.6</w:t>
      </w:r>
      <w:r>
        <w:rPr>
          <w:rFonts w:ascii="Times New Roman" w:hAnsi="Times New Roman"/>
          <w:sz w:val="20"/>
        </w:rPr>
        <w:t xml:space="preserve"> and provided that the Security Reduction Conditions are satisfied, the balance of the Letter of Credit shall be reduced to (i) $250,000.00 effective as of the last day of the 48th full calendar month of the Term, and (ii) $0.00 effective as of the last day of the 60th full calendar month of the Term (each a </w:t>
      </w:r>
      <w:r>
        <w:rPr>
          <w:rFonts w:ascii="Times New Roman" w:hAnsi="Times New Roman"/>
          <w:b/>
          <w:sz w:val="20"/>
        </w:rPr>
        <w:t>Reduction Date</w:t>
      </w:r>
      <w:r>
        <w:rPr>
          <w:rFonts w:ascii="Times New Roman" w:hAnsi="Times New Roman"/>
          <w:sz w:val="20"/>
        </w:rPr>
        <w:t xml:space="preserve">). On each Reduction Date, Tenant shall send Landlord a notice requesting Landlord to reduce the Security Deposit. Provided the Security Reduction Conditions are satisfied, Landlord shall consent in writing to, and, at no cost to Landlord (A) accept from the issuing Bank, an amendment to the Letter of Credit or a substitute Letter of Credit in the form annexed hereto as </w:t>
      </w:r>
      <w:r>
        <w:rPr>
          <w:rFonts w:ascii="Times New Roman" w:hAnsi="Times New Roman"/>
          <w:sz w:val="20"/>
          <w:u w:val="single"/>
        </w:rPr>
        <w:t>Exhibit H</w:t>
      </w:r>
      <w:r>
        <w:rPr>
          <w:rFonts w:ascii="Times New Roman" w:hAnsi="Times New Roman"/>
          <w:sz w:val="20"/>
        </w:rPr>
        <w:t xml:space="preserve"> or another font meeting the requirements set forth herein and otherwise acceptable to Landlord, which reduces the Letter of Credit as provided herein but which does not otherwise amend or modify same, and (B) if requested by the issuing Bank, execute and deliver to the issuing Bank such instruments reasonably required by the issuing Bank to effectuate such reduction.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ARTICLE 3 USE AND OCCUPANCY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3.1</w:t>
      </w:r>
      <w:r>
        <w:rPr>
          <w:rFonts w:ascii="Times New Roman" w:hAnsi="Times New Roman"/>
          <w:sz w:val="20"/>
        </w:rPr>
        <w:t xml:space="preserve"> </w:t>
      </w:r>
      <w:r>
        <w:rPr>
          <w:rFonts w:ascii="Times New Roman" w:hAnsi="Times New Roman"/>
          <w:b/>
          <w:sz w:val="20"/>
          <w:u w:val="single"/>
        </w:rPr>
        <w:t>Permitted Use: Licenses and Permits</w:t>
      </w:r>
      <w:r>
        <w:rPr>
          <w:rFonts w:ascii="Times New Roman" w:hAnsi="Times New Roman"/>
          <w:sz w:val="20"/>
        </w:rPr>
        <w:t xml:space="preserve">. Tenant shall use and occupy the Premises for the Permitted Use and for no other purpose. Tenant acknowledges that Tenants use of the Premises solely for the specific use set forth in the Permitted Use paragraph of </w:t>
      </w:r>
      <w:r>
        <w:rPr>
          <w:rFonts w:ascii="Times New Roman" w:hAnsi="Times New Roman"/>
          <w:sz w:val="20"/>
          <w:u w:val="single"/>
        </w:rPr>
        <w:t>Section 1.1</w:t>
      </w:r>
      <w:r>
        <w:rPr>
          <w:rFonts w:ascii="Times New Roman" w:hAnsi="Times New Roman"/>
          <w:sz w:val="20"/>
        </w:rPr>
        <w:t xml:space="preserve"> above is a primary inducement for Landlords execution and delivery of this Lease, and the performance of Landlords obligations hereunder, in order that Landlord may ensure that there be maintained within the Building an appropriate tenant mix for the continued operation of a multiuse retail, office and telecommunications mixed-use development Tenant shall not use or occupy or Permit the use or occupancy of any Part of the Premises in a manner constituting a Prohibited Use, which violates any Legal Requirement, which causes the Building to be in violation of any Legal Requirement, or which exceeds the floor loads for the Premises. Tenant at its expense, shall procure and at all times maintain and comply with the terms and conditions of all licenses and permits required for the lased conduct of the Permitted Use in the Premises. Landlord makes no representation to Tenant that Tenant will be able to obtain all required licenses or permits for Tenants Permitted Use.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4 ALTERATIONS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4.1</w:t>
      </w:r>
      <w:r>
        <w:rPr>
          <w:rFonts w:ascii="Times New Roman" w:hAnsi="Times New Roman"/>
          <w:sz w:val="20"/>
        </w:rPr>
        <w:t xml:space="preserve"> </w:t>
      </w:r>
      <w:r>
        <w:rPr>
          <w:rFonts w:ascii="Times New Roman" w:hAnsi="Times New Roman"/>
          <w:b/>
          <w:sz w:val="20"/>
          <w:u w:val="single"/>
        </w:rPr>
        <w:t>Landlords Consent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Tenants Alterations</w:t>
      </w:r>
      <w:r>
        <w:rPr>
          <w:rFonts w:ascii="Times New Roman" w:hAnsi="Times New Roman"/>
          <w:sz w:val="20"/>
        </w:rPr>
        <w:t>. Tenant shall not make any Alterations, including, without limitation, Tenants installation and construction of the Premises to prepare the Premises for Tenet occupancy as well as fixturing, cabling and computer installations in connection therewith (collectively, </w:t>
      </w:r>
      <w:r>
        <w:rPr>
          <w:rFonts w:ascii="Times New Roman" w:hAnsi="Times New Roman"/>
          <w:b/>
          <w:sz w:val="20"/>
        </w:rPr>
        <w:t>Tenants Initial Installations</w:t>
      </w:r>
      <w:r>
        <w:rPr>
          <w:rFonts w:ascii="Times New Roman" w:hAnsi="Times New Roman"/>
          <w:sz w:val="20"/>
        </w:rPr>
        <w:t>), without Landlords prior written consent in each instance provided, however, that Tenant may make the following Alterations to the Premises without Landlords prior written consent (collectively, </w:t>
      </w:r>
      <w:r>
        <w:rPr>
          <w:rFonts w:ascii="Times New Roman" w:hAnsi="Times New Roman"/>
          <w:b/>
          <w:sz w:val="20"/>
        </w:rPr>
        <w:t>Permitted Alterations</w:t>
      </w:r>
      <w:r>
        <w:rPr>
          <w:rFonts w:ascii="Times New Roman" w:hAnsi="Times New Roman"/>
          <w:sz w:val="20"/>
        </w:rPr>
        <w:t>), (x) decorations consisting of furniture, painting, wall coverings and floor coverings in the Premises subject to the terms and conditions of the Lease (</w:t>
      </w:r>
      <w:r>
        <w:rPr>
          <w:rFonts w:ascii="Times New Roman" w:hAnsi="Times New Roman"/>
          <w:b/>
          <w:sz w:val="20"/>
        </w:rPr>
        <w:t>Decorative Alterations</w:t>
      </w:r>
      <w:r>
        <w:rPr>
          <w:rFonts w:ascii="Times New Roman" w:hAnsi="Times New Roman"/>
          <w:sz w:val="20"/>
        </w:rPr>
        <w:t xml:space="preserve">), and (y) other Alterations that satisfy the Alterations Criteria (as hereinafter defined), and which (together with any other Alterations performed by Tenant during the calendar year in which such other Alterations were performed) cost, in the aggregate, less than $30,000.00; provided, further, that Tenant shall provide Landlord with at least ten (10) (Business Days prior written notice prior to making any Permitted Alterations, which notice shall include (except in the case of Decorative Alterations) a set of plans and specifications for such Permitted Alterations, as described in </w:t>
      </w:r>
      <w:r>
        <w:rPr>
          <w:rFonts w:ascii="Times New Roman" w:hAnsi="Times New Roman"/>
          <w:sz w:val="20"/>
          <w:u w:val="single"/>
        </w:rPr>
        <w:t>Section 4.2(a)</w:t>
      </w:r>
      <w:r>
        <w:rPr>
          <w:rFonts w:ascii="Times New Roman" w:hAnsi="Times New Roman"/>
          <w:sz w:val="20"/>
        </w:rPr>
        <w:t xml:space="preserve"> below. Landlords consent to Tenants Alterations shall be granted or denied in Landlords sole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Landlord shall not unreasonably withhold or delay its consent to Tenants Initial Alterations to adapt the Premises for the Permitted Use provided that such Alterations (i) are nonstructural and do not affect the Building Systems or services, or violate the design or engineering standards or criteria of Landlord for the Building, (ii) are performed only by contractors or mechanics approved in writing by Landlord, (iii) affect only the Premises and are not visible from outside of the Premises, (iv) do not adversely affect any service furnished by Landlord to Tenant or to any other tenant of the Building or the 900 North Building, (v) do not reduce the value or utility of the Building or the 900 North Building, (vi) do not violate any Legal Requirements or the Building Rules and Regulations, or cause the Premises or the Building or the 900 North Building to be non-compliant with any Legal Requirements, (vii) do not adversely affect any Common Areas or other tenant of the Building or the 900 North Building or the premises of any such other tenant, and (viii) do not conflict with or violate any rules and regulations of Landlords insurance carrier (collectively, the </w:t>
      </w:r>
      <w:r>
        <w:rPr>
          <w:rFonts w:ascii="Times New Roman" w:hAnsi="Times New Roman"/>
          <w:b/>
          <w:sz w:val="20"/>
        </w:rPr>
        <w:t>Alterations Criteria</w:t>
      </w:r>
      <w:r>
        <w:rPr>
          <w:rFonts w:ascii="Times New Roman" w:hAnsi="Times New Roman"/>
          <w:sz w:val="20"/>
        </w:rPr>
        <w:t xml:space="preserve">). Tenant shall provide Landlord with a final complete set of Tenants Plans (defined below) for Tenants Initial Alterations, which Tenant shall cause to be prepared at Tenants sole cost and expense, within forty-five (45) days after the Effective Date. Landlord shall notify Tenant within five (5) Business Days after Tenants delivery of Tenants Plans, (i) whether Landlord consents or withholds its consent thereto, and (ii) if Landlord withholds its consent, the reason or reasons therefor. If Landlord fails to notify Tenant of its consent or withholding of consent within such five (5) Business Day period, and (x) Landlord further falls to notify Tenant of its consent or withholding of consent within five (5) Business Days after delivery (or attempted delivery) of a second written request by Tenant to landlord, (y) Tenant has evidence that Landlord received or refused delivery of such second notice (In the form of a return receipt or proof of refusal of delivery), and (z) such second notice stated on its face that refusal to timely respond constitutes a deemed consent, then Landlord shall be deemed to have consented to Tenants Plans as submitted.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Landlords approval of a contractor is required, Landlord than notify Tenant within five (5) Business Days after Tenants written request whether Landlord consents or withholds its consent to any contractor proposed by Tenant to perform Tenants Initial Alterations. If Landlord falls to notify Tenant of its consent or withholding of consent within such five (5) Business Day period, and Tenant has evidence that Landlord received the notice requesting such consent (In the form of a return receipt or proof of refusal of delivery), than Landlord shall be deemed to have consented to the contractor proposed by Tenant to perform such Tenants Alteration.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Tenants Acknowledgment</w:t>
      </w:r>
      <w:r>
        <w:rPr>
          <w:rFonts w:ascii="Times New Roman" w:hAnsi="Times New Roman"/>
          <w:sz w:val="20"/>
        </w:rPr>
        <w:t xml:space="preserve">. Tenant acknowledges and confirms that neither Landlords review and/or approval of any plans and specifications for any Alterations, nor Landlords consent to or approval of any Alterations, shall constitute a representation or warranty by Landlord that such Alteration comply with (or have been designed or engineered in a manner which would comply with) the Alterations Criteria. Tenant further acknowledges and confirms that Tenants obligation and responsibility to cause all Alterations performed by or on behalf of Tenant to comply with the Alterations Criteria shall remain in full force and effect notwithstanding that Landlord may have reviewed or approved plans and specifications for such Alterations (or otherwise consented or approved such Alterations) which do not comply with any such Alterations Criteria, and that no such review, consent or approval by Landlord shall in any way release or excuse Tenant from Tenants obligation to cause all Alterations performed by or on behalf of Tenant to comply with the Alterations Criteria. In the event that Tenant performs any Alterations which breach or violate the Alterations Criteria, Tenant shall, upon Landlords demand, immediately cure such breach or violation in a manner reasonably acceptable to Landlord at Tenants sole cost and expense, and if Tenant fails to so cure such breach or violation within the cure periods set forth in </w:t>
      </w:r>
      <w:r>
        <w:rPr>
          <w:rFonts w:ascii="Times New Roman" w:hAnsi="Times New Roman"/>
          <w:sz w:val="20"/>
          <w:u w:val="single"/>
        </w:rPr>
        <w:t>Section 16.1(c)</w:t>
      </w:r>
      <w:r>
        <w:rPr>
          <w:rFonts w:ascii="Times New Roman" w:hAnsi="Times New Roman"/>
          <w:sz w:val="20"/>
        </w:rPr>
        <w:t xml:space="preserve"> hereof, Landlord shall have the right, (but not the obligation) to cure such breach or violation at Tenants sole cost and expense (in addition to all other rights) and remedies to which Landlord is entitled under this Lease, at law and in equity), which right shall only arise after the expiration of all applicable notice and cure periods. Tenant shall indemnify, defend (with counsel acceptable to Landlord) and hold Landlord harmless from and against any and all claims, demands, suits, causes of action, losses, costs, damages, liabilities and expenses (including, without limitation, reasonable attorneys fees and expenses) brought against, sustained or incurred by Landlord which result from a arise out of any failure by Tenant (or any other Tenant Party) to comply with the Alterations Criteria. Notwithstanding the foregoing, Landlord agrees that to the extent Tenant performs an Alteration in accordance with plans and specifications approved by Landlord pursuant to the terms and provisions of this Lease, Landlord shall not claim such Alteration violates any Alterations Criteria which Landlord has knowledge, after due inquiry, unless (i) a change in a Legal Requirement occurs after the completion of such Alteration or (ii) Tenants subsequent used such Alteration violates, or is inconsistent with, any Alterations Criteria.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4.2</w:t>
      </w:r>
      <w:r>
        <w:rPr>
          <w:rFonts w:ascii="Times New Roman" w:hAnsi="Times New Roman"/>
          <w:sz w:val="20"/>
        </w:rPr>
        <w:t xml:space="preserve"> </w:t>
      </w:r>
      <w:r>
        <w:rPr>
          <w:rFonts w:ascii="Times New Roman" w:hAnsi="Times New Roman"/>
          <w:b/>
          <w:sz w:val="20"/>
          <w:u w:val="single"/>
        </w:rPr>
        <w:t>Plans and Specifications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Conditions</w:t>
      </w:r>
      <w:r>
        <w:rPr>
          <w:rFonts w:ascii="Times New Roman" w:hAnsi="Times New Roman"/>
          <w:sz w:val="20"/>
        </w:rPr>
        <w:t>. Prior to making any Alterations (other than Decorative Alterations), including, without limitation, Tenants Initial Alterations, Tenant, at its expense, shall submit to Landlord for its written approved or, in the case of Permitted Alterations, for Landlords review, detailed plans and specifications (including layout, architectural, mechanical, electrical, plumbing, sprinkler and structural drawings, if applicable) of each proposed Alteration, (individually and collectively, </w:t>
      </w:r>
      <w:r>
        <w:rPr>
          <w:rFonts w:ascii="Times New Roman" w:hAnsi="Times New Roman"/>
          <w:b/>
          <w:sz w:val="20"/>
        </w:rPr>
        <w:t>Tenants Plans</w:t>
      </w:r>
      <w:r>
        <w:rPr>
          <w:rFonts w:ascii="Times New Roman" w:hAnsi="Times New Roman"/>
          <w:sz w:val="20"/>
        </w:rPr>
        <w:t xml:space="preserve">), including any Alterations(s) affecting any Building System. Additionally, if any Building System will be affected by any Alteration proposed by Tenant, Tenant shall submit proof that the Alteration has been designed by, or reviewed and approved by, Landlords designated engineer for such affected Building System. With respect to all Alterations performed by or on behalf of Tenant (including, without limitation, Permitted Alterations), Tenant shall obtain all permits, approvals and certificates required by any Governmental Authorities, and shall furnish to Landlord copies of policies or certificates required of workers compensation (covering all persons to be employed by Tenant, and Tenants contractors and subcontractors in connection with such Alteration) and commercial general liability (Including property damage coverage) insurance and Builders Risk coverage (issued on a completed value basis) all in such form, with such companies, for such periods and in such amounts as Landlord may reasonably require, naming Landlord, Landlords Agent Landlords asset manager and their respective employees and agents, any Superior Lessor and any Mortgagee as additional insureds. Landlord shall notify Tenant whether Landlord consents or withholds its consent to any proposed Tenants Plans in the manner and time periods set forth in </w:t>
      </w:r>
      <w:r>
        <w:rPr>
          <w:rFonts w:ascii="Times New Roman" w:hAnsi="Times New Roman"/>
          <w:sz w:val="20"/>
          <w:u w:val="single"/>
        </w:rPr>
        <w:t>Section 4.1(a)</w:t>
      </w:r>
      <w:r>
        <w:rPr>
          <w:rFonts w:ascii="Times New Roman" w:hAnsi="Times New Roman"/>
          <w:sz w:val="20"/>
        </w:rPr>
        <w:t xml:space="preserve">. In the event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withhold approval of any proposed Tenants Plans, Landlord, within five (5) Business Days after Landlords receipt of a complete set of such Tenants Plans (together with any additional documents or information Landlord may reasonably request on account of Landlords review of such Tenants Plans), shall notify Tenant in writing of its objections thereto and Landlord and Tenant shall cooperatively and in good faith work to reach a mutually acceptable agreement with respect to such plans. Tenant shall promptly reimburse Landlord, as Additional Rent within ten (10) days after delivery of an invoice therefor; for all overtime services provided to Tenant by Landlord in connection with Tenants performance of any Alterations, together with all reasonable costs and expenses incurred by Landlord from any third-party consultants retained by Landlord in connection with Tenants performance of any Alteration, provided such consultants are necessary (In Landlords reasonable judgment) to review and/or supervise the Performance of such Alterations and Landlord provides advanced written notice to Tenant that such consultants are being retained in connection with such Alterations.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Manner and Quality of Alteration</w:t>
      </w:r>
      <w:r>
        <w:rPr>
          <w:rFonts w:ascii="Times New Roman" w:hAnsi="Times New Roman"/>
          <w:sz w:val="20"/>
        </w:rPr>
        <w:t xml:space="preserve">. All Tenants Alterations, including, without limitation, Tenants Initial Alterations, shall be performed by Tenant with due diligence, in a good and workmanlike manner and free from liens and defects, in accordance with Tenants Plans and by contractors reasonably approved by Landlord (to the extant required above), under the supervision of a licensed architect reasonably satisfactory to Landlord, and in compliance with all Legal Requirements, the terms of this Lease, all procedures and regulations than prescribed by Landlord for coordinating all work performed in the Building and the Rules and Regulations. All materials and equipment to be used in the Premises shall be new, or first quality and at least equal to the reasonable standards for the Building then established by Landlord, and no such materials or equipment (other than Tenants Property) shall be subject to any lien or other encumbrance.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Governmental Approvals</w:t>
      </w:r>
      <w:r>
        <w:rPr>
          <w:rFonts w:ascii="Times New Roman" w:hAnsi="Times New Roman"/>
          <w:sz w:val="20"/>
        </w:rPr>
        <w:t xml:space="preserve">. Upon completion of any Alterations, Tenant at its expense, shall promptly obtain certificates of final approval of such Alterations as may be required by any Governmental Authority, and shall furnish Landlord with copies thereof; together with as-built plans and specifications for any such Tenant Alterations prepared on an Autocad Computer Assisted Drafting and Design System (or such other system or medium as Landlord may accept) using naming conventions issued by the American Institute of Architects in June, 1990 (or such other naming convention as Landlord may accept) and magnetic computer media of such record drawings and specifications, translated into DXF format or another format acceptable to Landlord.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Removal of Tenants Alterations</w:t>
      </w:r>
      <w:r>
        <w:rPr>
          <w:rFonts w:ascii="Times New Roman" w:hAnsi="Times New Roman"/>
          <w:sz w:val="20"/>
        </w:rPr>
        <w:t>. On the date upon which the Term shall expire and coma to an and, whether pursuant to any of the provisions of this Lease or by operation of law, and whether on or prior to the Expiration Date, Tenant at Tenants sole cost and expense, (i) shall quit and surrender the Premises to Landlord, broom clean and in good order and condition, ordinary wear excepted, and (ii) shall remove all of Tenants Personal Property and all other property and effects of Tenant and all persons claiming through or under Tenant from the Premises and the Building, and (iii) shall repair all damage to the Premises and Building occasioned by such removal. With the exception of any Specialty Alterations (as hereinafter defined), Tenant shall have no obligation to restore the Premises to the condition which existed therein prior to the Commencement Date. The term </w:t>
      </w:r>
      <w:r>
        <w:rPr>
          <w:rFonts w:ascii="Times New Roman" w:hAnsi="Times New Roman"/>
          <w:b/>
          <w:sz w:val="20"/>
        </w:rPr>
        <w:t>Specialty Alterations</w:t>
      </w:r>
      <w:r>
        <w:rPr>
          <w:rFonts w:ascii="Times New Roman" w:hAnsi="Times New Roman"/>
          <w:sz w:val="20"/>
        </w:rPr>
        <w:t xml:space="preserve"> shall mean Alterations consisting of any executive or private lavatories, raised computer floors, vaults, any steel plates or reinforcement installed by Tenant (including without limitation, in connection with libraries or file systems), pneumatic tubes, horizontal transportation systems, and any other Alterations of a similar character to those enumerated in this sentence, and the installation of any equipment outside of the Premises. If Landlord so elects (at Landlords sole option), any or all of Specialty Alterations shall remain in the Premises and become the property of Landlord upon the expiration or sooner termination of this Lease:. Any election of Landlord to require that Specialty Alterations remain within the Premises upon the termination or expiration of this Lease shall be made in writing by Landlord to Tenant no later than twenty (20) days prior the Expiration Date or within fifteen (15) days after the sooner termination of this Lease, it being understood that (subject to the proviso at the end of this Sentence) in the absence of such notice from Landlord, Tenant shall be required to remove all Specialty Alterations from the Premises (In accordance with the terms and provisions of this Lease) upon the expiration or sooner termination of the Term at Tenants sole cost and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time that Tenant requests Landlords approval for the performance of any Specialty Alterations under this Lease (or notifies Landlord of Tenants performance of any such Specialty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Alterations, in the case of Specialty Alterations which do not require Landlords consent hereunder), Landlord shall, if Tenant so requests in writing (or may, if Tenant does not so request in writing), notify Tenant within fifteen (15) days after Tenants written request of those Specialty Alterations which Landlord will not require Tenant to remove upon the expiration or termination of the Term of this Lease, and, in the event that Landlord identifies any such Specially Alterations which shall not be removed from the Premises, Tenant shall not remove such Specially Alterations from the Premises upon the expiration or sooner termination of the Term of this Lease. Tenants obligations under this Section 4.2(d) shall survive the expiration or sooner termination of the Term.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Removal of Tenants Property</w:t>
      </w:r>
      <w:r>
        <w:rPr>
          <w:rFonts w:ascii="Times New Roman" w:hAnsi="Times New Roman"/>
          <w:sz w:val="20"/>
        </w:rPr>
        <w:t xml:space="preserve">. Upon the Expiration Date (or earlier termination of the Lease or any renewal thereof), Tenant shall remove all of Tenants Property from the Premises at Tenants sole cost and expense.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General</w:t>
      </w:r>
      <w:r>
        <w:rPr>
          <w:rFonts w:ascii="Times New Roman" w:hAnsi="Times New Roman"/>
          <w:sz w:val="20"/>
        </w:rPr>
        <w:t xml:space="preserve">. Tenant shall repair and restore in a good and workmanlike manner (reasonable wear and tear excepted) any damage to the Premises and the Building caused by such removal of Tenants Property and/or Tenants Alterations. Any of Tenants Alterations or Tenants Property not so removed by Tenant shall be deemed abandoned and may, at the election of Landlord, either be retained as Landlords property or be removed from the Premises and disposed of by Landlord (and any damage caused thereby repaired) at Tenants cost and without accountability to Tenant. The provisions of this Section 4.2(f) shall survive the expiration or earlier termination of this Lease.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Waiver of Construction Supervisory Fee</w:t>
      </w:r>
      <w:r>
        <w:rPr>
          <w:rFonts w:ascii="Times New Roman" w:hAnsi="Times New Roman"/>
          <w:sz w:val="20"/>
        </w:rPr>
        <w:t xml:space="preserve">. Tenant shall not be required to pay Landlord or Landlords Agent a construction supervisory fee in respect of the Tenants Alterations, provided that nothing contained in this </w:t>
      </w:r>
      <w:r>
        <w:rPr>
          <w:rFonts w:ascii="Times New Roman" w:hAnsi="Times New Roman"/>
          <w:sz w:val="20"/>
          <w:u w:val="single"/>
        </w:rPr>
        <w:t>subsection 4.2(g)</w:t>
      </w:r>
      <w:r>
        <w:rPr>
          <w:rFonts w:ascii="Times New Roman" w:hAnsi="Times New Roman"/>
          <w:sz w:val="20"/>
        </w:rPr>
        <w:t xml:space="preserve"> shall limit Landlords right to reimbursement for third-party consultants pursuant to the last sentence of </w:t>
      </w:r>
      <w:r>
        <w:rPr>
          <w:rFonts w:ascii="Times New Roman" w:hAnsi="Times New Roman"/>
          <w:sz w:val="20"/>
          <w:u w:val="single"/>
        </w:rPr>
        <w:t>subsection 4.2(a)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4.3</w:t>
      </w:r>
      <w:r>
        <w:rPr>
          <w:rFonts w:ascii="Times New Roman" w:hAnsi="Times New Roman"/>
          <w:sz w:val="20"/>
        </w:rPr>
        <w:t xml:space="preserve"> </w:t>
      </w:r>
      <w:r>
        <w:rPr>
          <w:rFonts w:ascii="Times New Roman" w:hAnsi="Times New Roman"/>
          <w:b/>
          <w:sz w:val="20"/>
          <w:u w:val="single"/>
        </w:rPr>
        <w:t>Mechanics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because of any act or omission of Tenant or any Tenant Party, any mechanics lien, U.C.C. financing statement or other lien, charge or order for the payment of money shall be filed against Landlord, or against all or any portion of the Premises, the Building or the Real Property, then Tenant shall indemnify, defend and save Landlord harmless against and from all costs, expenses, liabilities, suits, penalties, claims and demands (inducting reasonable attorneys fees and disbursements) resulting therefrom, and Tenant shall cause such mechanics lien, financing statement or other lien, charge or order to either be released and discharged of record or bonded or insured over to the reasonable satisfaction of Landlord, within thirty (30) days after the filing thereof (at Tenants sole cost and expense).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Tenant shall have the right to grant a lien to a lender or other financial institution on Tenants Property, provided, in no event shall such lien (or security therefor) be recorded and/or placed against Landlord, the Real Property, the Building or the Premises. If any such lien or security interest is recorded and/or placed against Landlord, the Real Property, the Building or the Premises, the indemnity provisions of this </w:t>
      </w:r>
      <w:r>
        <w:rPr>
          <w:rFonts w:ascii="Times New Roman" w:hAnsi="Times New Roman"/>
          <w:sz w:val="20"/>
          <w:u w:val="single"/>
        </w:rPr>
        <w:t>Section 4.3</w:t>
      </w:r>
      <w:r>
        <w:rPr>
          <w:rFonts w:ascii="Times New Roman" w:hAnsi="Times New Roman"/>
          <w:sz w:val="20"/>
        </w:rPr>
        <w:t xml:space="preserve"> and the provisions contained in subparagraph (a) above shall apply.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4.4</w:t>
      </w:r>
      <w:r>
        <w:rPr>
          <w:rFonts w:ascii="Times New Roman" w:hAnsi="Times New Roman"/>
          <w:sz w:val="20"/>
        </w:rPr>
        <w:t xml:space="preserve"> </w:t>
      </w:r>
      <w:r>
        <w:rPr>
          <w:rFonts w:ascii="Times New Roman" w:hAnsi="Times New Roman"/>
          <w:b/>
          <w:sz w:val="20"/>
          <w:u w:val="single"/>
        </w:rPr>
        <w:t>Labor Relations</w:t>
      </w:r>
      <w:r>
        <w:rPr>
          <w:rFonts w:ascii="Times New Roman" w:hAnsi="Times New Roman"/>
          <w:sz w:val="20"/>
        </w:rPr>
        <w:t xml:space="preserve">. Tenant and any Tenant Party shall not, at any time prior to or during the Term, directly or indirectly, employ, or permit the employment of, any contractor, mechanic or laborer in the Premises, or permit any materials to be delivered to or used in the Building, whether in connection with any alteration or otherwise. If, in Landlords reasonable judgment, such employment, delivery or use will interfere or cause any conflict with any union, other contractors, mechanics or laborers engaged in the construction, maintenance or operation of the Building by Landlord, Tenant or others, or remit in picketing, or labor stoppages, or interfere with the use and enjoyment of the Building by other tenants or occupants of the Building. In the event of such interference or conflict, upon Landlords request Tenant shall cause all contractors, mechanics or laborers causing such interference or conflict to leave the Building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ARTICLE 5 CONDITION OF THE PREMISES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5.1</w:t>
      </w:r>
      <w:r>
        <w:rPr>
          <w:rFonts w:ascii="Times New Roman" w:hAnsi="Times New Roman"/>
          <w:sz w:val="20"/>
        </w:rPr>
        <w:t xml:space="preserve"> </w:t>
      </w:r>
      <w:r>
        <w:rPr>
          <w:rFonts w:ascii="Times New Roman" w:hAnsi="Times New Roman"/>
          <w:b/>
          <w:sz w:val="20"/>
          <w:u w:val="single"/>
        </w:rPr>
        <w:t>Condition</w:t>
      </w:r>
      <w:r>
        <w:rPr>
          <w:rFonts w:ascii="Times New Roman" w:hAnsi="Times New Roman"/>
          <w:sz w:val="20"/>
        </w:rPr>
        <w:t>. Tenant has examined the Premises and, subject to Landlords ongoing maintenance and repair obligations pursuant to Section 6.1 hereof, agrees to accept possession of the Premises in their as is condition on the Effective Date with the exception of all latent defects not readily observable to the naked eye (</w:t>
      </w:r>
      <w:r>
        <w:rPr>
          <w:rFonts w:ascii="Times New Roman" w:hAnsi="Times New Roman"/>
          <w:b/>
          <w:sz w:val="20"/>
        </w:rPr>
        <w:t>Latent Defects</w:t>
      </w:r>
      <w:r>
        <w:rPr>
          <w:rFonts w:ascii="Times New Roman" w:hAnsi="Times New Roman"/>
          <w:sz w:val="20"/>
        </w:rPr>
        <w:t>), so long as Tenant discloses the existence of any such Latent Defects to Landlord by written notice (the </w:t>
      </w:r>
      <w:r>
        <w:rPr>
          <w:rFonts w:ascii="Times New Roman" w:hAnsi="Times New Roman"/>
          <w:b/>
          <w:sz w:val="20"/>
        </w:rPr>
        <w:t>Latent Defects Notice</w:t>
      </w:r>
      <w:r>
        <w:rPr>
          <w:rFonts w:ascii="Times New Roman" w:hAnsi="Times New Roman"/>
          <w:sz w:val="20"/>
        </w:rPr>
        <w:t>) received by Landlord on the earlier to occur of (x) that date which is no later than thirty (30) days after Tenants discovery of any such Latent Defect, or (y) the date of Substantial Completion of Tenants Initial Alterations (the </w:t>
      </w:r>
      <w:r>
        <w:rPr>
          <w:rFonts w:ascii="Times New Roman" w:hAnsi="Times New Roman"/>
          <w:b/>
          <w:sz w:val="20"/>
        </w:rPr>
        <w:t>Latent Defects Notice Date</w:t>
      </w:r>
      <w:r>
        <w:rPr>
          <w:rFonts w:ascii="Times New Roman" w:hAnsi="Times New Roman"/>
          <w:sz w:val="20"/>
        </w:rPr>
        <w:t xml:space="preserve">), and subject to Landlords ongoing maintenance and repair obligations pursuant to Section 6.1 hereof, Landlord shall have no obligation to perform any work, supply any materials, incur any expenses, make any contribution or make any installations in order to prepare the Premises for or in connection with Tenants occupancy or repair any Latent Defects after the Latent Defects Notice Date, unless Landlord timely receives the Latent Defect Notice and Landlords obligations with respect to Latent Defects shall be strictly limited to those Latent Defects set forth in the Latent Defects Notice. The taking of possession of the Premises by Tenant shall be conclusive evidence as against Tenant that at the time such possession was so taken, the Premises was in good and satisfactory condition, except with respect to any Latent Defects discovered prior to the Latent Defeats Notice Date. Notwithstanding anything contained in this Lease to the contrary, Landlord, as of the date hereof and as of the Commencement Dade (unless otherwise noted in this </w:t>
      </w:r>
      <w:r>
        <w:rPr>
          <w:rFonts w:ascii="Times New Roman" w:hAnsi="Times New Roman"/>
          <w:sz w:val="20"/>
          <w:u w:val="single"/>
        </w:rPr>
        <w:t>Section 5.1</w:t>
      </w:r>
      <w:r>
        <w:rPr>
          <w:rFonts w:ascii="Times New Roman" w:hAnsi="Times New Roman"/>
          <w:sz w:val="20"/>
        </w:rPr>
        <w:t xml:space="preserve">), represents and warrants to Tenant that (i) Landlord is the lawful owner of the fee interest of the Building and the Real Property; (ii) Landlord possesses the authority to enter into this Lease and be bound by the terms and provisions hereof; (iii) there are no pending, and to the best of Landlords knowledge and belief, threatened lawsuits, proceedings or legal actions which would prevent Landlord from entering into this Lease or from performing any of its obligations or duties hereunder; and (iv) there are no Hazardous Materials located in the Premises (which have not been encapsulated or abated).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5.2</w:t>
      </w:r>
      <w:r>
        <w:rPr>
          <w:rFonts w:ascii="Times New Roman" w:hAnsi="Times New Roman"/>
          <w:sz w:val="20"/>
        </w:rPr>
        <w:t xml:space="preserve"> </w:t>
      </w:r>
      <w:r>
        <w:rPr>
          <w:rFonts w:ascii="Times New Roman" w:hAnsi="Times New Roman"/>
          <w:b/>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6 REPAIRS: FLOOR LOAD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6.1</w:t>
      </w:r>
      <w:r>
        <w:rPr>
          <w:rFonts w:ascii="Times New Roman" w:hAnsi="Times New Roman"/>
          <w:sz w:val="20"/>
        </w:rPr>
        <w:t xml:space="preserve"> </w:t>
      </w:r>
      <w:r>
        <w:rPr>
          <w:rFonts w:ascii="Times New Roman" w:hAnsi="Times New Roman"/>
          <w:b/>
          <w:sz w:val="20"/>
          <w:u w:val="single"/>
        </w:rPr>
        <w:t>Repair and Maintenance Obligations</w:t>
      </w:r>
      <w:r>
        <w:rPr>
          <w:rFonts w:ascii="Times New Roman" w:hAnsi="Times New Roman"/>
          <w:sz w:val="20"/>
        </w:rPr>
        <w:t xml:space="preserve">. Landlord shall maintain, replace and repay as necessary in Landlords discretion the Building Systems and the public portions of the Building, both exterior and interior, and the structural elements thereof, including the roof, foundation and curtain wall in good mutation and repair and in compliance with all Legal Requirements and consistent with a first-class, mixed use retail and commercial center. Tenant, at Tenants expense, shall properly maintain the Premises and the fixtures, systems, equipment and appurtenances therein to the extent such systems service only the Premises, and make all non-structural repairs thereto and replacements thereof as and when needed to preserve them in good working order and condition, except for reasonable wear and tear, obsolescence and damage for which Tenant is not responsible pursuant to the provisions of </w:t>
      </w:r>
      <w:r>
        <w:rPr>
          <w:rFonts w:ascii="Times New Roman" w:hAnsi="Times New Roman"/>
          <w:sz w:val="20"/>
          <w:u w:val="single"/>
        </w:rPr>
        <w:t>Articles 11</w:t>
      </w:r>
      <w:r>
        <w:rPr>
          <w:rFonts w:ascii="Times New Roman" w:hAnsi="Times New Roman"/>
          <w:sz w:val="20"/>
        </w:rPr>
        <w:t xml:space="preserve"> and </w:t>
      </w:r>
      <w:r>
        <w:rPr>
          <w:rFonts w:ascii="Times New Roman" w:hAnsi="Times New Roman"/>
          <w:sz w:val="20"/>
          <w:u w:val="single"/>
        </w:rPr>
        <w:t>12</w:t>
      </w:r>
      <w:r>
        <w:rPr>
          <w:rFonts w:ascii="Times New Roman" w:hAnsi="Times New Roman"/>
          <w:sz w:val="20"/>
        </w:rPr>
        <w:t xml:space="preserve">. Notwithstanding the foregoing, all damage or injury to the Premises or to any other part of the Building, Building Systems, or to its fixtures, equipment and appurtenances of the Building, caused by or resulting from negligence, omission. neglect or improper conduct of, or Alterations made by Tenant or any Tenant Party shall be repaired at Tenants expense, (a) by Tenant to the satisfaction of Landlord (if the required repairs are non-structural and do not affect any Building System). or (b) by Landlord (If the required repairs are structural or effect any Building System). Tenant also shall repair all damage to the Building and the Premises caused by the making of any Alterations by Tenant or by the moving of Tenants Property. All of such repairs shall be of quality or class equal to the original work or construction. If, after fifteen (15) days notice, Tenant fails to proceed with due diligence to make such repairs, Landlord may make such repairs at the expense of Tenant and Tenant shall pay the costs and expenses thereof incurred by Landlord, with interest at the Default Rate, as Additional Rent within ten (10) days after delivery of an invoice therefor together with appropriate evidence of such costs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6.2</w:t>
      </w:r>
      <w:r>
        <w:rPr>
          <w:rFonts w:ascii="Times New Roman" w:hAnsi="Times New Roman"/>
          <w:sz w:val="20"/>
        </w:rPr>
        <w:t xml:space="preserve"> </w:t>
      </w:r>
      <w:r>
        <w:rPr>
          <w:rFonts w:ascii="Times New Roman" w:hAnsi="Times New Roman"/>
          <w:b/>
          <w:sz w:val="20"/>
          <w:u w:val="single"/>
        </w:rPr>
        <w:t>Floor Load</w:t>
      </w:r>
      <w:r>
        <w:rPr>
          <w:rFonts w:ascii="Times New Roman" w:hAnsi="Times New Roman"/>
          <w:sz w:val="20"/>
        </w:rPr>
        <w:t xml:space="preserve">. Tenant shall not place a load upon any floor of the Premises exceeding the lesser of (i) one hundred fifty (150) lbs. per square foot or (ii) the floor load which is allowed by law. Tenant shall not move any safe, heavy equipment business machines, freight, bulky matter or fixtures into or out of the Building without Landlords prior consent. which consent shall not be unreasonably withheld or delayed and which consent may be conditioned by Landlord on Tenants installation, at Tenants sole cost and expanse, of structural supports and noise attenuation devices.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6.3</w:t>
      </w:r>
      <w:r>
        <w:rPr>
          <w:rFonts w:ascii="Times New Roman" w:hAnsi="Times New Roman"/>
          <w:sz w:val="20"/>
        </w:rPr>
        <w:t xml:space="preserve"> </w:t>
      </w:r>
      <w:r>
        <w:rPr>
          <w:rFonts w:ascii="Times New Roman" w:hAnsi="Times New Roman"/>
          <w:b/>
          <w:sz w:val="20"/>
          <w:u w:val="single"/>
        </w:rPr>
        <w:t>Interruptions Due To Repairs</w:t>
      </w:r>
      <w:r>
        <w:rPr>
          <w:rFonts w:ascii="Times New Roman" w:hAnsi="Times New Roman"/>
          <w:sz w:val="20"/>
        </w:rPr>
        <w:t xml:space="preserve">. Landlord reserves the right to make (or cause to made) all changes, alterations, additions, improvements, repairs or replacements to the Building, Including the Bulldog Systems which provide sambas to Tenant, as Landlord deems necessary a desirable. Landlord shall use reasonable efforts to provide Tenant with prior notice (which may be oral and excepting in the event of an emergency) of, and to minimize interference with Tenants use and occupancy of the Premises during the making of such repairs, alterations, additions, improvements, or replacements provided that Landlord shall have no obligation to employ (or cause such other parties to employ) contractors or labor at overtime or other premium pay rates a to incur any other overtime code or additional expenses whatsoever. Except as provided in Section 10.6(b) hereof,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Landlord, Tenant or others making, or failing to make, any repairs, alterations, additions or improvements in or to any portion of the Building or the Premises, or in or to fixtures, appurtenances or equipment thereof. </w:t>
      </w:r>
    </w:p>
    <w:p>
      <w:pPr>
        <w:pStyle w:val="TextBody"/>
        <w:bidi w:val="0"/>
        <w:spacing w:before="240" w:after="0"/>
        <w:jc w:val="left"/>
        <w:rPr>
          <w:rFonts w:ascii="Times New Roman" w:hAnsi="Times New Roman"/>
          <w:sz w:val="20"/>
        </w:rPr>
      </w:pPr>
      <w:r>
        <w:rPr>
          <w:rFonts w:ascii="Times New Roman" w:hAnsi="Times New Roman"/>
          <w:b/>
          <w:sz w:val="20"/>
        </w:rPr>
        <w:t>ARTICLE 7 TAXES AND OPERATING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the purposes of this </w:t>
      </w:r>
      <w:r>
        <w:rPr>
          <w:rFonts w:ascii="Times New Roman" w:hAnsi="Times New Roman"/>
          <w:sz w:val="20"/>
          <w:u w:val="single"/>
        </w:rPr>
        <w:t>Article 7</w:t>
      </w:r>
      <w:r>
        <w:rPr>
          <w:rFonts w:ascii="Times New Roman" w:hAnsi="Times New Roman"/>
          <w:sz w:val="20"/>
        </w:rPr>
        <w:t xml:space="preserve"> the following terms shall have the meetings set forth below: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u w:val="single"/>
        </w:rPr>
        <w:t>Comparison Year</w:t>
      </w:r>
      <w:r>
        <w:rPr>
          <w:rFonts w:ascii="Times New Roman" w:hAnsi="Times New Roman"/>
          <w:sz w:val="20"/>
        </w:rPr>
        <w:t xml:space="preserve"> shall mean any calendar year, all or any part of which falls within the Term.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u w:val="single"/>
        </w:rPr>
        <w:t>Excluded Expenses</w:t>
      </w:r>
      <w:r>
        <w:rPr>
          <w:rFonts w:ascii="Times New Roman" w:hAnsi="Times New Roman"/>
          <w:sz w:val="20"/>
        </w:rPr>
        <w:t xml:space="preserve"> shall mean the following which shall not be included in Operating Expenses: (1) leasing commissions and costs of advertising the Building; (2) costs for space in the Building occupied by Landlord or its affiliates, except that costs for space occupied by the property manager of the Building shall not be excluded from Operating Expenses; (3) costs of restoration including the cost of restoring the Building resulting torn a partial condemnation to the extent of Landlords collection of condemnation or insurance proceeds; (4) costs for salaries and benefits in respect of partners, shareholders, members, and officers of landlord in their capacity as such; (5) the cost of any items for which Landlord is actually reimbursed by insurance (6) that portion of any cost of any work or service performed for, or a facility furnished to, any tenant or occupant of the Building that is greater than the work, service or facility which is performed or furnished generally for tenants and occupants of the Building to the extent Tenant does not benefit (or does not have the right to benefit) from such work, service or facility; (7) interest or other financing charges incurred in connection with indebtedness secured by a mortgage lien on the Real Property, and rent under any ground or underlying lease; (8) cash allowances to any tenant or occupant of the Building for leasehold improvements and decorating in connection with the initial leasing of demised premises in the Building; (9) the portion of any costs that are allocable to any other properties of Landlord or any of its affiliates, such as the portion of the personnel benefits, expenses and salaries of the type set forth in these exclusions of employees allocable to time spent by such employees in connection with properties other than the Real Property, or the portion of the premiums for any insurance carried under blanket or similar policies to the extent allocable to any property other than the Real Property; (10) any gains or ownership or control tax, mortgage recording tax, transfer or transfer gains tax, inheritance or estate tax imposed upon Landlord; (11) costs incurred in connection with preparing and negotiation of leases, amendments and modifications thereto, consents to subleases, assignments or any form of leases and attorneys fees and disbursements for the enforcement of tenant leases; (12) the portion (if any) of the management fee for the Building which exceeds the competitive market rate for management fees for similar buildings located in Chicago, Illinois; (13) any bad debt loss, rent loss or reserves for bad debts or rent loss; and (14) all items and services for which Tenant or any other tenant in the Building reimburses Landlord or which Landlord provides selectively to one or more tenants (other than Tenant) without reimbursement.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u w:val="single"/>
        </w:rPr>
        <w:t>Operating Expenses</w:t>
      </w:r>
      <w:r>
        <w:rPr>
          <w:rFonts w:ascii="Times New Roman" w:hAnsi="Times New Roman"/>
          <w:sz w:val="20"/>
        </w:rPr>
        <w:t> shall mean the aggregate old costs and expenses (and taxes, if any, thereon), excluding Excluded Expenses, paid or incurred by or on behalf of Landlord (whether directly or through independent contractors and whether or not paid to an Affiliate of Landlord (provided any costs and expenses paid to an Affiliate of Landlord shall be at market rates)) in connection with the management, operation, repair and maintenance of, and the providing of security for, the Building and the Real Property, such as (without limitation): insurance premiums; the cost of electricity, gas, oil, steam, water, air conditioning and other fuel and utilities; attorneys fees and disbursements; auditing, management administrative and other professional fees and expenses; salaries, benefits, unemployment taxes. payments under collective bargaining agreements and other like amounts paid to Building employees under service contracts relating to the Buildings and any deal improvement as described in items (1) or (2) below which shall be installed by or on behalf of Landlord in the Building. Such capital improvements shall be amortized on a straight-line basis over the useful life of such capital improvements as determined in accordance with generally accepted accounting principles (with interest accruing on the unamortized portion thereof at the Base Rate in effect at the time such improvements are substantially completed per annum), and the amount included in Operating Expenses in any Comparison Year (until such improvement has been fully amortized) shall be equal to the annual amortized amount A capital improvement shall be included in Operating Expenses only if made on or after the Commencement Date, and if it either (1) is intended to result in a reduction in Operating Expenses (as for example, a labor-saving improvement), provided, the amount included in Operating Expenses shall not exceed an amount equal to the savings resulting from the installation and operation of such improvement, and/or (2) is made during any Comparison Year in compliance with Legal Requirements. If during all or part of any Comparison Year, Landlord shall not furnish any particular item(s) of work or service (which would otherwise constitute an Operating Expense) to any leasable portions of the Building for any reason, then, for purposes of computing Operating Expenses for such Comparison Year, as the case may be, the amount included in Operating Expenses for such period shall be increased by an amount equal to the costs and expenses that would have been reasonably incurred by Landlord during such period if landlord had furnished such item(s) of work or service to such portion of the Building; provided, however, that any such adjustment shall apply only to Operating Expenses that are variable and therefore increase as leasing of the Building increases (including, but not limited to, Operating Expenses related to janitorial, trash removal and water services (</w:t>
      </w:r>
      <w:r>
        <w:rPr>
          <w:rFonts w:ascii="Times New Roman" w:hAnsi="Times New Roman"/>
          <w:b/>
          <w:sz w:val="20"/>
        </w:rPr>
        <w:t>Variable Opening Expenses</w:t>
      </w:r>
      <w:r>
        <w:rPr>
          <w:rFonts w:ascii="Times New Roman" w:hAnsi="Times New Roman"/>
          <w:sz w:val="20"/>
        </w:rPr>
        <w:t xml:space="preserve">)). In determining the amount of Operating Expenses for any Comparison Year, if less than ninety-five percent (95%) of the Building rentable area shall have been occupied by tenant(s) at any time during any Comparison Year, Operating Expenses shall be determined for such Comparison Year to be an amount equal to the like expenses which would normally be needed to be incurred had such occupancy been 95% throughout such Comparison Year; provided however, that any such adjustment shall only apply to Variable Operating Expenses.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u w:val="single"/>
        </w:rPr>
        <w:t>Statement</w:t>
      </w:r>
      <w:r>
        <w:rPr>
          <w:rFonts w:ascii="Times New Roman" w:hAnsi="Times New Roman"/>
          <w:sz w:val="20"/>
        </w:rPr>
        <w:t xml:space="preserve"> shall mean a statement containing a comparison of (1) the Base Taxes and the Taxes payable for any Comparison Year, or (2) the Base Operating Expenses and the Operating Expenses payable for any Comparison Year,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u w:val="single"/>
        </w:rPr>
        <w:t>Tax Year</w:t>
      </w:r>
      <w:r>
        <w:rPr>
          <w:rFonts w:ascii="Times New Roman" w:hAnsi="Times New Roman"/>
          <w:sz w:val="20"/>
        </w:rPr>
        <w:t xml:space="preserve"> shall mean the defender year (or such other period as hereinafter may be duly adopted by the Cook County, Illinois as its eel year for real estate trot purposes).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u w:val="single"/>
        </w:rPr>
        <w:t>Taxes</w:t>
      </w:r>
      <w:r>
        <w:rPr>
          <w:rFonts w:ascii="Times New Roman" w:hAnsi="Times New Roman"/>
          <w:sz w:val="20"/>
        </w:rPr>
        <w:t xml:space="preserve"> shall mean all real estate taxes, assessments, business improvement district charges, fees and assessments, sewer and water rents, rates and charges and other governmental levies, imposition or charges, whether general, special, ordinary, extraordinary, foreseen or unforeseen, which may be assessed, levied or imposed upon all or any part of the Real Property, (ii) all personal property taxes, assessments, rates and charges and other governmental levies, impositions or charges, whether general, special ordinary, extraordinary, foreseen or unforeseen, which may be assessed, levied or imposed upon all or any part of any personal property owned or held by Landlord and located at and used in connection with the Real Property, including, without limitation, any fixtures, machinery, equipment, apparatus, plant, transformers, duct work, cable, wires, and other facilities, equipment and systems designed to supply heat, ventilation, air conditioning, humidly or any other services or utilities, or comprising or serving as any component or portion of the electrical, gas, steam, plumbing, sprinkler, communications, alarm, security or fire/life/safety systems or equipment and any other mechanical, electrical, electronic, computer or other systems or equipment for the Real Property, all to the extent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same do not constitute part of the Real Property (the </w:t>
      </w:r>
      <w:r>
        <w:rPr>
          <w:rFonts w:ascii="Times New Roman" w:hAnsi="Times New Roman"/>
          <w:b/>
          <w:sz w:val="20"/>
        </w:rPr>
        <w:t>Personal Property</w:t>
      </w:r>
      <w:r>
        <w:rPr>
          <w:rFonts w:ascii="Times New Roman" w:hAnsi="Times New Roman"/>
          <w:sz w:val="20"/>
        </w:rPr>
        <w:t>), and (iii) all expenses (Including reasonable attorneys fees and disbursements and experts and other witnesses fees) incurred in contesting any of the foregoing or the assessed valuation of all or any part of the Real Property or Personal Property. Taxes shall not include (x) interest or penalties incurred by Landlord as a result of Landlords late payment of Taxes, except for interest payable in connection with the installment payment of assessments pursuant to the fourth sentence of this subsection or (y) corporate, franchise, transfer, inheritance, gift, estate or net income taxes imposed upon Landlord. For purpose hereof, </w:t>
      </w:r>
      <w:r>
        <w:rPr>
          <w:rFonts w:ascii="Times New Roman" w:hAnsi="Times New Roman"/>
          <w:b/>
          <w:sz w:val="20"/>
        </w:rPr>
        <w:t>Taxes</w:t>
      </w:r>
      <w:r>
        <w:rPr>
          <w:rFonts w:ascii="Times New Roman" w:hAnsi="Times New Roman"/>
          <w:sz w:val="20"/>
        </w:rPr>
        <w:t xml:space="preserve"> for any calendar year shall be deemed to be the Taxes which are paid during such calendar year regardless of when assessed, levied or imposed (i.e., on a cash and not an accrual basis). If any assessments are or may be payable in annual installments, then for the purposes of this </w:t>
      </w:r>
      <w:r>
        <w:rPr>
          <w:rFonts w:ascii="Times New Roman" w:hAnsi="Times New Roman"/>
          <w:sz w:val="20"/>
          <w:u w:val="single"/>
        </w:rPr>
        <w:t>Article 7</w:t>
      </w:r>
      <w:r>
        <w:rPr>
          <w:rFonts w:ascii="Times New Roman" w:hAnsi="Times New Roman"/>
          <w:sz w:val="20"/>
        </w:rPr>
        <w:t xml:space="preserve">, such assessments shall be deemed to have been so divided and to be payable in the maximum number of installments permitted by law, and there shall be deemed included in Taxes for each Comparison Year the installments of such assessment becoming payable during such Comparison Year, together with interest parable during such Comparison Year on such installments and on all installments thereafter becoming due as provided by law, all as if such assessment had been so divided. If at any time the methods of taxation prevailing on the date hereof shall be altered so that in lieu of or as an addition to the whole or any part of Taxes, there shall be assessed, levied or imposed (1) a tax, assessment levy, imposition or charge based on the income or rents received from the Real Property whether or not wholly or partially as a capital levy or otherwise, (2) a tax, assessment, levy, imposition or charge measured by or based in whole or in part upon all or any part of the Real Property and imposed upon Landlord, (3) a license fee measured by the rents, or (4) any other tax, assessment, levy, imposition, charge or license fee however described or imposed, then all such taxes, assessments, levies, impositions, charges or license fees or the part thereof so measured or based shall be deemed to be Taxes, provided that any tax, assessment, levy, imposition or charge imposed on income from the Real Property shall be calculated as if the Real Property were the only asset of Landlord.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7.2</w:t>
      </w:r>
      <w:r>
        <w:rPr>
          <w:rFonts w:ascii="Times New Roman" w:hAnsi="Times New Roman"/>
          <w:sz w:val="20"/>
        </w:rPr>
        <w:t xml:space="preserve"> </w:t>
      </w:r>
      <w:r>
        <w:rPr>
          <w:rFonts w:ascii="Times New Roman" w:hAnsi="Times New Roman"/>
          <w:b/>
          <w:sz w:val="20"/>
          <w:u w:val="single"/>
        </w:rPr>
        <w:t>Tenants Tax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each Comparison Year, Landlord shall furnish to Tenant a written statement setting forth Landlords good faith reasonable estimate of Tenants Tax Payment for such Comparison Year, based upon such years budget for Taxes (which shall be reasonably based upon the latest assessed valuation of the Building and a reasonable increase in the latest tax rate and multiplier). Tenant shall pay to Landlord on the first day of each month during such Comparison Year an amount equal to one-twelfth of Landlords estimate of Tenants Tax Payment for such Comparison Year. If, however, Landlord shall furnish any such estimate for a Comparison Year subsequent to the commencement thereof, then until the first day of the month following the month in which such estimate is furnished to Tenant, Tenant shall pay to Landlord on the first day of each month an amount equal to the monthly sum payable by Tenant to Landlord under this </w:t>
      </w:r>
      <w:r>
        <w:rPr>
          <w:rFonts w:ascii="Times New Roman" w:hAnsi="Times New Roman"/>
          <w:sz w:val="20"/>
          <w:u w:val="single"/>
        </w:rPr>
        <w:t>Section 7.2</w:t>
      </w:r>
      <w:r>
        <w:rPr>
          <w:rFonts w:ascii="Times New Roman" w:hAnsi="Times New Roman"/>
          <w:sz w:val="20"/>
        </w:rPr>
        <w:t xml:space="preserve"> during the last month of the preceding Comparison Year. Promptly after such estimate is furnished to Tenant or together therewith, Landlord shall give notice to Tenant stating whether the installments of Tenants Tax Payment previously made for such Comparison Year were greater or less than the installments of Tenants Tax Payment to be made for such Comparison Year in accordance with such estimate, and if there shall be a deficiency, Tenant shall pay the amount thereof within ten (10) Business Days after demand therefor, or if there shall have been an overpayment, Landlord shall credit the amount thereof against subsequent payments of Rent due hereunder, and on the first day of the month following the month in which such estimate is furnished to Tenant, and on the first day of each month thereafter throughout the remainder of such Comparison Year, Tenant shall pay to Landlord an amount equal to one-twelfth of Tenants Tax Payment shown on such estimate. </w:t>
      </w:r>
    </w:p>
    <w:p>
      <w:pPr>
        <w:pStyle w:val="TextBody"/>
        <w:bidi w:val="0"/>
        <w:spacing w:before="120" w:after="0"/>
        <w:jc w:val="left"/>
        <w:rPr>
          <w:rFonts w:ascii="Times New Roman" w:hAnsi="Times New Roman"/>
          <w:sz w:val="20"/>
        </w:rPr>
      </w:pPr>
      <w:r>
        <w:rPr>
          <w:rFonts w:ascii="Times New Roman" w:hAnsi="Times New Roman"/>
          <w:sz w:val="20"/>
        </w:rPr>
        <w:t xml:space="preserve">(b) As soon as reasonably practicable after Landlord has determined the Taxes for a Comparison Year, Landlord shall furnish to Tenant a Statement for such Comparison Year. If the Statement shall show that the sums paid by Tenant under </w:t>
      </w:r>
      <w:r>
        <w:rPr>
          <w:rFonts w:ascii="Times New Roman" w:hAnsi="Times New Roman"/>
          <w:sz w:val="20"/>
          <w:u w:val="single"/>
        </w:rPr>
        <w:t>Section 7.2(a)</w:t>
      </w:r>
      <w:r>
        <w:rPr>
          <w:rFonts w:ascii="Times New Roman" w:hAnsi="Times New Roman"/>
          <w:sz w:val="20"/>
        </w:rPr>
        <w:t xml:space="preserve"> exceeded the want amount of Tenants Tax Payment for such Comparison Year, Landlord shall, at Landlords election, either refund the amount of such excess to Tenant or credit the amount of such excess against subsequent payments of Rent due hereunder; provided, however, that at the expiration of the Term, any such amount shall be reimbursed to Tenant within thirty (30) days after expiration, subject to any amounts then due and owing to Landlord. If the Statement for such Comparison Year shall show that the sums so paid by Tenant were less than Tenants Tax Payment for such Comparison Year, Tenant shall pay the amount of such deficiency within ten (10) Business Days after Tenants receipt of the Statement. The benefit of any discount for any early payment or prepayment of notes and of any tax exemption or abatement relating to all or any part of the Real Property shall accrue solely to the benefit of Landlord and Taxes shall be computed without subtracting such discount or taking into account any such exemption or abatement.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applicable reel estate Tax Fiscal Year is changed, Taxes for such Tax Year shall be apportioned on the basis of the number of days in such fiscal year included in the particular Comparison Year for the purpose of making the computations under this </w:t>
      </w:r>
      <w:r>
        <w:rPr>
          <w:rFonts w:ascii="Times New Roman" w:hAnsi="Times New Roman"/>
          <w:sz w:val="20"/>
          <w:u w:val="single"/>
        </w:rPr>
        <w:t>Section 7.2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Only Landlord shall be eligible to institute proceedings to reduce the assessed valuation of the Real Property or institute any other protest or tax refund proceedings and the filings of any such proceedings by Tenant without Landlords prior written consent shall constitute an Event of Default. If Landlord receives a refund of Taxes for any Comparison Year, Landlord shall, at its election, either pay to Tenant within thirty (30) days after receipt of such refund, or credit against subsequent payments of Rent due hereunder, an amount equal to Tenants Proportionate Share of the refund, net of any expenses incurred by Landlord in achieving such refund, which amount shall not exceed Tenants Tax Payment paid for such Comparison Year. Landlord shall not be obligated to file any application or institute any proceeding seeking a reduction in Taxes or the assessed valuation of the Real Property. In no event shall Landlords receipt of funds in connection with any tax increment financing and/or a redevelopment agreement between Landlord and the City of Chicago (Including, without limitation, any developers note for the benefit of Landlord), affecting all of any portion of the Real Property constitute a refund of Taxes to which Tenant is or could be entitled to a proportionate share. </w:t>
      </w:r>
    </w:p>
    <w:p>
      <w:pPr>
        <w:pStyle w:val="TextBody"/>
        <w:bidi w:val="0"/>
        <w:spacing w:before="120" w:after="0"/>
        <w:jc w:val="left"/>
        <w:rPr>
          <w:rFonts w:ascii="Times New Roman" w:hAnsi="Times New Roman"/>
          <w:sz w:val="20"/>
        </w:rPr>
      </w:pPr>
      <w:r>
        <w:rPr>
          <w:rFonts w:ascii="Times New Roman" w:hAnsi="Times New Roman"/>
          <w:sz w:val="20"/>
        </w:rPr>
        <w:t xml:space="preserve">(e) Tenant shall be obligated to make Tenets Tax Payment regardless of whether Tenant may be exempt from the payment of any taxes by reason of Tenants not-for-profit, diplomatic or other tax exempt status. </w:t>
      </w:r>
    </w:p>
    <w:p>
      <w:pPr>
        <w:pStyle w:val="TextBody"/>
        <w:bidi w:val="0"/>
        <w:spacing w:before="120" w:after="0"/>
        <w:jc w:val="left"/>
        <w:rPr>
          <w:rFonts w:ascii="Times New Roman" w:hAnsi="Times New Roman"/>
          <w:sz w:val="20"/>
        </w:rPr>
      </w:pPr>
      <w:r>
        <w:rPr>
          <w:rFonts w:ascii="Times New Roman" w:hAnsi="Times New Roman"/>
          <w:sz w:val="20"/>
        </w:rPr>
        <w:t xml:space="preserve">(f) Tenant shall be responsible for any applicable occupancy or rent tax now in effect or hereafter enacted web respect to the Premises and/or the Rent therefor and, if payable by Landlord, Tenant shall promptly pay such amounts to Landlord, upon Landlords demand, as Additional Rent.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7.3</w:t>
      </w:r>
      <w:r>
        <w:rPr>
          <w:rFonts w:ascii="Times New Roman" w:hAnsi="Times New Roman"/>
          <w:sz w:val="20"/>
        </w:rPr>
        <w:t xml:space="preserve"> </w:t>
      </w:r>
      <w:r>
        <w:rPr>
          <w:rFonts w:ascii="Times New Roman" w:hAnsi="Times New Roman"/>
          <w:b/>
          <w:sz w:val="20"/>
          <w:u w:val="single"/>
        </w:rPr>
        <w:t>Tenants Operating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each Comparison Year, Landlord shall furnish to Tenant a written statement setting forth Landlords good faith reasonable estimate of Tenants Operating Payment for such Comparison Year, based upon such years budget Tenant shall pay to Landlord on the first day of each month during such Comparison Year an amount equal to one-twelfth of Landlords estimate of Tenants Operating Payment for such Comparison Year. If, however. Landlord shall furnish any such estimate for a Comparison Year subsequent to the commencement thereof, then until the last day of the month following the month in which such estimate is furnished to Tenant, Tenant shall pay to Landlord on the first day of each month an amount equal to the monthly sum payable by Tenant to Landlord under this </w:t>
      </w:r>
      <w:r>
        <w:rPr>
          <w:rFonts w:ascii="Times New Roman" w:hAnsi="Times New Roman"/>
          <w:sz w:val="20"/>
          <w:u w:val="single"/>
        </w:rPr>
        <w:t>Section 7.3</w:t>
      </w:r>
      <w:r>
        <w:rPr>
          <w:rFonts w:ascii="Times New Roman" w:hAnsi="Times New Roman"/>
          <w:sz w:val="20"/>
        </w:rPr>
        <w:t xml:space="preserve"> during the last month of the preceding Comparison Year. Promptly after such estimate is furnished to Tenant or together therewith, Landlord shall give notice to Tenant stating whether the installments of Tenants Operating Payment previously made for such Comparison Year were greater or less than the installments of Tenants Operating Payment to be made for such Comparison Year in accordance with such estimate, and if there shall be a deficiency, Tenant shall pay the amount thereof within thirty (30) days after demand therefor, or if there shall have been an overpayment, Landlord shall credit the amount thereof against subsequent payments of Rent due hereunder, and on the first day of the month following the month in which such estimate is furnished to Tenant, and on the first day of each month thereafter throughout the remainder of such Comparison Year, Tenant shall pay to Landlord an amount squat to one-twelfth of Tenants Operating Payment shown on such estimate.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or before May 1st of each Comparison Year, Landfill shall furnish to Tenant a Statement for the immediately preceding Comparison Yea. Each such Statement shall be accompanied by a computation of Operating Expenses for the Building prepared by Landlords Agent. If the Statement shall show that the sums paid by Tenant under </w:t>
      </w:r>
      <w:r>
        <w:rPr>
          <w:rFonts w:ascii="Times New Roman" w:hAnsi="Times New Roman"/>
          <w:sz w:val="20"/>
          <w:u w:val="single"/>
        </w:rPr>
        <w:t>Section 7.3(a)</w:t>
      </w:r>
      <w:r>
        <w:rPr>
          <w:rFonts w:ascii="Times New Roman" w:hAnsi="Times New Roman"/>
          <w:sz w:val="20"/>
        </w:rPr>
        <w:t xml:space="preserve"> exceeded the actual amount of Tenants Operating Payment for such Comparison Year, Landlord shall, at its election, either refund the amount of such excess to Tenant within thirty (30) days after Tenants receipt of the Statement or credit the amount of such excess against subsequent payments of Rent due hereunder. If the Statement for such Comparison Year shall show that the sums so paid by Tenant were less than Tenants Operating Payment for such Comparison Year, Tenant shall pay the amount of such deficiency within thirty (30) days after Tenants receipt of the Statement.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7.4</w:t>
      </w:r>
      <w:r>
        <w:rPr>
          <w:rFonts w:ascii="Times New Roman" w:hAnsi="Times New Roman"/>
          <w:sz w:val="20"/>
        </w:rPr>
        <w:t xml:space="preserve"> </w:t>
      </w:r>
      <w:r>
        <w:rPr>
          <w:rFonts w:ascii="Times New Roman" w:hAnsi="Times New Roman"/>
          <w:b/>
          <w:sz w:val="20"/>
          <w:u w:val="single"/>
        </w:rPr>
        <w:t>Partial Lease Years</w:t>
      </w:r>
      <w:r>
        <w:rPr>
          <w:rFonts w:ascii="Times New Roman" w:hAnsi="Times New Roman"/>
          <w:sz w:val="20"/>
        </w:rPr>
        <w:t xml:space="preserve">. If the Commencement Date shall occur on a date other than January 1, any Additional Rent under </w:t>
      </w:r>
      <w:r>
        <w:rPr>
          <w:rFonts w:ascii="Times New Roman" w:hAnsi="Times New Roman"/>
          <w:sz w:val="20"/>
          <w:u w:val="single"/>
        </w:rPr>
        <w:t>Sections 7.2 and 7.3</w:t>
      </w:r>
      <w:r>
        <w:rPr>
          <w:rFonts w:ascii="Times New Roman" w:hAnsi="Times New Roman"/>
          <w:sz w:val="20"/>
        </w:rPr>
        <w:t xml:space="preserve"> for the calendar year in which such Commencement Data shall occur shall be apportioned on the basis of the number of days in the period from the Commencement Date to the following December 31 bears to the total number of days in such Comparison Year. If the Expiration Date shall occur on a date other than December 31, any Additional Rent payable by Tenant to Landlord under </w:t>
      </w:r>
      <w:r>
        <w:rPr>
          <w:rFonts w:ascii="Times New Roman" w:hAnsi="Times New Roman"/>
          <w:sz w:val="20"/>
          <w:u w:val="single"/>
        </w:rPr>
        <w:t>Sections 7.2 and 7.3</w:t>
      </w:r>
      <w:r>
        <w:rPr>
          <w:rFonts w:ascii="Times New Roman" w:hAnsi="Times New Roman"/>
          <w:sz w:val="20"/>
        </w:rPr>
        <w:t xml:space="preserve"> for the Comparison Year in which such Expiration Date occurs shall be apportioned on the baste of the number of days in the period from January 1 to the Expiration Date shall bear to the total number of days in such Comparison Year. In the event of the expiration or earlier termination of this Lease, any Additional Rent under </w:t>
      </w:r>
      <w:r>
        <w:rPr>
          <w:rFonts w:ascii="Times New Roman" w:hAnsi="Times New Roman"/>
          <w:sz w:val="20"/>
          <w:u w:val="single"/>
        </w:rPr>
        <w:t>Sections 7.2 and 7.3</w:t>
      </w:r>
      <w:r>
        <w:rPr>
          <w:rFonts w:ascii="Times New Roman" w:hAnsi="Times New Roman"/>
          <w:sz w:val="20"/>
        </w:rPr>
        <w:t xml:space="preserve"> owed by Tenant shall be paid by Tenant, and any over payments not credited against Rent payable hereunder shall be refunded by Landlord within thirty (30) days after submission of the Statement for the last Comparison Year. In no event shall Fixed Rent ever be reduced by operation of </w:t>
      </w:r>
      <w:r>
        <w:rPr>
          <w:rFonts w:ascii="Times New Roman" w:hAnsi="Times New Roman"/>
          <w:sz w:val="20"/>
          <w:u w:val="single"/>
        </w:rPr>
        <w:t>Sections 7.2 and 7.3</w:t>
      </w:r>
      <w:r>
        <w:rPr>
          <w:rFonts w:ascii="Times New Roman" w:hAnsi="Times New Roman"/>
          <w:sz w:val="20"/>
        </w:rPr>
        <w:t xml:space="preserve"> and the rights and obligations of Landlord and Tenant under the provisions of </w:t>
      </w:r>
      <w:r>
        <w:rPr>
          <w:rFonts w:ascii="Times New Roman" w:hAnsi="Times New Roman"/>
          <w:sz w:val="20"/>
          <w:u w:val="single"/>
        </w:rPr>
        <w:t>Sections 7.2 and 7.3</w:t>
      </w:r>
      <w:r>
        <w:rPr>
          <w:rFonts w:ascii="Times New Roman" w:hAnsi="Times New Roman"/>
          <w:sz w:val="20"/>
        </w:rPr>
        <w:t xml:space="preserve"> with respect to any Additional Rent shall survive the expiration or earlier termination of this Lease.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7.5</w:t>
      </w:r>
      <w:r>
        <w:rPr>
          <w:rFonts w:ascii="Times New Roman" w:hAnsi="Times New Roman"/>
          <w:sz w:val="20"/>
        </w:rPr>
        <w:t xml:space="preserve"> </w:t>
      </w:r>
      <w:r>
        <w:rPr>
          <w:rFonts w:ascii="Times New Roman" w:hAnsi="Times New Roman"/>
          <w:b/>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7.6</w:t>
      </w:r>
      <w:r>
        <w:rPr>
          <w:rFonts w:ascii="Times New Roman" w:hAnsi="Times New Roman"/>
          <w:sz w:val="20"/>
        </w:rPr>
        <w:t xml:space="preserve"> </w:t>
      </w:r>
      <w:r>
        <w:rPr>
          <w:rFonts w:ascii="Times New Roman" w:hAnsi="Times New Roman"/>
          <w:b/>
          <w:sz w:val="20"/>
          <w:u w:val="single"/>
        </w:rPr>
        <w:t>Non-Waiver; Disputes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Landlords failure to render any Statement on a timely basis with respect to any Comparison Year shall not prejudice Landlords right to thereafter render a Statement with respect to such Comparison Year or any subsequent Comparison Year, nor shall the rendering of a Statement prejudice Landlords right to thereafter render a corrected Statement for that Comparison Year. </w:t>
      </w:r>
    </w:p>
    <w:p>
      <w:pPr>
        <w:pStyle w:val="TextBody"/>
        <w:bidi w:val="0"/>
        <w:spacing w:before="120" w:after="0"/>
        <w:jc w:val="left"/>
        <w:rPr>
          <w:rFonts w:ascii="Times New Roman" w:hAnsi="Times New Roman"/>
          <w:sz w:val="20"/>
        </w:rPr>
      </w:pPr>
      <w:r>
        <w:rPr>
          <w:rFonts w:ascii="Times New Roman" w:hAnsi="Times New Roman"/>
          <w:sz w:val="20"/>
        </w:rPr>
        <w:t xml:space="preserve">(b) Each Statement sent to Tenant shall be conclusively binding upon Tenant unless Tenant shall within thirty (30) days after such Statement is sent, pay to Landlord the amount set forth in such Statement, without prejudice to Tenants right to dispute such Statement, and within one hundred twenty (120) days after such Statement is sent, send a written notice to Landlord objecting to such Statement and specifying the reasons that such Statement is claimed to be incorrect. Tenant agrees that Tenant will not employ, in connection with any dispute under this Lease, any person who is to be compensated in whole or in part, on a continency fee basis. If the parties are unable to resolve any dispute as to the correctness of such Statement within thirty (30) days following such notice of objection, either party may refer the issues to a reputable public accounting firm selected by Landlord that is independent of Tenant, and Landlord and reasonably acceptable to Tenant and the decision of such accountants shall be conclusively binding upon Landlord and Tenant. In connection therewith, Tenant and such accountants shall execute and deliver to Landlord a confidentiality agreement, in form and substance, reasonably satisfactory to Landlord, whereby such parties agree not to disclose to any third party any of the information obtained in connection with such review. Tenants shall pay all the fees and expenses relating to such procedure unless such accountants determine that Landlord overstated Operating Expenses by more than five percent (5%) for such Lease Year, in which case Landlord shall pay such fees and expenses. If in connection with the foregoing procedure, it is determined that Tenants Tax Payment and/or Tenants Operating Payment actually paid by Tenant for the period under review exceeded the actual amount of Tenants Proportionate Share of Taxes and/or Operating Expenses (as applicable) for such period, then, so long as no Event of Default then exists, Landlord shall credit against Tenants next accruing Rent obligations an amount equal to such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ARTICLE 8 LEGAL REQUIREMENTS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8.1</w:t>
      </w:r>
      <w:r>
        <w:rPr>
          <w:rFonts w:ascii="Times New Roman" w:hAnsi="Times New Roman"/>
          <w:sz w:val="20"/>
        </w:rPr>
        <w:t xml:space="preserve"> </w:t>
      </w:r>
      <w:r>
        <w:rPr>
          <w:rFonts w:ascii="Times New Roman" w:hAnsi="Times New Roman"/>
          <w:b/>
          <w:sz w:val="20"/>
          <w:u w:val="single"/>
        </w:rPr>
        <w:t>Compliance</w:t>
      </w:r>
      <w:r>
        <w:rPr>
          <w:rFonts w:ascii="Times New Roman" w:hAnsi="Times New Roman"/>
          <w:sz w:val="20"/>
        </w:rPr>
        <w:t xml:space="preserve">. Landlord, at Landlords expense (subject to Landlords right to be reimbursed therefor by tenants of the Budding to the extent such expense constitutes an Operating Expense pursuant to </w:t>
      </w:r>
      <w:r>
        <w:rPr>
          <w:rFonts w:ascii="Times New Roman" w:hAnsi="Times New Roman"/>
          <w:sz w:val="20"/>
          <w:u w:val="single"/>
        </w:rPr>
        <w:t>Article 7</w:t>
      </w:r>
      <w:r>
        <w:rPr>
          <w:rFonts w:ascii="Times New Roman" w:hAnsi="Times New Roman"/>
          <w:sz w:val="20"/>
        </w:rPr>
        <w:t xml:space="preserve"> hereof) shall comply with all Legal Requirements applicable to the ownership, operation and maintenance of the Real Property. Tenant, at its sole expense, shall comply (or cause to be complied) with all Legal Requirements applicable to the Premises, regardless of whether imposed by their terms upon Landlord or Tenant, or the use and occupancy thereof by Tenant, and make all repairs or Alterations required thereby, provided, however, in no event shall Tenant be responsible to make or pay for any structural capital improvements to the Building or Premises (except to the extent such structural or capital improvements are included in the definition of Operating Expenses pursuant to </w:t>
      </w:r>
      <w:r>
        <w:rPr>
          <w:rFonts w:ascii="Times New Roman" w:hAnsi="Times New Roman"/>
          <w:sz w:val="20"/>
          <w:u w:val="single"/>
        </w:rPr>
        <w:t>Section 7.1(c)</w:t>
      </w:r>
      <w:r>
        <w:rPr>
          <w:rFonts w:ascii="Times New Roman" w:hAnsi="Times New Roman"/>
          <w:sz w:val="20"/>
        </w:rPr>
        <w:t xml:space="preserve"> hereof or such structural or capital improvements are required due to Tenants specific use and occupancy of the Premises (except for standard office use) or if necessitated by the negligent or willful acts of Tenant or its employees, contractors or subtenants). Tenant shall not do or permit to be done any act or thing upon the Premises which will invalidate or be in conflict with Landlords insurance policies, and shall not do or permit anything to be done in or upon the Premises, or use the Premises in a manner, or bring or keep anything therein, which shall increase the rates for casualty or lability insurance applicable to the Building. If, as a result of any act or omission by Tenant or by reason of Tenants failure to comply with the provisions of this </w:t>
      </w:r>
      <w:r>
        <w:rPr>
          <w:rFonts w:ascii="Times New Roman" w:hAnsi="Times New Roman"/>
          <w:sz w:val="20"/>
          <w:u w:val="single"/>
        </w:rPr>
        <w:t>Article 8</w:t>
      </w:r>
      <w:r>
        <w:rPr>
          <w:rFonts w:ascii="Times New Roman" w:hAnsi="Times New Roman"/>
          <w:sz w:val="20"/>
        </w:rPr>
        <w:t xml:space="preserve"> the insurance rates for the Building shall be increased, then Tenant shall desist from doing or permitting to be done any such act or thing and shall reimburse Landlord, as Additional Rent hereunder, for that part of all insurance premiums thereafter paid by Landlord which shall have been charged because of such act, omission or failure by Tenant, and shall make such reimbursement upon demand by Landlord.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8.2</w:t>
      </w:r>
      <w:r>
        <w:rPr>
          <w:rFonts w:ascii="Times New Roman" w:hAnsi="Times New Roman"/>
          <w:sz w:val="20"/>
        </w:rPr>
        <w:t xml:space="preserve"> </w:t>
      </w:r>
      <w:r>
        <w:rPr>
          <w:rFonts w:ascii="Times New Roman" w:hAnsi="Times New Roman"/>
          <w:b/>
          <w:sz w:val="20"/>
          <w:u w:val="single"/>
        </w:rPr>
        <w:t>Hazardous Materials</w:t>
      </w:r>
      <w:r>
        <w:rPr>
          <w:rFonts w:ascii="Times New Roman" w:hAnsi="Times New Roman"/>
          <w:sz w:val="20"/>
        </w:rPr>
        <w:t>. Subject to the limitations contained in the following sentence, Tenant at its expense, shall comply with all Environmental Laws and with any directive of any Governmental Authority which shall impose any violation, order or duly upon Landlord or Tenant under any Environmental Laws with respect to the Premises or the use or occupation thereof. Tenants obligations hereunder with respect to Hazardous Materials shall extend only to those matters directly or indirectly based on, or arising or resulting from (a) the actual or alleged presence of Hazardous Materials on the Premises or in the Building which is caused or permitted by Tenant, and (b) any Environmental Claim (defined below) relating in any way to Tenants operation or use of the Premises or the Building, Tenant shall provide Landlord with copies of all communications and related materials regarding the Premises which Tenant shall receive from or send to (a) any Governmental Authority relating in any way to any Environmental Laws, or (b) any Person with respect to any claim based upon any Environmental Laws or relating in any way to Hazardous Materials (any such claim, an </w:t>
      </w:r>
      <w:r>
        <w:rPr>
          <w:rFonts w:ascii="Times New Roman" w:hAnsi="Times New Roman"/>
          <w:b/>
          <w:sz w:val="20"/>
        </w:rPr>
        <w:t>Environmental Claim</w:t>
      </w:r>
      <w:r>
        <w:rPr>
          <w:rFonts w:ascii="Times New Roman" w:hAnsi="Times New Roman"/>
          <w:sz w:val="20"/>
        </w:rPr>
        <w:t xml:space="preserve">). Landlord or its agents may perform an environmental inspection of the Premises at any time during the Term, upon prior written notice to Tenant, or without notice in the event of an emergency. The cost of such inspection shall be borne by Landlord unless such inspection arises out of the at or omission of Tenant or any Tenant Party. Landlord agrees to use commercially reasonable efforts to minimize any interference to Tenants use and enjoyment of the Premises in connection with the performance of such inspection and to perform such inspection during non-business hours. Tenants obligations under this </w:t>
      </w:r>
      <w:r>
        <w:rPr>
          <w:rFonts w:ascii="Times New Roman" w:hAnsi="Times New Roman"/>
          <w:sz w:val="20"/>
          <w:u w:val="single"/>
        </w:rPr>
        <w:t>Article 8</w:t>
      </w:r>
      <w:r>
        <w:rPr>
          <w:rFonts w:ascii="Times New Roman" w:hAnsi="Times New Roman"/>
          <w:sz w:val="20"/>
        </w:rPr>
        <w:t xml:space="preserve"> shall survive the expiration or earlier termination of this Lease.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9 SUBORDINATION AND ATTORNMENT; ESTOPPEL CERTIFICATES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9.1</w:t>
      </w:r>
      <w:r>
        <w:rPr>
          <w:rFonts w:ascii="Times New Roman" w:hAnsi="Times New Roman"/>
          <w:sz w:val="20"/>
        </w:rPr>
        <w:t xml:space="preserve"> </w:t>
      </w:r>
      <w:r>
        <w:rPr>
          <w:rFonts w:ascii="Times New Roman" w:hAnsi="Times New Roman"/>
          <w:b/>
          <w:sz w:val="20"/>
          <w:u w:val="single"/>
        </w:rPr>
        <w:t>Subordination</w:t>
      </w:r>
      <w:r>
        <w:rPr>
          <w:rFonts w:ascii="Times New Roman" w:hAnsi="Times New Roman"/>
          <w:sz w:val="20"/>
        </w:rPr>
        <w:t xml:space="preserve">. This Lease, and all rights of Tenant hereunder, are and shall be subject and subordinate in all respects to all Mortgages and Superior Leases. This </w:t>
      </w:r>
      <w:r>
        <w:rPr>
          <w:rFonts w:ascii="Times New Roman" w:hAnsi="Times New Roman"/>
          <w:sz w:val="20"/>
          <w:u w:val="single"/>
        </w:rPr>
        <w:t>Section 9.1</w:t>
      </w:r>
      <w:r>
        <w:rPr>
          <w:rFonts w:ascii="Times New Roman" w:hAnsi="Times New Roman"/>
          <w:sz w:val="20"/>
        </w:rPr>
        <w:t xml:space="preserve"> shall be self-operative and no further instrument of subordination shall be required. Tenant shall promptly execute and deliver any subordination instrument that Landlord or any Superior Lessor or Mortgagee may reasonably request no later than ten (10) Business Days after Landlords request therefor, provided such subordination document contains a nondisturbance provision which is generally acceptable to such Mortgagee or Superior Lessor, subject to such commercially reasonable modifications as may be negotiated by Tenant.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9.2</w:t>
      </w:r>
      <w:r>
        <w:rPr>
          <w:rFonts w:ascii="Times New Roman" w:hAnsi="Times New Roman"/>
          <w:sz w:val="20"/>
        </w:rPr>
        <w:t xml:space="preserve"> </w:t>
      </w:r>
      <w:r>
        <w:rPr>
          <w:rFonts w:ascii="Times New Roman" w:hAnsi="Times New Roman"/>
          <w:b/>
          <w:sz w:val="20"/>
          <w:u w:val="single"/>
        </w:rPr>
        <w:t>Notices</w:t>
      </w:r>
      <w:r>
        <w:rPr>
          <w:rFonts w:ascii="Times New Roman" w:hAnsi="Times New Roman"/>
          <w:sz w:val="20"/>
        </w:rPr>
        <w:t xml:space="preserve">. In the event of any act or omission of Landlord which would give Tenant the right, immediately or after lapse of a period of time, to cancel or terminate this Lease, or to claim a partial or total eviction, Tenant shall not exercise such right (a) until it has given written notice of such act or omission to each Mortgagee and Superior Lessor whose name and address shall previously have been furnished to Tenant in writing, and (b) unless such act or omission shall be one which is not capable of being remedied by Landlord or such Mortgagee or Superior Lessor within a reasonable period of time, until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reasonable period for remedying such act or omission shall have elapsed following the giving of such notice and following the time when such Mortgages or Superior Lessor shall have become entitled under such Mortgage or Superior Lease, as the case may be, to remedy the same (which reasonable period shall in no event be less than the period to which Landlord would be entitled under this Lease or otherwise, after similar notice, to effect such remedy), provided such Mortgagee or Superior Lessor shall with due diligence give Tenant written notice of its intention to remedy such act or omission, and such Mortgagee or Superior Lessor shall commence and thereafter continue with reasonable diligence to remedy such act or omission. If more than one Mortgagee or Superior Lessor shall became entitled to any additional cure period under this Section 9.2 such cure periods shall run concurrently, not consecutively.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9.3</w:t>
      </w:r>
      <w:r>
        <w:rPr>
          <w:rFonts w:ascii="Times New Roman" w:hAnsi="Times New Roman"/>
          <w:sz w:val="20"/>
        </w:rPr>
        <w:t xml:space="preserve"> </w:t>
      </w:r>
      <w:r>
        <w:rPr>
          <w:rFonts w:ascii="Times New Roman" w:hAnsi="Times New Roman"/>
          <w:b/>
          <w:sz w:val="20"/>
          <w:u w:val="single"/>
        </w:rPr>
        <w:t>Attornment</w:t>
      </w:r>
      <w:r>
        <w:rPr>
          <w:rFonts w:ascii="Times New Roman" w:hAnsi="Times New Roman"/>
          <w:sz w:val="20"/>
        </w:rPr>
        <w:t>. If a Mortgagee or Superior Lessor shall succeed to the rights of Landlord under this Lease, whether through possession or foreclosure action or delivery of a new lease or deed, then at the request of such party so succeeding to Landlords rights (</w:t>
      </w:r>
      <w:r>
        <w:rPr>
          <w:rFonts w:ascii="Times New Roman" w:hAnsi="Times New Roman"/>
          <w:b/>
          <w:sz w:val="20"/>
        </w:rPr>
        <w:t>Successor Landlord</w:t>
      </w:r>
      <w:r>
        <w:rPr>
          <w:rFonts w:ascii="Times New Roman" w:hAnsi="Times New Roman"/>
          <w:sz w:val="20"/>
        </w:rPr>
        <w:t xml:space="preserve">) and upon Successor Landlords written agreement to accept Tenants attornment, Tenant shall attorn to and recognize Successor Landlord as Tenants landlord under this Lease, and shall promptly execute and deliver any instrument that Successor Landlord may reasonably request to evidence such adornment. Upon such adornment this Lease shall continue in full force and effect as, or as if it were, a direct lease between Successor Landlord and Tenant upon all of the terms, conditions and covenants as are set forth in this Lease and shall be applicable after such adornment except that Successor Landlord shall not be: </w:t>
      </w:r>
    </w:p>
    <w:p>
      <w:pPr>
        <w:pStyle w:val="TextBody"/>
        <w:bidi w:val="0"/>
        <w:spacing w:before="120" w:after="0"/>
        <w:jc w:val="left"/>
        <w:rPr>
          <w:rFonts w:ascii="Times New Roman" w:hAnsi="Times New Roman"/>
          <w:sz w:val="20"/>
        </w:rPr>
      </w:pPr>
      <w:r>
        <w:rPr>
          <w:rFonts w:ascii="Times New Roman" w:hAnsi="Times New Roman"/>
          <w:sz w:val="20"/>
        </w:rPr>
        <w:t xml:space="preserve">(a) liable for any act or omission of Landlord (except to the extent such act or omission continues beyond the date when such Successor Landlord succeeds to Landlords interest and Tenant gives notice of such act or omission to Successor Landlord); </w:t>
      </w:r>
    </w:p>
    <w:p>
      <w:pPr>
        <w:pStyle w:val="TextBody"/>
        <w:bidi w:val="0"/>
        <w:spacing w:before="120" w:after="0"/>
        <w:jc w:val="left"/>
        <w:rPr>
          <w:rFonts w:ascii="Times New Roman" w:hAnsi="Times New Roman"/>
          <w:sz w:val="20"/>
        </w:rPr>
      </w:pPr>
      <w:r>
        <w:rPr>
          <w:rFonts w:ascii="Times New Roman" w:hAnsi="Times New Roman"/>
          <w:sz w:val="20"/>
        </w:rPr>
        <w:t xml:space="preserve">(b) subject to any defense, claim, counterclaim, set-off or offsets which Tenant may have against Landlord; </w:t>
      </w:r>
    </w:p>
    <w:p>
      <w:pPr>
        <w:pStyle w:val="TextBody"/>
        <w:bidi w:val="0"/>
        <w:spacing w:before="120" w:after="0"/>
        <w:jc w:val="left"/>
        <w:rPr>
          <w:rFonts w:ascii="Times New Roman" w:hAnsi="Times New Roman"/>
          <w:sz w:val="20"/>
        </w:rPr>
      </w:pPr>
      <w:r>
        <w:rPr>
          <w:rFonts w:ascii="Times New Roman" w:hAnsi="Times New Roman"/>
          <w:sz w:val="20"/>
        </w:rPr>
        <w:t xml:space="preserve">(c) bound by any prepayment of more than one months Rent to any prior landlord; </w:t>
      </w:r>
    </w:p>
    <w:p>
      <w:pPr>
        <w:pStyle w:val="TextBody"/>
        <w:bidi w:val="0"/>
        <w:spacing w:before="120" w:after="0"/>
        <w:jc w:val="left"/>
        <w:rPr>
          <w:rFonts w:ascii="Times New Roman" w:hAnsi="Times New Roman"/>
          <w:sz w:val="20"/>
        </w:rPr>
      </w:pPr>
      <w:r>
        <w:rPr>
          <w:rFonts w:ascii="Times New Roman" w:hAnsi="Times New Roman"/>
          <w:sz w:val="20"/>
        </w:rPr>
        <w:t xml:space="preserve">(d) bound by any obligation to make any payment to Tenant which was required to be made prior to de time such Successor Landlord succeeded to Landlords interest, except for the repayment of the balance of the Security Deposit (If any) remaining at the end of the Lease term to the extent such Successor Landlord receives the remaining portion of the Security Deposit (if any) from Landlord and has not applied or retained the same in accustoms with </w:t>
      </w:r>
      <w:r>
        <w:rPr>
          <w:rFonts w:ascii="Times New Roman" w:hAnsi="Times New Roman"/>
          <w:sz w:val="20"/>
          <w:u w:val="single"/>
        </w:rPr>
        <w:t>ARTICLE 30</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 xml:space="preserve">(e) bound by any obligation to perform any work or to make improvements to the Premises except for (x) repairs and maintenance required to be made by Landlord under this Lease, and (y) repairs to the Premises as a result of damage by fire or other casually or a partial condemnation pursuant to the provisions of this Lease, but only to the extent that such repairs can reasonably be made from the net proceeds of any insurance or condemnation awards, respectively, actually made evadable to such Successor Landlord; or </w:t>
      </w:r>
    </w:p>
    <w:p>
      <w:pPr>
        <w:pStyle w:val="TextBody"/>
        <w:bidi w:val="0"/>
        <w:spacing w:before="120" w:after="0"/>
        <w:jc w:val="left"/>
        <w:rPr>
          <w:rFonts w:ascii="Times New Roman" w:hAnsi="Times New Roman"/>
          <w:sz w:val="20"/>
        </w:rPr>
      </w:pPr>
      <w:r>
        <w:rPr>
          <w:rFonts w:ascii="Times New Roman" w:hAnsi="Times New Roman"/>
          <w:sz w:val="20"/>
        </w:rPr>
        <w:t xml:space="preserve">(f) bound by any modification, amendment a renewal of this Lease made without Successor Landlords consent.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9.4</w:t>
      </w:r>
      <w:r>
        <w:rPr>
          <w:rFonts w:ascii="Times New Roman" w:hAnsi="Times New Roman"/>
          <w:sz w:val="20"/>
        </w:rPr>
        <w:t xml:space="preserve"> </w:t>
      </w:r>
      <w:r>
        <w:rPr>
          <w:rFonts w:ascii="Times New Roman" w:hAnsi="Times New Roman"/>
          <w:b/>
          <w:sz w:val="20"/>
          <w:u w:val="single"/>
        </w:rPr>
        <w:t>Lease Modifications</w:t>
      </w:r>
      <w:r>
        <w:rPr>
          <w:rFonts w:ascii="Times New Roman" w:hAnsi="Times New Roman"/>
          <w:sz w:val="20"/>
        </w:rPr>
        <w:t xml:space="preserve">. If, in connection with obtaining, continuing or renewing of financing for which the Building, Land or the interest of the lessee under any Superior Lease represents collateral, in whole or in part, the Mortgagee and/or Superior Lessor shall request reasonable modifications of this Lease as a condition of such financing, Tenant will not unreasonably withhold its consent thereto, provided that such modifications do not materially and adversely increase the obligations of Tenant hereunder, diminish the rights of Tenant hereunder, or cause a change in Tenants financial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9.5</w:t>
      </w:r>
      <w:r>
        <w:rPr>
          <w:rFonts w:ascii="Times New Roman" w:hAnsi="Times New Roman"/>
          <w:sz w:val="20"/>
        </w:rPr>
        <w:t xml:space="preserve"> </w:t>
      </w:r>
      <w:r>
        <w:rPr>
          <w:rFonts w:ascii="Times New Roman" w:hAnsi="Times New Roman"/>
          <w:b/>
          <w:sz w:val="20"/>
          <w:u w:val="single"/>
        </w:rPr>
        <w:t>Estoppel Certificates</w:t>
      </w:r>
      <w:r>
        <w:rPr>
          <w:rFonts w:ascii="Times New Roman" w:hAnsi="Times New Roman"/>
          <w:sz w:val="20"/>
        </w:rPr>
        <w:t xml:space="preserve">. Tenant agrees, at any time and from time to time, as requested by Landlord, upon not less than fifteen (15) days prior notice, to execute and deliver to Landlord a written statement executed and acknowledged by Tenant (a) stating that this Lease is then in full force and effect and has not been modified (or if modified, setting forth all modifications), (b) setting forth the then annual Fixed Rent, (c) setting forth the date to which the Fixed Rent and Additional Rent have been paid, (d) stating whether or not, to the best knowledge of the Tenant, Landlord is in default under this Lease, and if so, setting forth the specific nature of all such defaults, (e) stating the amount of the Security Deposit, (f) stating whether Tenant possesses any renewal, extension, expansion, contraction or termination options and their respective terms, If any, (g) stating whether Landlord has fulfilled all obligations with regard to delivery of the Premises to Tenant, (h) stating whether there are any subleases affecting the Premises, (i) stating the address of Tenant to which all notices and communications under the Lease shall be sent, the Commencement Date and the Expiration Date, and (j) as to any other matters reasonably requested by Landlord. Tenant acknowledges that any statement delivered pursuant to this </w:t>
      </w:r>
      <w:r>
        <w:rPr>
          <w:rFonts w:ascii="Times New Roman" w:hAnsi="Times New Roman"/>
          <w:sz w:val="20"/>
          <w:u w:val="single"/>
        </w:rPr>
        <w:t>Section 9.5</w:t>
      </w:r>
      <w:r>
        <w:rPr>
          <w:rFonts w:ascii="Times New Roman" w:hAnsi="Times New Roman"/>
          <w:sz w:val="20"/>
        </w:rPr>
        <w:t xml:space="preserve"> may be relied upon by others with whom Landlord may be dealing, including any purchaser or owner of the Real Property or the Building, or of Landlords interest in the Real Property or the Building or any Superior Lease, or by any Mortgagee, Superior Lessor or Landlords mezzanine tender. </w:t>
      </w:r>
    </w:p>
    <w:p>
      <w:pPr>
        <w:pStyle w:val="TextBody"/>
        <w:bidi w:val="0"/>
        <w:spacing w:before="240" w:after="0"/>
        <w:jc w:val="left"/>
        <w:rPr>
          <w:rFonts w:ascii="Times New Roman" w:hAnsi="Times New Roman"/>
          <w:sz w:val="20"/>
        </w:rPr>
      </w:pPr>
      <w:r>
        <w:rPr>
          <w:rFonts w:ascii="Times New Roman" w:hAnsi="Times New Roman"/>
          <w:b/>
          <w:sz w:val="20"/>
        </w:rPr>
        <w:t>ARTICLE 10 SERVICES</w:t>
      </w:r>
      <w:r>
        <w:rPr>
          <w:rFonts w:ascii="Times New Roman" w:hAnsi="Times New Roman"/>
          <w:sz w:val="20"/>
        </w:rPr>
        <w:t xml:space="preserve">. Landlord shall provide, at Landlords expense, except as otherwise set forth herein, the following services: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10.1</w:t>
      </w:r>
      <w:r>
        <w:rPr>
          <w:rFonts w:ascii="Times New Roman" w:hAnsi="Times New Roman"/>
          <w:sz w:val="20"/>
        </w:rPr>
        <w:t xml:space="preserve"> </w:t>
      </w:r>
      <w:r>
        <w:rPr>
          <w:rFonts w:ascii="Times New Roman" w:hAnsi="Times New Roman"/>
          <w:b/>
          <w:sz w:val="20"/>
          <w:u w:val="single"/>
        </w:rPr>
        <w:t>Electricity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Electricity shall be distributed to the Premises by the electric utility company serving the Building and Tenant shall contract directly with such company. Landlord shall permit Landlords wire and conduits, to the extent available, suitable and safely capable, to be used for such distribution. Subject to the provisions of </w:t>
      </w:r>
      <w:r>
        <w:rPr>
          <w:rFonts w:ascii="Times New Roman" w:hAnsi="Times New Roman"/>
          <w:sz w:val="20"/>
          <w:u w:val="single"/>
        </w:rPr>
        <w:t>Section 10.6(b)</w:t>
      </w:r>
      <w:r>
        <w:rPr>
          <w:rFonts w:ascii="Times New Roman" w:hAnsi="Times New Roman"/>
          <w:sz w:val="20"/>
        </w:rPr>
        <w:t xml:space="preserve"> below, the electrical capacity available to the Premises shall be the capacity on the date hereof. Landlord, at Landlords sole cost and expense, shall make all necessary arrangements with the electric utility company for separately metering the Premises and Tenant shall pay, on a timely basis, for electric current furnished to the Premises. All electricity used during the performance of janitor service, or the making of any alterations or repairs in the Premises, or the operation of any special air conditioning systems serving the Premises, shall be paid for by Tenant. </w:t>
      </w:r>
    </w:p>
    <w:p>
      <w:pPr>
        <w:pStyle w:val="TextBody"/>
        <w:bidi w:val="0"/>
        <w:spacing w:before="120" w:after="0"/>
        <w:jc w:val="left"/>
        <w:rPr>
          <w:rFonts w:ascii="Times New Roman" w:hAnsi="Times New Roman"/>
          <w:sz w:val="20"/>
        </w:rPr>
      </w:pPr>
      <w:r>
        <w:rPr>
          <w:rFonts w:ascii="Times New Roman" w:hAnsi="Times New Roman"/>
          <w:sz w:val="20"/>
        </w:rPr>
        <w:t>(b) Tenant shall at all times comply with the rules and regulations of the utility company supplying electricity to the Building. Tenant shall not use any electrical equipment which, in Landlords reasonable judgment, would exceed the capacity of the electrical equipment servicing the Premises or interfere with the electrical service to other Building tenants. If Landlord determines that Tenants electrical requirements necessitate installation of any additional risers, feeders or other electrical distribution equipment (collectively, </w:t>
      </w:r>
      <w:r>
        <w:rPr>
          <w:rFonts w:ascii="Times New Roman" w:hAnsi="Times New Roman"/>
          <w:b/>
          <w:sz w:val="20"/>
        </w:rPr>
        <w:t>Electrical Equipment</w:t>
      </w:r>
      <w:r>
        <w:rPr>
          <w:rFonts w:ascii="Times New Roman" w:hAnsi="Times New Roman"/>
          <w:sz w:val="20"/>
        </w:rPr>
        <w:t xml:space="preserve">), or if Tenant provides Landlord with evidence reasonably satisfactory to Landlord of Tenants need for excess electricity and requests that additional Electrical Equipment be installed, Landlord shall, at Tenants sole cost and expense, install such separately metered additional Electrical Equipment, provided that Landlord, in its sole judgment, considering the potential needs of present and future Building tenants and of the Building itself, determines that such installation is practicable and necessary, such additional Electrical Equipment is permissible under applicable Legal Requirements, and the installation of such Electrical Equipment will not cause permanent damage or injury to the Building or the Premises, cause or create a dangerous or hazardous condition, entail excessive or unreasonable alterations, interfere with or disturb or limit electrical usage by other tenants or occupants of the Building or exceed the limits of the switchgear or other facilities serving the Building, or require power in excess of that available from the public utility serving the Building. Any costs insured by Landlord in connection therewith shall be paid by Tenant within thirty (30) days after the delivery of a bill to Tenant. Tenant shall pay the cost of such additional electrical service (whether the same is distributed by Landlord or the electrical utility company servicing the Building). Tenant shall not make or perform, or permit the making or performance of, any Alterations to wiring installations or other electrical facilities in or serving the Premises or make any additions to the office equipment or other appliances in the Premises which utilize electrical energy (other than ordinary small office equipment) without the prior consent of Landlord, in each instance, which consent shall not be unreasonably withheld, conditioned or delayed, and in compliance with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Section 10.2</w:t>
      </w:r>
      <w:r>
        <w:rPr>
          <w:rFonts w:ascii="Times New Roman" w:hAnsi="Times New Roman"/>
          <w:b/>
          <w:sz w:val="20"/>
        </w:rPr>
        <w:t xml:space="preserve"> </w:t>
      </w:r>
      <w:r>
        <w:rPr>
          <w:rFonts w:ascii="Times New Roman" w:hAnsi="Times New Roman"/>
          <w:b/>
          <w:sz w:val="20"/>
          <w:u w:val="single"/>
        </w:rPr>
        <w:t xml:space="preserve">Heat, Ventilation And Air-Conditioning </w:t>
      </w:r>
    </w:p>
    <w:p>
      <w:pPr>
        <w:pStyle w:val="TextBody"/>
        <w:bidi w:val="0"/>
        <w:spacing w:before="120" w:after="0"/>
        <w:jc w:val="left"/>
        <w:rPr>
          <w:rFonts w:ascii="Times New Roman" w:hAnsi="Times New Roman"/>
          <w:sz w:val="20"/>
        </w:rPr>
      </w:pPr>
      <w:r>
        <w:rPr>
          <w:rFonts w:ascii="Times New Roman" w:hAnsi="Times New Roman"/>
          <w:sz w:val="20"/>
        </w:rPr>
        <w:t>(a) Landlord shall provide heat and air-conditioning to the Premises on Business Days from 8:00 A.M. to 6:00 P.M., and Saturdays from 8:00 A.M. to 1:00 P.M., when required in Landlords reasonable judgment for the comfortable use and occupancy of the Premises (provided, in no event shall the Premises [other than the Laboratory Space] be deemed comfortable for use and occupancy if the temperature therein is colder than 66 degrees in the winter or warmer than 76 degrees in the summer), through use of the Building standard heating, ventilating and air conditioning system (the </w:t>
      </w:r>
      <w:r>
        <w:rPr>
          <w:rFonts w:ascii="Times New Roman" w:hAnsi="Times New Roman"/>
          <w:b/>
          <w:sz w:val="20"/>
        </w:rPr>
        <w:t>Building Heating HVAC System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in this </w:t>
      </w:r>
      <w:r>
        <w:rPr>
          <w:rFonts w:ascii="Times New Roman" w:hAnsi="Times New Roman"/>
          <w:sz w:val="20"/>
          <w:u w:val="single"/>
        </w:rPr>
        <w:t>Section 10.2</w:t>
      </w:r>
      <w:r>
        <w:rPr>
          <w:rFonts w:ascii="Times New Roman" w:hAnsi="Times New Roman"/>
          <w:sz w:val="20"/>
        </w:rPr>
        <w:t xml:space="preserve"> to the contrary, Landlord shall not be responsible if the normal operation of the Building Heating HVAC System shall fail to provide heat or air conditioning at reasonable temperatures uniformly to all interior portions of the Premises. Tenant at all times shall cooperate fully with Landlord and shall abide by the commercially reasonable regulations and requirements which Landlord may prescribe for the proper functioning and protection of the Building Heating HVAC System. </w:t>
      </w:r>
    </w:p>
    <w:p>
      <w:pPr>
        <w:pStyle w:val="TextBody"/>
        <w:bidi w:val="0"/>
        <w:spacing w:before="120" w:after="0"/>
        <w:jc w:val="left"/>
        <w:rPr>
          <w:rFonts w:ascii="Times New Roman" w:hAnsi="Times New Roman"/>
          <w:sz w:val="20"/>
        </w:rPr>
      </w:pPr>
      <w:r>
        <w:rPr>
          <w:rFonts w:ascii="Times New Roman" w:hAnsi="Times New Roman"/>
          <w:sz w:val="20"/>
        </w:rPr>
        <w:t xml:space="preserve">(c) Landlord shall not be required to furnish heat and air-conditioning during periods other than the hours and days set forth in this </w:t>
      </w:r>
      <w:r>
        <w:rPr>
          <w:rFonts w:ascii="Times New Roman" w:hAnsi="Times New Roman"/>
          <w:sz w:val="20"/>
          <w:u w:val="single"/>
        </w:rPr>
        <w:t>Section 10.2</w:t>
      </w:r>
      <w:r>
        <w:rPr>
          <w:rFonts w:ascii="Times New Roman" w:hAnsi="Times New Roman"/>
          <w:sz w:val="20"/>
        </w:rPr>
        <w:t xml:space="preserve"> for the furnishing and distributing of such services (</w:t>
      </w:r>
      <w:r>
        <w:rPr>
          <w:rFonts w:ascii="Times New Roman" w:hAnsi="Times New Roman"/>
          <w:b/>
          <w:sz w:val="20"/>
        </w:rPr>
        <w:t>Overtime Periods</w:t>
      </w:r>
      <w:r>
        <w:rPr>
          <w:rFonts w:ascii="Times New Roman" w:hAnsi="Times New Roman"/>
          <w:sz w:val="20"/>
        </w:rPr>
        <w:t xml:space="preserve">), unless Landlord has received advance nonce from Tenant requesting such service not less than twenty-four (24) hours prior to the time when such service shall be required. Accordingly, if Landlord shall furnish heat or air-conditioning to the Premises at the request of Tenant during Overtime Periods, Tenant shall pay Landlord, as Additional Rent, on a monthly basis, for such services at the standard rate then fixed by Landlord for the Building. Failure by Landlord to furnish or distribute heat, air-conditioning or any other services during Overtime Periods shall not constitute an actual or constructive eviction, in whole or in part, or, except as provided in </w:t>
      </w:r>
      <w:r>
        <w:rPr>
          <w:rFonts w:ascii="Times New Roman" w:hAnsi="Times New Roman"/>
          <w:sz w:val="20"/>
          <w:u w:val="single"/>
        </w:rPr>
        <w:t>Section 10.6(b)</w:t>
      </w:r>
      <w:r>
        <w:rPr>
          <w:rFonts w:ascii="Times New Roman" w:hAnsi="Times New Roman"/>
          <w:sz w:val="20"/>
        </w:rPr>
        <w:t xml:space="preserve"> hereof, entitle Tenant to any abatement or diminution of Fixed Rent or Additional Rent, or relieve Tenant from any of its obligations under this Lease, or impose any liability upon Landlord or its agents by reason of inconvenience or annoyance to Tenant, or injury to or interruption of Tenants business or otherwise.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10.3</w:t>
      </w:r>
      <w:r>
        <w:rPr>
          <w:rFonts w:ascii="Times New Roman" w:hAnsi="Times New Roman"/>
          <w:sz w:val="20"/>
        </w:rPr>
        <w:t xml:space="preserve"> </w:t>
      </w:r>
      <w:r>
        <w:rPr>
          <w:rFonts w:ascii="Times New Roman" w:hAnsi="Times New Roman"/>
          <w:b/>
          <w:sz w:val="20"/>
          <w:u w:val="single"/>
        </w:rPr>
        <w:t>Elevators</w:t>
      </w:r>
      <w:r>
        <w:rPr>
          <w:rFonts w:ascii="Times New Roman" w:hAnsi="Times New Roman"/>
          <w:sz w:val="20"/>
        </w:rPr>
        <w:t xml:space="preserve">. Subject to necessary repairs and maintenance, Landlord shall provide passenger elevator service to the Premises on Business Days from 7:00 A.M. to 8:00 P.M. and freight elevator facilities on a non-exclusive basis, on Business Days from 8:00 A.M. to 5:00 P.M., and shall have at least one passenger elevator and one freight elevator available at all other times; provided, Tenant shall pay to Landlord as Additional Rent, the standard Building charges for the operation of the freight elevators beyond the days and hours prescribed above. Such elevator service shall be subject to such reasonable and nondiscriminatory rules and regulations as Landlord may promulgate from time to time with respect thereto. Landlord shall have the right to change the operation or manner of operation of any of the elevators in the Budding and/or to discontinue, temporarily or permanently, the use of any one or more cars in any of the passenger, freight or truck elevator banks; provided, Landlord shall (except temporarily during emergencies or other extraordinary circumstances) have at least one (1) passenger elevator and one freight elevator available at all times, subject to Tenants payment of Landlords customary rates for overtime freight elevator usage.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10.4</w:t>
      </w:r>
      <w:r>
        <w:rPr>
          <w:rFonts w:ascii="Times New Roman" w:hAnsi="Times New Roman"/>
          <w:sz w:val="20"/>
        </w:rPr>
        <w:t xml:space="preserve"> </w:t>
      </w:r>
      <w:r>
        <w:rPr>
          <w:rFonts w:ascii="Times New Roman" w:hAnsi="Times New Roman"/>
          <w:b/>
          <w:sz w:val="20"/>
          <w:u w:val="single"/>
        </w:rPr>
        <w:t>Cleaning and Rubbish Removal</w:t>
      </w:r>
      <w:r>
        <w:rPr>
          <w:rFonts w:ascii="Times New Roman" w:hAnsi="Times New Roman"/>
          <w:sz w:val="20"/>
        </w:rPr>
        <w:t xml:space="preserve">. Landlord shall cause the Premises (excluding any portions thereof used for the storage, preparation, service or consumption of food or beverages) to be cleaned, substantially in accordance with the standards set forth in </w:t>
      </w:r>
      <w:r>
        <w:rPr>
          <w:rFonts w:ascii="Times New Roman" w:hAnsi="Times New Roman"/>
          <w:sz w:val="20"/>
          <w:u w:val="single"/>
        </w:rPr>
        <w:t>Exhibit F</w:t>
      </w:r>
      <w:r>
        <w:rPr>
          <w:rFonts w:ascii="Times New Roman" w:hAnsi="Times New Roman"/>
          <w:sz w:val="20"/>
        </w:rPr>
        <w:t xml:space="preserve">, including refuse and rubbish removal services at the Premises for ordinary office refuse and rubbish pursuant to rules and regulations established by Landlord. Any areas of the Premises requiring additional cleaning such as areas used for preparation or consumption of food, shall be cleaned, at Terms expense, by Landlords employees or Landlords contractor, at rates which shall be competitive with rates of other cleaning contractors providing services to buildings comparable to the Building. Landlord and its cleaning contractor and their respective employees shall have access to the Premises at all times except between 8:00 A.M. and 5:00 P.M. on Business Days. Tenant shall pay to Landlord, within ten (10) Business Days of receipt of an invoice therefor, Landlords reasonable charge for refuse and rubbish removal to the extent that the refuse generated by Tenant exceeds the refuse and rubbish customarily generated by executive and general office tenants. Tenant shall not dispose of any refuse and rubbish in the public areas of the Building, and if Tenant does so, Tenant shall be liable for Landlords reasonable charge for such removal. Tenant shall cause its employees, agents, contractors and business visitors to observe such additional nibs and regulations regarding rubbish removal and/or recycling as Landlord may from time to time, reasonably impose.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10.5</w:t>
      </w:r>
      <w:r>
        <w:rPr>
          <w:rFonts w:ascii="Times New Roman" w:hAnsi="Times New Roman"/>
          <w:sz w:val="20"/>
        </w:rPr>
        <w:t xml:space="preserve"> </w:t>
      </w:r>
      <w:r>
        <w:rPr>
          <w:rFonts w:ascii="Times New Roman" w:hAnsi="Times New Roman"/>
          <w:b/>
          <w:sz w:val="20"/>
          <w:u w:val="single"/>
        </w:rPr>
        <w:t>Water</w:t>
      </w:r>
      <w:r>
        <w:rPr>
          <w:rFonts w:ascii="Times New Roman" w:hAnsi="Times New Roman"/>
          <w:sz w:val="20"/>
        </w:rPr>
        <w:t xml:space="preserve">. Landlord shall furnish cold water in such quantities as Landlord reasonably deems sufficient for ordinary cleaning purposes to the Premises. Landlord shall furnish warm water to the Common Area bathrooms servicing the Premises in such quantities as Landlord reasonably deems sufficient for such purposes. If Tenant requires, uses or consumes water for any purpose in addition to ordinary cleaning purposes, Landlord may install a water meter and thereby measure Tenants consumption of water for all purposes. Tenant shall (a) pay to Landlord the cost of any such meter and its installation, (b) at Tenants sole cost and expense, keep any such meter and any such installation equipment in good working order and repair, and (c) pay to Landlord, as Additional Rent, as and when billed therefor for water consumed, together with a charge for any required pumping or heating thereof, all sewer rents, charges or any other taxes, rents, levies or charges which now or hereafter are assessed, imposed or shall become a lien upon the Premises or the Real Property pursuant to law, order or regulation made or issued in connection with any such metered use consumption, maintenance or supply of water, water system, or sewage or sewage connection or system, and in default in making such payment Landlord may pay such charges and collect the same from Tenant.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10.6</w:t>
      </w:r>
      <w:r>
        <w:rPr>
          <w:rFonts w:ascii="Times New Roman" w:hAnsi="Times New Roman"/>
          <w:sz w:val="20"/>
        </w:rPr>
        <w:t xml:space="preserve"> </w:t>
      </w:r>
      <w:r>
        <w:rPr>
          <w:rFonts w:ascii="Times New Roman" w:hAnsi="Times New Roman"/>
          <w:b/>
          <w:sz w:val="20"/>
          <w:u w:val="single"/>
        </w:rPr>
        <w:t>No Warranty of Landlord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Landlord does not warrant that any of the services to be provided by Landlord to Tenant hereunder, or any other services which Landlord may supply (x) will be adequate for Tenants particular purposes or as to any other particular need of Tenant or (y) will be free from interruption, and Tenant acknowledges that any one or more such services may be temporarily interrupted or suspended by reason of Unavoidable Delays. In addition, Landlord reserves the right to temporarily stop, interrupt or reduce service of the Building Systems by reason of Unavoidable Delays, or for repairs, additions, alterations. replacements, decorations or improvements which are, in the judgment of Landlord, necessary to be made, until said repairs, alteration, replacements or improvements shall have been completed. Landlord shall provide Tenant, except in the case of an emergency or other extraordinary circumstance, 24 hours advance notice (which may be verbal) of any anticipated disruption of services to the Premises. Any such interruption or discontinuance of service, or the exercise of such right by Landlord to suspend or interrupt such service shall not (i) constitute an actual or constructive eviction, or disturbance of Tenants use and possession of the Premises, in whole or in part, (ii) entitle Tenant to any compensation or, except as provided in </w:t>
      </w:r>
      <w:r>
        <w:rPr>
          <w:rFonts w:ascii="Times New Roman" w:hAnsi="Times New Roman"/>
          <w:sz w:val="20"/>
          <w:u w:val="single"/>
        </w:rPr>
        <w:t>Section 10.6(b)</w:t>
      </w:r>
      <w:r>
        <w:rPr>
          <w:rFonts w:ascii="Times New Roman" w:hAnsi="Times New Roman"/>
          <w:sz w:val="20"/>
        </w:rPr>
        <w:t xml:space="preserve"> below, to any abatement or diminution of Fixed Rent or Additional Rent, (iii) relieve Tenant from any of its obligations under this Lease, or (iv) impose any responsibility or liability upon Landlord or its agents by reason of inconvenience or annoyance to Tenant, or injury to or interruption of Tenants business, or otherwise. Landlord shall use reasonable efforts to minimize interference with Tenants access to and use and occupancy of the Premises in making any repairs, alterations, additions, replacements, decorations or improvements;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Landlord shall have no obligation to employ contractors or labor at overtime or other premium pay rates or to incur any other overtime costs or additional expenses whatsoever. Landlord shall not be required to furnish any services except as expressly provided in this </w:t>
      </w:r>
      <w:r>
        <w:rPr>
          <w:rFonts w:ascii="Times New Roman" w:hAnsi="Times New Roman"/>
          <w:sz w:val="20"/>
          <w:u w:val="single"/>
        </w:rPr>
        <w:t>Article 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provisions of this </w:t>
      </w:r>
      <w:r>
        <w:rPr>
          <w:rFonts w:ascii="Times New Roman" w:hAnsi="Times New Roman"/>
          <w:sz w:val="20"/>
          <w:u w:val="single"/>
        </w:rPr>
        <w:t>Article 10</w:t>
      </w:r>
      <w:r>
        <w:rPr>
          <w:rFonts w:ascii="Times New Roman" w:hAnsi="Times New Roman"/>
          <w:sz w:val="20"/>
        </w:rPr>
        <w:t xml:space="preserve"> and notwithstanding anything to the contrary contained in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Article 15</w:t>
      </w:r>
      <w:r>
        <w:rPr>
          <w:rFonts w:ascii="Times New Roman" w:hAnsi="Times New Roman"/>
          <w:sz w:val="20"/>
        </w:rPr>
        <w:t xml:space="preserve"> or </w:t>
      </w:r>
      <w:r>
        <w:rPr>
          <w:rFonts w:ascii="Times New Roman" w:hAnsi="Times New Roman"/>
          <w:sz w:val="20"/>
          <w:u w:val="single"/>
        </w:rPr>
        <w:t>Article 29</w:t>
      </w:r>
      <w:r>
        <w:rPr>
          <w:rFonts w:ascii="Times New Roman" w:hAnsi="Times New Roman"/>
          <w:sz w:val="20"/>
        </w:rPr>
        <w:t>, if all of the following conditions are satisfied (collectively, the </w:t>
      </w:r>
      <w:r>
        <w:rPr>
          <w:rFonts w:ascii="Times New Roman" w:hAnsi="Times New Roman"/>
          <w:b/>
          <w:sz w:val="20"/>
        </w:rPr>
        <w:t>Abatement Conditions</w:t>
      </w:r>
      <w:r>
        <w:rPr>
          <w:rFonts w:ascii="Times New Roman" w:hAnsi="Times New Roman"/>
          <w:sz w:val="20"/>
        </w:rPr>
        <w:t xml:space="preserve">): (a) Tenant is unable to and does not use the entire Premises or a material portion thereof (which term material, shall, for purposes of this </w:t>
      </w:r>
      <w:r>
        <w:rPr>
          <w:rFonts w:ascii="Times New Roman" w:hAnsi="Times New Roman"/>
          <w:sz w:val="20"/>
          <w:u w:val="single"/>
        </w:rPr>
        <w:t>Section 10.6(b)</w:t>
      </w:r>
      <w:r>
        <w:rPr>
          <w:rFonts w:ascii="Times New Roman" w:hAnsi="Times New Roman"/>
          <w:sz w:val="20"/>
        </w:rPr>
        <w:t xml:space="preserve">, mean at least twenty percent (20%) of the Rentable Square Footage of the Premises), for the Permitted Use; (b) such inability is due primarily to a failure in the services to be provided in this </w:t>
      </w:r>
      <w:r>
        <w:rPr>
          <w:rFonts w:ascii="Times New Roman" w:hAnsi="Times New Roman"/>
          <w:sz w:val="20"/>
          <w:u w:val="single"/>
        </w:rPr>
        <w:t>Article 10</w:t>
      </w:r>
      <w:r>
        <w:rPr>
          <w:rFonts w:ascii="Times New Roman" w:hAnsi="Times New Roman"/>
          <w:sz w:val="20"/>
        </w:rPr>
        <w:t xml:space="preserve"> resulting from the acts, omissions or negligence of Landlord or Landlord Parties (or Landons failure to maintain), or Landlords performance of an improvement or Alteration to the Building pursuant to </w:t>
      </w:r>
      <w:r>
        <w:rPr>
          <w:rFonts w:ascii="Times New Roman" w:hAnsi="Times New Roman"/>
          <w:sz w:val="20"/>
          <w:u w:val="single"/>
        </w:rPr>
        <w:t>Section 6.3</w:t>
      </w:r>
      <w:r>
        <w:rPr>
          <w:rFonts w:ascii="Times New Roman" w:hAnsi="Times New Roman"/>
          <w:sz w:val="20"/>
        </w:rPr>
        <w:t xml:space="preserve">, </w:t>
      </w: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Article 15</w:t>
      </w:r>
      <w:r>
        <w:rPr>
          <w:rFonts w:ascii="Times New Roman" w:hAnsi="Times New Roman"/>
          <w:sz w:val="20"/>
        </w:rPr>
        <w:t xml:space="preserve"> or </w:t>
      </w:r>
      <w:r>
        <w:rPr>
          <w:rFonts w:ascii="Times New Roman" w:hAnsi="Times New Roman"/>
          <w:sz w:val="20"/>
          <w:u w:val="single"/>
        </w:rPr>
        <w:t>Article 29</w:t>
      </w:r>
      <w:r>
        <w:rPr>
          <w:rFonts w:ascii="Times New Roman" w:hAnsi="Times New Roman"/>
          <w:sz w:val="20"/>
        </w:rPr>
        <w:t xml:space="preserve"> hereof; (c) such condition continues for a period in excess of ten (10) consecutive days alter Tenant furnishes written notice to Landlord (the </w:t>
      </w:r>
      <w:r>
        <w:rPr>
          <w:rFonts w:ascii="Times New Roman" w:hAnsi="Times New Roman"/>
          <w:b/>
          <w:sz w:val="20"/>
        </w:rPr>
        <w:t>Abatement Notice</w:t>
      </w:r>
      <w:r>
        <w:rPr>
          <w:rFonts w:ascii="Times New Roman" w:hAnsi="Times New Roman"/>
          <w:sz w:val="20"/>
        </w:rPr>
        <w:t xml:space="preserve">) stating that Tenant is unable to use the Premises (or the material portion thereof) due to such condition; (d) Tenant actually does not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occupy the Premises (or the material portion thereof) from and after the date of the Abatement Notice; and (e) such condition is not a result of Unavoidable Delays, casualty or condemnation, or the acts, omissions or negligence of (or breach or violation of this Lease by) Tenant or any Tenant Party, then, as Tenants sole and exclusive right and remedy under this Lease, at law or in equity, Fixed Rent with respect to the Premises (or the material portion thereof, based on the Rentable Square Footage which is untenantable), shall be abated on a per diem basis for the period commencing on the eleventh (11th) day after Landlord receives the Abatement Notice and ending on the earlier of (i) the date Tenant reoccupies any portion of the Premises (In the event of total untenantability) or any portion of the material portion of the Premises affected (in the event of a partial untenantability), and (ii) the date on which such condition is remedied. The parties hereby agree that the terms of this </w:t>
      </w:r>
      <w:r>
        <w:rPr>
          <w:rFonts w:ascii="Times New Roman" w:hAnsi="Times New Roman"/>
          <w:sz w:val="20"/>
          <w:u w:val="single"/>
        </w:rPr>
        <w:t>Section 10.6(b)</w:t>
      </w:r>
      <w:r>
        <w:rPr>
          <w:rFonts w:ascii="Times New Roman" w:hAnsi="Times New Roman"/>
          <w:sz w:val="20"/>
        </w:rPr>
        <w:t xml:space="preserve"> shall not apply in the event of a casualty or condemnation, but rather that the provisions of </w:t>
      </w:r>
      <w:r>
        <w:rPr>
          <w:rFonts w:ascii="Times New Roman" w:hAnsi="Times New Roman"/>
          <w:sz w:val="20"/>
          <w:u w:val="single"/>
        </w:rPr>
        <w:t>Article 12</w:t>
      </w:r>
      <w:r>
        <w:rPr>
          <w:rFonts w:ascii="Times New Roman" w:hAnsi="Times New Roman"/>
          <w:sz w:val="20"/>
        </w:rPr>
        <w:t xml:space="preserve"> and </w:t>
      </w:r>
      <w:r>
        <w:rPr>
          <w:rFonts w:ascii="Times New Roman" w:hAnsi="Times New Roman"/>
          <w:sz w:val="20"/>
          <w:u w:val="single"/>
        </w:rPr>
        <w:t>Article 13</w:t>
      </w:r>
      <w:r>
        <w:rPr>
          <w:rFonts w:ascii="Times New Roman" w:hAnsi="Times New Roman"/>
          <w:sz w:val="20"/>
        </w:rPr>
        <w:t xml:space="preserve"> (respectively) shall apply in such event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10.7</w:t>
      </w:r>
      <w:r>
        <w:rPr>
          <w:rFonts w:ascii="Times New Roman" w:hAnsi="Times New Roman"/>
          <w:sz w:val="20"/>
        </w:rPr>
        <w:t xml:space="preserve"> </w:t>
      </w:r>
      <w:r>
        <w:rPr>
          <w:rFonts w:ascii="Times New Roman" w:hAnsi="Times New Roman"/>
          <w:b/>
          <w:sz w:val="20"/>
          <w:u w:val="single"/>
        </w:rPr>
        <w:t>Parking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Landlord agrees that, provided that no Event of Default shall be continuing hereunder, Landlord will confer upon Tenant, during the Term of this Lease, the right and license to use (i) 3 reserved parking spaces (the </w:t>
      </w:r>
      <w:r>
        <w:rPr>
          <w:rFonts w:ascii="Times New Roman" w:hAnsi="Times New Roman"/>
          <w:b/>
          <w:sz w:val="20"/>
        </w:rPr>
        <w:t>Reserved Parking Spaces</w:t>
      </w:r>
      <w:r>
        <w:rPr>
          <w:rFonts w:ascii="Times New Roman" w:hAnsi="Times New Roman"/>
          <w:sz w:val="20"/>
        </w:rPr>
        <w:t>) and (ii) 25 of Landlords non-reserved parking spaces (the </w:t>
      </w:r>
      <w:r>
        <w:rPr>
          <w:rFonts w:ascii="Times New Roman" w:hAnsi="Times New Roman"/>
          <w:b/>
          <w:sz w:val="20"/>
        </w:rPr>
        <w:t>Non-reserved Parking Spaces</w:t>
      </w:r>
      <w:r>
        <w:rPr>
          <w:rFonts w:ascii="Times New Roman" w:hAnsi="Times New Roman"/>
          <w:sz w:val="20"/>
        </w:rPr>
        <w:t>; the Reserved Parking Spaces and the Non-reserved Parking Spaces are collectively referred to as the </w:t>
      </w:r>
      <w:r>
        <w:rPr>
          <w:rFonts w:ascii="Times New Roman" w:hAnsi="Times New Roman"/>
          <w:b/>
          <w:sz w:val="20"/>
        </w:rPr>
        <w:t>Parking Spaces</w:t>
      </w:r>
      <w:r>
        <w:rPr>
          <w:rFonts w:ascii="Times New Roman" w:hAnsi="Times New Roman"/>
          <w:sz w:val="20"/>
        </w:rPr>
        <w:t>) designated by Landlord in either the garage located in the 900 Building (the </w:t>
      </w:r>
      <w:r>
        <w:rPr>
          <w:rFonts w:ascii="Times New Roman" w:hAnsi="Times New Roman"/>
          <w:b/>
          <w:sz w:val="20"/>
        </w:rPr>
        <w:t>900 Parking Garage</w:t>
      </w:r>
      <w:r>
        <w:rPr>
          <w:rFonts w:ascii="Times New Roman" w:hAnsi="Times New Roman"/>
          <w:sz w:val="20"/>
        </w:rPr>
        <w:t>) or the garages located in buildings commonly known as 950 North Kingsbury and 811 North Kingsbury, Chicago, Illinois (the 900 Parking Garage and such other garages are collectively referred to as the </w:t>
      </w:r>
      <w:r>
        <w:rPr>
          <w:rFonts w:ascii="Times New Roman" w:hAnsi="Times New Roman"/>
          <w:b/>
          <w:sz w:val="20"/>
        </w:rPr>
        <w:t>Garages</w:t>
      </w:r>
      <w:r>
        <w:rPr>
          <w:rFonts w:ascii="Times New Roman" w:hAnsi="Times New Roman"/>
          <w:sz w:val="20"/>
        </w:rPr>
        <w:t xml:space="preserve">), for purposes of parking the passenger automobiles of Tenant and Tenants employees working at the Premises, provided (1) to the extent parking spaces are available in the 900 Parking Garage, the Non-reserved Parking Spaces shall be located in the 900 Parking Garage, and (2) the Reserved Parking Spaces shall be located in the 900 Parking Garage. Landlord reserves the right to relocate the Reserved Parking Spaces from time to time within the 900 Parking Garage upon ten (10) days notice to Tenant. Tenant shall pay to Landlord monthly, in advance as Additional Rent, a parking fee equal to the number of Parking Spaces in each of the Garages multiplied by the then current monthly market rental rate for reserved and non-reserved, as applicable, parking spaces in the respective Garages in which the Parking Spaces are located as is being offered to the general public by Landlord, as the same may be adjusted by Landlord from time to time. Tenants employees using the Parking Spaces shall be required to sign the then current, standard parking agreement for the respective Garages in which such employees Parking Space is located prior to using such Parking Space. Any parking fees due hereunder shall constitute Additional Rent under this Lease. On or before the Commencement Date, Tenant shall send Landlord notice setting forth the number of Parking Spaces (up to an aggregate maximum of 28, provided not more than 3 parking spaces are Reserved Parking Spaces) that Tenant elects to use and license, and Tenant shall be deemed to have irrevocably and unconditionally relinquished, for the entire term of this Lease and any Renewal Term, the right to use or license any Parking Spaces in excess of the number of such spaces set forth in Tenants notice. Tenant and its employees shall comply with all Legal Requirements and all of Landlords reasonable rules, regulations and security requirements in connection with Tenants use of the Parking Spaces. Tenant shall be responsible for any loss, damage or injury to persons or property caused as a result of its or its employees use of the Parking Spaces or the parking area in which the Parking Spaces are located (including, without limitation, theft, vandalism or other criminal act). Landlord shall not be responsible for any loss or damage to, or theft of, any property or automobiles located in the Parking Spaces or parking area. Tenant shall not be permitted to perform any Alterations with respect to the Parking Spaces. The privileges granted Tenant under this </w:t>
      </w:r>
      <w:r>
        <w:rPr>
          <w:rFonts w:ascii="Times New Roman" w:hAnsi="Times New Roman"/>
          <w:sz w:val="20"/>
          <w:u w:val="single"/>
        </w:rPr>
        <w:t>Section 10.7</w:t>
      </w:r>
      <w:r>
        <w:rPr>
          <w:rFonts w:ascii="Times New Roman" w:hAnsi="Times New Roman"/>
          <w:sz w:val="20"/>
        </w:rPr>
        <w:t xml:space="preserve"> merely constitute a license and shall not be deemed to grant Tenant a leasehold or other real property interest in the Parking Spaces, the building(s) in which the same are located, or any portion thereof. The license granted to Tenant in this </w:t>
      </w:r>
      <w:r>
        <w:rPr>
          <w:rFonts w:ascii="Times New Roman" w:hAnsi="Times New Roman"/>
          <w:sz w:val="20"/>
          <w:u w:val="single"/>
        </w:rPr>
        <w:t>Section 10.7</w:t>
      </w:r>
      <w:r>
        <w:rPr>
          <w:rFonts w:ascii="Times New Roman" w:hAnsi="Times New Roman"/>
          <w:sz w:val="20"/>
        </w:rPr>
        <w:t xml:space="preserve"> shall automatically terminate and expire upon the expiration or earlier termination of this Lease and the termination of such license shall be self-operative and no further instrument shall be required to effect such termination, The rights conferred upon Tenant pursuant to this </w:t>
      </w:r>
      <w:r>
        <w:rPr>
          <w:rFonts w:ascii="Times New Roman" w:hAnsi="Times New Roman"/>
          <w:sz w:val="20"/>
          <w:u w:val="single"/>
        </w:rPr>
        <w:t>Section 10.7</w:t>
      </w:r>
      <w:r>
        <w:rPr>
          <w:rFonts w:ascii="Times New Roman" w:hAnsi="Times New Roman"/>
          <w:sz w:val="20"/>
        </w:rPr>
        <w:t xml:space="preserve"> shall not be assignable, subleasable or transferable separately from Tenants interest in this Lease (as governed by </w:t>
      </w:r>
      <w:r>
        <w:rPr>
          <w:rFonts w:ascii="Times New Roman" w:hAnsi="Times New Roman"/>
          <w:sz w:val="20"/>
          <w:u w:val="single"/>
        </w:rPr>
        <w:t>Article 14</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to the contrary set forth in Subsection (a) above, in the event that Tenant (i) fails to pay Additional Rent for the Parking Spaces (or any portion thereof), and such failure continues for a period of 10 Business Days after written notice thereof from Landlord to Tenant, (ii) fails to take possession of all or substantially all of the Parking Spaces within 6 months after the Commencement Date, and such failure continues for a period of 10 Business Days after written notice thereof from Landlord to Tenant, or (iii) falls to use the Parking Spaces (or any portion thereof) which Tenant has the right to use under this </w:t>
      </w:r>
      <w:r>
        <w:rPr>
          <w:rFonts w:ascii="Times New Roman" w:hAnsi="Times New Roman"/>
          <w:sz w:val="20"/>
          <w:u w:val="single"/>
        </w:rPr>
        <w:t>Section 10.7</w:t>
      </w:r>
      <w:r>
        <w:rPr>
          <w:rFonts w:ascii="Times New Roman" w:hAnsi="Times New Roman"/>
          <w:sz w:val="20"/>
        </w:rPr>
        <w:t xml:space="preserve"> on a regular and consistent basis, and such failure continues for a period of 20 Business Days after written notice thereof from Landlord to Tenant, then Tenants right to use such Parking Space(s) (or portion thereof) shall, from and after the expiration of such 10 or 20 Business Day period referred to above, as applicable, terminate, expire and be of no further force or effect (without any reduction of Fixed Rent or any other obligation or liability of Tenant hereunder, but with a corresponding reduction in Additional Rent with respect to the reduction of Parking Spaces [or any portion thereof]) and Landlord shall be free to use (or grant or confer upon any other Person the right to use) all or any such Parking Space(s) upon such terms and conditions as Landlord shall determine, in its sole discretion.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10.8</w:t>
      </w:r>
      <w:r>
        <w:rPr>
          <w:rFonts w:ascii="Times New Roman" w:hAnsi="Times New Roman"/>
          <w:sz w:val="20"/>
        </w:rPr>
        <w:t xml:space="preserve"> </w:t>
      </w:r>
      <w:r>
        <w:rPr>
          <w:rFonts w:ascii="Times New Roman" w:hAnsi="Times New Roman"/>
          <w:b/>
          <w:sz w:val="20"/>
          <w:u w:val="single"/>
        </w:rPr>
        <w:t>Listings in Building Directory and Signage</w:t>
      </w:r>
      <w:r>
        <w:rPr>
          <w:rFonts w:ascii="Times New Roman" w:hAnsi="Times New Roman"/>
          <w:sz w:val="20"/>
        </w:rPr>
        <w:t xml:space="preserve">. Subject to Landlords reasonable approval as to the design, location and size of such signage, and in compliance with ail Building Rules and Regulations and Legal Requirements, Tenant shall have the right during the Term to install, at Tenants expense, and provided that no Event of Default shall be continuing hereunder, maintain Building standard signage on its entrance door, provided such signage shall be reasonably approved by Landlord. The listing of any name other than that of Tenant on the doors of the Premises, the Building directory or elsewhere shall not vest any right or interest in this Lease or in the Premises, nor be deemed to constitute Landlords consent to any assignment or transfer of this Lease or to any sublease of the Premises or to the use or occupancy thereof by others. Any such listing shall constitute a privilege revocable in Landlords discretion by notice to Tenant.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11 INSURANCE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11.1</w:t>
      </w:r>
      <w:r>
        <w:rPr>
          <w:rFonts w:ascii="Times New Roman" w:hAnsi="Times New Roman"/>
          <w:sz w:val="20"/>
        </w:rPr>
        <w:t xml:space="preserve"> </w:t>
      </w:r>
      <w:r>
        <w:rPr>
          <w:rFonts w:ascii="Times New Roman" w:hAnsi="Times New Roman"/>
          <w:b/>
          <w:sz w:val="20"/>
          <w:u w:val="single"/>
        </w:rPr>
        <w:t>Tenants Insurance</w:t>
      </w:r>
      <w:r>
        <w:rPr>
          <w:rFonts w:ascii="Times New Roman" w:hAnsi="Times New Roman"/>
          <w:sz w:val="20"/>
        </w:rPr>
        <w:t xml:space="preserve">. Tenant, at its expense, shall obtain and keep in full force and effect a policy of commercial general liability insurance under which Tenant is named as the insured and Landlord, Landlords managing agent for the Building, Landlords asset manager and any Superior Lessors and any Mortgagees (whose names shall have been furnished to Tenant) are named as additional insureds, which insurance shall provide primary coverage without contribution from any other insurance carried by or for the benefit of Landlord, Landlords managing agent or any Superior Lessors or Mortgagees named as additional insureds and such coverage shall include without limitation broad-form contractual liability coverage to insure its indemnity obligations set forth in </w:t>
      </w:r>
      <w:r>
        <w:rPr>
          <w:rFonts w:ascii="Times New Roman" w:hAnsi="Times New Roman"/>
          <w:sz w:val="20"/>
          <w:u w:val="single"/>
        </w:rPr>
        <w:t>Article 28</w:t>
      </w:r>
      <w:r>
        <w:rPr>
          <w:rFonts w:ascii="Times New Roman" w:hAnsi="Times New Roman"/>
          <w:sz w:val="20"/>
        </w:rPr>
        <w:t xml:space="preserve"> hereof. Tenants primary commercial general liability policy shall contain a provision that the policy shall be noncancellable unless twenty (20) days written notice shall have been given to Landlord and Landlord shall similarly receive twenty (20) days notice of any material change in coverage or non-renewal upon expiration. Tenant shall maintain commercial general liability insurance covering claims for bodily injury, death or property damage occurring upon, in or about the Real Property, having a minimum combined single limit in an amount of not less than $2,000,000.00. Notwithstanding the foregoing however, that Landlord shall retain the right to require Tenant to increase said coverage to that amount of insurance which in Landlords reasonable judgment is then being customarily required by prudent landlords of comparable buildings in the City of Chicago, and provided further that Landlord shall require similar increases of other tenants of space in the Building comparable to the Premises. The foregoing policies of insurance if provided on a blanket policy with respect to more than the Real Property shall apply to each location as though each had its own separate policies. Tenant shall also obtain and keep in full force and effect during the Term, (a) insurance against loss or damage by fire, arid such other risks and hazards as are insurable under then available standard forms of all risk property insurance policies, to Tenants Property and Tenants Alterations for the full insurable value thereof or on a replacement cost basis; (b) Workers Compensation Insurance, as required by law and Employers Liability Insurance; (c) Business Interruption Insurance in an amount not less than twelve (12) months of annual Rent under this Agreement; and (d) such other insurance in such amounts as Landlord, any Mortgagee and/or Superior Lessor may reasonably require from time to time. All insurance required to be carried by Tenant pursuant to the terms of this Lease shall be effected under valid and enforceable policies issued by reputable and independent insurers permitted to do business in the State of Illinois, and rated in Bests Insurance Guide, or any successor thereto (or if there be none, an organization having a national reputation) as having a Bests Rating of A- and a Financial Size Category of at least XI or if such ratings are not then in effect, the equivalent thereof.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11.2</w:t>
      </w:r>
      <w:r>
        <w:rPr>
          <w:rFonts w:ascii="Times New Roman" w:hAnsi="Times New Roman"/>
          <w:sz w:val="20"/>
        </w:rPr>
        <w:t xml:space="preserve"> </w:t>
      </w:r>
      <w:r>
        <w:rPr>
          <w:rFonts w:ascii="Times New Roman" w:hAnsi="Times New Roman"/>
          <w:b/>
          <w:sz w:val="20"/>
          <w:u w:val="single"/>
        </w:rPr>
        <w:t>Walser of Subrogation</w:t>
      </w:r>
      <w:r>
        <w:rPr>
          <w:rFonts w:ascii="Times New Roman" w:hAnsi="Times New Roman"/>
          <w:sz w:val="20"/>
        </w:rPr>
        <w:t xml:space="preserve">. (a) The parties hereto do hereby waive any and all rights of recovery against the other, or against the offices, employees, partners, agents and representatives of the other, for loss of or damage to the property of the waiving party to the extent such loss or damage is insured against under any insurance policy carried by Landlord or Tenant hereunder. In addition, the parties hereto shall procure an appropriate clause in, or endorsement on, any property insurance covering the Premises, the Building and personal property, fixtures and equipment located thereon or therein, pursuant to which the insurance companies waive subrogation or consent to a waiver of right of recovery, hereby agree not to make any claim against or seek to recover from the other for any loss or damage to its property or the property of others resulting from fire or other hazards covered by such property insurance. Tenant acknowledges that Landlord shall not carry insurance on and shall not be responsible for damage to, Tenants Alterations (If any) or Tenants Property, and that Landlord shall not carry insurance against, or be responsible for any loss suffered by Tenant due to, interruption of Tenants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Release</w:t>
      </w:r>
      <w:r>
        <w:rPr>
          <w:rFonts w:ascii="Times New Roman" w:hAnsi="Times New Roman"/>
          <w:sz w:val="20"/>
        </w:rPr>
        <w:t xml:space="preserve">. As to each party hereto, provided such partys right of full recovery under the applicable insurance policy is not adversely affected, such party hereby releases the other (its servants, agents and employees, but excluding its contractors and invitees) with respect to any claim (including a claim for negligence) which it might otherwise have against the other party for loss, damages or destruction of the type covered by such property insurance with respect to its property i.e. in the case of Landlord, as to the Building, and, in the case of Tenant, as to Tenants Property and Tenants Alterations (including rental value or business interruption, as the case may be) occurring during the Term of this Lease.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11.3</w:t>
      </w:r>
      <w:r>
        <w:rPr>
          <w:rFonts w:ascii="Times New Roman" w:hAnsi="Times New Roman"/>
          <w:sz w:val="20"/>
        </w:rPr>
        <w:t xml:space="preserve"> </w:t>
      </w:r>
      <w:r>
        <w:rPr>
          <w:rFonts w:ascii="Times New Roman" w:hAnsi="Times New Roman"/>
          <w:b/>
          <w:sz w:val="20"/>
          <w:u w:val="single"/>
        </w:rPr>
        <w:t>Certificates of Insurance</w:t>
      </w:r>
      <w:r>
        <w:rPr>
          <w:rFonts w:ascii="Times New Roman" w:hAnsi="Times New Roman"/>
          <w:sz w:val="20"/>
        </w:rPr>
        <w:t xml:space="preserve">. On or prior to the Commencement Date, Tenant shall delver to Landlord appropriate certificates of insurance required to be carried by Tenant pursuant to this </w:t>
      </w:r>
      <w:r>
        <w:rPr>
          <w:rFonts w:ascii="Times New Roman" w:hAnsi="Times New Roman"/>
          <w:sz w:val="20"/>
          <w:u w:val="single"/>
        </w:rPr>
        <w:t>Article 11</w:t>
      </w:r>
      <w:r>
        <w:rPr>
          <w:rFonts w:ascii="Times New Roman" w:hAnsi="Times New Roman"/>
          <w:sz w:val="20"/>
        </w:rPr>
        <w:t xml:space="preserve"> including evidence of waivers of subrogation required pursuant to </w:t>
      </w:r>
      <w:r>
        <w:rPr>
          <w:rFonts w:ascii="Times New Roman" w:hAnsi="Times New Roman"/>
          <w:sz w:val="20"/>
          <w:u w:val="single"/>
        </w:rPr>
        <w:t>Section 11.2</w:t>
      </w:r>
      <w:r>
        <w:rPr>
          <w:rFonts w:ascii="Times New Roman" w:hAnsi="Times New Roman"/>
          <w:sz w:val="20"/>
        </w:rPr>
        <w:t xml:space="preserve">. Evidence of each renewal or replacement of a policy shall be delivered by Tenant to Landlord at least twenty (20) days prior to the expiration of such policy.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11.4</w:t>
      </w:r>
      <w:r>
        <w:rPr>
          <w:rFonts w:ascii="Times New Roman" w:hAnsi="Times New Roman"/>
          <w:sz w:val="20"/>
        </w:rPr>
        <w:t xml:space="preserve"> </w:t>
      </w:r>
      <w:r>
        <w:rPr>
          <w:rFonts w:ascii="Times New Roman" w:hAnsi="Times New Roman"/>
          <w:b/>
          <w:sz w:val="20"/>
          <w:u w:val="single"/>
        </w:rPr>
        <w:t>Landlords Insurance</w:t>
      </w:r>
      <w:r>
        <w:rPr>
          <w:rFonts w:ascii="Times New Roman" w:hAnsi="Times New Roman"/>
          <w:sz w:val="20"/>
        </w:rPr>
        <w:t xml:space="preserve">. Landlord shall maintain at its sole cost and expense (the cost of which shall be included in Operating Expenses), a policy of combined single limit bodily injury and property damage insurance with an insurance company selected by Landlord in Landlords sole discretion, in form and substance satisfactory to Landlord, which shall be in an amount not less than Five Million Dollars ($5,000,000.00) for each occurrence with blanket broad form contractual liability coverage or such other limits as may be required by Mortgagee. In addition to the foregoing, Landlord shall maintain at its sole cost and expense (the cost of which shall be included in Operating Expenses), a special perils property insurance policy covering the Building (but not Tenants Property or Tenants Alterations, or the property or alterations of any other tenant or occupant of the Building) in an amount not less than the full replacement cost thereof. Tenant acknowledges that Landlord shall not carry insurance on and shall not be responsible for damage to, Tenants Alterations or Tenants Property, and that landlord shall not carry insurance against, or be responsible for any loss suffered by Tenant due to, interruption of Tenants business. Landlord may provide the foregoing policies on a blanket policy basis.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12 DESTRUCTION OF THE PREMISES; PROPERTY LOSS OR DAMAGE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12.1</w:t>
      </w:r>
      <w:r>
        <w:rPr>
          <w:rFonts w:ascii="Times New Roman" w:hAnsi="Times New Roman"/>
          <w:sz w:val="20"/>
        </w:rPr>
        <w:t xml:space="preserve"> </w:t>
      </w:r>
      <w:r>
        <w:rPr>
          <w:rFonts w:ascii="Times New Roman" w:hAnsi="Times New Roman"/>
          <w:b/>
          <w:sz w:val="20"/>
          <w:u w:val="single"/>
        </w:rPr>
        <w:t>Restoration</w:t>
      </w:r>
      <w:r>
        <w:rPr>
          <w:rFonts w:ascii="Times New Roman" w:hAnsi="Times New Roman"/>
          <w:sz w:val="20"/>
        </w:rPr>
        <w:t xml:space="preserve">. If the Premises are damaged by fire or other casualty, or if the Building is damaged such that Tenant is deprived of reasonable access to the Premises, Tenant shall give prompt notice to Landlord, and the damage shall be repaired by Landlord, at its expense, to substantially the same condition that the Premises were in on the date the Premises were delivered to Tenant and, for the Building, the condition existing prior to the damage, subject to the provisions of any Mortgage or Superior Lease, but Landlord shall have no obligation to repair or restore (i) Tenants Property, or (ii) Tenants Alterations. Landlord shall promptly commence the repair, restoration or rebuilding thereof within ninety (90) days after such damage (subject to delays in the adjustment of insurance and Unavoidable Delays) and shall diligently pursue the Substantial Completion of such restoration, repair or rebuilding (subject to delays in the adjustment of insurance and Unavoidable Delays). Landlord shall promptly and diligently seek adjustment of any insurance proceeds available after any casualty. if the fire or other casualty, or the repair, restoration or rebuilding required by Landlord shall render the Premises unnamable in whole or in part, or inaccessible, then Rent shall proportionally abate from the date when the damage occurred until the date on which Landlord substantially completes its restoration work in the Premises or the Premises are accessible, which proportional abatement shall be computed on the basis that the Rentable Square Feet of the portion of the Premises rendered untenantable (or inaccessible) and not occupied by Tenant bears to the aggregate Rentable Square Feet in the Premises.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12.2</w:t>
      </w:r>
      <w:r>
        <w:rPr>
          <w:rFonts w:ascii="Times New Roman" w:hAnsi="Times New Roman"/>
          <w:sz w:val="20"/>
        </w:rPr>
        <w:t xml:space="preserve"> </w:t>
      </w:r>
      <w:r>
        <w:rPr>
          <w:rFonts w:ascii="Times New Roman" w:hAnsi="Times New Roman"/>
          <w:b/>
          <w:sz w:val="20"/>
          <w:u w:val="single"/>
        </w:rPr>
        <w:t>Lease Termination Right</w:t>
      </w:r>
      <w:r>
        <w:rPr>
          <w:rFonts w:ascii="Times New Roman" w:hAnsi="Times New Roman"/>
          <w:sz w:val="20"/>
        </w:rPr>
        <w:t xml:space="preserve">. Anything contained in </w:t>
      </w:r>
      <w:r>
        <w:rPr>
          <w:rFonts w:ascii="Times New Roman" w:hAnsi="Times New Roman"/>
          <w:sz w:val="20"/>
          <w:u w:val="single"/>
        </w:rPr>
        <w:t>Section 12.1</w:t>
      </w:r>
      <w:r>
        <w:rPr>
          <w:rFonts w:ascii="Times New Roman" w:hAnsi="Times New Roman"/>
          <w:sz w:val="20"/>
        </w:rPr>
        <w:t xml:space="preserve"> to the contrary notwithstanding, if the Premises are totally damaged or are rendered wholly untenantable or totally inaccessible, and Landlord determines within ninety (90) days of the casualty, and gives Tenant written notice of same, that it will take in excess of twelve (12) months (or in excess of three (3) months, if such damage occurs any time during the last two (2) years of the Term, as extended (without giving effect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unexercised Renewal Option of Tenant)) from the beginning of restoration to restore the Premises (other than Tenants Alterations) to substantially the same condition as existed immediately prior to such damage, then either Landlord or Tenant may terminate this Lease upon giving written notice of such electron to the other within sixty (60) days after Landlord serves Tenant with written notice of its determination. In addition, if the Building shall be so damaged by fire or other casually such that, in Landlords reasonable opinion, substantial alteration, demolition, or reconstruction of the Building shall be required resulting in the same restoration periods as set forth above (whether or not the Premises shall have been damaged or rendered untenantable), then Landlord may, not later than sixty (60) days following the date of the damage, give Tenant a notice in writing terminating this Lease; if this Lease is so terminated pursuant to this </w:t>
      </w:r>
      <w:r>
        <w:rPr>
          <w:rFonts w:ascii="Times New Roman" w:hAnsi="Times New Roman"/>
          <w:sz w:val="20"/>
          <w:u w:val="single"/>
        </w:rPr>
        <w:t>Section 12.2</w:t>
      </w:r>
      <w:r>
        <w:rPr>
          <w:rFonts w:ascii="Times New Roman" w:hAnsi="Times New Roman"/>
          <w:sz w:val="20"/>
        </w:rPr>
        <w:t xml:space="preserve">, the Term shall expire upon the tenth (10th) day alter such notice is given, and Tenant shall have thirty (30) days after such notice to vacate the Premises and surrender the same to Landlord. Upon the termination of this Lease under the conditions provided for in this </w:t>
      </w:r>
      <w:r>
        <w:rPr>
          <w:rFonts w:ascii="Times New Roman" w:hAnsi="Times New Roman"/>
          <w:sz w:val="20"/>
          <w:u w:val="single"/>
        </w:rPr>
        <w:t>Section 12 2</w:t>
      </w:r>
      <w:r>
        <w:rPr>
          <w:rFonts w:ascii="Times New Roman" w:hAnsi="Times New Roman"/>
          <w:sz w:val="20"/>
        </w:rPr>
        <w:t xml:space="preserve">, Tenants liability for Rent shall cease as of the date of such fire or other casualty, and any prepaid portion of Rent for any period after such date shall be refunded by Landlord to Tenant. Unless this Lease is terminated by either party as provided in this </w:t>
      </w:r>
      <w:r>
        <w:rPr>
          <w:rFonts w:ascii="Times New Roman" w:hAnsi="Times New Roman"/>
          <w:sz w:val="20"/>
          <w:u w:val="single"/>
        </w:rPr>
        <w:t>Section 12.2</w:t>
      </w:r>
      <w:r>
        <w:rPr>
          <w:rFonts w:ascii="Times New Roman" w:hAnsi="Times New Roman"/>
          <w:sz w:val="20"/>
        </w:rPr>
        <w:t xml:space="preserve">, this Lease shall remain in full force and effect (mailed to the other terms of this Lease), notwithstanding such damage or casualty.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13 EMINENT DOMAIN </w:t>
      </w:r>
    </w:p>
    <w:p>
      <w:pPr>
        <w:pStyle w:val="TextBody"/>
        <w:bidi w:val="0"/>
        <w:spacing w:before="12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13.1</w:t>
      </w:r>
      <w:r>
        <w:rPr>
          <w:rFonts w:ascii="Times New Roman" w:hAnsi="Times New Roman"/>
          <w:sz w:val="20"/>
        </w:rPr>
        <w:t xml:space="preserve"> </w:t>
      </w:r>
      <w:r>
        <w:rPr>
          <w:rFonts w:ascii="Times New Roman" w:hAnsi="Times New Roman"/>
          <w:b/>
          <w:sz w:val="20"/>
          <w:u w:val="single"/>
        </w:rPr>
        <w:t>Total Taking</w:t>
      </w:r>
      <w:r>
        <w:rPr>
          <w:rFonts w:ascii="Times New Roman" w:hAnsi="Times New Roman"/>
          <w:sz w:val="20"/>
        </w:rPr>
        <w:t xml:space="preserve">. If (a) all of the floor area of the Premises, or so much thereof as shall render the Premises wholly untenantable, shall be acquired or condemned for any public or quasi-public use or purpose, or (b) a portion of the Real Property, not including the Premises, shall be so acquired or condemned, but by reason of such acquisition or condemnation. Tenant no longer has means of access to the Premises, then this Lease and the Term shall and as of the date of the vesting of title with the same effect as if that date were the Expiration Date. In the event of any termination of this Lease arid the Term pursuant to the provisions of this </w:t>
      </w:r>
      <w:r>
        <w:rPr>
          <w:rFonts w:ascii="Times New Roman" w:hAnsi="Times New Roman"/>
          <w:sz w:val="20"/>
          <w:u w:val="single"/>
        </w:rPr>
        <w:t>Article 13</w:t>
      </w:r>
      <w:r>
        <w:rPr>
          <w:rFonts w:ascii="Times New Roman" w:hAnsi="Times New Roman"/>
          <w:sz w:val="20"/>
        </w:rPr>
        <w:t xml:space="preserve">, Fixed Rent and Additional Rent shall be apportioned as of the date of sooner termination and any prepaid portion of Fixed Rent or Additional Rent for any period after such date shall be promptly refunded by Landlord to Tenant.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13.2</w:t>
      </w:r>
      <w:r>
        <w:rPr>
          <w:rFonts w:ascii="Times New Roman" w:hAnsi="Times New Roman"/>
          <w:sz w:val="20"/>
        </w:rPr>
        <w:t xml:space="preserve"> </w:t>
      </w:r>
      <w:r>
        <w:rPr>
          <w:rFonts w:ascii="Times New Roman" w:hAnsi="Times New Roman"/>
          <w:b/>
          <w:sz w:val="20"/>
          <w:u w:val="single"/>
        </w:rPr>
        <w:t>Awards</w:t>
      </w:r>
      <w:r>
        <w:rPr>
          <w:rFonts w:ascii="Times New Roman" w:hAnsi="Times New Roman"/>
          <w:sz w:val="20"/>
        </w:rPr>
        <w:t xml:space="preserve">. In the event of any acquisition or condemnation for any public or quasi-public use or purpose of all or any part of the Real Property, Landlord shall be entitled to receive the entire award for any such acquisition or condemnation. Tenant shall have no claim against Landlord or the condemning authority for the value of any unexpired portion of the Term or Tenants Alterations, and Tenant hereby expressly assigns to Landlord all of its right in and to any such award. Nothing contained in this </w:t>
      </w:r>
      <w:r>
        <w:rPr>
          <w:rFonts w:ascii="Times New Roman" w:hAnsi="Times New Roman"/>
          <w:sz w:val="20"/>
          <w:u w:val="single"/>
        </w:rPr>
        <w:t>Section 13.2</w:t>
      </w:r>
      <w:r>
        <w:rPr>
          <w:rFonts w:ascii="Times New Roman" w:hAnsi="Times New Roman"/>
          <w:sz w:val="20"/>
        </w:rPr>
        <w:t xml:space="preserve"> shall be deemed to prevent Tenant from making a separate claim in any condemnation proceedings for the then value of any Tenants Property included in such taking and for any moving expenses, provided such award shall be made by the condemning authority in addition to, and shall not result in a reduction of, the award made by it to Landlord.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13.3</w:t>
      </w:r>
      <w:r>
        <w:rPr>
          <w:rFonts w:ascii="Times New Roman" w:hAnsi="Times New Roman"/>
          <w:sz w:val="20"/>
        </w:rPr>
        <w:t xml:space="preserve"> </w:t>
      </w:r>
      <w:r>
        <w:rPr>
          <w:rFonts w:ascii="Times New Roman" w:hAnsi="Times New Roman"/>
          <w:b/>
          <w:sz w:val="20"/>
          <w:u w:val="single"/>
        </w:rPr>
        <w:t>Partial Taking</w:t>
      </w:r>
      <w:r>
        <w:rPr>
          <w:rFonts w:ascii="Times New Roman" w:hAnsi="Times New Roman"/>
          <w:sz w:val="20"/>
        </w:rPr>
        <w:t xml:space="preserve">. If only a part of the Real Property shall be so acquired or condemned then, subject to </w:t>
      </w:r>
      <w:r>
        <w:rPr>
          <w:rFonts w:ascii="Times New Roman" w:hAnsi="Times New Roman"/>
          <w:sz w:val="20"/>
          <w:u w:val="single"/>
        </w:rPr>
        <w:t>Section 13.1</w:t>
      </w:r>
      <w:r>
        <w:rPr>
          <w:rFonts w:ascii="Times New Roman" w:hAnsi="Times New Roman"/>
          <w:sz w:val="20"/>
        </w:rPr>
        <w:t xml:space="preserve">, this Lease and the Term shall continue in force and effect. If a part of the Premises shall be so acquired or condemned and this Lease and the Term shall not be terminated, Landlord, at Landlords expense, shall restore that part of the Premises not so acquired or condemned so as to constitute tenantable Premises. From and after the date of the vesting of title, Fixed Rent and Additional Rent shall be reduced in the proportion which the area of the part of the Premises so acquired or condemned bears to the total area of the Premises immediately prior to such acquisition or condemnation.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14 ASSIGNMENT AND SUBLETTING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14.1</w:t>
      </w:r>
      <w:r>
        <w:rPr>
          <w:rFonts w:ascii="Times New Roman" w:hAnsi="Times New Roman"/>
          <w:sz w:val="20"/>
        </w:rPr>
        <w:t xml:space="preserve"> </w:t>
      </w:r>
      <w:r>
        <w:rPr>
          <w:rFonts w:ascii="Times New Roman" w:hAnsi="Times New Roman"/>
          <w:b/>
          <w:sz w:val="20"/>
          <w:u w:val="single"/>
        </w:rPr>
        <w:t>Landlords Consent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Assignment or Subletting</w:t>
      </w:r>
      <w:r>
        <w:rPr>
          <w:rFonts w:ascii="Times New Roman" w:hAnsi="Times New Roman"/>
          <w:sz w:val="20"/>
        </w:rPr>
        <w:t xml:space="preserve">. Except as expressly set forth herein, Tenant shall not assign, mortgage, pledge, encumber, or otherwise transfer this Lease, whether by operation of law or otherwise, and shall not sublet (or underlet), or permit. or suffer the Premises or any part thereof to be used or occupied by others (whether for desk space, mailing privileges or otherwise), without Landlords prior consent in each instance. Any assignment, sublease, mortgage, pledge, encumbrance or transfer in contravention of the provisions or this </w:t>
      </w:r>
      <w:r>
        <w:rPr>
          <w:rFonts w:ascii="Times New Roman" w:hAnsi="Times New Roman"/>
          <w:sz w:val="20"/>
          <w:u w:val="single"/>
        </w:rPr>
        <w:t>Article 14</w:t>
      </w:r>
      <w:r>
        <w:rPr>
          <w:rFonts w:ascii="Times New Roman" w:hAnsi="Times New Roman"/>
          <w:sz w:val="20"/>
        </w:rPr>
        <w:t xml:space="preserve"> shall be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Collection of Rent</w:t>
      </w:r>
      <w:r>
        <w:rPr>
          <w:rFonts w:ascii="Times New Roman" w:hAnsi="Times New Roman"/>
          <w:sz w:val="20"/>
        </w:rPr>
        <w:t xml:space="preserve">. If, without Landlords consent, this Lease is assigned, or any part of the Premises is sublet or occupied by anyone other than Tenant or this Lease or the Premises or any of Tenants Property is encumbered (by operation of law or otherwise), Landlord may collect rent from the assignee, subtenant or occupant, and apply the net amount collected to the Rent herein reserved. No such collection shall be deemed a waiver of the provisions at this </w:t>
      </w:r>
      <w:r>
        <w:rPr>
          <w:rFonts w:ascii="Times New Roman" w:hAnsi="Times New Roman"/>
          <w:sz w:val="20"/>
          <w:u w:val="single"/>
        </w:rPr>
        <w:t>Article 14</w:t>
      </w:r>
      <w:r>
        <w:rPr>
          <w:rFonts w:ascii="Times New Roman" w:hAnsi="Times New Roman"/>
          <w:sz w:val="20"/>
        </w:rPr>
        <w:t xml:space="preserve">, an acceptance of the assignee, subtenant or occupant as tenant, or a release of Tenant from the performance of Tenants covenants hereunder. Tenant shall remain fully liable for the obligations under this Lease.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Further Assignment/Subletting</w:t>
      </w:r>
      <w:r>
        <w:rPr>
          <w:rFonts w:ascii="Times New Roman" w:hAnsi="Times New Roman"/>
          <w:sz w:val="20"/>
        </w:rPr>
        <w:t xml:space="preserve">. Landlords consent to any assignment or subletting shall not relieve Tenant from the obligation to obtain Landlords express consent to any further assignment or subletting. In no event shall any permitted subtenant assign or encumber its sublease or further sublet any portion of its sublet space, or otherwise suffer or permit any portion of the sublet space to be used or occupied by others.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14.2</w:t>
      </w:r>
      <w:r>
        <w:rPr>
          <w:rFonts w:ascii="Times New Roman" w:hAnsi="Times New Roman"/>
          <w:sz w:val="20"/>
        </w:rPr>
        <w:t xml:space="preserve"> </w:t>
      </w:r>
      <w:r>
        <w:rPr>
          <w:rFonts w:ascii="Times New Roman" w:hAnsi="Times New Roman"/>
          <w:b/>
          <w:sz w:val="20"/>
          <w:u w:val="single"/>
        </w:rPr>
        <w:t>Tenants Notice</w:t>
      </w:r>
      <w:r>
        <w:rPr>
          <w:rFonts w:ascii="Times New Roman" w:hAnsi="Times New Roman"/>
          <w:sz w:val="20"/>
        </w:rPr>
        <w:t xml:space="preserve">. If Tenant desires to assign this Lease or sublet ail or any portion of the Premises, Tenant shall give notice thereof to Landlord. which shall be accompanied by with respect to an assignment of this Lease, a true aid correct copy of the proposed assignment and assumption agreement and a statement of the data Tenant desires the assignment to be effective, and with respect to a sublet of all or a part of the Premises, a true and correct copy of the proposed sublease agreement and a summary of the material business terms on which Tenant would sublet such premises, and a description of the portion of the Premises to be sublet. Such notice shall also be accompanied with a true and complete statement reasonably detailing the identity of the proposed assignee or subtenant, the nature of its business arid its proposed use of the Premises and current financial information with respect to the proposed assignee or subtenant including its most recent financial statements. Tenant agrees to supplement its request with any other information regarding such assignment or subletting as Landlord may reasonably request.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14.3</w:t>
      </w:r>
      <w:r>
        <w:rPr>
          <w:rFonts w:ascii="Times New Roman" w:hAnsi="Times New Roman"/>
          <w:sz w:val="20"/>
        </w:rPr>
        <w:t xml:space="preserve"> </w:t>
      </w:r>
      <w:r>
        <w:rPr>
          <w:rFonts w:ascii="Times New Roman" w:hAnsi="Times New Roman"/>
          <w:b/>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14.4</w:t>
      </w:r>
      <w:r>
        <w:rPr>
          <w:rFonts w:ascii="Times New Roman" w:hAnsi="Times New Roman"/>
          <w:sz w:val="20"/>
        </w:rPr>
        <w:t xml:space="preserve"> </w:t>
      </w:r>
      <w:r>
        <w:rPr>
          <w:rFonts w:ascii="Times New Roman" w:hAnsi="Times New Roman"/>
          <w:b/>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14.5</w:t>
      </w:r>
      <w:r>
        <w:rPr>
          <w:rFonts w:ascii="Times New Roman" w:hAnsi="Times New Roman"/>
          <w:sz w:val="20"/>
        </w:rPr>
        <w:t xml:space="preserve"> </w:t>
      </w:r>
      <w:r>
        <w:rPr>
          <w:rFonts w:ascii="Times New Roman" w:hAnsi="Times New Roman"/>
          <w:b/>
          <w:sz w:val="20"/>
          <w:u w:val="single"/>
        </w:rPr>
        <w:t>Conditions to Assignment/Subletting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Prerequisites</w:t>
      </w:r>
      <w:r>
        <w:rPr>
          <w:rFonts w:ascii="Times New Roman" w:hAnsi="Times New Roman"/>
          <w:sz w:val="20"/>
        </w:rPr>
        <w:t xml:space="preserve">. Provided that no Event of Default then exists, Landlords consent to the proposed assignment or subletting shall not be unreasonably withheld, conditioned or delayed. Such consent shall be granted or declined, as the case may be, within ten (10) Business Days after Landlords receipt of a true and complete statement reasonably detailing the identity of the proposed assignee or subtenant, the nature of its business and its proposed use of the Premises, current financial information with respect to the proposed assignee or subtenant, including its most recent financial statements, and any other information Landlord may reasonably request provided that: </w:t>
      </w:r>
    </w:p>
    <w:p>
      <w:pPr>
        <w:pStyle w:val="TextBody"/>
        <w:bidi w:val="0"/>
        <w:spacing w:before="120" w:after="0"/>
        <w:jc w:val="left"/>
        <w:rPr>
          <w:rFonts w:ascii="Times New Roman" w:hAnsi="Times New Roman"/>
          <w:sz w:val="20"/>
        </w:rPr>
      </w:pPr>
      <w:r>
        <w:rPr>
          <w:rFonts w:ascii="Times New Roman" w:hAnsi="Times New Roman"/>
          <w:sz w:val="20"/>
        </w:rPr>
        <w:t xml:space="preserve">(i) In Landlords reasonable judgment, the proposed assignee or subtenant is engaged in a business or activity, and the Premises will be used in a manner, which (1) is in keeping with the then standards of the Building, (2) limits the use of the Premises to Tenants Permitted Use hereunder, (3) does not violate any restrictions set forth in this Lease, any Mortgage or Superior Lease or any negative covenant as to use of the Premises required by any other lease in the Building or in the property adjacent in the Building known as 900 North Kingsbury Avenue, Chicago, Owls (900 North Building), and (4) is not a Prohibited Use; </w:t>
      </w:r>
    </w:p>
    <w:p>
      <w:pPr>
        <w:pStyle w:val="TextBody"/>
        <w:bidi w:val="0"/>
        <w:spacing w:before="120" w:after="0"/>
        <w:jc w:val="left"/>
        <w:rPr>
          <w:rFonts w:ascii="Times New Roman" w:hAnsi="Times New Roman"/>
          <w:sz w:val="20"/>
        </w:rPr>
      </w:pPr>
      <w:r>
        <w:rPr>
          <w:rFonts w:ascii="Times New Roman" w:hAnsi="Times New Roman"/>
          <w:sz w:val="20"/>
        </w:rPr>
        <w:t xml:space="preserve">(ii) the proposed assignee or subtenant is a reputable person or entity of good character with sufficient financial means to perform all of its obligations under this Lease or the sublease, as the case may be, and Landlord has been furnished with reasonable proof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neither the proposed assignee or subtenant nor any person which, directly or indirectly, controls, is controlled by, or is under common control with, the proposed assignee or subtenant is then a tenant or an occupant of the Building or the 900 North Building; </w:t>
      </w:r>
    </w:p>
    <w:p>
      <w:pPr>
        <w:pStyle w:val="TextBody"/>
        <w:bidi w:val="0"/>
        <w:spacing w:before="120" w:after="0"/>
        <w:jc w:val="left"/>
        <w:rPr>
          <w:rFonts w:ascii="Times New Roman" w:hAnsi="Times New Roman"/>
          <w:sz w:val="20"/>
        </w:rPr>
      </w:pPr>
      <w:r>
        <w:rPr>
          <w:rFonts w:ascii="Times New Roman" w:hAnsi="Times New Roman"/>
          <w:sz w:val="20"/>
        </w:rPr>
        <w:t xml:space="preserve">(iv) the proposed assignee or subtenant is not a person or entity (or affiliate of a person or entity) with whom Landlord or Landlords agent is then or has been within the prior six months negotiating in connection with the rental of space in the Building or the 900 North Building; </w:t>
      </w:r>
    </w:p>
    <w:p>
      <w:pPr>
        <w:pStyle w:val="TextBody"/>
        <w:bidi w:val="0"/>
        <w:spacing w:before="120" w:after="0"/>
        <w:jc w:val="left"/>
        <w:rPr>
          <w:rFonts w:ascii="Times New Roman" w:hAnsi="Times New Roman"/>
          <w:sz w:val="20"/>
        </w:rPr>
      </w:pPr>
      <w:r>
        <w:rPr>
          <w:rFonts w:ascii="Times New Roman" w:hAnsi="Times New Roman"/>
          <w:sz w:val="20"/>
        </w:rPr>
        <w:t xml:space="preserve">(v) the form of the proposed sublease or instrument of assignment shall be reasonably satisfactory to Landlord and shall comply with the provisions of this </w:t>
      </w:r>
      <w:r>
        <w:rPr>
          <w:rFonts w:ascii="Times New Roman" w:hAnsi="Times New Roman"/>
          <w:sz w:val="20"/>
          <w:u w:val="single"/>
        </w:rPr>
        <w:t>Article 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there shall be not more than two subtenants of the Premises; </w:t>
      </w:r>
    </w:p>
    <w:p>
      <w:pPr>
        <w:pStyle w:val="TextBody"/>
        <w:bidi w:val="0"/>
        <w:spacing w:before="120" w:after="0"/>
        <w:jc w:val="left"/>
        <w:rPr>
          <w:rFonts w:ascii="Times New Roman" w:hAnsi="Times New Roman"/>
          <w:sz w:val="20"/>
        </w:rPr>
      </w:pPr>
      <w:r>
        <w:rPr>
          <w:rFonts w:ascii="Times New Roman" w:hAnsi="Times New Roman"/>
          <w:sz w:val="20"/>
        </w:rPr>
        <w:t xml:space="preserve">(vii) Tenant shall, upon demand, reimburse Landlord far all reasonable, out-of-pocket third party expenses incurred by Landlord in connection with such assignment or sublease, including any investigations as to the acceptability of the proposed assignee or subtenant, reviewing any plans and specifications for Alterations proposed to be made in connection therewith, and ail legal costs reasonably incurred in connection with the granting of any requested consent; </w:t>
      </w:r>
    </w:p>
    <w:p>
      <w:pPr>
        <w:pStyle w:val="TextBody"/>
        <w:bidi w:val="0"/>
        <w:spacing w:before="120" w:after="0"/>
        <w:jc w:val="left"/>
        <w:rPr>
          <w:rFonts w:ascii="Times New Roman" w:hAnsi="Times New Roman"/>
          <w:sz w:val="20"/>
        </w:rPr>
      </w:pPr>
      <w:r>
        <w:rPr>
          <w:rFonts w:ascii="Times New Roman" w:hAnsi="Times New Roman"/>
          <w:sz w:val="20"/>
        </w:rPr>
        <w:t xml:space="preserve">(viii) the proposed subtenant or assignee shall not be entitled, directly or indirectly, to diplomatic or sovereign immunity, regardless of whether the prepared assignee or subtenant agrees to waive such diplomatic or sovereign immunity, and shall be subject to the service of process in, and the Jurisdiction of the courts of, County of Cook and State of Illinois; </w:t>
      </w:r>
    </w:p>
    <w:p>
      <w:pPr>
        <w:pStyle w:val="TextBody"/>
        <w:bidi w:val="0"/>
        <w:spacing w:before="120" w:after="0"/>
        <w:jc w:val="left"/>
        <w:rPr>
          <w:rFonts w:ascii="Times New Roman" w:hAnsi="Times New Roman"/>
          <w:sz w:val="20"/>
        </w:rPr>
      </w:pPr>
      <w:r>
        <w:rPr>
          <w:rFonts w:ascii="Times New Roman" w:hAnsi="Times New Roman"/>
          <w:sz w:val="20"/>
        </w:rPr>
        <w:t xml:space="preserve">(ix) in Landlords reasonable judgment, the proposed assignee or subtenant shall not be of a type or character, or engaged in a business or activity, or owned or controlled by or identified with any entity, which may result in protests or civil disorders or other disruptions of the normal business activities in, the Building; and </w:t>
      </w:r>
    </w:p>
    <w:p>
      <w:pPr>
        <w:pStyle w:val="TextBody"/>
        <w:bidi w:val="0"/>
        <w:spacing w:before="120" w:after="0"/>
        <w:jc w:val="left"/>
        <w:rPr>
          <w:rFonts w:ascii="Times New Roman" w:hAnsi="Times New Roman"/>
          <w:sz w:val="20"/>
        </w:rPr>
      </w:pPr>
      <w:r>
        <w:rPr>
          <w:rFonts w:ascii="Times New Roman" w:hAnsi="Times New Roman"/>
          <w:sz w:val="20"/>
        </w:rPr>
        <w:t xml:space="preserve">(x) the proposed occupancy shall not impose an extra or undue burden upon the services to be furnished by Landlord to Tenant or other tenants of the Building.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Terms</w:t>
      </w:r>
      <w:r>
        <w:rPr>
          <w:rFonts w:ascii="Times New Roman" w:hAnsi="Times New Roman"/>
          <w:sz w:val="20"/>
        </w:rPr>
        <w:t xml:space="preserve">. With respect to each and every subletting and/or assignment authorized by Landlord under the provisions of this Lease, it is further agreed that: </w:t>
      </w:r>
    </w:p>
    <w:p>
      <w:pPr>
        <w:pStyle w:val="TextBody"/>
        <w:bidi w:val="0"/>
        <w:spacing w:before="120" w:after="0"/>
        <w:jc w:val="left"/>
        <w:rPr>
          <w:rFonts w:ascii="Times New Roman" w:hAnsi="Times New Roman"/>
          <w:sz w:val="20"/>
        </w:rPr>
      </w:pPr>
      <w:r>
        <w:rPr>
          <w:rFonts w:ascii="Times New Roman" w:hAnsi="Times New Roman"/>
          <w:sz w:val="20"/>
        </w:rPr>
        <w:t xml:space="preserve">(i) the form of the proposed assignment or sublease shall be reasonably satisfactory to Landlord and shall comply with the provisions of this </w:t>
      </w:r>
      <w:r>
        <w:rPr>
          <w:rFonts w:ascii="Times New Roman" w:hAnsi="Times New Roman"/>
          <w:sz w:val="20"/>
          <w:u w:val="single"/>
        </w:rPr>
        <w:t>Article 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no sublease shall be for a term ending later than one day prior to the Expiration Date of this Lease; </w:t>
      </w:r>
    </w:p>
    <w:p>
      <w:pPr>
        <w:pStyle w:val="TextBody"/>
        <w:bidi w:val="0"/>
        <w:spacing w:before="120" w:after="0"/>
        <w:jc w:val="left"/>
        <w:rPr>
          <w:rFonts w:ascii="Times New Roman" w:hAnsi="Times New Roman"/>
          <w:sz w:val="20"/>
        </w:rPr>
      </w:pPr>
      <w:r>
        <w:rPr>
          <w:rFonts w:ascii="Times New Roman" w:hAnsi="Times New Roman"/>
          <w:sz w:val="20"/>
        </w:rPr>
        <w:t xml:space="preserve">(iii) no subtenant shall take possession of any part of the Premises, until an executed counterpart of such sublease has been delivered to Landlord and approved in writing by Landlord as provided in Section 14.5(a); </w:t>
      </w:r>
    </w:p>
    <w:p>
      <w:pPr>
        <w:pStyle w:val="TextBody"/>
        <w:bidi w:val="0"/>
        <w:spacing w:before="120" w:after="0"/>
        <w:jc w:val="left"/>
        <w:rPr>
          <w:rFonts w:ascii="Times New Roman" w:hAnsi="Times New Roman"/>
          <w:sz w:val="20"/>
        </w:rPr>
      </w:pPr>
      <w:r>
        <w:rPr>
          <w:rFonts w:ascii="Times New Roman" w:hAnsi="Times New Roman"/>
          <w:sz w:val="20"/>
        </w:rPr>
        <w:t xml:space="preserve">(iv) if an Evert of Default shall occur and be continuing on the effective date of such assignment or subletting, then Landlords consent thereto, if previously granted, shall be immediately deemed revoked without further notice to Tenant, and if such assignment or subletting would have been permitted without Landlords consent pursuant to </w:t>
      </w:r>
      <w:r>
        <w:rPr>
          <w:rFonts w:ascii="Times New Roman" w:hAnsi="Times New Roman"/>
          <w:sz w:val="20"/>
          <w:u w:val="single"/>
        </w:rPr>
        <w:t>Section 14.9</w:t>
      </w:r>
      <w:r>
        <w:rPr>
          <w:rFonts w:ascii="Times New Roman" w:hAnsi="Times New Roman"/>
          <w:sz w:val="20"/>
        </w:rPr>
        <w:t xml:space="preserve">, such permission shall be void and without force and effect, and in either such case, any such assignment or subletting shall constitute a further Event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(v) if an Event of Default shall occur under this Lease, Landlord may require the subtenant under any sublease to pay the rent and other sums due under the sublease directly to Landlord;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each sublease shall be subject and subordinate to the Lease and to the matters to which this Lease is or shall be subordinate, it being the intention of Landlord and Tenant that Tenant shall assume and be liable to Landlord for any and all acts and omissions of all subtenants and anyone claiming under or through any subtenants which, if performed or omitted by Tenant, would be a default under this Lease; and Tenant and each subtenant shall be deemed to have agreed that upon the occurrence and during the continuation of an Event of Default hereunder, Tenant has hereby assigned to Landlord, and Landlord may, at its option, accept such assignment of, all right, title and interest of Tenant as sublandlord under such sublease, together with all modifications, extensions and renewals thereof then in effect and such subtenant shall, at Landlords opinion, attorn to Landlord pursuant to the then executory provisions of such sublease, except that Landlord shall not be liable for any previous act or omission of Tenant under such sublease, subject to any counterclaim, offset or defense not expressly provided in such sublease, which theretofore accrued to such subtenant against Tenant, bound by any previous modification of such sublease not consented to by Landlord or by any prepayment of more than one months Rent, bound to return such subtenants security deposit, if any, except to the extent Landlord shall receive actual possession of such deposit and such subtenant shall be entitled to the return of all or any portion of such deposit under the terms of its sublease, or obligated to make any payment to or on behalf of such subtenant or to perform any work in the subleased space or the Building, or in any way to prepare the subleased space for occupancy, beyond Landlords obligations under this lease. The provisions of this </w:t>
      </w:r>
      <w:r>
        <w:rPr>
          <w:rFonts w:ascii="Times New Roman" w:hAnsi="Times New Roman"/>
          <w:sz w:val="20"/>
          <w:u w:val="single"/>
        </w:rPr>
        <w:t>Section 14.5(b)(vi)</w:t>
      </w:r>
      <w:r>
        <w:rPr>
          <w:rFonts w:ascii="Times New Roman" w:hAnsi="Times New Roman"/>
          <w:sz w:val="20"/>
        </w:rPr>
        <w:t xml:space="preserve"> shall be self-operative, and no further instrument shall be required to give effect to this provision, provided that the subtenant shall execute and deliver to Landlord any instruments Landlord may reasonably request to evidence and confirm such subordination and adornment.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14.6</w:t>
      </w:r>
      <w:r>
        <w:rPr>
          <w:rFonts w:ascii="Times New Roman" w:hAnsi="Times New Roman"/>
          <w:sz w:val="20"/>
        </w:rPr>
        <w:t xml:space="preserve"> </w:t>
      </w:r>
      <w:r>
        <w:rPr>
          <w:rFonts w:ascii="Times New Roman" w:hAnsi="Times New Roman"/>
          <w:b/>
          <w:sz w:val="20"/>
          <w:u w:val="single"/>
        </w:rPr>
        <w:t>Binding on Tenant; Indemnification of Landlord</w:t>
      </w:r>
      <w:r>
        <w:rPr>
          <w:rFonts w:ascii="Times New Roman" w:hAnsi="Times New Roman"/>
          <w:sz w:val="20"/>
        </w:rPr>
        <w:t xml:space="preserve">. Each sublease pursuant to this </w:t>
      </w:r>
      <w:r>
        <w:rPr>
          <w:rFonts w:ascii="Times New Roman" w:hAnsi="Times New Roman"/>
          <w:sz w:val="20"/>
          <w:u w:val="single"/>
        </w:rPr>
        <w:t>Article 14</w:t>
      </w:r>
      <w:r>
        <w:rPr>
          <w:rFonts w:ascii="Times New Roman" w:hAnsi="Times New Roman"/>
          <w:sz w:val="20"/>
        </w:rPr>
        <w:t xml:space="preserve"> shall be subject to ail of the covenants, terms and conditions of this Lease. Notwithstanding any assignment or subletting or any acceptance of Rent by Landlord from any assignee or subtenant, Tenant shall remain fully liable for the payment of all Rent due and for the performance of ail the covenants, terms and conditions contained in this Lease on Tenants part to be observed and performed, and any default under any term, covenant or condition of this Lease by any subtenant or assignee or anyone claiming under or through any subtenant or assignee shall be deemed to be a default under this Lease by Tenant. Tenant shall indemnify, defend, protect and hold homeless Landlord from and against any and all losses, liabilities, damages and expenses (Including reasonable attorneys fees arid disbursements) resulting from any claims that may be made against Landlord by the proposed assignee or subtenant or anyone claiming under or through any subtenant or by any brokers or other persons claiming a commission or similar compensation in connection with the proposed assignment or sublease, irrespective of whether Landlord shall give or decline to give its consent to any proposed assignment or sublease or if Landlord shall exercise any of its options under this </w:t>
      </w:r>
      <w:r>
        <w:rPr>
          <w:rFonts w:ascii="Times New Roman" w:hAnsi="Times New Roman"/>
          <w:sz w:val="20"/>
          <w:u w:val="single"/>
        </w:rPr>
        <w:t>Article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14.7</w:t>
      </w:r>
      <w:r>
        <w:rPr>
          <w:rFonts w:ascii="Times New Roman" w:hAnsi="Times New Roman"/>
          <w:sz w:val="20"/>
        </w:rPr>
        <w:t xml:space="preserve"> </w:t>
      </w:r>
      <w:r>
        <w:rPr>
          <w:rFonts w:ascii="Times New Roman" w:hAnsi="Times New Roman"/>
          <w:b/>
          <w:sz w:val="20"/>
          <w:u w:val="single"/>
        </w:rPr>
        <w:t>Tenants Failure to Complete</w:t>
      </w:r>
      <w:r>
        <w:rPr>
          <w:rFonts w:ascii="Times New Roman" w:hAnsi="Times New Roman"/>
          <w:sz w:val="20"/>
        </w:rPr>
        <w:t xml:space="preserve">. If Landlord consents to a proposed assignment or sublease and Tenant fails to execute and deliver to Landlord such assignment or sublease within one hundred twenty (120) days after the giving of such consent, then Tenant shall again comply with all of the provisions and conditions of </w:t>
      </w:r>
      <w:r>
        <w:rPr>
          <w:rFonts w:ascii="Times New Roman" w:hAnsi="Times New Roman"/>
          <w:sz w:val="20"/>
          <w:u w:val="single"/>
        </w:rPr>
        <w:t>Section 14.2 and 14.5</w:t>
      </w:r>
      <w:r>
        <w:rPr>
          <w:rFonts w:ascii="Times New Roman" w:hAnsi="Times New Roman"/>
          <w:sz w:val="20"/>
        </w:rPr>
        <w:t xml:space="preserve"> hereof before assigning this Lease or subletting all or part of the Premises.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14.8</w:t>
      </w:r>
      <w:r>
        <w:rPr>
          <w:rFonts w:ascii="Times New Roman" w:hAnsi="Times New Roman"/>
          <w:sz w:val="20"/>
        </w:rPr>
        <w:t xml:space="preserve"> </w:t>
      </w:r>
      <w:r>
        <w:rPr>
          <w:rFonts w:ascii="Times New Roman" w:hAnsi="Times New Roman"/>
          <w:b/>
          <w:sz w:val="20"/>
          <w:u w:val="single"/>
        </w:rPr>
        <w:t>Profits</w:t>
      </w:r>
      <w:r>
        <w:rPr>
          <w:rFonts w:ascii="Times New Roman" w:hAnsi="Times New Roman"/>
          <w:sz w:val="20"/>
        </w:rPr>
        <w:t xml:space="preserve">. If Tenant shall enter into any assignment or sublease permitted hereunder or consented to by Landlord, Tenant shall, within sixty (60) days of Landlords consent to such assignment or sublease, deliver to Landlord a complete list of Tenants reasonable third-party brokerage fees, construction costs and allowances, legal fees and architectural fees incurred directly in connection with such assignment or sublease transaction, together with a list of all of Tenants Property to be transferred to such assignee or sublessee. Tenant shall deliver to Landlord evidence of the payment of such fees, costs and allowances promptly after the same are paid. In consideration of such assignment or subletting, Tenant shall pay to Landlord;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Assignment</w:t>
      </w:r>
      <w:r>
        <w:rPr>
          <w:rFonts w:ascii="Times New Roman" w:hAnsi="Times New Roman"/>
          <w:sz w:val="20"/>
        </w:rPr>
        <w:t xml:space="preserve">. In the case of an assignment, on the effective date of the assignment, an amount equal to 50% of all sums and other consideration paid to Tenant by the assignee for or by reason of such assignment after first deducting Tenants reasonable third-party brokerage fees, construction costs and allowances, legal fees and architectural fees incurred directly in connection with such assignment transaction;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Sublease</w:t>
      </w:r>
      <w:r>
        <w:rPr>
          <w:rFonts w:ascii="Times New Roman" w:hAnsi="Times New Roman"/>
          <w:sz w:val="20"/>
        </w:rPr>
        <w:t xml:space="preserve">. In the case of a sublease, 50% of any consideration payable under the sublease to Tenant by the subtenant which exceeds on a per square foot basis the Fixed Rent and Additional Rent accruing during the term of the sublease in respect of the subleased space after first deducting Tenants reasonable third-party brokerage fees, construction costs and allowances, legal fees and architectural fees incurred directly in connection with such sublease transaction, and if such sublease is less than the entire Premises, the actual cost incurred by Tenant in separately demising the subleased space. The sums payable under this clause shall be paid by Tenant to Landlord as and when paid by the subtenant to Tenant.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14.9</w:t>
      </w:r>
      <w:r>
        <w:rPr>
          <w:rFonts w:ascii="Times New Roman" w:hAnsi="Times New Roman"/>
          <w:sz w:val="20"/>
        </w:rPr>
        <w:t xml:space="preserve"> </w:t>
      </w:r>
      <w:r>
        <w:rPr>
          <w:rFonts w:ascii="Times New Roman" w:hAnsi="Times New Roman"/>
          <w:b/>
          <w:sz w:val="20"/>
          <w:u w:val="single"/>
        </w:rPr>
        <w:t>Other Transfers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Deemed and Permitted Transfers</w:t>
      </w:r>
      <w:r>
        <w:rPr>
          <w:rFonts w:ascii="Times New Roman" w:hAnsi="Times New Roman"/>
          <w:sz w:val="20"/>
        </w:rPr>
        <w:t xml:space="preserve">. If Tenant is a corporation, the transfer (by one or more transfers) of a majority of the stock of Tenant shall be deemed a voluntary assignment of this Lease that must comply with the provisions of this ARTICLE 14; provided, however, that the provisions of this ARTICLE 14 shall not apply to the transfer of shares of stock of Tenant over or through the applicable exchange, if and so long as Tenant is publicly traded on a nationally recognized stock exchange. For purposes of this </w:t>
      </w:r>
      <w:r>
        <w:rPr>
          <w:rFonts w:ascii="Times New Roman" w:hAnsi="Times New Roman"/>
          <w:sz w:val="20"/>
          <w:u w:val="single"/>
        </w:rPr>
        <w:t>Section 14.9</w:t>
      </w:r>
      <w:r>
        <w:rPr>
          <w:rFonts w:ascii="Times New Roman" w:hAnsi="Times New Roman"/>
          <w:sz w:val="20"/>
        </w:rPr>
        <w:t xml:space="preserve"> the term transfers shall be deemed to include the issuance of new stock which results in a majority of the stock of Tenant being held by a person or entity which does not hold a majority of the stock of Tenant on the date hereof. If Tenant is a partnership, the transfer (by one or more transfers) of a majority interest in the partnership stall be deemed a voluntary assignment of this Lease. If Tenant is a limited liability company, trust, or any other legal entity, the transfer (by one or more transfers) of a majority of the beneficial ownership interests in such entity, however characterized, shall be deemed a voluntary assignment of this Lease. The provision of </w:t>
      </w:r>
      <w:r>
        <w:rPr>
          <w:rFonts w:ascii="Times New Roman" w:hAnsi="Times New Roman"/>
          <w:sz w:val="20"/>
          <w:u w:val="single"/>
        </w:rPr>
        <w:t>Section 14.1</w:t>
      </w:r>
      <w:r>
        <w:rPr>
          <w:rFonts w:ascii="Times New Roman" w:hAnsi="Times New Roman"/>
          <w:sz w:val="20"/>
        </w:rPr>
        <w:t xml:space="preserve"> shall not apply to transactions with a corporation into or with which Tenant is merged or consolidated or to which all or evidentially all of Tenants assets are transferred so long as such transfer was made for a legitimate independent business purpose and not for the purpose of transferring this Lease, the successor to Tenant has a net worth computed in accordance with generally accepted accounting principles at least equal to the greater of (1) the net worth of Tenant immediately prior to such merger, consolidation or transfer, and (2) the net worth of the original Tenant on the date of this Lease, and proof satisfactory to Landlord of such net worth is delivered to Landlord at least ten (10) days prior to the effective date of any such transaction. Tenant may also, upon prior notice to and with the consent of Landlord, which consent shall not be unreasonably withheld, assign this Lease to any Affiliate or permit any Affiliate to sublet all or part of the Premises for any Permitted Use, provided such Affiliate satisfies the net worth test set forth above, and further, such Affiliate assumes, in writing, all of Tenants duties and obligations hereunder, which assumption shall be in form and substance reasonably acceptable to Landlord. No subletting pursuant to this </w:t>
      </w:r>
      <w:r>
        <w:rPr>
          <w:rFonts w:ascii="Times New Roman" w:hAnsi="Times New Roman"/>
          <w:sz w:val="20"/>
          <w:u w:val="single"/>
        </w:rPr>
        <w:t>Section 14.9</w:t>
      </w:r>
      <w:r>
        <w:rPr>
          <w:rFonts w:ascii="Times New Roman" w:hAnsi="Times New Roman"/>
          <w:sz w:val="20"/>
        </w:rPr>
        <w:t xml:space="preserve"> shall be deemed to vest in any such Affiliate any right or interest in this Lease or the Premises, nor shall any assignment and/or sublease relieve, release, impair or discharge any of Tenants or any Affiliates, successors or assigns obligations hereunder. Notwithstanding the foregoing, Tenant shall have no right to assign this Lease or sublease all or any portion of the Premises without Landlords consent pursuant to this </w:t>
      </w:r>
      <w:r>
        <w:rPr>
          <w:rFonts w:ascii="Times New Roman" w:hAnsi="Times New Roman"/>
          <w:sz w:val="20"/>
          <w:u w:val="single"/>
        </w:rPr>
        <w:t>Section 14,9</w:t>
      </w:r>
      <w:r>
        <w:rPr>
          <w:rFonts w:ascii="Times New Roman" w:hAnsi="Times New Roman"/>
          <w:sz w:val="20"/>
        </w:rPr>
        <w:t xml:space="preserve"> if Tenant is not the initial Tenant herein named or a person or entity who acquired Tenants interest in this Lease in a transaction approved by Landlord.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Applicability</w:t>
      </w:r>
      <w:r>
        <w:rPr>
          <w:rFonts w:ascii="Times New Roman" w:hAnsi="Times New Roman"/>
          <w:sz w:val="20"/>
        </w:rPr>
        <w:t xml:space="preserve">. The limitations set forth in this </w:t>
      </w:r>
      <w:r>
        <w:rPr>
          <w:rFonts w:ascii="Times New Roman" w:hAnsi="Times New Roman"/>
          <w:sz w:val="20"/>
          <w:u w:val="single"/>
        </w:rPr>
        <w:t>Section 14.9</w:t>
      </w:r>
      <w:r>
        <w:rPr>
          <w:rFonts w:ascii="Times New Roman" w:hAnsi="Times New Roman"/>
          <w:sz w:val="20"/>
        </w:rPr>
        <w:t xml:space="preserve"> shall apply to subtenant(s) and assignee(s), if any, and any transfer by any such entity in violation of this </w:t>
      </w:r>
      <w:r>
        <w:rPr>
          <w:rFonts w:ascii="Times New Roman" w:hAnsi="Times New Roman"/>
          <w:sz w:val="20"/>
          <w:u w:val="single"/>
        </w:rPr>
        <w:t>Section 14.9</w:t>
      </w:r>
      <w:r>
        <w:rPr>
          <w:rFonts w:ascii="Times New Roman" w:hAnsi="Times New Roman"/>
          <w:sz w:val="20"/>
        </w:rPr>
        <w:t xml:space="preserve"> shall be a transfer in violation of </w:t>
      </w:r>
      <w:r>
        <w:rPr>
          <w:rFonts w:ascii="Times New Roman" w:hAnsi="Times New Roman"/>
          <w:sz w:val="20"/>
          <w:u w:val="single"/>
        </w:rPr>
        <w:t>Section 14.1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Modifications, Takeover Agreements</w:t>
      </w:r>
      <w:r>
        <w:rPr>
          <w:rFonts w:ascii="Times New Roman" w:hAnsi="Times New Roman"/>
          <w:sz w:val="20"/>
        </w:rPr>
        <w:t xml:space="preserve">. Any modification, amendment or extension of a sublease and/or any other agreement by which a landlord of a building other than this Building agrees to assume the obligations of Tenant under this Lease shall be deemed a sublease for the purposes of </w:t>
      </w:r>
      <w:r>
        <w:rPr>
          <w:rFonts w:ascii="Times New Roman" w:hAnsi="Times New Roman"/>
          <w:sz w:val="20"/>
          <w:u w:val="single"/>
        </w:rPr>
        <w:t>Section 14.1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14.10</w:t>
      </w:r>
      <w:r>
        <w:rPr>
          <w:rFonts w:ascii="Times New Roman" w:hAnsi="Times New Roman"/>
          <w:sz w:val="20"/>
        </w:rPr>
        <w:t xml:space="preserve"> </w:t>
      </w:r>
      <w:r>
        <w:rPr>
          <w:rFonts w:ascii="Times New Roman" w:hAnsi="Times New Roman"/>
          <w:b/>
          <w:sz w:val="20"/>
          <w:u w:val="single"/>
        </w:rPr>
        <w:t>Assumption of Obligations</w:t>
      </w:r>
      <w:r>
        <w:rPr>
          <w:rFonts w:ascii="Times New Roman" w:hAnsi="Times New Roman"/>
          <w:sz w:val="20"/>
        </w:rPr>
        <w:t xml:space="preserve">. Any assignment or transfer, whether made with Landlords consent or without Landlords consent, if and to the extent permitted hereunder, shall not be effective unless and until the assignee executes, acknowledges and delivers to Landlord an agreement in form and substance reasonably satisfactory lo Landlord whereby the assignee assumes Tenants obligation under this Lease and agrees that, notwithstanding such assignment or transfer. the provisions of </w:t>
      </w:r>
      <w:r>
        <w:rPr>
          <w:rFonts w:ascii="Times New Roman" w:hAnsi="Times New Roman"/>
          <w:sz w:val="20"/>
          <w:u w:val="single"/>
        </w:rPr>
        <w:t>Section 14.1</w:t>
      </w:r>
      <w:r>
        <w:rPr>
          <w:rFonts w:ascii="Times New Roman" w:hAnsi="Times New Roman"/>
          <w:sz w:val="20"/>
        </w:rPr>
        <w:t xml:space="preserve"> hereof shall be binding upon it in respect of all future assignments and transfers.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14.11</w:t>
      </w:r>
      <w:r>
        <w:rPr>
          <w:rFonts w:ascii="Times New Roman" w:hAnsi="Times New Roman"/>
          <w:sz w:val="20"/>
        </w:rPr>
        <w:t xml:space="preserve"> </w:t>
      </w:r>
      <w:r>
        <w:rPr>
          <w:rFonts w:ascii="Times New Roman" w:hAnsi="Times New Roman"/>
          <w:b/>
          <w:sz w:val="20"/>
          <w:u w:val="single"/>
        </w:rPr>
        <w:t>Tenants Liability</w:t>
      </w:r>
      <w:r>
        <w:rPr>
          <w:rFonts w:ascii="Times New Roman" w:hAnsi="Times New Roman"/>
          <w:sz w:val="20"/>
        </w:rPr>
        <w:t xml:space="preserve">. The joint and several liability of Tenant and any successors-in-interest of Tenant and the due performance of Tenants obligations under this Lease shall not be discharged, released or impaired by any agreement or stipulation made by Landlord, or any grantee or assignee of Landlord, extending the time, or modifying any of the terms and provisions of this Lease, or by any waiver or failure of Landlord, or any grantee or assignee of Landlord, to enforce any of the terms and provisions of this Lease.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14.12</w:t>
      </w:r>
      <w:r>
        <w:rPr>
          <w:rFonts w:ascii="Times New Roman" w:hAnsi="Times New Roman"/>
          <w:sz w:val="20"/>
        </w:rPr>
        <w:t xml:space="preserve"> </w:t>
      </w:r>
      <w:r>
        <w:rPr>
          <w:rFonts w:ascii="Times New Roman" w:hAnsi="Times New Roman"/>
          <w:b/>
          <w:sz w:val="20"/>
          <w:u w:val="single"/>
        </w:rPr>
        <w:t>Lease Disaffirmance or Rejection</w:t>
      </w:r>
      <w:r>
        <w:rPr>
          <w:rFonts w:ascii="Times New Roman" w:hAnsi="Times New Roman"/>
          <w:sz w:val="20"/>
        </w:rPr>
        <w:t xml:space="preserve">. If at any time after an assignment by Tenant named herein, this Lease is disaffirmed or rejected in any proceeding of the types described in </w:t>
      </w:r>
      <w:r>
        <w:rPr>
          <w:rFonts w:ascii="Times New Roman" w:hAnsi="Times New Roman"/>
          <w:sz w:val="20"/>
          <w:u w:val="single"/>
        </w:rPr>
        <w:t>Section 16.1(g)</w:t>
      </w:r>
      <w:r>
        <w:rPr>
          <w:rFonts w:ascii="Times New Roman" w:hAnsi="Times New Roman"/>
          <w:sz w:val="20"/>
        </w:rPr>
        <w:t xml:space="preserve"> hereof or upon a termination of this Lease due to any such proceeding, Tenant named herein, upon written request of Landlord given after such disaffirmance, rejection or termination (and actual notice thereof to Landlord in the event of a disaffirmance or rejection or in the event of termination other than by act of Landlord), shall pay to Landlord all Rent and other charges due and owing by the assignee to Landlord under this Lease to and inducting the date of such disaffirmance, rejection or termination, and as tenant, enter into a new lease of the Premises with Landlord for a term commencing on the effective date of such disaffirmance, rejection or termination and ending on the Expiration Date, unless sooner terminated in accordance therewith, at the same Rent and upon the then executory terms. covenants and conditions contained in this Lease, except that the rights of Tenant named herein under the new lease shall be subject to the possessory rights of the assignee under this Lease and the possessory rights of any persons claiming through or under such assignee or by virtue of any statute or of any order of any court, such new lease shall require all defaults existing under this Lease to be cured by Tenant named herein with due diligence, and such new lease shall require Tenant named herein to pay all Rent which, had this Lease not been so disaffirmed, rejected or terminated, would have become due under the provisions of the Lease after the date of such disaffirmance, rejection or termination with respect to any period prior thereto. If Tenant named herein defaults in its obligations to enter into such new lease for a period of 10 days after Landlords request, then, in addition to all other rights and remedies by reason of default, either at law or in equity, Landlord shall have the same rights and remedies against Tenant reamed herein as if it had entered into such new lease and such new lease had thereafter been terminated as of the commencement date thereof by reason of Tenants default thereunder.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14.13</w:t>
      </w:r>
      <w:r>
        <w:rPr>
          <w:rFonts w:ascii="Times New Roman" w:hAnsi="Times New Roman"/>
          <w:sz w:val="20"/>
        </w:rPr>
        <w:t xml:space="preserve"> </w:t>
      </w:r>
      <w:r>
        <w:rPr>
          <w:rFonts w:ascii="Times New Roman" w:hAnsi="Times New Roman"/>
          <w:b/>
          <w:sz w:val="20"/>
          <w:u w:val="single"/>
        </w:rPr>
        <w:t>Tenants Waiver of Money Damages</w:t>
      </w:r>
      <w:r>
        <w:rPr>
          <w:rFonts w:ascii="Times New Roman" w:hAnsi="Times New Roman"/>
          <w:sz w:val="20"/>
        </w:rPr>
        <w:t xml:space="preserve">. Except in the event a court of law has determined that Landlord has acted maliciously or in bad faith, in no event shall Tenant be entitled to make, nor shall Tenant make, any claim against Landlord or any Landlord Party, and Tenant hereby waives any claims, for money damages (nor shall Tenant claim any money damages by way of set-off, counterclaim or defense) based upon any claim or assertion by Tenant that Landlord has unreasonably withheld or unreasonably delayed its consent or approval to a proposed assignment or subletting as provided for in this </w:t>
      </w:r>
      <w:r>
        <w:rPr>
          <w:rFonts w:ascii="Times New Roman" w:hAnsi="Times New Roman"/>
          <w:sz w:val="20"/>
          <w:u w:val="single"/>
        </w:rPr>
        <w:t>Article 14</w:t>
      </w:r>
      <w:r>
        <w:rPr>
          <w:rFonts w:ascii="Times New Roman" w:hAnsi="Times New Roman"/>
          <w:sz w:val="20"/>
        </w:rPr>
        <w:t xml:space="preserve">. Except as provided in the preceding sentence, Tenants sole remedy shall be an action or proceeding to enforce any such provision, or for specific performance, injunction or declaratory judgment.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15 ACCESS TO PREMISES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15.1</w:t>
      </w:r>
      <w:r>
        <w:rPr>
          <w:rFonts w:ascii="Times New Roman" w:hAnsi="Times New Roman"/>
          <w:sz w:val="20"/>
        </w:rPr>
        <w:t xml:space="preserve"> </w:t>
      </w:r>
      <w:r>
        <w:rPr>
          <w:rFonts w:ascii="Times New Roman" w:hAnsi="Times New Roman"/>
          <w:b/>
          <w:sz w:val="20"/>
          <w:u w:val="single"/>
        </w:rPr>
        <w:t>Landlords Access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Tenant shall permit Landlord, Landlords agents and public utilities servicing the Building to install, use and maintain concealed ducts, pipes and conduits in and through the Premises. Landlord or Landlords agents shall have the right to enter the Premises at all reasonable times upon reasonable prior notice (except no such prior notice shall be required in case of emergency), which notice may be oral, to examine the same, to show them to prospective purchasers, Mortgagees, Superior Lessors or lessees of the Building and their respective agents and representatives or, during the last twelve (12) months of the Term, to show them to prospective tenants of the Premises (it being understood that Tenant shall have the right to accompany Landlord during any inspection or exhibition of the Premises, except in the event of an emergency), and to make such repairs, alterations, improvements or additions (a) as Landlord may deem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necessary or desirable to the Premises into any other portion of the Building, (b) which Landlord may elect to perform following Tenants failure to make repairs or perform any work which Tenant is obligated to make or perform under this Lease, or (c) for the purpose of complying with Legal Requirements, and Landlord shall be allowed to take all material into and upon the Premises that may be required therefor without the same constituting an eviction or constructive eviction of Tenant in whole or in part and Fixed Rent and Additional Rent will not be abated while said repairs, alterations, improvements or additions are being made, by reason of loss or interruption of business of Tenant, or otherwise. Landlord shall take commercially reasonable steps to minimize the impact of such work on Tenants business operations and shall repair any damage caused by Landlord during the Performance of such work (except to the extent such damage is caused by Tenant). </w:t>
      </w:r>
    </w:p>
    <w:p>
      <w:pPr>
        <w:pStyle w:val="TextBody"/>
        <w:bidi w:val="0"/>
        <w:spacing w:before="120" w:after="0"/>
        <w:jc w:val="left"/>
        <w:rPr>
          <w:rFonts w:ascii="Times New Roman" w:hAnsi="Times New Roman"/>
          <w:sz w:val="20"/>
        </w:rPr>
      </w:pPr>
      <w:r>
        <w:rPr>
          <w:rFonts w:ascii="Times New Roman" w:hAnsi="Times New Roman"/>
          <w:sz w:val="20"/>
        </w:rPr>
        <w:t xml:space="preserve">(b) If Tenant shall not be present when for any reason entry into the Premises shall be necessary or permissible. Landlord or Landlords agents may enter the same without rendering Landlord or such agents liable therefor (If during such entry Landlord or Landlords agents shall accord reasonable care to Tenants Property), and without in any manner affecting this Lease. Nothing herein contained, however, shall be deemed or construed to impose upon landlord any obligation, responsibility or liability whatsoever for the care, supervision or repair of the Building or any part thereof, other than as herein provided.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15.2</w:t>
      </w:r>
      <w:r>
        <w:rPr>
          <w:rFonts w:ascii="Times New Roman" w:hAnsi="Times New Roman"/>
          <w:sz w:val="20"/>
        </w:rPr>
        <w:t xml:space="preserve"> </w:t>
      </w:r>
      <w:r>
        <w:rPr>
          <w:rFonts w:ascii="Times New Roman" w:hAnsi="Times New Roman"/>
          <w:b/>
          <w:sz w:val="20"/>
          <w:u w:val="single"/>
        </w:rPr>
        <w:t>Alterations to Building</w:t>
      </w:r>
      <w:r>
        <w:rPr>
          <w:rFonts w:ascii="Times New Roman" w:hAnsi="Times New Roman"/>
          <w:sz w:val="20"/>
        </w:rPr>
        <w:t xml:space="preserve">. Landlord shall have the right from time to time to alter the Bidding and, without the same constituting an actual or constructive eviction and without incurring any liability to Tenant therefor (except to the extent caused by the negligence or intentional misconduct of Landlord or Landlords Agents), to change the arrangement or location of entrances or passageways, doors and doorways, and corridors, elevators, stairs. toilets, or other public parts of the Building to install sidewalk bridges, decking, platforms, hoists and scaffolding in or around the Building and temporarily cover windows or block sidewalks, streets or entryways and to change the name, number or designation by which the Building is commonly known. All parts (except surfaces facing the interior of the Premises) of all wails. windows and doors bounding the Premises (including exterior Building walls; exterior core corridor walls; exterior doors and entrances other than doors and entrances solely servicing the Premises), all balconies, terraces and roofs adjacent to the Premises, all space in or adjacent to the Premises used for shafts, stacks, stairways, chutes, pipes, conduits, ducts, fan rooms, heating, air coding, plumbing and other mechanical facilities, service closets and other Building facilities are not part of the Premises, and Landlord shall have the use thereof, as well as access thereto through the Premises for the purposes of operation, maintenance, alteration and repair. </w:t>
      </w:r>
    </w:p>
    <w:p>
      <w:pPr>
        <w:pStyle w:val="TextBody"/>
        <w:bidi w:val="0"/>
        <w:spacing w:before="240" w:after="0"/>
        <w:jc w:val="left"/>
        <w:rPr>
          <w:rFonts w:ascii="Times New Roman" w:hAnsi="Times New Roman"/>
          <w:sz w:val="20"/>
        </w:rPr>
      </w:pPr>
      <w:r>
        <w:rPr>
          <w:rFonts w:ascii="Times New Roman" w:hAnsi="Times New Roman"/>
          <w:b/>
          <w:sz w:val="20"/>
        </w:rPr>
        <w:t>ARTICLE 16</w:t>
      </w:r>
      <w:r>
        <w:rPr>
          <w:rFonts w:ascii="Times New Roman" w:hAnsi="Times New Roman"/>
          <w:sz w:val="20"/>
        </w:rPr>
        <w:t xml:space="preserve"> </w:t>
      </w:r>
      <w:r>
        <w:rPr>
          <w:rFonts w:ascii="Times New Roman" w:hAnsi="Times New Roman"/>
          <w:b/>
          <w:sz w:val="20"/>
        </w:rPr>
        <w:t>TENANTS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16.1</w:t>
      </w:r>
      <w:r>
        <w:rPr>
          <w:rFonts w:ascii="Times New Roman" w:hAnsi="Times New Roman"/>
          <w:sz w:val="20"/>
        </w:rPr>
        <w:t xml:space="preserve"> </w:t>
      </w:r>
      <w:r>
        <w:rPr>
          <w:rFonts w:ascii="Times New Roman" w:hAnsi="Times New Roman"/>
          <w:b/>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following events shall be an Event of Default hereunder </w:t>
      </w:r>
    </w:p>
    <w:p>
      <w:pPr>
        <w:pStyle w:val="TextBody"/>
        <w:bidi w:val="0"/>
        <w:spacing w:before="120" w:after="0"/>
        <w:jc w:val="left"/>
        <w:rPr>
          <w:rFonts w:ascii="Times New Roman" w:hAnsi="Times New Roman"/>
          <w:sz w:val="20"/>
        </w:rPr>
      </w:pPr>
      <w:r>
        <w:rPr>
          <w:rFonts w:ascii="Times New Roman" w:hAnsi="Times New Roman"/>
          <w:sz w:val="20"/>
        </w:rPr>
        <w:t xml:space="preserve">(a) Tenant fails to pay when due any installment of Rent and such default shall continue for five (5) days after written notice of such default is given to Tenant (which notice may be in the form of an Illinois Statutory 5-day notice utilized in Forcible Entry and Detainer Proceedings), except that if Landlord shall have given two (2) such notices of default in the payment of any Rent in any twelve-(12) month period, Tenant shall not be entitled to any further written notice of its delinquency in the payment of any Rent; or </w:t>
      </w:r>
    </w:p>
    <w:p>
      <w:pPr>
        <w:pStyle w:val="TextBody"/>
        <w:bidi w:val="0"/>
        <w:spacing w:before="120" w:after="0"/>
        <w:jc w:val="left"/>
        <w:rPr>
          <w:rFonts w:ascii="Times New Roman" w:hAnsi="Times New Roman"/>
          <w:sz w:val="20"/>
        </w:rPr>
      </w:pPr>
      <w:r>
        <w:rPr>
          <w:rFonts w:ascii="Times New Roman" w:hAnsi="Times New Roman"/>
          <w:sz w:val="20"/>
        </w:rPr>
        <w:t xml:space="preserve">(b) Tenant uses the Premises for a purpose with constitutes a Prohibited Use and if such use continues for more than five (5) days after notice by Landlord to Tenant of such default or, if such use is of a nature that it cannot be completely remedial within ten (10) days, failure by Tenant to cease such use within fifteen (15) days; or </w:t>
      </w:r>
    </w:p>
    <w:p>
      <w:pPr>
        <w:pStyle w:val="TextBody"/>
        <w:bidi w:val="0"/>
        <w:spacing w:before="120" w:after="0"/>
        <w:jc w:val="left"/>
        <w:rPr>
          <w:rFonts w:ascii="Times New Roman" w:hAnsi="Times New Roman"/>
          <w:sz w:val="20"/>
        </w:rPr>
      </w:pPr>
      <w:r>
        <w:rPr>
          <w:rFonts w:ascii="Times New Roman" w:hAnsi="Times New Roman"/>
          <w:sz w:val="20"/>
        </w:rPr>
        <w:t xml:space="preserve">(c) Tenant falls to observe or perform any other term, covenant or condition of this Lease to be observed or performed by Tenant and if such failure continues for more than fifteen (15) days after written notice by Landlord to Tenant of such failure, or if such failure is of such a nature that it cannot be completely remedied within fifteen (15) days, failure by Tenant to commence remedy such failure within said fifteen (15) days, and thereafter diligently prosecute to completion all steps necessary to remedy such default within sixty (60)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(e) Tenants interest in this Lease shall devolve upon or pass to any person, whether by operation of law or otherwise, except as expressly permitted under </w:t>
      </w:r>
      <w:r>
        <w:rPr>
          <w:rFonts w:ascii="Times New Roman" w:hAnsi="Times New Roman"/>
          <w:sz w:val="20"/>
          <w:u w:val="single"/>
        </w:rPr>
        <w:t>Article 14</w:t>
      </w:r>
      <w:r>
        <w:rPr>
          <w:rFonts w:ascii="Times New Roman" w:hAnsi="Times New Roman"/>
          <w:sz w:val="20"/>
        </w:rPr>
        <w:t xml:space="preserve"> hereof; or </w:t>
      </w:r>
    </w:p>
    <w:p>
      <w:pPr>
        <w:pStyle w:val="TextBody"/>
        <w:bidi w:val="0"/>
        <w:spacing w:before="120" w:after="0"/>
        <w:jc w:val="left"/>
        <w:rPr>
          <w:rFonts w:ascii="Times New Roman" w:hAnsi="Times New Roman"/>
          <w:sz w:val="20"/>
        </w:rPr>
      </w:pPr>
      <w:r>
        <w:rPr>
          <w:rFonts w:ascii="Times New Roman" w:hAnsi="Times New Roman"/>
          <w:sz w:val="20"/>
        </w:rPr>
        <w:t xml:space="preserve">(f) Tenant generally does not, or is unable to, or admits in writing its inability to pay its debts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(g) Tenant files a voluntary petition in bankruptcy or insolvency, or is adjudicated a bankrupt or insolvent, or files any petition or answer seeking any reorganization, liquidation, dissolution or similar relief under any present or future federal bankruptcy act or any other present or future applicable federal, state or other statute or law, or makes an assignment for the benefit of creditors or seeks or consents to or acquiesces in the appointment of any trustee, receiver, liquidator or other similar official for Tenant or for all or any part of Tenants property; or </w:t>
      </w:r>
    </w:p>
    <w:p>
      <w:pPr>
        <w:pStyle w:val="TextBody"/>
        <w:bidi w:val="0"/>
        <w:spacing w:before="120" w:after="0"/>
        <w:jc w:val="left"/>
        <w:rPr>
          <w:rFonts w:ascii="Times New Roman" w:hAnsi="Times New Roman"/>
          <w:sz w:val="20"/>
        </w:rPr>
      </w:pPr>
      <w:r>
        <w:rPr>
          <w:rFonts w:ascii="Times New Roman" w:hAnsi="Times New Roman"/>
          <w:sz w:val="20"/>
        </w:rPr>
        <w:t xml:space="preserve">(h) If, within sixty (60) days after the commencement of any proceeding against Tenant whether by the filing of a petition or otherwise, seeking bankruptcy, insolvency, reorganization, arrangement, composition, readjustment, liquidation, dissolution or similar relief under the present or any future federal bankruptcy act or any other present or future applicable federal, state or other statute or law, such proceeding shall not have been dismissed, or it within sixty (60) days after the appointment of any trustee, receive, liquidator or other similar official for Tenant or for all or any part of Tenants property, without the consent or acquiescence of Tenant as the case may be. such appointment shall riot have been vacated or otherwise discharged, or if any lien, execution or attachment or other similar thing shall be made or issued against Tenant or any of Tenants properly pursuant to which the Premises shall be taken or occupied or attempted to be taken or occupied by someone other than Tenant.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or any one or more of such Events of Default, Landlord may, at its sole option. give to Tenant three (3) days notice of cancellation of this Lease (or of Tenants possession of the Premises), in which event this Lease and the Term (or Tenants possession at the Premises) shall come to an end and expire (whether or not the Term shall have commenced) upon the expiration of each three day period with the sane force and effect as if the days set forth in the notice was the Expiration Date stated herein; and Tenant shall then quit and surrender the Premises to Landlord, but Tenant shall remain liable for damages as provided in </w:t>
      </w:r>
      <w:r>
        <w:rPr>
          <w:rFonts w:ascii="Times New Roman" w:hAnsi="Times New Roman"/>
          <w:sz w:val="20"/>
          <w:u w:val="single"/>
        </w:rPr>
        <w:t>Article 17</w:t>
      </w:r>
      <w:r>
        <w:rPr>
          <w:rFonts w:ascii="Times New Roman" w:hAnsi="Times New Roman"/>
          <w:sz w:val="20"/>
        </w:rPr>
        <w:t xml:space="preserve"> hereof. Any notice of cancellation of the Term (or Tenants possession of the Premises) may be given simultaneously with any notice of default given to Tenant.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16.2</w:t>
      </w:r>
      <w:r>
        <w:rPr>
          <w:rFonts w:ascii="Times New Roman" w:hAnsi="Times New Roman"/>
          <w:sz w:val="20"/>
        </w:rPr>
        <w:t xml:space="preserve"> </w:t>
      </w:r>
      <w:r>
        <w:rPr>
          <w:rFonts w:ascii="Times New Roman" w:hAnsi="Times New Roman"/>
          <w:b/>
          <w:sz w:val="20"/>
          <w:u w:val="single"/>
        </w:rPr>
        <w:t>Tenants Liability</w:t>
      </w:r>
      <w:r>
        <w:rPr>
          <w:rFonts w:ascii="Times New Roman" w:hAnsi="Times New Roman"/>
          <w:sz w:val="20"/>
        </w:rPr>
        <w:t xml:space="preserve">. If, at any time, Tenant shall be comprised of two or more persons, Tenants obligations under this Lease shall have been guaranteed by any person other than Tenant, or Tenants interest in this Lease shall have been assigned, the word Tenant, as used in </w:t>
      </w:r>
      <w:r>
        <w:rPr>
          <w:rFonts w:ascii="Times New Roman" w:hAnsi="Times New Roman"/>
          <w:sz w:val="20"/>
          <w:u w:val="single"/>
        </w:rPr>
        <w:t>Section 16.1(f), 16.1(g) and 16.1(h)</w:t>
      </w:r>
      <w:r>
        <w:rPr>
          <w:rFonts w:ascii="Times New Roman" w:hAnsi="Times New Roman"/>
          <w:sz w:val="20"/>
        </w:rPr>
        <w:t xml:space="preserve">, shall be deemed to mean any one or more of the persons primarily or secondarily liable for Tenants obligations under this Lease. Any monies received by Landlord from or on behalf of Tenant during the pendency of any proceeding of the types referred to in this </w:t>
      </w:r>
      <w:r>
        <w:rPr>
          <w:rFonts w:ascii="Times New Roman" w:hAnsi="Times New Roman"/>
          <w:sz w:val="20"/>
          <w:u w:val="single"/>
        </w:rPr>
        <w:t>Article 16</w:t>
      </w:r>
      <w:r>
        <w:rPr>
          <w:rFonts w:ascii="Times New Roman" w:hAnsi="Times New Roman"/>
          <w:sz w:val="20"/>
        </w:rPr>
        <w:t xml:space="preserve"> shall be deemed paid as compensation for the use and occupancy of the Premises and the acceptance of any such compensation by Landlord shall not be deemed an acceptance of Rent or a waiver on the part of Landlord of any rights under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ARTICLE 17 REMEDIES AND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17.1</w:t>
      </w:r>
      <w:r>
        <w:rPr>
          <w:rFonts w:ascii="Times New Roman" w:hAnsi="Times New Roman"/>
          <w:sz w:val="20"/>
        </w:rPr>
        <w:t xml:space="preserve"> </w:t>
      </w:r>
      <w:r>
        <w:rPr>
          <w:rFonts w:ascii="Times New Roman" w:hAnsi="Times New Roman"/>
          <w:b/>
          <w:sz w:val="20"/>
          <w:u w:val="single"/>
        </w:rPr>
        <w:t>Landlords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Possession/Reletting</w:t>
      </w:r>
      <w:r>
        <w:rPr>
          <w:rFonts w:ascii="Times New Roman" w:hAnsi="Times New Roman"/>
          <w:sz w:val="20"/>
        </w:rPr>
        <w:t xml:space="preserve">. If any Event of Default occurs, and this Lease and the Term, or Tenants right to possession of the Premises, terminates as provided in </w:t>
      </w:r>
      <w:r>
        <w:rPr>
          <w:rFonts w:ascii="Times New Roman" w:hAnsi="Times New Roman"/>
          <w:sz w:val="20"/>
          <w:u w:val="single"/>
        </w:rPr>
        <w:t>Article 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Surrender of Possession</w:t>
      </w:r>
      <w:r>
        <w:rPr>
          <w:rFonts w:ascii="Times New Roman" w:hAnsi="Times New Roman"/>
          <w:sz w:val="20"/>
        </w:rPr>
        <w:t xml:space="preserve">. Tenant shall quit and surrender the Premises to Landlord, and Landlord and its agents may immediately, or at any time after such Event of Default, re-enter the Premises or any part thereof, without notice, either by summary proceedings, or by any other applicable action or proceeding, or by force (to the extent permitted by law) or otherwise in accordance with applicable legal-proceedings (without being liable to indictment, prosecution or damages therefor), and may repossess the Premises and dispossess Tenant and any other persons from the Premises and remove any and all of their property and effects from the Premises.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Landlords Reletting</w:t>
      </w:r>
      <w:r>
        <w:rPr>
          <w:rFonts w:ascii="Times New Roman" w:hAnsi="Times New Roman"/>
          <w:sz w:val="20"/>
        </w:rPr>
        <w:t xml:space="preserve">. Landlord, at Landlords option, may relet all or any part of the Premises from time to time, either in the name of Landlord or otherwise, to such tenant or tenants, for any term ending before, on or after the Expiration Date, at each rental arid upon such other conditions (which may include concessions and free rent periods) as Landlord, in is sole discretion, may determine. Landlord shall have no obligation to accept any tenant offered by Tenant and shall not be liable for failure to relet or, in the event of any such reletting, for failure to collect any rent due upon any such reletting; and-no such failure shall relieve Tenant of, or otherwise effect, any lability under this Lease. Landlord, at Landlords option, may make such alterations, decorations and other physical changes in and to the Premises as Landlord, in its sole discretion, considers advisable or necessary in connection with such reletting or proposed reletting, without relieving Tenant of any liability under this Lease or otherwise affecting any such liability. Landlord shall, by attempting to release the Premises to an acceptable (in Landlords reasonable judgment) replacement tenant, using the Buildings exclusive leasing agent for such purpose, use commercially reasonable efforts to mitigate its damages, provided Landlord shall not be required to divert prospective tenants from any other portions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Tenants Waiver</w:t>
      </w:r>
      <w:r>
        <w:rPr>
          <w:rFonts w:ascii="Times New Roman" w:hAnsi="Times New Roman"/>
          <w:sz w:val="20"/>
        </w:rPr>
        <w:t>. Tenant, on its own behalf and on behalf of all persons claiming through or under Tenant including all creditors, hereby waives all rights which Tenant and all such persons might otherwise have under any Legal Requirement to the service of any notice of intention to re-enter a to institute legal proceedings, to redeem, or to re-enter or repossess the Premises, or to restore the operation of this Lease, after Tenant shall have been dispossessed by judgment or by warrant of any court or judge, any re-entry by Landlord, or any expiration or early termination of the term of this Lease, whether such dispossess, re-entry, expiration or termination shall be by operation of law or pursuant to the provisions of the Lease. The words re-enter</w:t>
      </w:r>
      <w:r>
        <w:rPr>
          <w:rFonts w:ascii="Times New Roman" w:hAnsi="Times New Roman"/>
          <w:b/>
          <w:sz w:val="20"/>
        </w:rPr>
        <w:t xml:space="preserve">, </w:t>
      </w:r>
      <w:r>
        <w:rPr>
          <w:rFonts w:ascii="Times New Roman" w:hAnsi="Times New Roman"/>
          <w:sz w:val="20"/>
        </w:rPr>
        <w:t xml:space="preserve">re-entry° and re-entered as used in this Lease shall not be deemed to be restricted to their technical legal meanings.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Tenants Breach</w:t>
      </w:r>
      <w:r>
        <w:rPr>
          <w:rFonts w:ascii="Times New Roman" w:hAnsi="Times New Roman"/>
          <w:sz w:val="20"/>
        </w:rPr>
        <w:t xml:space="preserve">. Upon the breach or threatened breach by Tenant, or any persons claiming through or under Tenant, of any term, covenant or condition of this Lease, Landlord shall have the right to enjoin such breach and to invoke any other remedy allowed by law or in equity as if re-entry, summary proceedings and other special remedies were not provided in this Lease for such breach. The rights to invoke the remedies set forth above are cumulative and shall not preclude Landlord from invoking any other remedy allowed at law or in equity,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17.2</w:t>
      </w:r>
      <w:r>
        <w:rPr>
          <w:rFonts w:ascii="Times New Roman" w:hAnsi="Times New Roman"/>
          <w:sz w:val="20"/>
        </w:rPr>
        <w:t xml:space="preserve"> </w:t>
      </w:r>
      <w:r>
        <w:rPr>
          <w:rFonts w:ascii="Times New Roman" w:hAnsi="Times New Roman"/>
          <w:b/>
          <w:sz w:val="20"/>
          <w:u w:val="single"/>
        </w:rPr>
        <w:t>Landlords Damages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Amount of Damages</w:t>
      </w:r>
      <w:r>
        <w:rPr>
          <w:rFonts w:ascii="Times New Roman" w:hAnsi="Times New Roman"/>
          <w:sz w:val="20"/>
        </w:rPr>
        <w:t xml:space="preserve">. If the Lease and the Term, or Tenants right to possession of the Premises, expire and come to an and as provided in </w:t>
      </w:r>
      <w:r>
        <w:rPr>
          <w:rFonts w:ascii="Times New Roman" w:hAnsi="Times New Roman"/>
          <w:sz w:val="20"/>
          <w:u w:val="single"/>
        </w:rPr>
        <w:t>Article 16</w:t>
      </w:r>
      <w:r>
        <w:rPr>
          <w:rFonts w:ascii="Times New Roman" w:hAnsi="Times New Roman"/>
          <w:sz w:val="20"/>
        </w:rPr>
        <w:t xml:space="preserve">,, or by or under any summary proceeding or any other action or proceeding, or if Landlord shall re-enter the Premises as provided in </w:t>
      </w:r>
      <w:r>
        <w:rPr>
          <w:rFonts w:ascii="Times New Roman" w:hAnsi="Times New Roman"/>
          <w:sz w:val="20"/>
          <w:u w:val="single"/>
        </w:rPr>
        <w:t>Section 17.1</w:t>
      </w:r>
      <w:r>
        <w:rPr>
          <w:rFonts w:ascii="Times New Roman" w:hAnsi="Times New Roman"/>
          <w:sz w:val="20"/>
        </w:rPr>
        <w:t xml:space="preserve"> then, in any of such events: </w:t>
      </w:r>
    </w:p>
    <w:p>
      <w:pPr>
        <w:pStyle w:val="TextBody"/>
        <w:bidi w:val="0"/>
        <w:spacing w:before="240" w:after="0"/>
        <w:jc w:val="left"/>
        <w:rPr>
          <w:rFonts w:ascii="Times New Roman" w:hAnsi="Times New Roman"/>
          <w:sz w:val="20"/>
        </w:rPr>
      </w:pPr>
      <w:r>
        <w:rPr>
          <w:rFonts w:ascii="Times New Roman" w:hAnsi="Times New Roman"/>
          <w:sz w:val="20"/>
        </w:rPr>
        <w:t xml:space="preserve">(i) Tenant shall pay to Landlord all Fixed Rent, all sums payable pursuant to </w:t>
      </w:r>
      <w:r>
        <w:rPr>
          <w:rFonts w:ascii="Times New Roman" w:hAnsi="Times New Roman"/>
          <w:sz w:val="20"/>
          <w:u w:val="single"/>
        </w:rPr>
        <w:t>Article 7</w:t>
      </w:r>
      <w:r>
        <w:rPr>
          <w:rFonts w:ascii="Times New Roman" w:hAnsi="Times New Roman"/>
          <w:sz w:val="20"/>
        </w:rPr>
        <w:t xml:space="preserve"> of this Lease (including Tenants Tax Payment and Tenants Operating Payment) and all other items of Rent payable under this Lease by Tenant to Landlord up to the Expiration Date or to the date of re-entry upon the Premises by Landlord,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(ii) Landlord shall be entitled to retain all monies, if any, paid by Tenant to Landlord, whether as prepaid Rent, a Security Deposit or otherwise, which monies, to the extent not otherwise applied to amounts due and owing to Landlord, shall be credited by Landlord against any damages payable by Tenant to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Tenant shall pay to Landlord, in monthly installments, on the days specified in this Lease for payment of installments of Fixed Rent and alt other items of Rent payable under this Lease, any Deficiency (at hereinafter defined); it being understood that Landlord shall be entitled to recover the Deficiency from Tenant each month as the same shall arise, and no suit collect the amount of the Deficiency for any month, shall prejudice Landlords right to collect the Deficiency for any subsequent month by a similar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(iv) whether or not Landlord shall have collected any monthly Deficiency, Tenant shall pay to Landlord, on demand, in lieu of any further Deficiency and as liquidated and agreed final damages, a sum equal to the amount by which the Rent for the period which otherwise would have constituted the unexpired portion of the Term (assuming the Additional Rent during such period to be the same as was payable for the year immediately preceding such termination or re-entry, increased in each succeeding year by three percent (3%) (on a compounded basis)) exceeds the then fair and reasonable rental value of the Premises, for the same period (with both amounts being discounted to present value at a rate of interest equal to two percent (2%) below the then Base Rate) less the aggregate amount of Deficiencies theretofore collected by Landlord pursuant to the provisions of </w:t>
      </w:r>
      <w:r>
        <w:rPr>
          <w:rFonts w:ascii="Times New Roman" w:hAnsi="Times New Roman"/>
          <w:sz w:val="20"/>
          <w:u w:val="single"/>
        </w:rPr>
        <w:t>Section 17.2(a)(iii)</w:t>
      </w:r>
      <w:r>
        <w:rPr>
          <w:rFonts w:ascii="Times New Roman" w:hAnsi="Times New Roman"/>
          <w:sz w:val="20"/>
        </w:rPr>
        <w:t xml:space="preserve"> for the same period, if, before presentation of proof of such liquidated damages to any court, commission or tribunal, the Premises, or any part thereof, shall have been relet by Landlord for the period which otherwise would have constituted the unexpired portion of the Term, or any part thereof, the amount of rent reserved upon such reletting shall be deemed, </w:t>
      </w:r>
      <w:r>
        <w:rPr>
          <w:rFonts w:ascii="Times New Roman" w:hAnsi="Times New Roman"/>
          <w:sz w:val="20"/>
          <w:u w:val="single"/>
        </w:rPr>
        <w:t>prima facie</w:t>
      </w:r>
      <w:r>
        <w:rPr>
          <w:rFonts w:ascii="Times New Roman" w:hAnsi="Times New Roman"/>
          <w:sz w:val="20"/>
        </w:rPr>
        <w:t xml:space="preserve">, to be the fair and reasonable rental value for the part or the whole of the Premises so relet during the term of the reletting.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Deficiency</w:t>
      </w:r>
      <w:r>
        <w:rPr>
          <w:rFonts w:ascii="Times New Roman" w:hAnsi="Times New Roman"/>
          <w:sz w:val="20"/>
        </w:rPr>
        <w:t xml:space="preserve">. For all purposes of this Lease the term Deficiency: shall mean the difference between (a) the Fixed Rent and Additional Rent for the period which otherwise would have constituted the unexpired portion of the Term (assuming the Additional Rent for each year thereof to be the same as was payable for the year immediately preceding such termination or re-entry), and (b) the net amount, if any, of rents collected under any reletting effected pursuant to the provisions of the Lease for any part of such period (after first deducting from such rents all expenses incurred by Landlord in connection with the termination of this Lease, Landlords re-entry upon the Premises and such reletting, including repossession costs, brokerage commissions, reasonable attorneys fees and disbursements, and alteration costs).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Reletting</w:t>
      </w:r>
      <w:r>
        <w:rPr>
          <w:rFonts w:ascii="Times New Roman" w:hAnsi="Times New Roman"/>
          <w:sz w:val="20"/>
        </w:rPr>
        <w:t xml:space="preserve">. If the Premises, or any part thereof, shall be relet together with other space in the Building, the rents collected or reserved under any such reletting and the expenses of any such reletting shall be equitably apportioned for the purposes of this </w:t>
      </w:r>
      <w:r>
        <w:rPr>
          <w:rFonts w:ascii="Times New Roman" w:hAnsi="Times New Roman"/>
          <w:sz w:val="20"/>
          <w:u w:val="single"/>
        </w:rPr>
        <w:t>Section 17.2</w:t>
      </w:r>
      <w:r>
        <w:rPr>
          <w:rFonts w:ascii="Times New Roman" w:hAnsi="Times New Roman"/>
          <w:sz w:val="20"/>
        </w:rPr>
        <w:t xml:space="preserve">. Tenant shall not be entitled to any rents collected or payable under any reletting, whether or not such rents exceed the Fixed Rent reserved in this Lease. Nothing contained in </w:t>
      </w:r>
      <w:r>
        <w:rPr>
          <w:rFonts w:ascii="Times New Roman" w:hAnsi="Times New Roman"/>
          <w:sz w:val="20"/>
          <w:u w:val="single"/>
        </w:rPr>
        <w:t>Articles 16 or 17</w:t>
      </w:r>
      <w:r>
        <w:rPr>
          <w:rFonts w:ascii="Times New Roman" w:hAnsi="Times New Roman"/>
          <w:sz w:val="20"/>
        </w:rPr>
        <w:t xml:space="preserve"> shall be deemed to limit or preclude the recovery by Landlord from Tenant of the maximum amount allowed to be obtained as damages by any Legal Requirement, or of any sums or damages to which Landlord may be entitled in addition to the damages set forth in this </w:t>
      </w:r>
      <w:r>
        <w:rPr>
          <w:rFonts w:ascii="Times New Roman" w:hAnsi="Times New Roman"/>
          <w:sz w:val="20"/>
          <w:u w:val="single"/>
        </w:rPr>
        <w:t>Section 17.2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17.3</w:t>
      </w:r>
      <w:r>
        <w:rPr>
          <w:rFonts w:ascii="Times New Roman" w:hAnsi="Times New Roman"/>
          <w:sz w:val="20"/>
        </w:rPr>
        <w:t xml:space="preserve"> </w:t>
      </w:r>
      <w:r>
        <w:rPr>
          <w:rFonts w:ascii="Times New Roman" w:hAnsi="Times New Roman"/>
          <w:b/>
          <w:sz w:val="20"/>
          <w:u w:val="single"/>
        </w:rPr>
        <w:t>Default Interest; Other Rights of Landlord</w:t>
      </w:r>
      <w:r>
        <w:rPr>
          <w:rFonts w:ascii="Times New Roman" w:hAnsi="Times New Roman"/>
          <w:sz w:val="20"/>
        </w:rPr>
        <w:t xml:space="preserve">. Any Rent or damages payable under this Lease and not paid when due shall bear interest at the Default Rate from the due date until paid, and the interest shall be deemed Additional Rent. If Tenant falls to pay any Additional Rent when due, Landlord, in addition to any other right or remedy, shall have the same rights and remedies as in the case of a default by Tenant in the payment of Fixed Rent. If Tenant is in arrears in the payment of Rent, Tenant waives Tenants right if any, to designate the items against which any payments made by Tenant are to be credited, and Landlord may apply any payments made by Tenant to any items Landlord sees fit, regardless of any request by Tenant. Landlord reserves the right, without liability to Tenant and without constituting any claim of constructive eviction, to suspend furnishing or rendering to Tenant any property, material, labor, utility or other service, whenever Landlord is obligated to furnish or render the same at the expense of Tenant, in the event that (but only for so long as) Tenant is in arrears in paying Landlord for such items for more than five (5) days after notice from Landlord to Tenant demanding the payment of such arrears.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17.4</w:t>
      </w:r>
      <w:r>
        <w:rPr>
          <w:rFonts w:ascii="Times New Roman" w:hAnsi="Times New Roman"/>
          <w:sz w:val="20"/>
        </w:rPr>
        <w:t xml:space="preserve"> </w:t>
      </w:r>
      <w:r>
        <w:rPr>
          <w:rFonts w:ascii="Times New Roman" w:hAnsi="Times New Roman"/>
          <w:b/>
          <w:sz w:val="20"/>
          <w:u w:val="single"/>
        </w:rPr>
        <w:t>Landlord Default</w:t>
      </w:r>
      <w:r>
        <w:rPr>
          <w:rFonts w:ascii="Times New Roman" w:hAnsi="Times New Roman"/>
          <w:sz w:val="20"/>
        </w:rPr>
        <w:t xml:space="preserve">. Landlord shall be in default hereunder if Landlord violates or fails to perform any covenant, agreement or condition herein contained, or any other obligation of Landlord, and such failure continues for more than thirty (30) days after receipt of written notice from Tenant (or, if such failure cannot be cured within such thirty (30) days, it Landlord fails to commence such cure within thirty (30) days or thereafter fails to diligently pursue such cure to competition). Upon the occurrence of a default by Landlord, and after the expiration of the applicable cure period, Tenant shall have all remedies available at taw or in equity, including the right to enforce the provisions of this Lease by specific performance.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18 FEES AND EXPENSES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18.1</w:t>
      </w:r>
      <w:r>
        <w:rPr>
          <w:rFonts w:ascii="Times New Roman" w:hAnsi="Times New Roman"/>
          <w:sz w:val="20"/>
        </w:rPr>
        <w:t xml:space="preserve"> </w:t>
      </w:r>
      <w:r>
        <w:rPr>
          <w:rFonts w:ascii="Times New Roman" w:hAnsi="Times New Roman"/>
          <w:b/>
          <w:sz w:val="20"/>
          <w:u w:val="single"/>
        </w:rPr>
        <w:t>Landlords Right To Cure</w:t>
      </w:r>
      <w:r>
        <w:rPr>
          <w:rFonts w:ascii="Times New Roman" w:hAnsi="Times New Roman"/>
          <w:sz w:val="20"/>
        </w:rPr>
        <w:t xml:space="preserve">. If an Event of Default shall occur under this Lease, or if Tenant shall fail to comply with its obligations under this Lease, Landlord may, after reasonable prior written notice to Tenant except in an emergency, perform the same for the account of Tenant or make any reasonable expenditure or incur any obligation for the payment of money for the account of Tenant. Ail amounts expended by Landlord in connection with the foregoing, including reasonable attorneys fees and disbursements in instituting, prosecuting or defending any action or proceeding or recovering possession, and the coat thereof, with interest thereon at the Default Rate, shall be deemed to be Additional Rent hereunder and shall be paid by Tenant to Landlord within ten (10) days of rendition of any bill or statement to Tenant therefor.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18.2</w:t>
      </w:r>
      <w:r>
        <w:rPr>
          <w:rFonts w:ascii="Times New Roman" w:hAnsi="Times New Roman"/>
          <w:sz w:val="20"/>
        </w:rPr>
        <w:t xml:space="preserve"> </w:t>
      </w:r>
      <w:r>
        <w:rPr>
          <w:rFonts w:ascii="Times New Roman" w:hAnsi="Times New Roman"/>
          <w:b/>
          <w:sz w:val="20"/>
          <w:u w:val="single"/>
        </w:rPr>
        <w:t>Late Charge</w:t>
      </w:r>
      <w:r>
        <w:rPr>
          <w:rFonts w:ascii="Times New Roman" w:hAnsi="Times New Roman"/>
          <w:sz w:val="20"/>
        </w:rPr>
        <w:t xml:space="preserve">. If Tenant shall fail to pay any installment of Fixed Rent and/or Additional Rent when due, Tenant shall pay to Landlord, in addition to such installment of Fixed Rent and/or Additional Rent, as the case may be, as a late charge and as Additional Rent, a sum equal to interest at the Default Rate on the amount unpaid, computed from the date such payment was due to and including the date of payment.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18.3</w:t>
      </w:r>
      <w:r>
        <w:rPr>
          <w:rFonts w:ascii="Times New Roman" w:hAnsi="Times New Roman"/>
          <w:sz w:val="20"/>
        </w:rPr>
        <w:t xml:space="preserve"> </w:t>
      </w:r>
      <w:r>
        <w:rPr>
          <w:rFonts w:ascii="Times New Roman" w:hAnsi="Times New Roman"/>
          <w:b/>
          <w:sz w:val="20"/>
          <w:u w:val="single"/>
        </w:rPr>
        <w:t>Expenses of Enforcement</w:t>
      </w:r>
      <w:r>
        <w:rPr>
          <w:rFonts w:ascii="Times New Roman" w:hAnsi="Times New Roman"/>
          <w:sz w:val="20"/>
        </w:rPr>
        <w:t xml:space="preserve">. Except as otherwise provided in this Lease, in any action, litigation or proceeding to enforce the terms and envisions of this Lease, the nonprevailing party in such action, litigation or proceeding shall pay the prevailing party thereto all costs and expenses, including reasonable attorneys fees, incurred by such prevailing party in successfully enforcing the nonprevailing partys obligations or successfully defending the prevailing partys rights under this Lease against the nonprevailing party. </w:t>
      </w:r>
    </w:p>
    <w:p>
      <w:pPr>
        <w:pStyle w:val="TextBody"/>
        <w:bidi w:val="0"/>
        <w:spacing w:before="240" w:after="0"/>
        <w:jc w:val="left"/>
        <w:rPr>
          <w:rFonts w:ascii="Times New Roman" w:hAnsi="Times New Roman"/>
          <w:b/>
          <w:sz w:val="20"/>
        </w:rPr>
      </w:pPr>
      <w:r>
        <w:rPr>
          <w:rFonts w:ascii="Times New Roman" w:hAnsi="Times New Roman"/>
          <w:b/>
          <w:sz w:val="20"/>
        </w:rPr>
        <w:t xml:space="preserve">ARTICLE 19 NO REPRESENTATIONS BY LANDLORD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this Lease, Landlord and Landlords agents have made no warranties, representations, statements or promises with respect to (a) the rentable and usable areas of the Premises or the Building, (b) the amount of any current or future Operating Expenses or Taxes, (c) the compliance with applicable Legal Requirements of the Premises or the Building, or (d) the suitability of the Premises for any particular use or purpose. No rights, easements or licenses are acquired by Tenant under this Lease, by implication or otherwise, except as expressly set forth herein. This Lease (including any Exhibits referred to herein and all supplementary agreements provided for herein) contains the entire agreement between the parties and all understandings and agreements previously made between Landlord and Tenant are merged in this Lease, which alone fully and completely expresses their agreement. Tenant is entering into this Lease after full investigation, and is not relying upon any statement or representation made by Landlord not embodied in this Lease and accepts the Premises in as is, whereas condition.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20 END OF TERM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20.1</w:t>
      </w:r>
      <w:r>
        <w:rPr>
          <w:rFonts w:ascii="Times New Roman" w:hAnsi="Times New Roman"/>
          <w:sz w:val="20"/>
        </w:rPr>
        <w:t xml:space="preserve"> </w:t>
      </w:r>
      <w:r>
        <w:rPr>
          <w:rFonts w:ascii="Times New Roman" w:hAnsi="Times New Roman"/>
          <w:b/>
          <w:sz w:val="20"/>
          <w:u w:val="single"/>
        </w:rPr>
        <w:t>Expiration</w:t>
      </w:r>
      <w:r>
        <w:rPr>
          <w:rFonts w:ascii="Times New Roman" w:hAnsi="Times New Roman"/>
          <w:sz w:val="20"/>
        </w:rPr>
        <w:t xml:space="preserve">. Upon the expiration or other termination of this Lease or of Tenants right to possession of the Premises, Tenant shall quit and surrender to Landlord the Premises, vacant, free of all tenants, subtenants and occupants, broom clean, in good order and condition, ordinary wear and tear and damage for which Tenant is not responsible under the terms of this Lease accepted, and Tenant shall remove all of Tenants Property from the Premises, and this obligation shall survive the expiration or sooner termination of the Term. If the last day of the Term or any renewal thereof falls on Saturday or Sunday, this Lease shall expire on the Business Day immediately preceding. Tenant expressly waives, for itself and for any Person claiming through or under Tenant, any rights which Tenant or any such Person may have for notice to which Tenant may otherwise be entitled under the laws of the State of Illinois as a prerequisite to a suit against Tenant for unlawful detention of the Premises.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20.2</w:t>
      </w:r>
      <w:r>
        <w:rPr>
          <w:rFonts w:ascii="Times New Roman" w:hAnsi="Times New Roman"/>
          <w:sz w:val="20"/>
        </w:rPr>
        <w:t xml:space="preserve"> </w:t>
      </w:r>
      <w:r>
        <w:rPr>
          <w:rFonts w:ascii="Times New Roman" w:hAnsi="Times New Roman"/>
          <w:b/>
          <w:sz w:val="20"/>
          <w:u w:val="single"/>
        </w:rPr>
        <w:t>Holdover Rent</w:t>
      </w:r>
      <w:r>
        <w:rPr>
          <w:rFonts w:ascii="Times New Roman" w:hAnsi="Times New Roman"/>
          <w:sz w:val="20"/>
        </w:rPr>
        <w:t>. Landlord and Tenant recognize that the damage to Landlord resulting from any failure by any Tenant Party to timely surrender possession of the Premises may be substantial, may exceed the amount of the Rent theretofore payable hereunder, and will be impossible to accurately measure. Tenant therefore agrees that if possession of the Premises is not surrendered to Landlord within twenty-four (24) hours after the Expiration Date, excluding Unavoidable Delays, or sooner termination of the Term, in addition to any other rights or remedies Landlord may have hereunder or at law, Tenant shall pay to landlord for each month (notwithstanding that any holdover may be for a period of less than a calendar month) during which any Tenant Party holds over in the Premises after the Expiration Date or sooner termination of the Term, a sum equal to (1) one and one-half (1 1⁄2) times the Rent payable under this Lease for the last full calendar month of the Term determined on a gross basis for the first one hundred twenty (120) days of holdover and (ii) two (2) times the Rent payable under this Lease for the last-full calendar month of the Term determined on a gross basis from the one hundred twenty-first (121st) day of holdover until Tenant vacates the Premises and delivers possession to Landlord; and Tenant shall be liable to Landlord for any payment or rent concession (including, without limitation, any consequential damages, but excluding any non-customary excessive penalties provided for in the New Tenants (as hereinafter defined) lease) which Landlord may be required to make to any tenant obtained by Landlord for all or any part of the Premises (a </w:t>
      </w:r>
      <w:r>
        <w:rPr>
          <w:rFonts w:ascii="Times New Roman" w:hAnsi="Times New Roman"/>
          <w:b/>
          <w:sz w:val="20"/>
        </w:rPr>
        <w:t>New Tenant</w:t>
      </w:r>
      <w:r>
        <w:rPr>
          <w:rFonts w:ascii="Times New Roman" w:hAnsi="Times New Roman"/>
          <w:sz w:val="20"/>
        </w:rPr>
        <w:t xml:space="preserve">) in order to induce such New Tenant not to terminate its lease by reason of the holding-over by any Tenant Party, and the loss of the benefit of the bargain if any New Tenant shall terminate its lease by reason of the holding-over by any Tenant Party, and indemnify Landlord against an claims for damages by any New Tenant. No holding-over by any Tenant Party, nor the payment to Landlord of the amounts specified above, shall operate to extend the Term hereof, nor constitute any tenancy other than a month to month tenancy at will. Nothing herein contained shall be deemed to permit any Tenant Party to retain possession of the Premises after the Expiration Date or sooner termination of this Lease, and no acceptance by Landlord of payments from any Tenant Party after the Expiration Date or sooner termination of the Term shall be deemed to be other than on account of the amount to be paid by Tenant in accordance with the provisions of this </w:t>
      </w:r>
      <w:r>
        <w:rPr>
          <w:rFonts w:ascii="Times New Roman" w:hAnsi="Times New Roman"/>
          <w:sz w:val="20"/>
          <w:u w:val="single"/>
        </w:rPr>
        <w:t>Article 20</w:t>
      </w:r>
      <w:r>
        <w:rPr>
          <w:rFonts w:ascii="Times New Roman" w:hAnsi="Times New Roman"/>
          <w:sz w:val="20"/>
        </w:rPr>
        <w:t xml:space="preserve">, nor shall it operate as a waiver of Landlords right of re-entry or any other right or remedy of Landlord under this Lease. All of Tenants obligations under this </w:t>
      </w:r>
      <w:r>
        <w:rPr>
          <w:rFonts w:ascii="Times New Roman" w:hAnsi="Times New Roman"/>
          <w:sz w:val="20"/>
          <w:u w:val="single"/>
        </w:rPr>
        <w:t>Article 20</w:t>
      </w:r>
      <w:r>
        <w:rPr>
          <w:rFonts w:ascii="Times New Roman" w:hAnsi="Times New Roman"/>
          <w:sz w:val="20"/>
        </w:rPr>
        <w:t xml:space="preserve"> shall survive the expiration or either termination of the Term of this Lease.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21 QUIET ENJOYMENT </w:t>
      </w:r>
    </w:p>
    <w:p>
      <w:pPr>
        <w:pStyle w:val="TextBody"/>
        <w:bidi w:val="0"/>
        <w:spacing w:before="240" w:after="0"/>
        <w:jc w:val="left"/>
        <w:rPr>
          <w:rFonts w:ascii="Times New Roman" w:hAnsi="Times New Roman"/>
          <w:sz w:val="20"/>
        </w:rPr>
      </w:pPr>
      <w:r>
        <w:rPr>
          <w:rFonts w:ascii="Times New Roman" w:hAnsi="Times New Roman"/>
          <w:sz w:val="20"/>
        </w:rPr>
        <w:t xml:space="preserve">Tenant may peaceably and quietly enjoy the Premises without hindrance by Landlord or any Person lawfully claiming through or under Landlord, subject, nevertheless to the terms and conditions of this Lease.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22 NO WAIVER; NO LIABILITY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22.1</w:t>
      </w:r>
      <w:r>
        <w:rPr>
          <w:rFonts w:ascii="Times New Roman" w:hAnsi="Times New Roman"/>
          <w:sz w:val="20"/>
        </w:rPr>
        <w:t xml:space="preserve"> </w:t>
      </w:r>
      <w:r>
        <w:rPr>
          <w:rFonts w:ascii="Times New Roman" w:hAnsi="Times New Roman"/>
          <w:b/>
          <w:sz w:val="20"/>
          <w:u w:val="single"/>
        </w:rPr>
        <w:t>No Surrender Or Release</w:t>
      </w:r>
      <w:r>
        <w:rPr>
          <w:rFonts w:ascii="Times New Roman" w:hAnsi="Times New Roman"/>
          <w:sz w:val="20"/>
        </w:rPr>
        <w:t xml:space="preserve">. No act or thing done by Landlord or Landlords agents during the Term shall be deemed an acceptance of a surrender tithe Premises, and no agreement to accept such surrender shall be valid unless in writing and signed by Landlord. No employee of Landlord or of Landlords agents shall have any power to accept the keys of the Premises prior to the termination of this Lease. The delivery of keys to any employee of Landlord or of Landlords agents shall not operate as a termination of this Lease or a surrender of the Premises. Any Building employee to whom any property shall be entrusted by or on behalf of Tenant shall be deemed to be acting as Tenants agent with respect to such property and neither Landlord nor its agents shall be liable for any damage to property of Tenant or of others entrusted to employees of the Building, nor for the loss of or damage to any property of Tenant by theft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22.2</w:t>
      </w:r>
      <w:r>
        <w:rPr>
          <w:rFonts w:ascii="Times New Roman" w:hAnsi="Times New Roman"/>
          <w:sz w:val="20"/>
        </w:rPr>
        <w:t xml:space="preserve"> </w:t>
      </w:r>
      <w:r>
        <w:rPr>
          <w:rFonts w:ascii="Times New Roman" w:hAnsi="Times New Roman"/>
          <w:b/>
          <w:sz w:val="20"/>
          <w:u w:val="single"/>
        </w:rPr>
        <w:t>No Waiver</w:t>
      </w:r>
      <w:r>
        <w:rPr>
          <w:rFonts w:ascii="Times New Roman" w:hAnsi="Times New Roman"/>
          <w:sz w:val="20"/>
        </w:rPr>
        <w:t xml:space="preserve">. The failure of Landlord to seek redress for violation of, or to insist upon the strict performance of, any covenant or condition of this Lease, or any of the Rules and Regulations set forth or hereafter adopted by Landlord, shall not prevent a subsequent act, which would have originally constituted a violation, from having all of the force and effect of an original violation. The receipt by Landlord of Fixed Rent and/or Additional Rent with knowledge of the breach of any covenant of this Lease shall not be deemed a waiver of such breach. The failure of Landlord to enforce any of the Rules and Regulations set forth, or hereafter adopted, shall not be deemed a waiver of any such Rules and Regulations. Landlord shall enforce the Rules and Regulations in a uniform and non-discriminatory manner. No provision of this Lease shall be deemed to have been waived by Landlord, unless such waiver be in writing signed by Landlord. No payment by Tenant or receipt by Landlord of a lesser amount than the monthly Fixed Rent or any Additional Rent shall be deemed to be other than on account of the next installment of Fixed Rent or Additional Rent, as the case may be, or as Landlord may elect to apply same, nor shall any endorsement or statement on any check or any letter accompanying any check or payment as Fixed Rent or Additional Rent be deemed an accord and satisfaction, and Landlord may accept such check or payment without prejudice to Landlords right to recover the balance of such Fixed Rent or Additional Rent or pursue any other remedy in this Lease provided. Any executory agreement hereafter made shall be ineffective to change, modify, discharge or effect an amendment of this Lease in whole or in part unless such executory agreement is in writing and signed by the party against whom enforcement of the change, modification, discharge or abandonment is sought. Al! references in this Lease to the consent or approval of Landlord shall be deemed to mean the written consent or approval of Landlord and no consent or approval of Landlord shall be effective for any purpose unless such consent or approver is set forth in a written instrument executed by Landlord.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22.3</w:t>
      </w:r>
      <w:r>
        <w:rPr>
          <w:rFonts w:ascii="Times New Roman" w:hAnsi="Times New Roman"/>
          <w:sz w:val="20"/>
        </w:rPr>
        <w:t xml:space="preserve"> </w:t>
      </w:r>
      <w:r>
        <w:rPr>
          <w:rFonts w:ascii="Times New Roman" w:hAnsi="Times New Roman"/>
          <w:b/>
          <w:sz w:val="20"/>
          <w:u w:val="single"/>
        </w:rPr>
        <w:t>No Liability</w:t>
      </w:r>
      <w:r>
        <w:rPr>
          <w:rFonts w:ascii="Times New Roman" w:hAnsi="Times New Roman"/>
          <w:sz w:val="20"/>
        </w:rPr>
        <w:t xml:space="preserve">. Neither Landlord nor its agents shall be liable for any injury or damage to persons or property or interruption of Tenants business rezoning from fire, explosion, falling piaster, steam, gas, electricity, water, rain or snow or leaks from any part of the Building or from the pipes, appliances or plumbing works or from the roof, street or subsurface or from any other place or by dampness or by any other cause of whatsoever nature; nor shall Landlord or its agents be liable for any such damage caused by other tenants or persons in the Building or caused by construction of any private, Public or quasi-public work; nor shall Landlord be liable for any latent defect in the Premises or in the Building (except that Landlord shall be required to repair the same to the extent provided in </w:t>
      </w:r>
      <w:r>
        <w:rPr>
          <w:rFonts w:ascii="Times New Roman" w:hAnsi="Times New Roman"/>
          <w:sz w:val="20"/>
          <w:u w:val="single"/>
        </w:rPr>
        <w:t>Article 6</w:t>
      </w:r>
      <w:r>
        <w:rPr>
          <w:rFonts w:ascii="Times New Roman" w:hAnsi="Times New Roman"/>
          <w:sz w:val="20"/>
        </w:rPr>
        <w:t xml:space="preserve">). Nothing in the foregoing shall affect any right of Landlord to the indemnity from Tenant to which Lanford may be entitled under </w:t>
      </w:r>
      <w:r>
        <w:rPr>
          <w:rFonts w:ascii="Times New Roman" w:hAnsi="Times New Roman"/>
          <w:sz w:val="20"/>
          <w:u w:val="single"/>
        </w:rPr>
        <w:t>Article 28</w:t>
      </w:r>
      <w:r>
        <w:rPr>
          <w:rFonts w:ascii="Times New Roman" w:hAnsi="Times New Roman"/>
          <w:sz w:val="20"/>
        </w:rPr>
        <w:t xml:space="preserve"> in order to recoup for payments made to compensate for losses of third Parties.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23 WAIVER OF TRIAL BY JURY </w:t>
      </w:r>
    </w:p>
    <w:p>
      <w:pPr>
        <w:pStyle w:val="TextBody"/>
        <w:bidi w:val="0"/>
        <w:spacing w:before="240" w:after="0"/>
        <w:jc w:val="left"/>
        <w:rPr>
          <w:rFonts w:ascii="Times New Roman" w:hAnsi="Times New Roman"/>
          <w:sz w:val="20"/>
        </w:rPr>
      </w:pPr>
      <w:r>
        <w:rPr>
          <w:rFonts w:ascii="Times New Roman" w:hAnsi="Times New Roman"/>
          <w:sz w:val="20"/>
        </w:rPr>
        <w:t xml:space="preserve">THE RESPECTIVE PARTIES HERETO SHALL AND THEY HEREBY DO WAIVE TRIAL BY JURY IN ANY ACTION, PROCEEDING OR COUNTERCLAIM BROUGHT BY ETHER OF THE PARTIES HERETO AGAINST THE OTHER (EXCEPT FOR PERSONAL INJURY OR PROPERTY DAMAGE) ON ANY MATTERS WHATSOEVER ARISING OUT OF OR IN ANY WAY CONNECTED WITH THIS LEASE, THE RELATIONSHIP OF LANDLORD AND TENANT, TENANTS USE OR OCCUPANCY OF THE PREMISES, OR FOR THE ENFORCEMENT Of ANY REMEDY UNDER ANY STATUTE EMERGENCY OR OTHERWISE if Landlord commences any summary proceeding against Tenant, Tenant will not interpose any counterclaim of whatever nature or description in any such proceeding (unless failure to impose such counterclaim would preclude Tenant from asserting in a separate action the claim which is the subject of such counterclaim), and will not seek to consolidate such proceeding with any of action which may have been or will be brought in any other court by Tenant.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24 INABILITY TO PERFORM </w:t>
      </w:r>
    </w:p>
    <w:p>
      <w:pPr>
        <w:pStyle w:val="TextBody"/>
        <w:bidi w:val="0"/>
        <w:spacing w:before="240" w:after="0"/>
        <w:jc w:val="left"/>
        <w:rPr>
          <w:rFonts w:ascii="Times New Roman" w:hAnsi="Times New Roman"/>
          <w:sz w:val="20"/>
        </w:rPr>
      </w:pPr>
      <w:r>
        <w:rPr>
          <w:rFonts w:ascii="Times New Roman" w:hAnsi="Times New Roman"/>
          <w:sz w:val="20"/>
        </w:rPr>
        <w:t>(a) This Lease and the obligation of Tenant to pay Fixed Rent and Additional Rent hereunder and perform all of the other covenants and agreements hereunder on the part of Tenant to be performed all not be affected, impaired or excused because Landlord is unable to fulfill any of its obligations under this Lease expressly or impliedly to be performed by Landlord or because Landlord is unable to make, or is delayed in making any repairs, additions, alterations, improvements or decorations or is unable to supply or is delayed in supplying any equipment or fixtures, if Landlord is prevented or delayed from so doing by reason of strikes or labor troubles or by accident, any act or omission of Tenant or any other Tenant Party (or any of their respective employees, contractors, agents, representatives, directors, officers, successors or assigns) or by any cause whatsoever reasonably beyond Landlords control, including acts of God, terrorism, natural disasters, laws, governmental preemption in connection with a national emergency or by reason of any Legal Requirements or by reason of the conditions of supply and demand which have been or are affected by war or other emergency (</w:t>
      </w:r>
      <w:r>
        <w:rPr>
          <w:rFonts w:ascii="Times New Roman" w:hAnsi="Times New Roman"/>
          <w:b/>
          <w:sz w:val="20"/>
        </w:rPr>
        <w:t>Unavoidable Delays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This Lease and the obligation of Tenant to perform all of its covenants, agreements and obligations hereunder (except for the obligation to pay Rent or any other amount due hereunder) will not be deemed delinquent or deemed to constitute an Event of Default hereunder because Tenant is unable to fulfill any such obligation, agreement or covenant (except for the obligation to pay Rent or any Other amount due hereunder), if Tenant is prevented or delayed from so doing by reason of the occurrence of an Unavoidable Delay.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25 BILLS AND NOTICES -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in this Lease, any bills, statements, consents, notices demands, requests or other communications given or required to be given under this Lease shall be in writing and shall be deemed sufficiently given or rendered if delivered by hand (against a signed receipt), sent by a nationally recognized overnight courier service, or sent by registered or certified mail (return receipt requested) and addressed: </w:t>
      </w:r>
    </w:p>
    <w:p>
      <w:pPr>
        <w:pStyle w:val="TextBody"/>
        <w:bidi w:val="0"/>
        <w:spacing w:before="120" w:after="0"/>
        <w:jc w:val="left"/>
        <w:rPr>
          <w:rFonts w:ascii="Times New Roman" w:hAnsi="Times New Roman"/>
          <w:sz w:val="20"/>
        </w:rPr>
      </w:pPr>
      <w:r>
        <w:rPr>
          <w:rFonts w:ascii="Times New Roman" w:hAnsi="Times New Roman"/>
          <w:sz w:val="20"/>
        </w:rPr>
        <w:t xml:space="preserve">if to Tenant, (a) at Tenants address at the Premises, or (b) at any place where Tenant or any agent or employee a Tenant may be found if malted subsequent to Tenants abandoning or surrendering the Premises; or </w:t>
      </w:r>
    </w:p>
    <w:p>
      <w:pPr>
        <w:pStyle w:val="TextBody"/>
        <w:bidi w:val="0"/>
        <w:spacing w:before="120" w:after="0"/>
        <w:jc w:val="left"/>
        <w:rPr>
          <w:rFonts w:ascii="Times New Roman" w:hAnsi="Times New Roman"/>
          <w:sz w:val="20"/>
        </w:rPr>
      </w:pPr>
      <w:r>
        <w:rPr>
          <w:rFonts w:ascii="Times New Roman" w:hAnsi="Times New Roman"/>
          <w:sz w:val="20"/>
        </w:rPr>
        <w:t xml:space="preserve">if to Landlord, as provided in </w:t>
      </w:r>
      <w:r>
        <w:rPr>
          <w:rFonts w:ascii="Times New Roman" w:hAnsi="Times New Roman"/>
          <w:sz w:val="20"/>
          <w:u w:val="single"/>
        </w:rPr>
        <w:t>Section 8.09</w:t>
      </w:r>
      <w:r>
        <w:rPr>
          <w:rFonts w:ascii="Times New Roman" w:hAnsi="Times New Roman"/>
          <w:sz w:val="20"/>
        </w:rPr>
        <w:t xml:space="preserve"> of </w:t>
      </w:r>
      <w:r>
        <w:rPr>
          <w:rFonts w:ascii="Times New Roman" w:hAnsi="Times New Roman"/>
          <w:sz w:val="20"/>
          <w:u w:val="single"/>
        </w:rPr>
        <w:t>Exhibit 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such bill, statement, consent, notice, demand, request or other communication given as provided in this </w:t>
      </w:r>
      <w:r>
        <w:rPr>
          <w:rFonts w:ascii="Times New Roman" w:hAnsi="Times New Roman"/>
          <w:sz w:val="20"/>
          <w:u w:val="single"/>
        </w:rPr>
        <w:t>Article 25</w:t>
      </w:r>
      <w:r>
        <w:rPr>
          <w:rFonts w:ascii="Times New Roman" w:hAnsi="Times New Roman"/>
          <w:sz w:val="20"/>
        </w:rPr>
        <w:t xml:space="preserve"> shall be deemed to have been rendered or given (i) on the date when it shall have been hand delivered, (ii) three (3) Business Days from the date when it shall have been mailed, or (iii) one (1) Business Day from the date when it shall have been sent by overnight courier service.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26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Landlord reserves the right, from time to time, to adopt additional reasonable, uniform and non-discriminatory Rules and Regulations and to amend the Rules and Regulations then in effect, provided the same do not materially reduce any of Tenants rights or materially increase Tenants obligations under this Lease. Tenant and all Tenant Parties shall comply with the Rules and Regulations, as so supplemented or amended. Nothing contained in this Lease shall be construed to impose upon Landlord any duty or obligation to enforce the Rules and Regulations or terms, covenants or conditions in any other lease against any other tenant, and Landlord shall not be liable to Tenant for violation of the same by any other tenant, its employees, agents, visitors or licensees. If there shall be any inconsistencies between this Lease and the Rules and Regulations, the provisions of this Lease shall prevail. </w:t>
      </w:r>
    </w:p>
    <w:p>
      <w:pPr>
        <w:pStyle w:val="TextBody"/>
        <w:bidi w:val="0"/>
        <w:spacing w:before="240" w:after="0"/>
        <w:jc w:val="left"/>
        <w:rPr>
          <w:rFonts w:ascii="Times New Roman" w:hAnsi="Times New Roman"/>
          <w:b/>
          <w:sz w:val="20"/>
        </w:rPr>
      </w:pPr>
      <w:r>
        <w:rPr>
          <w:rFonts w:ascii="Times New Roman" w:hAnsi="Times New Roman"/>
          <w:b/>
          <w:sz w:val="20"/>
        </w:rPr>
        <w:t xml:space="preserve">ARTICLE 27 BROKER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27.1</w:t>
      </w:r>
      <w:r>
        <w:rPr>
          <w:rFonts w:ascii="Times New Roman" w:hAnsi="Times New Roman"/>
          <w:sz w:val="20"/>
        </w:rPr>
        <w:t xml:space="preserve"> </w:t>
      </w:r>
      <w:r>
        <w:rPr>
          <w:rFonts w:ascii="Times New Roman" w:hAnsi="Times New Roman"/>
          <w:b/>
          <w:sz w:val="20"/>
          <w:u w:val="single"/>
        </w:rPr>
        <w:t>Broker Representations</w:t>
      </w:r>
      <w:r>
        <w:rPr>
          <w:rFonts w:ascii="Times New Roman" w:hAnsi="Times New Roman"/>
          <w:sz w:val="20"/>
        </w:rPr>
        <w:t xml:space="preserve">. Each of Landlord and Tenant represents and warrants to the other that it has not dealt with any broker in connection with this Lease other than Broker and that to the beat of its knowledge and belief, no other broker, finder or similar Person procured or negotiated this Lease or is entitled to any fee or commission in connection herewith.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27.2</w:t>
      </w:r>
      <w:r>
        <w:rPr>
          <w:rFonts w:ascii="Times New Roman" w:hAnsi="Times New Roman"/>
          <w:sz w:val="20"/>
        </w:rPr>
        <w:t xml:space="preserve"> </w:t>
      </w:r>
      <w:r>
        <w:rPr>
          <w:rFonts w:ascii="Times New Roman" w:hAnsi="Times New Roman"/>
          <w:b/>
          <w:sz w:val="20"/>
          <w:u w:val="single"/>
        </w:rPr>
        <w:t>Indemnity</w:t>
      </w:r>
      <w:r>
        <w:rPr>
          <w:rFonts w:ascii="Times New Roman" w:hAnsi="Times New Roman"/>
          <w:sz w:val="20"/>
        </w:rPr>
        <w:t xml:space="preserve">. Each of Landlord and Tenant shall indemnify, defend, protect and hold the other party harmless from and against any and all losses, liabilities, damages, claims, judgments, fines, suits, demands, costs, interest and expenses of any kind or nature (including reasonable attorneys fees and disbursements) which the indemnified party may incur by reason of any claim of or liability to any broker, finder at like agent (other than Broker) arising act of any dealings claimed to have occurred between the indemnifying party and the claimant in connection with this Lease, or the above representation being false. The previsions of this </w:t>
      </w:r>
      <w:r>
        <w:rPr>
          <w:rFonts w:ascii="Times New Roman" w:hAnsi="Times New Roman"/>
          <w:sz w:val="20"/>
          <w:u w:val="single"/>
        </w:rPr>
        <w:t>Article 27</w:t>
      </w:r>
      <w:r>
        <w:rPr>
          <w:rFonts w:ascii="Times New Roman" w:hAnsi="Times New Roman"/>
          <w:sz w:val="20"/>
        </w:rPr>
        <w:t xml:space="preserve"> shall survive the expiration or earlier termination of the Term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ARTICLE 28 INDEMNITY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28.1</w:t>
      </w:r>
      <w:r>
        <w:rPr>
          <w:rFonts w:ascii="Times New Roman" w:hAnsi="Times New Roman"/>
          <w:sz w:val="20"/>
        </w:rPr>
        <w:t xml:space="preserve"> </w:t>
      </w:r>
      <w:r>
        <w:rPr>
          <w:rFonts w:ascii="Times New Roman" w:hAnsi="Times New Roman"/>
          <w:b/>
          <w:sz w:val="20"/>
          <w:u w:val="single"/>
        </w:rPr>
        <w:t>Tenants indemnity</w:t>
      </w:r>
      <w:r>
        <w:rPr>
          <w:rFonts w:ascii="Times New Roman" w:hAnsi="Times New Roman"/>
          <w:sz w:val="20"/>
        </w:rPr>
        <w:t xml:space="preserve">. Tenant shire not do or permit any act or thing to be done upon the Premises which may subject Landlord and any partner, shareholder, director, officer, principal, employee or agent, directly and indirectly, of Landlord, to any liability or responsibility for injury, damages to persons or property or to any liability by reason of any violation of law or of any Legal Requirement, but shall exercise such control over the Premises as to fully protect Landlord against any such liability. Subject to the terms of </w:t>
      </w:r>
      <w:r>
        <w:rPr>
          <w:rFonts w:ascii="Times New Roman" w:hAnsi="Times New Roman"/>
          <w:sz w:val="20"/>
          <w:u w:val="single"/>
        </w:rPr>
        <w:t>Section 11.2</w:t>
      </w:r>
      <w:r>
        <w:rPr>
          <w:rFonts w:ascii="Times New Roman" w:hAnsi="Times New Roman"/>
          <w:sz w:val="20"/>
        </w:rPr>
        <w:t xml:space="preserve"> hereof, Tenant shall defend, indemnify and save harmless Landlord and any partner, shareholder, director, officer, principal, employee or agent, directly and indirectly, of Landlord (individually, each a </w:t>
      </w:r>
      <w:r>
        <w:rPr>
          <w:rFonts w:ascii="Times New Roman" w:hAnsi="Times New Roman"/>
          <w:b/>
          <w:sz w:val="20"/>
        </w:rPr>
        <w:t>Landlord Party</w:t>
      </w:r>
      <w:r>
        <w:rPr>
          <w:rFonts w:ascii="Times New Roman" w:hAnsi="Times New Roman"/>
          <w:sz w:val="20"/>
        </w:rPr>
        <w:t> and collectively, </w:t>
      </w:r>
      <w:r>
        <w:rPr>
          <w:rFonts w:ascii="Times New Roman" w:hAnsi="Times New Roman"/>
          <w:b/>
          <w:sz w:val="20"/>
        </w:rPr>
        <w:t>Landlord Parties</w:t>
      </w:r>
      <w:r>
        <w:rPr>
          <w:rFonts w:ascii="Times New Roman" w:hAnsi="Times New Roman"/>
          <w:sz w:val="20"/>
        </w:rPr>
        <w:t xml:space="preserve">), from and against (a) a claims of whatever nature against Landlord and any other Landlord Party arising from any act, omission or negligence of Tenant or any Tenant Party, (b) all claims against Landlord and any other Landlord Party arising from any accident, injury or damage whatsoever caused to any parson or to the Property of any person and occurring during the Term in or about the Premises. (a) all claims against Landlord and any other Landlord Party arising from any accident, injury or damage occurring outside of the Premises but anywhere within or about the Real Property where such accident, injury or damage results or is claimed to have resulted from an act, omission or negligence of Tenant or any Tenant Party and (d) any breach, violation or non-performance of any covenant, condition or agreement in this Lease set forth and contained on the part of Tenant to be fulfilled, kept, observed and performed. Nothing contained herein shall require Tenant to indemnity, defend or save harmless Landlord Parties from and against any claim to is extent the same results from or arises out of the negligence or intentional misconduct of Landlord or any Landlord Party. This indemnity and hold harmless agreement shall include indemnity tom and against any and all liability, fines, suits, demands, costs and expenses of any kind or nature (Including reasonable attorneys fees and disbursements) incurred in or in connection with any such claim or proceeding brought thereon, and the defense thereof.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28.2</w:t>
      </w:r>
      <w:r>
        <w:rPr>
          <w:rFonts w:ascii="Times New Roman" w:hAnsi="Times New Roman"/>
          <w:sz w:val="20"/>
        </w:rPr>
        <w:t xml:space="preserve"> </w:t>
      </w:r>
      <w:r>
        <w:rPr>
          <w:rFonts w:ascii="Times New Roman" w:hAnsi="Times New Roman"/>
          <w:b/>
          <w:sz w:val="20"/>
          <w:u w:val="single"/>
        </w:rPr>
        <w:t>Hazardous Materials</w:t>
      </w:r>
      <w:r>
        <w:rPr>
          <w:rFonts w:ascii="Times New Roman" w:hAnsi="Times New Roman"/>
          <w:sz w:val="20"/>
        </w:rPr>
        <w:t xml:space="preserve">. Tenant egress to defend, indemnify and hold harmless Landlord and any partner, shareholder, director, officer, principal, employee or agent directly and indirectly, of Landlord, from and against all obligations (including removed and remedial actions), losses, claims, suits, judgments, abilities, penalties, damages (including consequential and punitive damages), costs and expenses (including attorneys and consultants fees and expenses) of any kind or nature whatsoever that may at any time be incurred by, imposed on or asserted against Landlord or any such party directly or indirectly based on, or arising or resulting from (a) the actual or alleged presence of Hazardous Materials on the Premises or in the Building which is caused or permitted by Tenant and (b) any Environmental Claim relating in any way to Tenants operation or use of the Premises or the Building.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Article 28</w:t>
      </w:r>
      <w:r>
        <w:rPr>
          <w:rFonts w:ascii="Times New Roman" w:hAnsi="Times New Roman"/>
          <w:sz w:val="20"/>
        </w:rPr>
        <w:t xml:space="preserve"> shall survive the expiration or sooner termination of this Lease. </w:t>
      </w:r>
    </w:p>
    <w:p>
      <w:pPr>
        <w:pStyle w:val="TextBody"/>
        <w:bidi w:val="0"/>
        <w:spacing w:before="240" w:after="0"/>
        <w:jc w:val="left"/>
        <w:rPr>
          <w:rFonts w:ascii="Times New Roman" w:hAnsi="Times New Roman"/>
          <w:sz w:val="20"/>
        </w:rPr>
      </w:pPr>
      <w:r>
        <w:rPr>
          <w:rFonts w:ascii="Times New Roman" w:hAnsi="Times New Roman"/>
          <w:b/>
          <w:sz w:val="20"/>
        </w:rPr>
        <w:t>ARTICLE 29 BUILDING IMPROVEMENTS, SCAFFOLDING AND DELIVERIES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29.1</w:t>
      </w:r>
      <w:r>
        <w:rPr>
          <w:rFonts w:ascii="Times New Roman" w:hAnsi="Times New Roman"/>
          <w:sz w:val="20"/>
        </w:rPr>
        <w:t xml:space="preserve"> </w:t>
      </w:r>
      <w:r>
        <w:rPr>
          <w:rFonts w:ascii="Times New Roman" w:hAnsi="Times New Roman"/>
          <w:b/>
          <w:sz w:val="20"/>
          <w:u w:val="single"/>
        </w:rPr>
        <w:t>Building Improvements</w:t>
      </w:r>
      <w:r>
        <w:rPr>
          <w:rFonts w:ascii="Times New Roman" w:hAnsi="Times New Roman"/>
          <w:sz w:val="20"/>
        </w:rPr>
        <w:t>. From time to time during the Term of this Lease, including renewals and extensions, Landlord may alter the Building by (a) installation of additional elevator(s) and/or risers in the Building, together with such space as may be required for lobbies and other common areas, (b) modification or improvement of the Building Systems, (a) construction of public corridors to create access to rentable space now existing or to be constructed in the future on the floor on which the Premises are located, and/or (d) performing any other construction, demolition, repair, maintenance and/or decorative work to the Building (interior or exterior) and/or Real Property which Landlord deems necessary or desirable, in Landlords sole and absolute discretion (any or all of the foregoing work, </w:t>
      </w:r>
      <w:r>
        <w:rPr>
          <w:rFonts w:ascii="Times New Roman" w:hAnsi="Times New Roman"/>
          <w:b/>
          <w:sz w:val="20"/>
        </w:rPr>
        <w:t>Building Improvements)</w:t>
      </w:r>
      <w:r>
        <w:rPr>
          <w:rFonts w:ascii="Times New Roman" w:hAnsi="Times New Roman"/>
          <w:sz w:val="20"/>
        </w:rPr>
        <w:t xml:space="preserve">. With respect to such Building Improvements. Landlord shall have no right to materially and adversely permanently impact any significant portion of the Premises. Tenant shall provide Landlord with access to the Premises to perform the work to install and maintain the Building Improvements, including the right to take all necessary materials and equipment into the Promises, without the same constituting an eviction and, exempt as provided in </w:t>
      </w:r>
      <w:r>
        <w:rPr>
          <w:rFonts w:ascii="Times New Roman" w:hAnsi="Times New Roman"/>
          <w:sz w:val="20"/>
          <w:u w:val="single"/>
        </w:rPr>
        <w:t>Section 10.8(b)</w:t>
      </w:r>
      <w:r>
        <w:rPr>
          <w:rFonts w:ascii="Times New Roman" w:hAnsi="Times New Roman"/>
          <w:sz w:val="20"/>
        </w:rPr>
        <w:t xml:space="preserve"> hereof. Tenant shall not be entitled to any abatement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rent by reason of any such may, or any damages by reason of loss or interruption of business or otherwise. Landlord shall use commercially reasonable efforts to minimize interference with Tenants access to and use and occupancy of the Premises in making any Building Improvements. Notwithstanding anything to the contrary contained in this Lease. Tenant hereby acknowledges that during any period that Landlord is performing (or causing or permitting to be performed) any Building Improvements, Landlord and Landlords agents, contractors and representatives (including, without limitation, any other tenants of the Building or their contractors or representatives) may perform significant consultation and demolition work to the Building and/or Real Property, and that such construction and demolition work may result in interference (including, without limitation, interference caused by entry in the Premises by Landlord and other tenants of the Building (and their contractors, employees, agents and representatives) for purposes of performing construction and/or demolition work, and interference caused by the presence of noise, vibrations, dust and other emissions in or about the Premises) with Tenants or any Tenant Partys use, enjoyment and occupancy of the Premises. Except as provided in </w:t>
      </w:r>
      <w:r>
        <w:rPr>
          <w:rFonts w:ascii="Times New Roman" w:hAnsi="Times New Roman"/>
          <w:sz w:val="20"/>
          <w:u w:val="single"/>
        </w:rPr>
        <w:t>Section 10.6(b)</w:t>
      </w:r>
      <w:r>
        <w:rPr>
          <w:rFonts w:ascii="Times New Roman" w:hAnsi="Times New Roman"/>
          <w:sz w:val="20"/>
        </w:rPr>
        <w:t xml:space="preserve"> hereof,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any such interference, or otherwise by reason of the performance of such Building Improvements. Except as otherwise provided herein (or as otherwise provided in </w:t>
      </w:r>
      <w:r>
        <w:rPr>
          <w:rFonts w:ascii="Times New Roman" w:hAnsi="Times New Roman"/>
          <w:sz w:val="20"/>
          <w:u w:val="single"/>
        </w:rPr>
        <w:t>Section 10.6(b)</w:t>
      </w:r>
      <w:r>
        <w:rPr>
          <w:rFonts w:ascii="Times New Roman" w:hAnsi="Times New Roman"/>
          <w:sz w:val="20"/>
        </w:rPr>
        <w:t xml:space="preserve"> to the contrary, and provided landlord uses commercially reasonable efforts to avoid disturbance of Tenants use and occupancy of the Premises, Tenant, for itself and for all Tenant Parties, and their respective employees, agents and contractors, to the fullest extent permitted under applicable law, hereby fully and forever waives any and all claims, demands and causes of action against Landlord, and fully and forever releases Landlord for any loss, cost damage, liability or expense (including injury to persons or property) suffered or incurred by Tenant, any Tenant Party, or any of their respective employees, agents, or contractors, in connection with or resulting from the performance of such Building Improvements. Commercially reasonable efforts shall not include the use of overtime or weekend labor. Promptly following the completion of any Building Improvements, Landlord shall make such repairs to and restoration of the Premises as may be reasonably required as a direct result thereof.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29.2</w:t>
      </w:r>
      <w:r>
        <w:rPr>
          <w:rFonts w:ascii="Times New Roman" w:hAnsi="Times New Roman"/>
          <w:sz w:val="20"/>
        </w:rPr>
        <w:t xml:space="preserve"> </w:t>
      </w:r>
      <w:r>
        <w:rPr>
          <w:rFonts w:ascii="Times New Roman" w:hAnsi="Times New Roman"/>
          <w:b/>
          <w:sz w:val="20"/>
          <w:u w:val="single"/>
        </w:rPr>
        <w:t>Scaffolding</w:t>
      </w:r>
      <w:r>
        <w:rPr>
          <w:rFonts w:ascii="Times New Roman" w:hAnsi="Times New Roman"/>
          <w:sz w:val="20"/>
        </w:rPr>
        <w:t xml:space="preserve">. In addition to Landlords rights under </w:t>
      </w:r>
      <w:r>
        <w:rPr>
          <w:rFonts w:ascii="Times New Roman" w:hAnsi="Times New Roman"/>
          <w:sz w:val="20"/>
          <w:u w:val="single"/>
        </w:rPr>
        <w:t>Section 29.1</w:t>
      </w:r>
      <w:r>
        <w:rPr>
          <w:rFonts w:ascii="Times New Roman" w:hAnsi="Times New Roman"/>
          <w:sz w:val="20"/>
        </w:rPr>
        <w:t xml:space="preserve"> hereof; in the event Landlord shall desire (or becomes obligated) to modify portions of the Building or to alter or renovate the same or clean, repair or waterproof the Buildings facade (whether at Landlords option or to comply with Legal Requirements), Landlord may erect scaffolding, bridges and other temporary structures to accomplish the same, notwithstanding that such structures may obscure signs or windows forming a part of the Premises, and notwithstanding that access to portions of the Premises may be temporarily diverted or partially obstructed, provided, however, that landlord agrees to use reasonable efforts to (i) minimize impairment of access to the Premises, and (ii) not unreasonably interfere with the operation of Tenants business from the Premises. Provided Landlord uses reasonable efforts (exclusive of overtime and weekend labor) to not unreasonably interfere with the operation of Tenants business from the Premises, Lansford shall not be liable to Tenant or any party claiming through Tenant for loss of business or other consequential damages arising out of any change in the Building or temporary diversion or partial obstruction resulting from such alteration, renovation, repair or cleaning, out of the foregoing structures, or out of any noise, dust and debris from the performance of work in connection therewith, nor out of the disruption of Tenants business or access to the Premises necessary to perform such repairs, nor shall any matter arising out of any of the foregoing be deemed a breach of Landlords covenant of quiet enjoyment or entitle Tenant to any abatement of Rent.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29.3</w:t>
      </w:r>
      <w:r>
        <w:rPr>
          <w:rFonts w:ascii="Times New Roman" w:hAnsi="Times New Roman"/>
          <w:sz w:val="20"/>
        </w:rPr>
        <w:t xml:space="preserve"> </w:t>
      </w:r>
      <w:r>
        <w:rPr>
          <w:rFonts w:ascii="Times New Roman" w:hAnsi="Times New Roman"/>
          <w:b/>
          <w:sz w:val="20"/>
          <w:u w:val="single"/>
        </w:rPr>
        <w:t>Exclusion of Persons from Premises and Delivery Systems</w:t>
      </w:r>
      <w:r>
        <w:rPr>
          <w:rFonts w:ascii="Times New Roman" w:hAnsi="Times New Roman"/>
          <w:sz w:val="20"/>
        </w:rPr>
        <w:t xml:space="preserve">. Landlord reserves the right to install or maintain any security system(s) or procedure(s) that Landlord deems necessary in the Building and exclude from all portions of the Building at any time or times during the term hereof, all messengers, couriers and delivery people other than those who are employees of Tenant in such event Landlord shall accept on behalf of Tenant as deliveries of mails air cattle packages. worm packages and other packages sent by similar means (including any hand deliveries of such mail and packages), shall permit messengers arid couriers to pick up mail or packages left by Tenant and shall provide an area to be used for such purposes to which Tenants employees shall deliver mail and packages to be picked up by others and from which such employees shall pick up and distribute mail and packages to be delivered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Tenant, provided, however, that Landlord may elect to provide such distribution to Tenant at Tenants expense. Tenant shall comply with Landlords rules relating to such area and services. Neither Landlord nor Landlords agents or security personnel shall be liable to Tenant or Tenants agents, employees, contractors, customers, clients, invitees or licensees or to any other person for, and Tenant hereby indemnifies Landlord and Landlords agents and security personnel against, liability in connection with or arising out of damage to mail or packages, or the performance or non-performance by Landlord or any person acting by, through or under the direction of Landlord of the services set forth in this </w:t>
      </w:r>
      <w:r>
        <w:rPr>
          <w:rFonts w:ascii="Times New Roman" w:hAnsi="Times New Roman"/>
          <w:sz w:val="20"/>
          <w:u w:val="single"/>
        </w:rPr>
        <w:t>Section 29.3</w:t>
      </w:r>
      <w:r>
        <w:rPr>
          <w:rFonts w:ascii="Times New Roman" w:hAnsi="Times New Roman"/>
          <w:sz w:val="20"/>
        </w:rPr>
        <w:t xml:space="preserve"> (including any liability in respect of the property of such persons), unless due to the gross negligence or willful misconduct of Landlord or Landlords agents or security personnel. No representation, guaranty or warranty is made or assurance given that the communications or security systems, devices or procedures of the Building will be affective to prevent injury to Tenant or any other person or damage to, or loss (by theft or otherwise) of, any property of Tenant or of any other person, and Landlord reserves the right to discontinue or modify at any time such communications or security systems or procedure without liability to Tenant. </w:t>
      </w:r>
    </w:p>
    <w:p>
      <w:pPr>
        <w:pStyle w:val="TextBody"/>
        <w:bidi w:val="0"/>
        <w:spacing w:before="240" w:after="0"/>
        <w:jc w:val="left"/>
        <w:rPr>
          <w:rFonts w:ascii="Times New Roman" w:hAnsi="Times New Roman"/>
          <w:sz w:val="20"/>
        </w:rPr>
      </w:pPr>
      <w:r>
        <w:rPr>
          <w:rFonts w:ascii="Times New Roman" w:hAnsi="Times New Roman"/>
          <w:b/>
          <w:sz w:val="20"/>
        </w:rPr>
        <w:t>ARTICLE 30 INTENTIONALLY OMITTED</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ARTICLE 31 MISCELLANEOUS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31.1</w:t>
      </w:r>
      <w:r>
        <w:rPr>
          <w:rFonts w:ascii="Times New Roman" w:hAnsi="Times New Roman"/>
          <w:sz w:val="20"/>
        </w:rPr>
        <w:t xml:space="preserve"> </w:t>
      </w:r>
      <w:r>
        <w:rPr>
          <w:rFonts w:ascii="Times New Roman" w:hAnsi="Times New Roman"/>
          <w:b/>
          <w:sz w:val="20"/>
          <w:u w:val="single"/>
        </w:rPr>
        <w:t>Limitation on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Prior To and After Transfer</w:t>
      </w:r>
      <w:r>
        <w:rPr>
          <w:rFonts w:ascii="Times New Roman" w:hAnsi="Times New Roman"/>
          <w:sz w:val="20"/>
        </w:rPr>
        <w:t xml:space="preserve">. The obligations of Landlord under this Lease shall not be binding upon Landlord named herein after the sale, conveyance, assignment or transfer by such Landlord (or upon any subsequent landlord after the sale, conveyance, assignment or banger by such subsequent landlord) of its interest in the Building or the Real Property, as the case may be, and in the event of any such sale, conveyance, assignment or transfer, Landlord shall be and hereby is entirely freed and relieved of at covenants and obligations of Landlord hereunder; provided that the transferee of Landlords interest in the Building or the Real Property, as the case may be, shall be deemed to have assumed all obligations under this Lease, provided further, that Landlord (or any subsequent Landlord) shall not be freed or relieved from any obligations or covenants under this Lease accruing before any sale, conveyance, assignment or transfer.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Landlords Consent</w:t>
      </w:r>
      <w:r>
        <w:rPr>
          <w:rFonts w:ascii="Times New Roman" w:hAnsi="Times New Roman"/>
          <w:sz w:val="20"/>
        </w:rPr>
        <w:t xml:space="preserve">. Except in the event a court of law has determined that Landlord has acted maliciously or in bad faith, if Tenant shall request Landlords consent or approval pursuant to any of the provisions of this Lease or otherwise, and Landlord shall fail or refuse to give, or shall delay in giving such consent or approval, including, but not limited to, </w:t>
      </w:r>
      <w:r>
        <w:rPr>
          <w:rFonts w:ascii="Times New Roman" w:hAnsi="Times New Roman"/>
          <w:sz w:val="20"/>
          <w:u w:val="single"/>
        </w:rPr>
        <w:t>Article 14</w:t>
      </w:r>
      <w:r>
        <w:rPr>
          <w:rFonts w:ascii="Times New Roman" w:hAnsi="Times New Roman"/>
          <w:sz w:val="20"/>
        </w:rPr>
        <w:t xml:space="preserve"> hereof, Tenant shall in no event make, or be entitled to make, any claim for damages against Landlord or any Landlord Party (nor shall Tenant assert, or be entitled to assert, any such claim by way of defense, set-off, or counterclaim) based upon any claim or assertion by Tenant that Landlord unreasonably withheld or delayed its consent or approval, and Tenant hereby waives any and all rights that it may have from whatever source derived, to make or assert any such claim. Except as provided in the preceding sentence, Tenants sole remedy for any such failure, refusal, or delay shall be an action for a declaratory judgment, specific performance, or injunction, and such remedies shall be available only in those instances where Landlord has expressly agreed in writing not to unseasonably withhold or delay its consent or approval or where, as a matter of law, Landlord may not unreasonably withhold or delay the same.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31.2</w:t>
      </w:r>
      <w:r>
        <w:rPr>
          <w:rFonts w:ascii="Times New Roman" w:hAnsi="Times New Roman"/>
          <w:sz w:val="20"/>
        </w:rPr>
        <w:t xml:space="preserve"> </w:t>
      </w:r>
      <w:r>
        <w:rPr>
          <w:rFonts w:ascii="Times New Roman" w:hAnsi="Times New Roman"/>
          <w:b/>
          <w:sz w:val="20"/>
          <w:u w:val="single"/>
        </w:rPr>
        <w:t>Intentionally Omitted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31.3</w:t>
      </w:r>
      <w:r>
        <w:rPr>
          <w:rFonts w:ascii="Times New Roman" w:hAnsi="Times New Roman"/>
          <w:sz w:val="20"/>
        </w:rPr>
        <w:t xml:space="preserve"> </w:t>
      </w:r>
      <w:r>
        <w:rPr>
          <w:rFonts w:ascii="Times New Roman" w:hAnsi="Times New Roman"/>
          <w:b/>
          <w:sz w:val="20"/>
          <w:u w:val="single"/>
        </w:rPr>
        <w:t>Certain Interpretational Rules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of the Exhibits attached to this Lease are incorporated in and made a part of this Lease, but, in the event of any inconsistency between the terms and provisions of this Lease and the terms and provisions of the Exhibits hereto, the terms and provisions of this Lease shall control. This Lease may not be changed, modified, terminated or discharged, in whole or in part, except by a writing. executed by the party against whom enforcement of the change, modification, termination or discharge is to be sought Wherever appropriate in this Lease, personal pronouns shall be deemed to include the other genders and the singular to include the plural. The word or is not exclusive and the word including is not limiting. References to a law include any rule or regulation issued under the law and any amendment to the law, rule or regulation. Wherever a period of time is stated in this Lease as commencing or ending on any particular date, such period of time shall be deemed inclusive of such stated commencement and ending dates. The captions hereof are inserted only an matter of convenience and for reference and in no way define, limit or describe the scope of this Lease nor the intent any provision thereof. All Article and Section references set forth herein shall, unless the context otherwise specifically requires, be deemed references to the Articles and Sections of this Lease. Whenever the words include, includes, or including are used in this Lease, they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Governing Law</w:t>
      </w:r>
      <w:r>
        <w:rPr>
          <w:rFonts w:ascii="Times New Roman" w:hAnsi="Times New Roman"/>
          <w:sz w:val="20"/>
        </w:rPr>
        <w:t xml:space="preserve">. This Lease shall be governed in all respects by the laws of the State of Illinois applicable to agreements executed in and to be performed wholly vain the State with venue in Cook County.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Unenforceability</w:t>
      </w:r>
      <w:r>
        <w:rPr>
          <w:rFonts w:ascii="Times New Roman" w:hAnsi="Times New Roman"/>
          <w:sz w:val="20"/>
        </w:rPr>
        <w:t xml:space="preserve">. If any term, covenant, condition or provision of this Lease, or the application thereof to any person or circumstance, shall ever be held to be invalid or unenforceable, then in each such event the remainder of this Lease or the application of such term, covenant condition or provision to any other person or any other circumstance (other than those as to which it shall be invalid or unenforceable) shall not be thereby affected, and each term covenant condition and provision hereof shall remain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Parties Bound</w:t>
      </w:r>
      <w:r>
        <w:rPr>
          <w:rFonts w:ascii="Times New Roman" w:hAnsi="Times New Roman"/>
          <w:sz w:val="20"/>
        </w:rPr>
        <w:t xml:space="preserve">. The covenants, conditions and agreements contained in this Lease shall bind and inure to the benefit a Landlord and Tenant and their respective legal representations, successors, and, except as otherwise provided in this Lease, their assigns. Each party represents that it is authorized to execute this Lease and, upon such execution, the obligations in the Lease shall be binding upon such party. Each party signing this Lease shall have joint and several liability.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31.4</w:t>
      </w:r>
      <w:r>
        <w:rPr>
          <w:rFonts w:ascii="Times New Roman" w:hAnsi="Times New Roman"/>
          <w:sz w:val="20"/>
        </w:rPr>
        <w:t xml:space="preserve"> </w:t>
      </w:r>
      <w:r>
        <w:rPr>
          <w:rFonts w:ascii="Times New Roman" w:hAnsi="Times New Roman"/>
          <w:b/>
          <w:sz w:val="20"/>
          <w:u w:val="single"/>
        </w:rPr>
        <w:t>Jurisdiction</w:t>
      </w:r>
      <w:r>
        <w:rPr>
          <w:rFonts w:ascii="Times New Roman" w:hAnsi="Times New Roman"/>
          <w:sz w:val="20"/>
        </w:rPr>
        <w:t xml:space="preserve">. Except as expressly provided to the contrary in this Lease, Tenant agrees that all disputes arising, directly, or indirectly, out of or relating to this Lease, and all actions to enforce this Lease, shall be dealt with and adjudicated in the state courts of Illinois or the Federal courts sitting in Chicago, Illinois; and for that purpose hereby expressly and irrevocably submits itself to the jurisdiction of such courts. Tenant hereby irrevocably appoints the Secretary of the State of Illinois as its authorized agent upon which process may be served in any such action or proceeding. </w:t>
      </w:r>
    </w:p>
    <w:p>
      <w:pPr>
        <w:pStyle w:val="TextBody"/>
        <w:bidi w:val="0"/>
        <w:spacing w:before="240" w:after="0"/>
        <w:jc w:val="left"/>
        <w:rPr>
          <w:rFonts w:ascii="Times New Roman" w:hAnsi="Times New Roman"/>
          <w:sz w:val="20"/>
        </w:rPr>
      </w:pP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31.5</w:t>
      </w:r>
      <w:r>
        <w:rPr>
          <w:rFonts w:ascii="Times New Roman" w:hAnsi="Times New Roman"/>
          <w:sz w:val="20"/>
        </w:rPr>
        <w:t xml:space="preserve"> </w:t>
      </w:r>
      <w:r>
        <w:rPr>
          <w:rFonts w:ascii="Times New Roman" w:hAnsi="Times New Roman"/>
          <w:b/>
          <w:sz w:val="20"/>
          <w:u w:val="single"/>
        </w:rPr>
        <w:t>Waiver of Immunity</w:t>
      </w:r>
      <w:r>
        <w:rPr>
          <w:rFonts w:ascii="Times New Roman" w:hAnsi="Times New Roman"/>
          <w:sz w:val="20"/>
        </w:rPr>
        <w:t xml:space="preserve">. Tenant hereby irrevocably waives, with respect to itself and its Property, any diplomatic or sovereign immunity of any kind or nature, and any immunity from the jurisdiction of any court or from any legal process, to which Tenant may be entitled, and agrees not to assert any claims of any such immunities in any action brought by Landlord under or in connection with this Lease. Tenant acknowledges that the making of such waivers, and Landlords reliance on the enforceability thereof, is a material inducement to Landlord to enter into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Landlord and Tenant have respectively executed this Lease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6"/>
        <w:gridCol w:w="60"/>
        <w:gridCol w:w="3386"/>
      </w:tblGrid>
      <w:tr>
        <w:trPr/>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EQC 600 WEST CHICAGO PROPERTY LLC,</w:t>
            </w:r>
          </w:p>
          <w:p>
            <w:pPr>
              <w:pStyle w:val="TableContents"/>
              <w:bidi w:val="0"/>
              <w:spacing w:before="0" w:after="20"/>
              <w:jc w:val="left"/>
              <w:rPr>
                <w:rFonts w:ascii="Times New Roman" w:hAnsi="Times New Roman"/>
                <w:sz w:val="20"/>
              </w:rPr>
            </w:pPr>
            <w:r>
              <w:rPr>
                <w:rFonts w:ascii="Times New Roman" w:hAnsi="Times New Roman"/>
                <w:sz w:val="20"/>
              </w:rPr>
              <w:t>a Delaware limited liability company</w:t>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r>
      <w:tr>
        <w:trPr/>
        <w:tc>
          <w:tcPr>
            <w:tcW w:w="63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6" w:type="dxa"/>
            <w:tcBorders>
              <w:bottom w:val="single" w:sz="2" w:space="0" w:color="000000"/>
            </w:tcBorders>
            <w:tcMar>
              <w:bottom w:w="28" w:type="dxa"/>
            </w:tcMar>
          </w:tcPr>
          <w:p>
            <w:pPr>
              <w:pStyle w:val="TableContents"/>
              <w:bidi w:val="0"/>
              <w:spacing w:before="0" w:after="283"/>
              <w:jc w:val="left"/>
              <w:rPr/>
            </w:pPr>
            <w:r>
              <w:rPr/>
              <w:t>/s/ Danielle Wagner</w:t>
            </w:r>
          </w:p>
        </w:tc>
      </w:tr>
      <w:tr>
        <w:trPr/>
        <w:tc>
          <w:tcPr>
            <w:tcW w:w="63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Danielle Wagner</w:t>
            </w:r>
          </w:p>
        </w:tc>
      </w:tr>
      <w:tr>
        <w:trPr/>
        <w:tc>
          <w:tcPr>
            <w:tcW w:w="63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6" w:type="dxa"/>
            <w:tcBorders/>
            <w:vAlign w:val="bottom"/>
          </w:tcPr>
          <w:p>
            <w:pPr>
              <w:pStyle w:val="TableContents"/>
              <w:bidi w:val="0"/>
              <w:spacing w:before="0" w:after="283"/>
              <w:jc w:val="left"/>
              <w:rPr/>
            </w:pPr>
            <w:r>
              <w:rPr/>
              <w:t>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2"/>
        <w:gridCol w:w="60"/>
        <w:gridCol w:w="3390"/>
      </w:tblGrid>
      <w:tr>
        <w:trPr/>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TEMPUS LABS, INC.,</w:t>
            </w:r>
          </w:p>
          <w:p>
            <w:pPr>
              <w:pStyle w:val="TableContents"/>
              <w:bidi w:val="0"/>
              <w:spacing w:before="0" w:after="20"/>
              <w:jc w:val="left"/>
              <w:rPr>
                <w:rFonts w:ascii="Times New Roman" w:hAnsi="Times New Roman"/>
                <w:sz w:val="20"/>
              </w:rPr>
            </w:pPr>
            <w:r>
              <w:rPr>
                <w:rFonts w:ascii="Times New Roman" w:hAnsi="Times New Roman"/>
                <w:sz w:val="20"/>
              </w:rPr>
              <w:t xml:space="preserve">a Delaware corporation </w:t>
            </w:r>
          </w:p>
        </w:tc>
      </w:tr>
      <w:tr>
        <w:trPr>
          <w:trHeight w:val="24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0" w:type="dxa"/>
            <w:tcBorders>
              <w:bottom w:val="single" w:sz="2" w:space="0" w:color="000000"/>
            </w:tcBorders>
            <w:tcMar>
              <w:bottom w:w="28" w:type="dxa"/>
            </w:tcMar>
          </w:tcPr>
          <w:p>
            <w:pPr>
              <w:pStyle w:val="TableContents"/>
              <w:bidi w:val="0"/>
              <w:spacing w:before="0" w:after="283"/>
              <w:jc w:val="left"/>
              <w:rPr/>
            </w:pPr>
            <w:r>
              <w:rPr/>
              <w:t>/s/ Eric Lefkofsky</w:t>
            </w:r>
          </w:p>
        </w:tc>
      </w:tr>
      <w:tr>
        <w:trPr/>
        <w:tc>
          <w:tcPr>
            <w:tcW w:w="63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90" w:type="dxa"/>
            <w:tcBorders/>
            <w:vAlign w:val="bottom"/>
          </w:tcPr>
          <w:p>
            <w:pPr>
              <w:pStyle w:val="TableContents"/>
              <w:bidi w:val="0"/>
              <w:spacing w:before="0" w:after="283"/>
              <w:jc w:val="left"/>
              <w:rPr/>
            </w:pPr>
            <w:r>
              <w:rPr/>
              <w:t>Eric Lefkofsky</w:t>
            </w:r>
          </w:p>
        </w:tc>
      </w:tr>
      <w:tr>
        <w:trPr/>
        <w:tc>
          <w:tcPr>
            <w:tcW w:w="63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90"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CEO</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FLOOR PLAN OF THE PREMISES </w:t>
      </w:r>
    </w:p>
    <w:p>
      <w:pPr>
        <w:pStyle w:val="TextBody"/>
        <w:bidi w:val="0"/>
        <w:spacing w:before="120" w:after="0"/>
        <w:jc w:val="left"/>
        <w:rPr>
          <w:rFonts w:ascii="Times New Roman" w:hAnsi="Times New Roman"/>
          <w:sz w:val="20"/>
        </w:rPr>
      </w:pPr>
      <w:r>
        <w:rPr>
          <w:rFonts w:ascii="Times New Roman" w:hAnsi="Times New Roman"/>
          <w:sz w:val="20"/>
        </w:rPr>
        <w:t xml:space="preserve">The floor plan which follows is intended solely to identify the general outline of the Premises, and should not be used for any other purpose. All areas, dimensions and locations are approximate, and any physical conditions Indicated may not exist as shown.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1. The rights of tenants in the entrances, corridors, elevators of the Building are limited to ingress to and egress from tenets premises for tenants and their employees, licenses and Invitees, and no tenant shad use, or permit the use of, the enceinte, cantors, or elevators for any ulcer purpose. No tenant shall invite to such tenants premises, or permit the visit of, persons In such numbers or under such conditions as to Interfere with the use and enjoyment of any of the entrances, rates, elevators and other facilities of the Building by other tenants. Fee exits and raceways are for emergency use only, and shad not be used for any other purposes by the tenants, their employees, licenses or Invitees. No tenant shall encumber or obstruct, or permit the encumbrance or obstruction of, any of the sidewalks, entrances, corridors, elevators, fire exits or stairways of the Bidding. Landlord reserves the right to control and operate the public portions of the Building and the public facilities, as well as talks furnished for the common use of tenants, In such manner as It reasonably deems best for the benefit of tenants generally. </w:t>
      </w:r>
    </w:p>
    <w:p>
      <w:pPr>
        <w:pStyle w:val="TextBody"/>
        <w:bidi w:val="0"/>
        <w:spacing w:before="240" w:after="0"/>
        <w:jc w:val="left"/>
        <w:rPr>
          <w:rFonts w:ascii="Times New Roman" w:hAnsi="Times New Roman"/>
          <w:sz w:val="20"/>
        </w:rPr>
      </w:pPr>
      <w:r>
        <w:rPr>
          <w:rFonts w:ascii="Times New Roman" w:hAnsi="Times New Roman"/>
          <w:sz w:val="20"/>
        </w:rPr>
        <w:t xml:space="preserve">2. Tenants employees shall not loiter around the hallways, stairways, elevators, front, roof or any other part of the Building used In common by the occupants thereof. </w:t>
      </w:r>
    </w:p>
    <w:p>
      <w:pPr>
        <w:pStyle w:val="TextBody"/>
        <w:bidi w:val="0"/>
        <w:spacing w:before="240" w:after="0"/>
        <w:jc w:val="left"/>
        <w:rPr>
          <w:rFonts w:ascii="Times New Roman" w:hAnsi="Times New Roman"/>
          <w:sz w:val="20"/>
        </w:rPr>
      </w:pPr>
      <w:r>
        <w:rPr>
          <w:rFonts w:ascii="Times New Roman" w:hAnsi="Times New Roman"/>
          <w:sz w:val="20"/>
        </w:rPr>
        <w:t xml:space="preserve">3. Tenant shall not alter the exterior appearance of the Blinding by installing signs, advertisements, notices or other graphics on exterior walls, or interior surfaces visible from outside, without prior wean permission from Landlord. Similarly, electrical fixtures hung in offices or other spaces along the perimeter of the Bonding witch affect Its exterior appearance must be fluorescent and a quaky, type, design and bulb color, previously approved in writing by Building management. </w:t>
      </w:r>
    </w:p>
    <w:p>
      <w:pPr>
        <w:pStyle w:val="TextBody"/>
        <w:bidi w:val="0"/>
        <w:spacing w:before="240" w:after="0"/>
        <w:jc w:val="left"/>
        <w:rPr>
          <w:rFonts w:ascii="Times New Roman" w:hAnsi="Times New Roman"/>
          <w:sz w:val="20"/>
        </w:rPr>
      </w:pPr>
      <w:r>
        <w:rPr>
          <w:rFonts w:ascii="Times New Roman" w:hAnsi="Times New Roman"/>
          <w:sz w:val="20"/>
        </w:rPr>
        <w:t xml:space="preserve">4. Except as specifically provided in the Lease, the cost of repairing any damage to the public portions of the Wading or the public, facilities or to any facilities used In common with other tenants, caused by a tenant or the employees, licensees or invitees of the tenant, Mali be paid by such tenant. </w:t>
      </w:r>
    </w:p>
    <w:p>
      <w:pPr>
        <w:pStyle w:val="TextBody"/>
        <w:bidi w:val="0"/>
        <w:spacing w:before="240" w:after="0"/>
        <w:jc w:val="left"/>
        <w:rPr>
          <w:rFonts w:ascii="Times New Roman" w:hAnsi="Times New Roman"/>
          <w:sz w:val="20"/>
        </w:rPr>
      </w:pPr>
      <w:r>
        <w:rPr>
          <w:rFonts w:ascii="Times New Roman" w:hAnsi="Times New Roman"/>
          <w:sz w:val="20"/>
        </w:rPr>
        <w:t xml:space="preserve">5. The requirements of tenants will be attended to only upon application at the Building Management Office. Employees of the Building shall not perform any work or do anything outside of their regular assigned duties, unless under special instructions from the Building Management. </w:t>
      </w:r>
    </w:p>
    <w:p>
      <w:pPr>
        <w:pStyle w:val="TextBody"/>
        <w:bidi w:val="0"/>
        <w:spacing w:before="240" w:after="0"/>
        <w:jc w:val="left"/>
        <w:rPr>
          <w:rFonts w:ascii="Times New Roman" w:hAnsi="Times New Roman"/>
          <w:sz w:val="20"/>
        </w:rPr>
      </w:pPr>
      <w:r>
        <w:rPr>
          <w:rFonts w:ascii="Times New Roman" w:hAnsi="Times New Roman"/>
          <w:sz w:val="20"/>
        </w:rPr>
        <w:t xml:space="preserve">6. Except as specifically provided In the Lease, Tenant shall have no right of access to the roof of the Building and and shall not install, repair or replace any satellite dish, antennae, fan, air conditioner or other devices on the roof of the aiding without the prior written consent of Landlord. Any such device Installed without such written consent shall be subject to removal, at Tenants expense, without notice, at any time. </w:t>
      </w:r>
    </w:p>
    <w:p>
      <w:pPr>
        <w:pStyle w:val="TextBody"/>
        <w:bidi w:val="0"/>
        <w:spacing w:before="240" w:after="0"/>
        <w:jc w:val="left"/>
        <w:rPr>
          <w:rFonts w:ascii="Times New Roman" w:hAnsi="Times New Roman"/>
          <w:sz w:val="20"/>
        </w:rPr>
      </w:pPr>
      <w:r>
        <w:rPr>
          <w:rFonts w:ascii="Times New Roman" w:hAnsi="Times New Roman"/>
          <w:sz w:val="20"/>
        </w:rPr>
        <w:t xml:space="preserve">7. Exist signs on doors end any directory tablet must be approved by Landlord. </w:t>
      </w:r>
    </w:p>
    <w:p>
      <w:pPr>
        <w:pStyle w:val="TextBody"/>
        <w:bidi w:val="0"/>
        <w:spacing w:before="240" w:after="0"/>
        <w:jc w:val="left"/>
        <w:rPr>
          <w:rFonts w:ascii="Times New Roman" w:hAnsi="Times New Roman"/>
          <w:sz w:val="20"/>
        </w:rPr>
      </w:pPr>
      <w:r>
        <w:rPr>
          <w:rFonts w:ascii="Times New Roman" w:hAnsi="Times New Roman"/>
          <w:sz w:val="20"/>
        </w:rPr>
        <w:t xml:space="preserve">8. Except as specifically provided in the Lease, no awnings or other projections over or around the windows shall be installed by any tercet and only such window blinds as are permitted by Landlord shall be used In any tenants premises. </w:t>
      </w:r>
    </w:p>
    <w:p>
      <w:pPr>
        <w:pStyle w:val="TextBody"/>
        <w:bidi w:val="0"/>
        <w:spacing w:before="240" w:after="0"/>
        <w:jc w:val="left"/>
        <w:rPr>
          <w:rFonts w:ascii="Times New Roman" w:hAnsi="Times New Roman"/>
          <w:sz w:val="20"/>
        </w:rPr>
      </w:pPr>
      <w:r>
        <w:rPr>
          <w:rFonts w:ascii="Times New Roman" w:hAnsi="Times New Roman"/>
          <w:sz w:val="20"/>
        </w:rPr>
        <w:t xml:space="preserve">9. No acids, vapors or other metered shall be discharged or permitted to be discharged Mtn the waste lines, vents or flues of the Building, except as specifically provided In the Lease. The water and service closets and other plumbing fixtures in or serving any tenants premises shall not be used for any purpose other than the purpose for which they were designed or constructed and no sweepings, rubbish, rags, acids or other foreign substances shall be deposited therein. All damages resulting from any misuse of the fixtures shall be borne by the tenant who, or whose servants, employee, agents, visitors or licensees, shall have caused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Tenant shall not disturb others. This rule prohibits any noise audible from the hallway, at office suites or outside whether created by musical Instruments, radios, television sets, group addles or any other source. </w:t>
      </w:r>
    </w:p>
    <w:p>
      <w:pPr>
        <w:pStyle w:val="TextBody"/>
        <w:bidi w:val="0"/>
        <w:spacing w:before="240" w:after="0"/>
        <w:jc w:val="left"/>
        <w:rPr>
          <w:rFonts w:ascii="Times New Roman" w:hAnsi="Times New Roman"/>
          <w:sz w:val="20"/>
        </w:rPr>
      </w:pPr>
      <w:r>
        <w:rPr>
          <w:rFonts w:ascii="Times New Roman" w:hAnsi="Times New Roman"/>
          <w:sz w:val="20"/>
        </w:rPr>
        <w:t xml:space="preserve">11. All hand bucks used In the lidding shall be equipped with rubber tires and side gears. </w:t>
      </w:r>
    </w:p>
    <w:p>
      <w:pPr>
        <w:pStyle w:val="TextBody"/>
        <w:bidi w:val="0"/>
        <w:spacing w:before="240" w:after="0"/>
        <w:jc w:val="left"/>
        <w:rPr>
          <w:rFonts w:ascii="Times New Roman" w:hAnsi="Times New Roman"/>
          <w:sz w:val="20"/>
        </w:rPr>
      </w:pPr>
      <w:r>
        <w:rPr>
          <w:rFonts w:ascii="Times New Roman" w:hAnsi="Times New Roman"/>
          <w:sz w:val="20"/>
        </w:rPr>
        <w:t xml:space="preserve">12. Except as specifically provided In any tenant lease, no tenant shall Install wired, conduit, sleeves or similar installations in Building shaftways without prior written consent of Landlord, and as Landlord may direct. </w:t>
      </w:r>
    </w:p>
    <w:p>
      <w:pPr>
        <w:pStyle w:val="TextBody"/>
        <w:bidi w:val="0"/>
        <w:spacing w:before="240" w:after="0"/>
        <w:jc w:val="left"/>
        <w:rPr>
          <w:rFonts w:ascii="Times New Roman" w:hAnsi="Times New Roman"/>
          <w:sz w:val="20"/>
        </w:rPr>
      </w:pPr>
      <w:r>
        <w:rPr>
          <w:rFonts w:ascii="Times New Roman" w:hAnsi="Times New Roman"/>
          <w:sz w:val="20"/>
        </w:rPr>
        <w:t xml:space="preserve">13. Each tenant shall, at its expense, provide artificial light in the premises demised to such tenant for Landers agents, entrees and employees vials performing janitorial or other cleaning services and making repairs or alterations therein. </w:t>
      </w:r>
    </w:p>
    <w:p>
      <w:pPr>
        <w:pStyle w:val="TextBody"/>
        <w:bidi w:val="0"/>
        <w:spacing w:before="240" w:after="0"/>
        <w:jc w:val="left"/>
        <w:rPr>
          <w:rFonts w:ascii="Times New Roman" w:hAnsi="Times New Roman"/>
          <w:sz w:val="20"/>
        </w:rPr>
      </w:pPr>
      <w:r>
        <w:rPr>
          <w:rFonts w:ascii="Times New Roman" w:hAnsi="Times New Roman"/>
          <w:sz w:val="20"/>
        </w:rPr>
        <w:t xml:space="preserve">14. Tenants shall not end any soaring or food odors emanating from their demised premises to be detectable in any other portions of the Building, except as specifically provided in the Lease. </w:t>
      </w:r>
    </w:p>
    <w:p>
      <w:pPr>
        <w:pStyle w:val="TextBody"/>
        <w:bidi w:val="0"/>
        <w:spacing w:before="240" w:after="0"/>
        <w:jc w:val="left"/>
        <w:rPr>
          <w:rFonts w:ascii="Times New Roman" w:hAnsi="Times New Roman"/>
          <w:sz w:val="20"/>
        </w:rPr>
      </w:pPr>
      <w:r>
        <w:rPr>
          <w:rFonts w:ascii="Times New Roman" w:hAnsi="Times New Roman"/>
          <w:sz w:val="20"/>
        </w:rPr>
        <w:t xml:space="preserve">15. Tenants shall provide Building management with keys or combinations to all locks, bolts or other mechanical security systems except those protecting high security areas. Upon vacating the Building, tenant must return keys to storerooms, offices and toilets or pay replacement costs. </w:t>
      </w:r>
    </w:p>
    <w:p>
      <w:pPr>
        <w:pStyle w:val="TextBody"/>
        <w:bidi w:val="0"/>
        <w:spacing w:before="240" w:after="0"/>
        <w:jc w:val="left"/>
        <w:rPr>
          <w:rFonts w:ascii="Times New Roman" w:hAnsi="Times New Roman"/>
          <w:sz w:val="20"/>
        </w:rPr>
      </w:pPr>
      <w:r>
        <w:rPr>
          <w:rFonts w:ascii="Times New Roman" w:hAnsi="Times New Roman"/>
          <w:sz w:val="20"/>
        </w:rPr>
        <w:t xml:space="preserve">16. All entrance doors in each tenants premises shall be left looked when the tenants premises are not In use. Entrance doors shall not be left open at any time. </w:t>
      </w:r>
    </w:p>
    <w:p>
      <w:pPr>
        <w:pStyle w:val="TextBody"/>
        <w:bidi w:val="0"/>
        <w:spacing w:before="240" w:after="0"/>
        <w:jc w:val="left"/>
        <w:rPr>
          <w:rFonts w:ascii="Times New Roman" w:hAnsi="Times New Roman"/>
          <w:sz w:val="20"/>
        </w:rPr>
      </w:pPr>
      <w:r>
        <w:rPr>
          <w:rFonts w:ascii="Times New Roman" w:hAnsi="Times New Roman"/>
          <w:sz w:val="20"/>
        </w:rPr>
        <w:t xml:space="preserve">17. Tenants strait not keep pets, bicycles (except in sanctioned bike storage areas), or other vehicles In their premises without prior written approval by Landlord. Exceeds are made for seeing eye dogs and conveyances required by handicapped person. Tenant shod not use or permit the use of any portion of the Premises as living quarters, sleeping apartments or lodging rooms. </w:t>
      </w:r>
    </w:p>
    <w:p>
      <w:pPr>
        <w:pStyle w:val="TextBody"/>
        <w:bidi w:val="0"/>
        <w:spacing w:before="240" w:after="0"/>
        <w:jc w:val="left"/>
        <w:rPr>
          <w:rFonts w:ascii="Times New Roman" w:hAnsi="Times New Roman"/>
          <w:sz w:val="20"/>
        </w:rPr>
      </w:pPr>
      <w:r>
        <w:rPr>
          <w:rFonts w:ascii="Times New Roman" w:hAnsi="Times New Roman"/>
          <w:sz w:val="20"/>
        </w:rPr>
        <w:t xml:space="preserve">18. Regular suppliers of outside services must be approved by Building management, which may establish hours or other conditions for entrance to the Building. Such suppliers include vendors of food, spring water, ice, towels, barbering, shoe shining and other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19. Canvassing, soliciting and peddling of products or services are prohibited in the Building, and tenants shall cooperate with Landlord In attempting to prevent such acts In the Building. </w:t>
      </w:r>
    </w:p>
    <w:p>
      <w:pPr>
        <w:pStyle w:val="TextBody"/>
        <w:bidi w:val="0"/>
        <w:spacing w:before="240" w:after="0"/>
        <w:jc w:val="left"/>
        <w:rPr>
          <w:rFonts w:ascii="Times New Roman" w:hAnsi="Times New Roman"/>
          <w:sz w:val="20"/>
        </w:rPr>
      </w:pPr>
      <w:r>
        <w:rPr>
          <w:rFonts w:ascii="Times New Roman" w:hAnsi="Times New Roman"/>
          <w:sz w:val="20"/>
        </w:rPr>
        <w:t xml:space="preserve">20. Landlord may refuse admission to the Building outside of normal hours to any person not having a pass Issued by Landlord or not properly !deflated. and may require all paeans admitted to or leaving the Building outside of normal business hours to register. Tenants employees, agents and visitors shall be permitted to enter and leave the Building whenever appropriate arrangements have been previously made between Landlord and Tenant. Each tenant shall be responsible for at persons for whom such person requests such permission and shall be liable to Landlord for all acts of such persons. Any person whose presence in the Bolding at any time shall, in the reasonable judgment of Landlord, be prejudicial to the safety, character, reputation and Interests of the Building or its tenants may be denied access to the Building or may be rejected therefrom. In case of Invasion, riot, public excitement or other commotion, Landlord may prevent all access to the Building during the continuance of the same, by dosing the doors or otherwise, for the safety of the tenants and protection of property In the Building. Landlord may require any person leaving the Building with any package or other object to exhibit a pass from the tenant from whose premises the package or object is being removed, but the establishment and enforcement of such requirements shall not impose any responsibility on Landlord for the protection of any tenant against the removal of property from the premises of the tenant landlord shall in no way be liable to any tenant for injury or loss arising from the admission, exclusion or ejection of any person to or from the tenants premises a the Building under the provisions of this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Tenant, at its sole cost, and expense, shag cause the Premises to be exterminated from time to time to the reasonable satisfaction of the Building Management Office, and shall employ such exterminators therefor as shall be approved by the Bidding Management Office. </w:t>
      </w:r>
    </w:p>
    <w:p>
      <w:pPr>
        <w:pStyle w:val="TextBody"/>
        <w:bidi w:val="0"/>
        <w:spacing w:before="240" w:after="0"/>
        <w:jc w:val="left"/>
        <w:rPr>
          <w:rFonts w:ascii="Times New Roman" w:hAnsi="Times New Roman"/>
          <w:sz w:val="20"/>
        </w:rPr>
      </w:pPr>
      <w:r>
        <w:rPr>
          <w:rFonts w:ascii="Times New Roman" w:hAnsi="Times New Roman"/>
          <w:sz w:val="20"/>
        </w:rPr>
        <w:t xml:space="preserve">22. Tenants shag not serve or penult the saving of alcoholic beverages in the its premises unless Tenant shall have procured host liquor liability insurance, issued by companies and in amounts reasonably satisfactory to Landlord, naming Landlord and its managing agent as additional insureds. </w:t>
      </w:r>
    </w:p>
    <w:p>
      <w:pPr>
        <w:pStyle w:val="TextBody"/>
        <w:bidi w:val="0"/>
        <w:spacing w:before="240" w:after="0"/>
        <w:jc w:val="left"/>
        <w:rPr>
          <w:rFonts w:ascii="Times New Roman" w:hAnsi="Times New Roman"/>
          <w:sz w:val="20"/>
        </w:rPr>
      </w:pPr>
      <w:r>
        <w:rPr>
          <w:rFonts w:ascii="Times New Roman" w:hAnsi="Times New Roman"/>
          <w:sz w:val="20"/>
        </w:rPr>
        <w:t xml:space="preserve">23. The Building loading docks may be used only for loading and unloading procedures. Tenants may not use the tootling dock area for parking. Tenants may not place any dumpsters at the loading docks or any other portion of the Building without the prior written approval of Landlord. </w:t>
      </w:r>
    </w:p>
    <w:p>
      <w:pPr>
        <w:pStyle w:val="TextBody"/>
        <w:bidi w:val="0"/>
        <w:spacing w:before="240" w:after="0"/>
        <w:jc w:val="left"/>
        <w:rPr>
          <w:rFonts w:ascii="Times New Roman" w:hAnsi="Times New Roman"/>
          <w:sz w:val="20"/>
        </w:rPr>
      </w:pPr>
      <w:r>
        <w:rPr>
          <w:rFonts w:ascii="Times New Roman" w:hAnsi="Times New Roman"/>
          <w:sz w:val="20"/>
        </w:rPr>
        <w:t xml:space="preserve">24. No shutdowns of any Building systems will be permitted Without prior written approval of Landlord and supervision by the Bulldog engineer. </w:t>
      </w:r>
    </w:p>
    <w:p>
      <w:pPr>
        <w:pStyle w:val="TextBody"/>
        <w:bidi w:val="0"/>
        <w:spacing w:before="240" w:after="0"/>
        <w:jc w:val="left"/>
        <w:rPr>
          <w:rFonts w:ascii="Times New Roman" w:hAnsi="Times New Roman"/>
          <w:sz w:val="20"/>
        </w:rPr>
      </w:pPr>
      <w:r>
        <w:rPr>
          <w:rFonts w:ascii="Times New Roman" w:hAnsi="Times New Roman"/>
          <w:sz w:val="20"/>
        </w:rPr>
        <w:t xml:space="preserve">25. Tenants contractors of vendors may not use any space within the Building outside the Premises for storage or moving of materials or equipment or for the location of a field office or facilities for the employees of such contractors or vendors without obtaining Landlords prior written approval for each such use. Landlord shag have the right to terminate such use and remove as such contractors or vendors materials, equipment and other moped), from such space, without landlord being liable to tenant or to such contractor or vendor, and the cost of such termination and removal shall be paid by Tenant to landlord. </w:t>
      </w:r>
    </w:p>
    <w:p>
      <w:pPr>
        <w:pStyle w:val="TextBody"/>
        <w:bidi w:val="0"/>
        <w:spacing w:before="240" w:after="0"/>
        <w:jc w:val="left"/>
        <w:rPr>
          <w:rFonts w:ascii="Times New Roman" w:hAnsi="Times New Roman"/>
          <w:sz w:val="20"/>
        </w:rPr>
      </w:pPr>
      <w:r>
        <w:rPr>
          <w:rFonts w:ascii="Times New Roman" w:hAnsi="Times New Roman"/>
          <w:sz w:val="20"/>
        </w:rPr>
        <w:t xml:space="preserve">26. Tenants are required to have a full service maintenance contract covering their supplemental HVAC, Uninterrupted Power Supply (UPS) and Automatic Transfer systems, and to provide copies of such contracts to the Building management office. </w:t>
      </w:r>
    </w:p>
    <w:p>
      <w:pPr>
        <w:pStyle w:val="TextBody"/>
        <w:bidi w:val="0"/>
        <w:spacing w:before="240" w:after="0"/>
        <w:jc w:val="left"/>
        <w:rPr>
          <w:rFonts w:ascii="Times New Roman" w:hAnsi="Times New Roman"/>
          <w:sz w:val="20"/>
        </w:rPr>
      </w:pPr>
      <w:r>
        <w:rPr>
          <w:rFonts w:ascii="Times New Roman" w:hAnsi="Times New Roman"/>
          <w:sz w:val="20"/>
        </w:rPr>
        <w:t xml:space="preserve">27. The Building reserves the right to restrict the use of certain materials (for example, Omega sprinkler heads and piping manufactured in The Republic of China) in the Bulging based on notifications that declare the materials unsafe. </w:t>
      </w:r>
    </w:p>
    <w:p>
      <w:pPr>
        <w:pStyle w:val="TextBody"/>
        <w:bidi w:val="0"/>
        <w:spacing w:before="240" w:after="0"/>
        <w:jc w:val="left"/>
        <w:rPr>
          <w:rFonts w:ascii="Times New Roman" w:hAnsi="Times New Roman"/>
          <w:sz w:val="20"/>
        </w:rPr>
      </w:pPr>
      <w:r>
        <w:rPr>
          <w:rFonts w:ascii="Times New Roman" w:hAnsi="Times New Roman"/>
          <w:sz w:val="20"/>
        </w:rPr>
        <w:t xml:space="preserve">28. Trucks using the Tenant Shipping Pistons ma the ground floor of the Building, end the upper floor buck lobbies, will load and discharge et the place or places thereat and therein as indicated by the duly authorized representative of Landlord In charge of such operation. </w:t>
      </w:r>
    </w:p>
    <w:p>
      <w:pPr>
        <w:pStyle w:val="TextBody"/>
        <w:bidi w:val="0"/>
        <w:spacing w:before="240" w:after="0"/>
        <w:jc w:val="left"/>
        <w:rPr>
          <w:rFonts w:ascii="Times New Roman" w:hAnsi="Times New Roman"/>
          <w:sz w:val="20"/>
        </w:rPr>
      </w:pPr>
      <w:r>
        <w:rPr>
          <w:rFonts w:ascii="Times New Roman" w:hAnsi="Times New Roman"/>
          <w:sz w:val="20"/>
        </w:rPr>
        <w:t xml:space="preserve">29. Elevators for freight handling service will be operated during Business Hours on Business Days unless special arrangement is made with Landlord for operation at other times. </w:t>
      </w:r>
    </w:p>
    <w:p>
      <w:pPr>
        <w:pStyle w:val="TextBody"/>
        <w:bidi w:val="0"/>
        <w:spacing w:before="240" w:after="0"/>
        <w:jc w:val="left"/>
        <w:rPr>
          <w:rFonts w:ascii="Times New Roman" w:hAnsi="Times New Roman"/>
          <w:sz w:val="20"/>
        </w:rPr>
      </w:pPr>
      <w:r>
        <w:rPr>
          <w:rFonts w:ascii="Times New Roman" w:hAnsi="Times New Roman"/>
          <w:sz w:val="20"/>
        </w:rPr>
        <w:t xml:space="preserve">30. The use of the private right of way and the truck elevators will be subject to and under the reasonable direction and control of the duly authorized representative of Landlord in charge of such operation. When in the Interest of continuity of service or In the Interest of the common service, Tenants freight departing from or arriving at the Building by truck may at the direction of Landlord be handled over and through the Tenant Shipping Platforms on the ground floor and the freight elevators. Landlord reserves the right to direct such handling in lieu of truck elevator service. </w:t>
      </w:r>
    </w:p>
    <w:p>
      <w:pPr>
        <w:pStyle w:val="TextBody"/>
        <w:bidi w:val="0"/>
        <w:spacing w:before="240" w:after="0"/>
        <w:jc w:val="left"/>
        <w:rPr>
          <w:rFonts w:ascii="Times New Roman" w:hAnsi="Times New Roman"/>
          <w:sz w:val="20"/>
        </w:rPr>
      </w:pPr>
      <w:r>
        <w:rPr>
          <w:rFonts w:ascii="Times New Roman" w:hAnsi="Times New Roman"/>
          <w:sz w:val="20"/>
        </w:rPr>
        <w:t xml:space="preserve">31. In the interest of preserving the continuity of freight elevator service, freight will not be floored upon the height elevator, but will at all times be handled and moved upon suitable vehicles of the Indoor industrial wheeler type permitting such freight to be economically and expeditiously wheeled on and off the freight elevators, Freight which cannot be handled upon such equipment will be handled In such alternative manner as may be approved by Landlord. </w:t>
      </w:r>
    </w:p>
    <w:p>
      <w:pPr>
        <w:pStyle w:val="TextBody"/>
        <w:bidi w:val="0"/>
        <w:spacing w:before="240" w:after="0"/>
        <w:jc w:val="left"/>
        <w:rPr>
          <w:rFonts w:ascii="Times New Roman" w:hAnsi="Times New Roman"/>
          <w:sz w:val="20"/>
        </w:rPr>
      </w:pPr>
      <w:r>
        <w:rPr>
          <w:rFonts w:ascii="Times New Roman" w:hAnsi="Times New Roman"/>
          <w:sz w:val="20"/>
        </w:rPr>
        <w:t xml:space="preserve">32. (a) The Tenant Shipping Platforms located on first or ground floor of the Building are designed to accomplish the immediate transfer and movement of freight between the freight elevators and trucks. The use of such facility by Tenant or any of its agent, servants, employees, representatives or contractors will be confined to such purpose, under the reasonable direction and control of the duly authorized representative of Landlord in charge of such operation.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storage or holding of freight on such Tenant Shipping Platforms awaiting the arrival of trucks, or awaiting transfer by Tenant from such Tenant Shipping Platforms to the Premises, will be permitted. No automobiles of Tenant or any Tenant Party may enter on or be stored In any portion of the Building, except in areas designated-by landlord, and provided Tenant pays for such parking at rates designated by Landlord, its agents or parking lessees. </w:t>
      </w:r>
    </w:p>
    <w:p>
      <w:pPr>
        <w:pStyle w:val="TextBody"/>
        <w:bidi w:val="0"/>
        <w:spacing w:before="240" w:after="0"/>
        <w:jc w:val="left"/>
        <w:rPr>
          <w:rFonts w:ascii="Times New Roman" w:hAnsi="Times New Roman"/>
          <w:sz w:val="20"/>
        </w:rPr>
      </w:pPr>
      <w:r>
        <w:rPr>
          <w:rFonts w:ascii="Times New Roman" w:hAnsi="Times New Roman"/>
          <w:sz w:val="20"/>
        </w:rPr>
        <w:t xml:space="preserve">(c) Any violation of this rule or disregard of directions issued by Landlord will give Landlord the right to handle, transfer, remove or stare such height In or to other premises in the Building. When such handling. transfer, removal or storage is performed by Landlord, and when it shall be deemed necessary by Landlord to preserve the continuity of common servile provided by this facility, any and all expense will be at Tenants sole cost and expense. Landlord will not be responsible for any loss or damage which any such freight may cuter by such handling, removing or storage. </w:t>
      </w:r>
    </w:p>
    <w:p>
      <w:pPr>
        <w:pStyle w:val="TextBody"/>
        <w:bidi w:val="0"/>
        <w:spacing w:before="240" w:after="0"/>
        <w:jc w:val="left"/>
        <w:rPr>
          <w:rFonts w:ascii="Times New Roman" w:hAnsi="Times New Roman"/>
          <w:sz w:val="20"/>
        </w:rPr>
      </w:pPr>
      <w:r>
        <w:rPr>
          <w:rFonts w:ascii="Times New Roman" w:hAnsi="Times New Roman"/>
          <w:sz w:val="20"/>
        </w:rPr>
        <w:t xml:space="preserve">33. Neither Tenant nor any Tenant Party will at any time be permitted to operate any freight, passenger or truck elevator. </w:t>
      </w:r>
    </w:p>
    <w:p>
      <w:pPr>
        <w:pStyle w:val="TextBody"/>
        <w:bidi w:val="0"/>
        <w:spacing w:before="240" w:after="0"/>
        <w:jc w:val="left"/>
        <w:rPr>
          <w:rFonts w:ascii="Times New Roman" w:hAnsi="Times New Roman"/>
          <w:sz w:val="20"/>
        </w:rPr>
      </w:pPr>
      <w:r>
        <w:rPr>
          <w:rFonts w:ascii="Times New Roman" w:hAnsi="Times New Roman"/>
          <w:sz w:val="20"/>
        </w:rPr>
        <w:t xml:space="preserve">34. The Building is equipped with scuppers for carrying off water which may result from sprinkler operation or other causes. Tenant shall not, under any circumstances, deposit or permit to be deposited sweepings or any other rubbish in such scuppers, and Tenant will keep the scuppers within the Premises at all times free of any and all rubbish, sweepings, and other obstructions of any nature whatsoever. </w:t>
      </w:r>
    </w:p>
    <w:p>
      <w:pPr>
        <w:pStyle w:val="TextBody"/>
        <w:bidi w:val="0"/>
        <w:spacing w:before="240" w:after="0"/>
        <w:jc w:val="left"/>
        <w:rPr>
          <w:rFonts w:ascii="Times New Roman" w:hAnsi="Times New Roman"/>
          <w:sz w:val="20"/>
        </w:rPr>
      </w:pPr>
      <w:r>
        <w:rPr>
          <w:rFonts w:ascii="Times New Roman" w:hAnsi="Times New Roman"/>
          <w:sz w:val="20"/>
        </w:rPr>
        <w:t xml:space="preserve">35. Tenant shat not, under any circumstances, permit the accumulation of sweepings or any other rubbish in the expansion Joints of the Building, or in any other portions re the Building outside of the Premises, and ail such sweepings or rubbish shall be removed daily by Tenant in such manner as Landlord shall direct Tenant will keep the Buildings expansion Joints free of any and all rubbish, sweepings and any other obstruction of any nature whatsoever. Tenant will not place machinery or equipment in a position so that such machinery or equipment straddles an expansion Joint, or erect a partition which intersects an expansion Joint, unless one end of such machinery. equipment or partition Is free to permit the expansion and contraption of such expansion joint. </w:t>
      </w:r>
    </w:p>
    <w:p>
      <w:pPr>
        <w:pStyle w:val="TextBody"/>
        <w:bidi w:val="0"/>
        <w:spacing w:before="240" w:after="0"/>
        <w:jc w:val="left"/>
        <w:rPr>
          <w:rFonts w:ascii="Times New Roman" w:hAnsi="Times New Roman"/>
          <w:sz w:val="20"/>
        </w:rPr>
      </w:pPr>
      <w:r>
        <w:rPr>
          <w:rFonts w:ascii="Times New Roman" w:hAnsi="Times New Roman"/>
          <w:sz w:val="20"/>
        </w:rPr>
        <w:t xml:space="preserve">36. If any electrical or telephone Installations made or operated by Tenant shall emit any electromagnetic interference, Tenant shall Immediately discontinue use of such installations until such electromagnetic Interference Is eliminated to Landlords satisfaction. </w:t>
      </w:r>
    </w:p>
    <w:p>
      <w:pPr>
        <w:pStyle w:val="TextBody"/>
        <w:bidi w:val="0"/>
        <w:spacing w:before="240" w:after="0"/>
        <w:jc w:val="left"/>
        <w:rPr>
          <w:rFonts w:ascii="Times New Roman" w:hAnsi="Times New Roman"/>
          <w:sz w:val="20"/>
        </w:rPr>
      </w:pPr>
      <w:r>
        <w:rPr>
          <w:rFonts w:ascii="Times New Roman" w:hAnsi="Times New Roman"/>
          <w:sz w:val="20"/>
        </w:rPr>
        <w:t xml:space="preserve">37. Space heaters may not be used within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38. Landlord reserves the right at any time and from time to time, to rescind, alter, waive, modify, add to or delete, in whole or In part, any of these Rules and Regulations in order to protect the comfort, convenience and safety of all tenants at the Building. Tenant shall not have any rights or claims against Landlord by reason of non-enforcement of these rules and regulations against any tenant and such non-enforcement will not constitute a waiver as to Tenant. </w:t>
      </w:r>
    </w:p>
    <w:p>
      <w:pPr>
        <w:pStyle w:val="TextBody"/>
        <w:bidi w:val="0"/>
        <w:spacing w:before="240" w:after="0"/>
        <w:jc w:val="left"/>
        <w:rPr>
          <w:rFonts w:ascii="Times New Roman" w:hAnsi="Times New Roman"/>
          <w:sz w:val="20"/>
        </w:rPr>
      </w:pPr>
      <w:r>
        <w:rPr>
          <w:rFonts w:ascii="Times New Roman" w:hAnsi="Times New Roman"/>
          <w:sz w:val="20"/>
        </w:rPr>
        <w:t xml:space="preserve">39. If there shall be any inconsistencies between the text of the main body of the Lease and these Rules and Regulations, the provisions of the Lease shall prevail.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FIXED RENT SCHEDULE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Commencement Date, Tenant shall pay Landlord Fixed Rent for the Premises in accordance with the terms of the Lease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3"/>
        <w:gridCol w:w="1288"/>
        <w:gridCol w:w="140"/>
        <w:gridCol w:w="1475"/>
        <w:gridCol w:w="60"/>
        <w:gridCol w:w="1288"/>
        <w:gridCol w:w="140"/>
        <w:gridCol w:w="1219"/>
        <w:gridCol w:w="60"/>
        <w:gridCol w:w="1288"/>
        <w:gridCol w:w="273"/>
        <w:gridCol w:w="1206"/>
        <w:gridCol w:w="65"/>
      </w:tblGrid>
      <w:tr>
        <w:trPr/>
        <w:tc>
          <w:tcPr>
            <w:tcW w:w="1703" w:type="dxa"/>
            <w:tcBorders/>
            <w:vAlign w:val="center"/>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70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Months of Term</w:t>
            </w:r>
          </w:p>
          <w:p>
            <w:pPr>
              <w:pStyle w:val="TableContents"/>
              <w:bidi w:val="0"/>
              <w:spacing w:before="0" w:after="0"/>
              <w:jc w:val="left"/>
              <w:rPr>
                <w:rFonts w:ascii="Times New Roman" w:hAnsi="Times New Roman"/>
                <w:b/>
                <w:sz w:val="16"/>
              </w:rPr>
            </w:pPr>
            <w:r>
              <w:rPr>
                <w:rFonts w:ascii="Times New Roman" w:hAnsi="Times New Roman"/>
                <w:b/>
                <w:sz w:val="16"/>
              </w:rPr>
              <w:t>Following the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Commencement Date</w:t>
            </w:r>
          </w:p>
        </w:tc>
        <w:tc>
          <w:tcPr>
            <w:tcW w:w="1288"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pPr>
            <w:r>
              <w:rPr>
                <w:b/>
              </w:rPr>
              <w:t>Annual Rate of</w:t>
            </w:r>
            <w:r>
              <w:rPr/>
              <w:br/>
            </w:r>
            <w:r>
              <w:rPr>
                <w:b/>
              </w:rPr>
              <w:t>Fixed Rent</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pPr>
            <w:r>
              <w:rPr>
                <w:b/>
              </w:rPr>
              <w:t>Monthly</w:t>
            </w:r>
            <w:r>
              <w:rPr/>
              <w:br/>
            </w:r>
            <w:r>
              <w:rPr>
                <w:b/>
              </w:rPr>
              <w:t>Fixed Rent</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1479" w:type="dxa"/>
            <w:gridSpan w:val="2"/>
            <w:tcBorders>
              <w:bottom w:val="single" w:sz="8" w:space="0" w:color="000000"/>
            </w:tcBorders>
            <w:tcMar>
              <w:bottom w:w="28" w:type="dxa"/>
            </w:tcMar>
            <w:vAlign w:val="bottom"/>
          </w:tcPr>
          <w:p>
            <w:pPr>
              <w:pStyle w:val="TableContents"/>
              <w:bidi w:val="0"/>
              <w:spacing w:before="0" w:after="283"/>
              <w:jc w:val="center"/>
              <w:rPr/>
            </w:pPr>
            <w:r>
              <w:rPr>
                <w:b/>
              </w:rPr>
              <w:t>Rental Rate</w:t>
            </w:r>
            <w:r>
              <w:rPr/>
              <w:br/>
            </w:r>
            <w:r>
              <w:rPr>
                <w:b/>
              </w:rPr>
              <w:t>Per Rentable</w:t>
            </w:r>
            <w:r>
              <w:rPr/>
              <w:br/>
            </w:r>
            <w:r>
              <w:rPr>
                <w:b/>
              </w:rPr>
              <w:t>Square Foot</w:t>
            </w:r>
          </w:p>
        </w:tc>
        <w:tc>
          <w:tcPr>
            <w:tcW w:w="65" w:type="dxa"/>
            <w:tcBorders/>
            <w:vAlign w:val="bottom"/>
          </w:tcPr>
          <w:p>
            <w:pPr>
              <w:pStyle w:val="TableContents"/>
              <w:bidi w:val="0"/>
              <w:spacing w:before="0" w:after="283"/>
              <w:jc w:val="left"/>
              <w:rPr/>
            </w:pPr>
            <w:r>
              <w:rPr/>
              <w:t> </w:t>
            </w:r>
          </w:p>
        </w:tc>
      </w:tr>
      <w:tr>
        <w:trPr/>
        <w:tc>
          <w:tcPr>
            <w:tcW w:w="1703" w:type="dxa"/>
            <w:tcBorders/>
            <w:shd w:fill="CCEEFF" w:val="clear"/>
          </w:tcPr>
          <w:p>
            <w:pPr>
              <w:pStyle w:val="TableContents"/>
              <w:bidi w:val="0"/>
              <w:spacing w:before="0" w:after="283"/>
              <w:jc w:val="left"/>
              <w:rPr/>
            </w:pPr>
            <w:r>
              <w:rPr/>
              <w:t>1*-12*</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1,794,390.98</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149,532.58</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23.00</w:t>
            </w:r>
          </w:p>
        </w:tc>
        <w:tc>
          <w:tcPr>
            <w:tcW w:w="65" w:type="dxa"/>
            <w:tcBorders/>
            <w:shd w:fill="CCEEFF" w:val="clear"/>
            <w:vAlign w:val="bottom"/>
          </w:tcPr>
          <w:p>
            <w:pPr>
              <w:pStyle w:val="TableContents"/>
              <w:bidi w:val="0"/>
              <w:spacing w:before="0" w:after="283"/>
              <w:jc w:val="left"/>
              <w:rPr/>
            </w:pPr>
            <w:r>
              <w:rPr/>
              <w:t> </w:t>
            </w:r>
          </w:p>
        </w:tc>
      </w:tr>
      <w:tr>
        <w:trPr/>
        <w:tc>
          <w:tcPr>
            <w:tcW w:w="1703" w:type="dxa"/>
            <w:tcBorders/>
          </w:tcPr>
          <w:p>
            <w:pPr>
              <w:pStyle w:val="TableContents"/>
              <w:bidi w:val="0"/>
              <w:spacing w:before="0" w:after="283"/>
              <w:jc w:val="left"/>
              <w:rPr/>
            </w:pPr>
            <w:r>
              <w:rPr/>
              <w:t>13-24</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1,839,640.92</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153,303.41</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23.58</w:t>
            </w:r>
          </w:p>
        </w:tc>
        <w:tc>
          <w:tcPr>
            <w:tcW w:w="65" w:type="dxa"/>
            <w:tcBorders/>
            <w:vAlign w:val="bottom"/>
          </w:tcPr>
          <w:p>
            <w:pPr>
              <w:pStyle w:val="TableContents"/>
              <w:bidi w:val="0"/>
              <w:spacing w:before="0" w:after="283"/>
              <w:jc w:val="left"/>
              <w:rPr/>
            </w:pPr>
            <w:r>
              <w:rPr/>
              <w:t> </w:t>
            </w:r>
          </w:p>
        </w:tc>
      </w:tr>
      <w:tr>
        <w:trPr/>
        <w:tc>
          <w:tcPr>
            <w:tcW w:w="1703" w:type="dxa"/>
            <w:tcBorders/>
            <w:shd w:fill="CCEEFF" w:val="clear"/>
          </w:tcPr>
          <w:p>
            <w:pPr>
              <w:pStyle w:val="TableContents"/>
              <w:bidi w:val="0"/>
              <w:spacing w:before="0" w:after="283"/>
              <w:jc w:val="left"/>
              <w:rPr/>
            </w:pPr>
            <w:r>
              <w:rPr/>
              <w:t>25-36</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1,885,670.88</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157,139.24</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24.17</w:t>
            </w:r>
          </w:p>
        </w:tc>
        <w:tc>
          <w:tcPr>
            <w:tcW w:w="65" w:type="dxa"/>
            <w:tcBorders/>
            <w:shd w:fill="CCEEFF" w:val="clear"/>
            <w:vAlign w:val="bottom"/>
          </w:tcPr>
          <w:p>
            <w:pPr>
              <w:pStyle w:val="TableContents"/>
              <w:bidi w:val="0"/>
              <w:spacing w:before="0" w:after="283"/>
              <w:jc w:val="left"/>
              <w:rPr/>
            </w:pPr>
            <w:r>
              <w:rPr/>
              <w:t> </w:t>
            </w:r>
          </w:p>
        </w:tc>
      </w:tr>
      <w:tr>
        <w:trPr/>
        <w:tc>
          <w:tcPr>
            <w:tcW w:w="1703" w:type="dxa"/>
            <w:tcBorders/>
          </w:tcPr>
          <w:p>
            <w:pPr>
              <w:pStyle w:val="TableContents"/>
              <w:bidi w:val="0"/>
              <w:spacing w:before="0" w:after="283"/>
              <w:jc w:val="left"/>
              <w:rPr/>
            </w:pPr>
            <w:r>
              <w:rPr/>
              <w:t>37-48</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1,932,481.08</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161,040.09</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24.77</w:t>
            </w:r>
          </w:p>
        </w:tc>
        <w:tc>
          <w:tcPr>
            <w:tcW w:w="65" w:type="dxa"/>
            <w:tcBorders/>
            <w:vAlign w:val="bottom"/>
          </w:tcPr>
          <w:p>
            <w:pPr>
              <w:pStyle w:val="TableContents"/>
              <w:bidi w:val="0"/>
              <w:spacing w:before="0" w:after="283"/>
              <w:jc w:val="left"/>
              <w:rPr/>
            </w:pPr>
            <w:r>
              <w:rPr/>
              <w:t> </w:t>
            </w:r>
          </w:p>
        </w:tc>
      </w:tr>
      <w:tr>
        <w:trPr/>
        <w:tc>
          <w:tcPr>
            <w:tcW w:w="1703" w:type="dxa"/>
            <w:tcBorders/>
            <w:shd w:fill="CCEEFF" w:val="clear"/>
          </w:tcPr>
          <w:p>
            <w:pPr>
              <w:pStyle w:val="TableContents"/>
              <w:bidi w:val="0"/>
              <w:spacing w:before="0" w:after="283"/>
              <w:jc w:val="left"/>
              <w:rPr/>
            </w:pPr>
            <w:r>
              <w:rPr/>
              <w:t>49-60</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1,980,851.64</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165,070.97</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25.39</w:t>
            </w:r>
          </w:p>
        </w:tc>
        <w:tc>
          <w:tcPr>
            <w:tcW w:w="65" w:type="dxa"/>
            <w:tcBorders/>
            <w:shd w:fill="CCEEFF" w:val="clear"/>
            <w:vAlign w:val="bottom"/>
          </w:tcPr>
          <w:p>
            <w:pPr>
              <w:pStyle w:val="TableContents"/>
              <w:bidi w:val="0"/>
              <w:spacing w:before="0" w:after="283"/>
              <w:jc w:val="left"/>
              <w:rPr/>
            </w:pPr>
            <w:r>
              <w:rPr/>
              <w:t> </w:t>
            </w:r>
          </w:p>
        </w:tc>
      </w:tr>
      <w:tr>
        <w:trPr/>
        <w:tc>
          <w:tcPr>
            <w:tcW w:w="1703" w:type="dxa"/>
            <w:tcBorders/>
          </w:tcPr>
          <w:p>
            <w:pPr>
              <w:pStyle w:val="TableContents"/>
              <w:bidi w:val="0"/>
              <w:spacing w:before="0" w:after="283"/>
              <w:jc w:val="left"/>
              <w:rPr/>
            </w:pPr>
            <w:r>
              <w:rPr/>
              <w:t>81-72</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2,030,002.32</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169,168.86</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26.02</w:t>
            </w:r>
          </w:p>
        </w:tc>
        <w:tc>
          <w:tcPr>
            <w:tcW w:w="65" w:type="dxa"/>
            <w:tcBorders/>
            <w:vAlign w:val="bottom"/>
          </w:tcPr>
          <w:p>
            <w:pPr>
              <w:pStyle w:val="TableContents"/>
              <w:bidi w:val="0"/>
              <w:spacing w:before="0" w:after="283"/>
              <w:jc w:val="left"/>
              <w:rPr/>
            </w:pPr>
            <w:r>
              <w:rPr/>
              <w:t> </w:t>
            </w:r>
          </w:p>
        </w:tc>
      </w:tr>
      <w:tr>
        <w:trPr/>
        <w:tc>
          <w:tcPr>
            <w:tcW w:w="1703" w:type="dxa"/>
            <w:tcBorders/>
            <w:shd w:fill="CCEEFF" w:val="clear"/>
          </w:tcPr>
          <w:p>
            <w:pPr>
              <w:pStyle w:val="TableContents"/>
              <w:bidi w:val="0"/>
              <w:spacing w:before="0" w:after="283"/>
              <w:jc w:val="left"/>
              <w:rPr/>
            </w:pPr>
            <w:r>
              <w:rPr/>
              <w:t>73-84</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2,080,713.36</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173,392.78</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26.67</w:t>
            </w:r>
          </w:p>
        </w:tc>
        <w:tc>
          <w:tcPr>
            <w:tcW w:w="65" w:type="dxa"/>
            <w:tcBorders/>
            <w:shd w:fill="CCEEFF" w:val="clear"/>
            <w:vAlign w:val="bottom"/>
          </w:tcPr>
          <w:p>
            <w:pPr>
              <w:pStyle w:val="TableContents"/>
              <w:bidi w:val="0"/>
              <w:spacing w:before="0" w:after="283"/>
              <w:jc w:val="left"/>
              <w:rPr/>
            </w:pPr>
            <w:r>
              <w:rPr/>
              <w:t> </w:t>
            </w:r>
          </w:p>
        </w:tc>
      </w:tr>
      <w:tr>
        <w:trPr/>
        <w:tc>
          <w:tcPr>
            <w:tcW w:w="1703" w:type="dxa"/>
            <w:tcBorders/>
          </w:tcPr>
          <w:p>
            <w:pPr>
              <w:pStyle w:val="TableContents"/>
              <w:bidi w:val="0"/>
              <w:spacing w:before="0" w:after="283"/>
              <w:jc w:val="left"/>
              <w:rPr/>
            </w:pPr>
            <w:r>
              <w:rPr/>
              <w:t>85-96</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2,132,984.76</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177,748.73</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27.34</w:t>
            </w:r>
          </w:p>
        </w:tc>
        <w:tc>
          <w:tcPr>
            <w:tcW w:w="65" w:type="dxa"/>
            <w:tcBorders/>
            <w:vAlign w:val="bottom"/>
          </w:tcPr>
          <w:p>
            <w:pPr>
              <w:pStyle w:val="TableContents"/>
              <w:bidi w:val="0"/>
              <w:spacing w:before="0" w:after="283"/>
              <w:jc w:val="left"/>
              <w:rPr/>
            </w:pPr>
            <w:r>
              <w:rPr/>
              <w:t> </w:t>
            </w:r>
          </w:p>
        </w:tc>
      </w:tr>
      <w:tr>
        <w:trPr/>
        <w:tc>
          <w:tcPr>
            <w:tcW w:w="1703" w:type="dxa"/>
            <w:tcBorders/>
            <w:shd w:fill="CCEEFF" w:val="clear"/>
          </w:tcPr>
          <w:p>
            <w:pPr>
              <w:pStyle w:val="TableContents"/>
              <w:bidi w:val="0"/>
              <w:spacing w:before="0" w:after="283"/>
              <w:jc w:val="left"/>
              <w:rPr/>
            </w:pPr>
            <w:r>
              <w:rPr/>
              <w:t>97-108</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2,186,036.40</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182,169.70</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28.02</w:t>
            </w:r>
          </w:p>
        </w:tc>
        <w:tc>
          <w:tcPr>
            <w:tcW w:w="65" w:type="dxa"/>
            <w:tcBorders/>
            <w:shd w:fill="CCEEFF" w:val="clear"/>
            <w:vAlign w:val="bottom"/>
          </w:tcPr>
          <w:p>
            <w:pPr>
              <w:pStyle w:val="TableContents"/>
              <w:bidi w:val="0"/>
              <w:spacing w:before="0" w:after="283"/>
              <w:jc w:val="left"/>
              <w:rPr/>
            </w:pPr>
            <w:r>
              <w:rPr/>
              <w:t> </w:t>
            </w:r>
          </w:p>
        </w:tc>
      </w:tr>
      <w:tr>
        <w:trPr/>
        <w:tc>
          <w:tcPr>
            <w:tcW w:w="1703" w:type="dxa"/>
            <w:tcBorders/>
          </w:tcPr>
          <w:p>
            <w:pPr>
              <w:pStyle w:val="TableContents"/>
              <w:bidi w:val="0"/>
              <w:spacing w:before="0" w:after="283"/>
              <w:jc w:val="left"/>
              <w:rPr/>
            </w:pPr>
            <w:r>
              <w:rPr/>
              <w:t>109-120</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75" w:type="dxa"/>
            <w:tcBorders/>
            <w:vAlign w:val="bottom"/>
          </w:tcPr>
          <w:p>
            <w:pPr>
              <w:pStyle w:val="TableContents"/>
              <w:bidi w:val="0"/>
              <w:spacing w:before="0" w:after="283"/>
              <w:jc w:val="right"/>
              <w:rPr/>
            </w:pPr>
            <w:r>
              <w:rPr/>
              <w:t>2,240,648.28</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19" w:type="dxa"/>
            <w:tcBorders/>
            <w:vAlign w:val="bottom"/>
          </w:tcPr>
          <w:p>
            <w:pPr>
              <w:pStyle w:val="TableContents"/>
              <w:bidi w:val="0"/>
              <w:spacing w:before="0" w:after="283"/>
              <w:jc w:val="right"/>
              <w:rPr/>
            </w:pPr>
            <w:r>
              <w:rPr/>
              <w:t>186,720.69</w:t>
            </w:r>
          </w:p>
        </w:tc>
        <w:tc>
          <w:tcPr>
            <w:tcW w:w="60"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206" w:type="dxa"/>
            <w:tcBorders/>
            <w:vAlign w:val="bottom"/>
          </w:tcPr>
          <w:p>
            <w:pPr>
              <w:pStyle w:val="TableContents"/>
              <w:bidi w:val="0"/>
              <w:spacing w:before="0" w:after="283"/>
              <w:jc w:val="right"/>
              <w:rPr/>
            </w:pPr>
            <w:r>
              <w:rPr/>
              <w:t>28.72</w:t>
            </w:r>
          </w:p>
        </w:tc>
        <w:tc>
          <w:tcPr>
            <w:tcW w:w="65" w:type="dxa"/>
            <w:tcBorders/>
            <w:vAlign w:val="bottom"/>
          </w:tcPr>
          <w:p>
            <w:pPr>
              <w:pStyle w:val="TableContents"/>
              <w:bidi w:val="0"/>
              <w:spacing w:before="0" w:after="283"/>
              <w:jc w:val="left"/>
              <w:rPr/>
            </w:pPr>
            <w:r>
              <w:rPr/>
              <w:t> </w:t>
            </w:r>
          </w:p>
        </w:tc>
      </w:tr>
      <w:tr>
        <w:trPr/>
        <w:tc>
          <w:tcPr>
            <w:tcW w:w="1703" w:type="dxa"/>
            <w:tcBorders/>
            <w:shd w:fill="CCEEFF" w:val="clear"/>
          </w:tcPr>
          <w:p>
            <w:pPr>
              <w:pStyle w:val="TableContents"/>
              <w:bidi w:val="0"/>
              <w:spacing w:before="0" w:after="283"/>
              <w:jc w:val="left"/>
              <w:rPr/>
            </w:pPr>
            <w:r>
              <w:rPr/>
              <w:t>121-132</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75" w:type="dxa"/>
            <w:tcBorders/>
            <w:shd w:fill="CCEEFF" w:val="clear"/>
            <w:vAlign w:val="bottom"/>
          </w:tcPr>
          <w:p>
            <w:pPr>
              <w:pStyle w:val="TableContents"/>
              <w:bidi w:val="0"/>
              <w:spacing w:before="0" w:after="283"/>
              <w:jc w:val="right"/>
              <w:rPr/>
            </w:pPr>
            <w:r>
              <w:rPr/>
              <w:t>2,296,820.52</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191401.71</w:t>
            </w:r>
          </w:p>
        </w:tc>
        <w:tc>
          <w:tcPr>
            <w:tcW w:w="60"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206" w:type="dxa"/>
            <w:tcBorders/>
            <w:shd w:fill="CCEEFF" w:val="clear"/>
            <w:vAlign w:val="bottom"/>
          </w:tcPr>
          <w:p>
            <w:pPr>
              <w:pStyle w:val="TableContents"/>
              <w:bidi w:val="0"/>
              <w:spacing w:before="0" w:after="283"/>
              <w:jc w:val="right"/>
              <w:rPr/>
            </w:pPr>
            <w:r>
              <w:rPr/>
              <w:t>29.44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any partial calendar month following the Commencement Date ft subject to </w:t>
            </w:r>
            <w:r>
              <w:rPr>
                <w:rFonts w:ascii="Times New Roman" w:hAnsi="Times New Roman"/>
                <w:sz w:val="20"/>
                <w:u w:val="single"/>
              </w:rPr>
              <w:t>Section 2.4</w:t>
            </w:r>
            <w:r>
              <w:rPr>
                <w:rFonts w:ascii="Times New Roman" w:hAnsi="Times New Roman"/>
                <w:sz w:val="20"/>
              </w:rPr>
              <w:t xml:space="preserve"> of the 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WORK LETTER </w:t>
      </w:r>
    </w:p>
    <w:p>
      <w:pPr>
        <w:pStyle w:val="TextBody"/>
        <w:bidi w:val="0"/>
        <w:spacing w:before="120" w:after="0"/>
        <w:jc w:val="left"/>
        <w:rPr>
          <w:rFonts w:ascii="Times New Roman" w:hAnsi="Times New Roman"/>
          <w:sz w:val="20"/>
        </w:rPr>
      </w:pPr>
      <w:r>
        <w:rPr>
          <w:rFonts w:ascii="Times New Roman" w:hAnsi="Times New Roman"/>
          <w:sz w:val="20"/>
        </w:rPr>
        <w:t>This is the Work Letter referred to in the foregoing Lease (the </w:t>
      </w:r>
      <w:r>
        <w:rPr>
          <w:rFonts w:ascii="Times New Roman" w:hAnsi="Times New Roman"/>
          <w:b/>
          <w:sz w:val="20"/>
        </w:rPr>
        <w:t>Lease</w:t>
      </w:r>
      <w:r>
        <w:rPr>
          <w:rFonts w:ascii="Times New Roman" w:hAnsi="Times New Roman"/>
          <w:sz w:val="20"/>
        </w:rPr>
        <w:t>) made between BOG 600 West Chicago Property LLC, a Delaware limited liability company, as landlord (</w:t>
      </w:r>
      <w:r>
        <w:rPr>
          <w:rFonts w:ascii="Times New Roman" w:hAnsi="Times New Roman"/>
          <w:b/>
          <w:sz w:val="20"/>
        </w:rPr>
        <w:t>Landlord</w:t>
      </w:r>
      <w:r>
        <w:rPr>
          <w:rFonts w:ascii="Times New Roman" w:hAnsi="Times New Roman"/>
          <w:sz w:val="20"/>
        </w:rPr>
        <w:t>) and Tempus Labs, Inc., a Delaware corporation, as tenant (</w:t>
      </w:r>
      <w:r>
        <w:rPr>
          <w:rFonts w:ascii="Times New Roman" w:hAnsi="Times New Roman"/>
          <w:b/>
          <w:sz w:val="20"/>
        </w:rPr>
        <w:t>Tenant</w:t>
      </w:r>
      <w:r>
        <w:rPr>
          <w:rFonts w:ascii="Times New Roman" w:hAnsi="Times New Roman"/>
          <w:sz w:val="20"/>
        </w:rPr>
        <w:t xml:space="preserve">), relating to premises In the Building (as defined in the Lease). Capitalized terms used herein, unless otherwise defined In this Work Letter, shall have the respective meanings assigned to them in the Lease and if not defined in the Lease, shall have the respective meanings assigned to them in this Work Letter. As used in this Work Letter, the Premises shall be deemed to mean the Premises, as Initially defined in the Lease.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agreement to lease the Premises and the mutual covenants contained herein and in the Lease, Landlord and Tenant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Delivery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Landlord work. </w:t>
      </w:r>
    </w:p>
    <w:p>
      <w:pPr>
        <w:pStyle w:val="TextBody"/>
        <w:bidi w:val="0"/>
        <w:spacing w:before="240" w:after="0"/>
        <w:jc w:val="left"/>
        <w:rPr>
          <w:rFonts w:ascii="Times New Roman" w:hAnsi="Times New Roman"/>
          <w:sz w:val="20"/>
        </w:rPr>
      </w:pPr>
      <w:r>
        <w:rPr>
          <w:rFonts w:ascii="Times New Roman" w:hAnsi="Times New Roman"/>
          <w:sz w:val="20"/>
        </w:rPr>
        <w:t>(b) As of the date of the Lease, the Premises Is leased by another tenant (</w:t>
      </w:r>
      <w:r>
        <w:rPr>
          <w:rFonts w:ascii="Times New Roman" w:hAnsi="Times New Roman"/>
          <w:b/>
          <w:sz w:val="20"/>
        </w:rPr>
        <w:t>Wrigley</w:t>
      </w:r>
      <w:r>
        <w:rPr>
          <w:rFonts w:ascii="Times New Roman" w:hAnsi="Times New Roman"/>
          <w:sz w:val="20"/>
        </w:rPr>
        <w:t>) of the 600 Building. Pursuant to the lease with Wrigley (the </w:t>
      </w:r>
      <w:r>
        <w:rPr>
          <w:rFonts w:ascii="Times New Roman" w:hAnsi="Times New Roman"/>
          <w:b/>
          <w:sz w:val="20"/>
        </w:rPr>
        <w:t>Wrigley Lease</w:t>
      </w:r>
      <w:r>
        <w:rPr>
          <w:rFonts w:ascii="Times New Roman" w:hAnsi="Times New Roman"/>
          <w:sz w:val="20"/>
        </w:rPr>
        <w:t>) covering the Premises and other space at the 600 Building (collectively, the </w:t>
      </w:r>
      <w:r>
        <w:rPr>
          <w:rFonts w:ascii="Times New Roman" w:hAnsi="Times New Roman"/>
          <w:b/>
          <w:sz w:val="20"/>
        </w:rPr>
        <w:t>Wrigley Space</w:t>
      </w:r>
      <w:r>
        <w:rPr>
          <w:rFonts w:ascii="Times New Roman" w:hAnsi="Times New Roman"/>
          <w:sz w:val="20"/>
        </w:rPr>
        <w:t xml:space="preserve">), the Wrigley Lease will terminate as to the Premises on January 31, 2018. </w:t>
      </w:r>
    </w:p>
    <w:p>
      <w:pPr>
        <w:pStyle w:val="TextBody"/>
        <w:bidi w:val="0"/>
        <w:spacing w:before="240" w:after="0"/>
        <w:jc w:val="left"/>
        <w:rPr>
          <w:rFonts w:ascii="Times New Roman" w:hAnsi="Times New Roman"/>
          <w:sz w:val="20"/>
        </w:rPr>
      </w:pPr>
      <w:r>
        <w:rPr>
          <w:rFonts w:ascii="Times New Roman" w:hAnsi="Times New Roman"/>
          <w:sz w:val="20"/>
        </w:rPr>
        <w:t>(c) Landlord shall deliver the Premises (the </w:t>
      </w:r>
      <w:r>
        <w:rPr>
          <w:rFonts w:ascii="Times New Roman" w:hAnsi="Times New Roman"/>
          <w:b/>
          <w:sz w:val="20"/>
        </w:rPr>
        <w:t>Delivery Date</w:t>
      </w:r>
      <w:r>
        <w:rPr>
          <w:rFonts w:ascii="Times New Roman" w:hAnsi="Times New Roman"/>
          <w:sz w:val="20"/>
        </w:rPr>
        <w:t xml:space="preserve">) to Tenant 1 Business Day after the later to occur of the date on which (1) Landlord has recaptured the Premises from Wrigley and (2) Landlord has regained the legal right to possession thereof. Landlord shall use reasonable and diligent efforts to obtain possession of the Premises if Wrigley has not vacated the Premises on or before January 31, 2018. Notwithstanding anything to the contrary in the Lease, If the Delivery Date has not occurred on or before February 15, 2018, Tenant, as its sole remedy, shall have the right to terminate the Lease by delivering written notice thereof to Landlord at any time prior to the Delivery Date, whereupon the parties shall have no further rights or obligations hereunder and Landlord shall return any amounts previously paid to Landlord as a Security Deposit or pre-paid Rent, provided If Tenant has commenced Tanana Work (including, without limitation, the Separation Work) (as both terms are defined in </w:t>
      </w:r>
      <w:r>
        <w:rPr>
          <w:rFonts w:ascii="Times New Roman" w:hAnsi="Times New Roman"/>
          <w:sz w:val="20"/>
          <w:u w:val="single"/>
        </w:rPr>
        <w:t>Section 2[a]</w:t>
      </w:r>
      <w:r>
        <w:rPr>
          <w:rFonts w:ascii="Times New Roman" w:hAnsi="Times New Roman"/>
          <w:sz w:val="20"/>
        </w:rPr>
        <w:t xml:space="preserve"> below) in the Premises or the Wrigley Space on or before the Delivery Date, Tenant shall be deemed to have waived its termination right set forth in this sentence.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Tenants Work; Pre-Construction Documentation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Tenant shall, at Tenants own cost and expense except for the Construction Allowance and the Additional Amount (as hereinafter defined), and subject to Section 7 below, pay for all work (</w:t>
      </w:r>
      <w:r>
        <w:rPr>
          <w:rFonts w:ascii="Times New Roman" w:hAnsi="Times New Roman"/>
          <w:b/>
          <w:sz w:val="20"/>
        </w:rPr>
        <w:t>Tenants Work</w:t>
      </w:r>
      <w:r>
        <w:rPr>
          <w:rFonts w:ascii="Times New Roman" w:hAnsi="Times New Roman"/>
          <w:sz w:val="20"/>
        </w:rPr>
        <w:t>) to be performed that is necessary or desirable to renovate or improve the Premises to a finished condition ready for the conduct of Tenants business therein, which shall include, at a minimum, construction of a demising wall to demise the Premises from the remainder of the Wrigley Space (construction of such demising wall Is referred to as the </w:t>
      </w:r>
      <w:r>
        <w:rPr>
          <w:rFonts w:ascii="Times New Roman" w:hAnsi="Times New Roman"/>
          <w:b/>
          <w:sz w:val="20"/>
        </w:rPr>
        <w:t>Separation Work</w:t>
      </w:r>
      <w:r>
        <w:rPr>
          <w:rFonts w:ascii="Times New Roman" w:hAnsi="Times New Roman"/>
          <w:sz w:val="20"/>
        </w:rPr>
        <w:t xml:space="preserve">). Tenant shall (i) use reasonable commercial efforts to minimize interference with the use of the remainder of the Wrigley Space by Wrigley during performance of the Separation Work, (II) not perform the Separation Work between the hours of 8:00 A.M. and 5:00 P.M. on Business Days and (iii) diligently complete the Separation Work after commencement of the Separation Work. Tenants Work shall be performed in accordance with the Approved Tenants Plans (defined in </w:t>
      </w:r>
      <w:r>
        <w:rPr>
          <w:rFonts w:ascii="Times New Roman" w:hAnsi="Times New Roman"/>
          <w:sz w:val="20"/>
          <w:u w:val="single"/>
        </w:rPr>
        <w:t>Section 3(b)(iii)</w:t>
      </w:r>
      <w:r>
        <w:rPr>
          <w:rFonts w:ascii="Times New Roman" w:hAnsi="Times New Roman"/>
          <w:sz w:val="20"/>
        </w:rPr>
        <w:t xml:space="preserve"> hereof) and subject to the terms and conditions of this Work Letter and to the terms and conditions of the Lease. Tenants Work shall not affect the structure of the Building or the Building Systems except as may be expressly permitted by Landlord. Tenants Work shall be performed in accordance with, and include work as may be required by, the Contractor Guide as of August, 2017 (the </w:t>
      </w:r>
      <w:r>
        <w:rPr>
          <w:rFonts w:ascii="Times New Roman" w:hAnsi="Times New Roman"/>
          <w:b/>
          <w:sz w:val="20"/>
        </w:rPr>
        <w:t>Contractor Guide</w:t>
      </w:r>
      <w:r>
        <w:rPr>
          <w:rFonts w:ascii="Times New Roman" w:hAnsi="Times New Roman"/>
          <w:sz w:val="20"/>
        </w:rPr>
        <w:t>) that has been previously provided to Tenant The term </w:t>
      </w:r>
      <w:r>
        <w:rPr>
          <w:rFonts w:ascii="Times New Roman" w:hAnsi="Times New Roman"/>
          <w:b/>
          <w:sz w:val="20"/>
        </w:rPr>
        <w:t>Tenants Initial Installations</w:t>
      </w:r>
      <w:r>
        <w:rPr>
          <w:rFonts w:ascii="Times New Roman" w:hAnsi="Times New Roman"/>
          <w:sz w:val="20"/>
        </w:rPr>
        <w:t xml:space="preserve"> as used In </w:t>
      </w:r>
      <w:r>
        <w:rPr>
          <w:rFonts w:ascii="Times New Roman" w:hAnsi="Times New Roman"/>
          <w:sz w:val="20"/>
          <w:u w:val="single"/>
        </w:rPr>
        <w:t>Article 4</w:t>
      </w:r>
      <w:r>
        <w:rPr>
          <w:rFonts w:ascii="Times New Roman" w:hAnsi="Times New Roman"/>
          <w:sz w:val="20"/>
        </w:rPr>
        <w:t xml:space="preserve"> of the Lease shall mean Tenant% Work as defined in this Work Letter, and Landlord and Tenant agree that to the extent of any inconsistencies between the terms of </w:t>
      </w:r>
      <w:r>
        <w:rPr>
          <w:rFonts w:ascii="Times New Roman" w:hAnsi="Times New Roman"/>
          <w:sz w:val="20"/>
          <w:u w:val="single"/>
        </w:rPr>
        <w:t>Article 4</w:t>
      </w:r>
      <w:r>
        <w:rPr>
          <w:rFonts w:ascii="Times New Roman" w:hAnsi="Times New Roman"/>
          <w:sz w:val="20"/>
        </w:rPr>
        <w:t xml:space="preserve"> of the Lease with respect to Tenants Initial Installations and the terms of this Work Letter with respect to Tenants Work, the terms of this Work Letter with respect to Tenants Work shall supersede and control over the inconsistent terms of </w:t>
      </w:r>
      <w:r>
        <w:rPr>
          <w:rFonts w:ascii="Times New Roman" w:hAnsi="Times New Roman"/>
          <w:sz w:val="20"/>
          <w:u w:val="single"/>
        </w:rPr>
        <w:t>Article 4</w:t>
      </w:r>
      <w:r>
        <w:rPr>
          <w:rFonts w:ascii="Times New Roman" w:hAnsi="Times New Roman"/>
          <w:sz w:val="20"/>
        </w:rPr>
        <w:t xml:space="preserve"> with respect to Tenants initial Installations.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After the execution and delivery of the Lease, and prior to commencing any demolition or construction in the Premises, Tenant shall submit the following information and items to Landlord: </w:t>
      </w:r>
    </w:p>
    <w:p>
      <w:pPr>
        <w:pStyle w:val="TextBody"/>
        <w:bidi w:val="0"/>
        <w:spacing w:before="120" w:after="0"/>
        <w:jc w:val="left"/>
        <w:rPr>
          <w:rFonts w:ascii="Times New Roman" w:hAnsi="Times New Roman"/>
          <w:sz w:val="20"/>
        </w:rPr>
      </w:pPr>
      <w:r>
        <w:rPr>
          <w:rFonts w:ascii="Times New Roman" w:hAnsi="Times New Roman"/>
          <w:sz w:val="20"/>
        </w:rPr>
        <w:t xml:space="preserve">(i) The scheduled commencement date of construction of Tenants Work and the estimated date of completion of such construction In such space. </w:t>
      </w:r>
    </w:p>
    <w:p>
      <w:pPr>
        <w:pStyle w:val="TextBody"/>
        <w:bidi w:val="0"/>
        <w:spacing w:before="120" w:after="0"/>
        <w:jc w:val="left"/>
        <w:rPr>
          <w:rFonts w:ascii="Times New Roman" w:hAnsi="Times New Roman"/>
          <w:sz w:val="20"/>
        </w:rPr>
      </w:pPr>
      <w:r>
        <w:rPr>
          <w:rFonts w:ascii="Times New Roman" w:hAnsi="Times New Roman"/>
          <w:sz w:val="20"/>
        </w:rPr>
        <w:t>(ii) An itemized statement of the estimated construction cost, including permits and fees and architectural, engineering and contracting fees (the </w:t>
      </w:r>
      <w:r>
        <w:rPr>
          <w:rFonts w:ascii="Times New Roman" w:hAnsi="Times New Roman"/>
          <w:b/>
          <w:sz w:val="20"/>
        </w:rPr>
        <w:t>Estimated Cost of Tenants Work</w:t>
      </w:r>
      <w:r>
        <w:rPr>
          <w:rFonts w:ascii="Times New Roman" w:hAnsi="Times New Roman"/>
          <w:sz w:val="20"/>
        </w:rPr>
        <w:t xml:space="preserve">) of Tenants Work. </w:t>
      </w:r>
    </w:p>
    <w:p>
      <w:pPr>
        <w:pStyle w:val="TextBody"/>
        <w:bidi w:val="0"/>
        <w:spacing w:before="120" w:after="0"/>
        <w:jc w:val="left"/>
        <w:rPr>
          <w:rFonts w:ascii="Times New Roman" w:hAnsi="Times New Roman"/>
          <w:sz w:val="20"/>
        </w:rPr>
      </w:pPr>
      <w:r>
        <w:rPr>
          <w:rFonts w:ascii="Times New Roman" w:hAnsi="Times New Roman"/>
          <w:sz w:val="20"/>
        </w:rPr>
        <w:t xml:space="preserve">(iii) All contracts, including, without limitation, the general contract for Tenants Work (the </w:t>
      </w:r>
      <w:r>
        <w:rPr>
          <w:rFonts w:ascii="Times New Roman" w:hAnsi="Times New Roman"/>
          <w:b/>
          <w:sz w:val="20"/>
        </w:rPr>
        <w:t>General Contract</w:t>
      </w:r>
      <w:r>
        <w:rPr>
          <w:rFonts w:ascii="Times New Roman" w:hAnsi="Times New Roman"/>
          <w:sz w:val="20"/>
        </w:rPr>
        <w:t xml:space="preserve">) with Tenants Contractors (as defined in </w:t>
      </w:r>
      <w:r>
        <w:rPr>
          <w:rFonts w:ascii="Times New Roman" w:hAnsi="Times New Roman"/>
          <w:sz w:val="20"/>
          <w:u w:val="single"/>
        </w:rPr>
        <w:t>Section 5(d)</w:t>
      </w:r>
      <w:r>
        <w:rPr>
          <w:rFonts w:ascii="Times New Roman" w:hAnsi="Times New Roman"/>
          <w:sz w:val="20"/>
        </w:rPr>
        <w:t xml:space="preserve"> below), including, without limitation, Tenants general contractor (</w:t>
      </w:r>
      <w:r>
        <w:rPr>
          <w:rFonts w:ascii="Times New Roman" w:hAnsi="Times New Roman"/>
          <w:b/>
          <w:sz w:val="20"/>
        </w:rPr>
        <w:t>Project GC</w:t>
      </w:r>
      <w:r>
        <w:rPr>
          <w:rFonts w:ascii="Times New Roman" w:hAnsi="Times New Roman"/>
          <w:sz w:val="20"/>
        </w:rPr>
        <w:t xml:space="preserve">), shall be subject to the prior written approval of Landlord, which approval shall not be unreasonably withheld, delayed or conditioned. The parties agree that Landlords approval of the Project GC to perform the Tenants Work shall not be considered to be unreasonably withheld if any such Project GC (1) does not have trade references reasonably acceptable to Landlord, (2) does not maintain insurance as required pursuant to the terms of this Lease, or (3) is not licensed as a contractor in the state/municipality in which the Building is located. Tenant acknowledges the foregoing is not intended to be an exclusive list of the reasons why Landlord may reasonably withhold its consent to a Project GC. Prior to commencing to perform Tenants Work in the Premises, Tenant shall deliver to Landlord a copy of the General Contract. Tenant shall cause Tenants Contractors to comply with the provisions hereof and, as applicable, the Lease. </w:t>
      </w:r>
    </w:p>
    <w:p>
      <w:pPr>
        <w:pStyle w:val="TextBody"/>
        <w:bidi w:val="0"/>
        <w:spacing w:before="240" w:after="0"/>
        <w:jc w:val="left"/>
        <w:rPr>
          <w:rFonts w:ascii="Times New Roman" w:hAnsi="Times New Roman"/>
          <w:sz w:val="20"/>
        </w:rPr>
      </w:pPr>
      <w:r>
        <w:rPr>
          <w:rFonts w:ascii="Times New Roman" w:hAnsi="Times New Roman"/>
          <w:sz w:val="20"/>
        </w:rPr>
        <w:t xml:space="preserve">(c) Tenant shall submit the following Information and items to Landlord not less than five (5) days prior to commencement of construction of Tenants Work: </w:t>
      </w:r>
    </w:p>
    <w:p>
      <w:pPr>
        <w:pStyle w:val="TextBody"/>
        <w:bidi w:val="0"/>
        <w:spacing w:before="120" w:after="0"/>
        <w:jc w:val="left"/>
        <w:rPr>
          <w:rFonts w:ascii="Times New Roman" w:hAnsi="Times New Roman"/>
          <w:sz w:val="20"/>
        </w:rPr>
      </w:pPr>
      <w:r>
        <w:rPr>
          <w:rFonts w:ascii="Times New Roman" w:hAnsi="Times New Roman"/>
          <w:sz w:val="20"/>
        </w:rPr>
        <w:t xml:space="preserve">(i) The names and addresses of Tenants Contractors. Landlord shall have the right to approve Tenants Contractors and Tenant shall </w:t>
      </w:r>
    </w:p>
    <w:p>
      <w:pPr>
        <w:pStyle w:val="TextBody"/>
        <w:bidi w:val="0"/>
        <w:spacing w:before="0" w:after="0"/>
        <w:jc w:val="left"/>
        <w:rPr>
          <w:rFonts w:ascii="Times New Roman" w:hAnsi="Times New Roman"/>
          <w:sz w:val="20"/>
        </w:rPr>
      </w:pPr>
      <w:r>
        <w:rPr>
          <w:rFonts w:ascii="Times New Roman" w:hAnsi="Times New Roman"/>
          <w:sz w:val="20"/>
        </w:rPr>
        <w:t xml:space="preserve">employ as Tenants Contractors only those persons or entities on Landlords approved list from time to time or otherwise approved in writing by Landlord. </w:t>
      </w:r>
    </w:p>
    <w:p>
      <w:pPr>
        <w:pStyle w:val="TextBody"/>
        <w:bidi w:val="0"/>
        <w:spacing w:before="120" w:after="0"/>
        <w:jc w:val="left"/>
        <w:rPr>
          <w:rFonts w:ascii="Times New Roman" w:hAnsi="Times New Roman"/>
          <w:sz w:val="20"/>
        </w:rPr>
      </w:pPr>
      <w:r>
        <w:rPr>
          <w:rFonts w:ascii="Times New Roman" w:hAnsi="Times New Roman"/>
          <w:sz w:val="20"/>
        </w:rPr>
        <w:t xml:space="preserve">(ii) An updated itemized statement of estimated construction cost (broken down by trade), including permits and fees and architectural, engineering and contracting fees. </w:t>
      </w:r>
    </w:p>
    <w:p>
      <w:pPr>
        <w:pStyle w:val="TextBody"/>
        <w:bidi w:val="0"/>
        <w:spacing w:before="120" w:after="0"/>
        <w:jc w:val="left"/>
        <w:rPr>
          <w:rFonts w:ascii="Times New Roman" w:hAnsi="Times New Roman"/>
          <w:sz w:val="20"/>
        </w:rPr>
      </w:pPr>
      <w:r>
        <w:rPr>
          <w:rFonts w:ascii="Times New Roman" w:hAnsi="Times New Roman"/>
          <w:sz w:val="20"/>
        </w:rPr>
        <w:t xml:space="preserve">(iii) Certified copies of insurance policies or certificates of insurance as hereinafter described. Tenant shall not permit Tenants Contractors to commence work until the required insurance has been obtained and certified copies of policies or certificates have been delivered to Landlord. </w:t>
      </w:r>
    </w:p>
    <w:p>
      <w:pPr>
        <w:pStyle w:val="TextBody"/>
        <w:bidi w:val="0"/>
        <w:spacing w:before="120" w:after="0"/>
        <w:jc w:val="left"/>
        <w:rPr>
          <w:rFonts w:ascii="Times New Roman" w:hAnsi="Times New Roman"/>
          <w:sz w:val="20"/>
        </w:rPr>
      </w:pPr>
      <w:r>
        <w:rPr>
          <w:rFonts w:ascii="Times New Roman" w:hAnsi="Times New Roman"/>
          <w:sz w:val="20"/>
        </w:rPr>
        <w:t xml:space="preserve">(iv) A certified copy of a fully executed contract with each of Tenants Contractors. </w:t>
      </w:r>
    </w:p>
    <w:p>
      <w:pPr>
        <w:pStyle w:val="TextBody"/>
        <w:bidi w:val="0"/>
        <w:spacing w:before="120" w:after="0"/>
        <w:jc w:val="left"/>
        <w:rPr>
          <w:rFonts w:ascii="Times New Roman" w:hAnsi="Times New Roman"/>
          <w:sz w:val="20"/>
        </w:rPr>
      </w:pPr>
      <w:r>
        <w:rPr>
          <w:rFonts w:ascii="Times New Roman" w:hAnsi="Times New Roman"/>
          <w:sz w:val="20"/>
        </w:rPr>
        <w:t xml:space="preserve">(v) Such other documents listed in the Contractor Guide, or as otherwise reasonably required by Landlord. </w:t>
      </w:r>
    </w:p>
    <w:p>
      <w:pPr>
        <w:pStyle w:val="TextBody"/>
        <w:bidi w:val="0"/>
        <w:spacing w:before="240" w:after="0"/>
        <w:jc w:val="left"/>
        <w:rPr>
          <w:rFonts w:ascii="Times New Roman" w:hAnsi="Times New Roman"/>
          <w:sz w:val="20"/>
        </w:rPr>
      </w:pPr>
      <w:r>
        <w:rPr>
          <w:rFonts w:ascii="Times New Roman" w:hAnsi="Times New Roman"/>
          <w:sz w:val="20"/>
        </w:rPr>
        <w:t xml:space="preserve">(d) Tenant will update such information and items by prompt written notice to Landlord of any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Submission of Drawings</w:t>
      </w:r>
      <w:r>
        <w:rPr>
          <w:rFonts w:ascii="Times New Roman" w:hAnsi="Times New Roman"/>
          <w:sz w:val="20"/>
        </w:rPr>
        <w:t xml:space="preserve">. Tenant shall comply with the following procedure for approval of Tenants Plans (hereafter defined) by Landlord: </w:t>
      </w:r>
    </w:p>
    <w:p>
      <w:pPr>
        <w:pStyle w:val="TextBody"/>
        <w:bidi w:val="0"/>
        <w:spacing w:before="240" w:after="0"/>
        <w:jc w:val="left"/>
        <w:rPr>
          <w:rFonts w:ascii="Times New Roman" w:hAnsi="Times New Roman"/>
          <w:sz w:val="20"/>
        </w:rPr>
      </w:pPr>
      <w:r>
        <w:rPr>
          <w:rFonts w:ascii="Times New Roman" w:hAnsi="Times New Roman"/>
          <w:sz w:val="20"/>
        </w:rPr>
        <w:t>(a) Promptly after the execution and delivery of the Lease, Tenant shall deliver to Landlord three (3) black-and-white prints and one (1) CAD electronic format of a preliminary conceptual layout of the Premises for use in evaluation of space utilization in the Premises (</w:t>
      </w:r>
      <w:r>
        <w:rPr>
          <w:rFonts w:ascii="Times New Roman" w:hAnsi="Times New Roman"/>
          <w:b/>
          <w:sz w:val="20"/>
        </w:rPr>
        <w:t>Space Plan</w:t>
      </w:r>
      <w:r>
        <w:rPr>
          <w:rFonts w:ascii="Times New Roman" w:hAnsi="Times New Roman"/>
          <w:sz w:val="20"/>
        </w:rPr>
        <w:t xml:space="preserve">) prepared, at Tenants cost (subject to </w:t>
      </w:r>
      <w:r>
        <w:rPr>
          <w:rFonts w:ascii="Times New Roman" w:hAnsi="Times New Roman"/>
          <w:sz w:val="20"/>
          <w:u w:val="single"/>
        </w:rPr>
        <w:t>Section 7</w:t>
      </w:r>
      <w:r>
        <w:rPr>
          <w:rFonts w:ascii="Times New Roman" w:hAnsi="Times New Roman"/>
          <w:sz w:val="20"/>
        </w:rPr>
        <w:t>), by an architect licensed in the state where the Building is located, selected by Tenant and reasonably approved by Landlord (</w:t>
      </w:r>
      <w:r>
        <w:rPr>
          <w:rFonts w:ascii="Times New Roman" w:hAnsi="Times New Roman"/>
          <w:b/>
          <w:sz w:val="20"/>
        </w:rPr>
        <w:t>Tenants Architect</w:t>
      </w:r>
      <w:r>
        <w:rPr>
          <w:rFonts w:ascii="Times New Roman" w:hAnsi="Times New Roman"/>
          <w:sz w:val="20"/>
        </w:rPr>
        <w:t xml:space="preserve">). Landlord hereby approves Box Studios LLC as Tenants Architect and Environmental Systems Design, Inc. as Tenants mechanical, engineering and plumbing design firm. Not more than 10 Business Days after receipt of the Space Plan, Landlord shall notify Tenant either of its approval thereof, or a reasonably detailed description of the changes required. If Landlord notifies Tenant that changes are required, Tenant shall, within 5 Business Days thereafter, submit to Landlord, for its approval, a revised Space Plan. Landlord shall notify Tenant of its approval or disapproval of the revised Space Plan within 10 Business Days after Landlords receipt thereof and if Landlord disapproves the revised Space Plan, Tenant shall, within 5 Business Days thereafter, submit to Landlord, for Its approval, a revised Space Plan and this process shall continue until the Space Plan is approved by Landlord. If Landlord fails to respond to a submission or resubmission of the Space Plan or Tenants Plans (hereinafter defined) within 10 Business Days after Landlords receipt of such submission or resubmission, as required hereunder, Tenant shall provide Landlord a written reminder notice advising Landlord that Landlord has failed to timely respond to such submission or resubmission and stating that such submission or resubmission will be deemed approved, if Landlord fails to respond to such submission or resubmission within 5 Business Days following such reminder notice. If Landlord fails to provide any written response to such submission or resubmission within such 5 Business Day period following receipt of such reminder notice, then Landlord shall be deemed to have approved such submission or resubmission. Landlords approval of the Space Plan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Within 15 Business Days after Landlords approval of the Space Plan, Tenant shall deliver to Landlord for its approval, which approval shall not be unreasonably withheld, three (3) black-and-white prints and one (1) CAD electronic format of Tenants Plans prepared by Tenants Architect based on the approved Space Plan.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Tenants Plan</w:t>
      </w:r>
      <w:r>
        <w:rPr>
          <w:rFonts w:ascii="Times New Roman" w:hAnsi="Times New Roman"/>
          <w:sz w:val="20"/>
        </w:rPr>
        <w:t xml:space="preserve"> means the plans and specifications (including architectural, mechanical and electrical working drawings) for the supply, Installation and finishing in the Premises of Tenants Work, Including without limitation all partitions; doors and hardware; ceilings; wiring, lights and switches; heating, cooling and ventilation equipment and controls; telephone and electrical outlets; floor covering; drapes; built-ins; plumbing and fixtures; fire protection, fire warning and security systems; and other equipment and facilities attached to and forming part of the Building.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7</w:t>
      </w:r>
      <w:r>
        <w:rPr>
          <w:rFonts w:ascii="Times New Roman" w:hAnsi="Times New Roman"/>
          <w:sz w:val="20"/>
        </w:rPr>
        <w:t xml:space="preserve"> below, Tenants Plans shall be prepared at Tenants sole cost and expense by Tenants Architect Tenant shall pay all third party out-of-pocket fees and costs incurred by Landlord (i) in reviewing the Space Plan, Tenants Plans, specifications and drawings In the event such review Is required by Landlord in its reasonable discretion and (ii) in supervising Tenants Work. </w:t>
      </w:r>
    </w:p>
    <w:p>
      <w:pPr>
        <w:pStyle w:val="TextBody"/>
        <w:bidi w:val="0"/>
        <w:spacing w:before="120" w:after="0"/>
        <w:jc w:val="left"/>
        <w:rPr>
          <w:rFonts w:ascii="Times New Roman" w:hAnsi="Times New Roman"/>
          <w:sz w:val="20"/>
        </w:rPr>
      </w:pPr>
      <w:r>
        <w:rPr>
          <w:rFonts w:ascii="Times New Roman" w:hAnsi="Times New Roman"/>
          <w:sz w:val="20"/>
        </w:rPr>
        <w:t xml:space="preserve">(iii) Not more than 10 Business Days after receipt by Landlord of the Tenants Plans, Landlord shall notify Tenant either of Its approval thereof or a reasonably detailed description of changes required, and of any modifications required. If Landlord notifies Tenant that changes are required, Tenant shall within 5 Business Days submit to Landlord, for its approval, which approval shall not be unreasonably withheld, revised Tenants Plans. Landlord shall notify Tenant of its approval or disapproval of the revised Tenants Plans within 10 Business Days after Landlords receipt thereof and if Landlord disapproves the revised Tenants Plans and provides a reasonably detailed description of any required modifications, Tenant shall within 5 Business Days thereafter submit to Landlord, for its approval, the revised Tenants Plans and this process shall continue until the Tenants Plans are approved by Landlord (such Tenants Plans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finally approved by Landlord and any applicable permitting authorities shall be referred to herein as the </w:t>
      </w:r>
      <w:r>
        <w:rPr>
          <w:rFonts w:ascii="Times New Roman" w:hAnsi="Times New Roman"/>
          <w:b/>
          <w:sz w:val="20"/>
        </w:rPr>
        <w:t>Approved Tenants Plans</w:t>
      </w:r>
      <w:r>
        <w:rPr>
          <w:rFonts w:ascii="Times New Roman" w:hAnsi="Times New Roman"/>
          <w:sz w:val="20"/>
        </w:rPr>
        <w:t xml:space="preserve">). Landlords approval of the Tenants Plans shall not be unreasonably withheld, conditioned or delayed. Upon Landlords notification to Tenant of approval by Landlord of Tenants Plans, Tenant shall promptly submit Tenants Plans for pricing and to appropriate authorities for the issuance of a building permit. </w:t>
      </w:r>
    </w:p>
    <w:p>
      <w:pPr>
        <w:pStyle w:val="TextBody"/>
        <w:bidi w:val="0"/>
        <w:spacing w:before="120" w:after="0"/>
        <w:jc w:val="left"/>
        <w:rPr>
          <w:rFonts w:ascii="Times New Roman" w:hAnsi="Times New Roman"/>
          <w:sz w:val="20"/>
        </w:rPr>
      </w:pPr>
      <w:r>
        <w:rPr>
          <w:rFonts w:ascii="Times New Roman" w:hAnsi="Times New Roman"/>
          <w:sz w:val="20"/>
        </w:rPr>
        <w:t>(iv) Approvals or disapprovers on behalf of Landlord may be given by Landlord, Landlords Building manager (</w:t>
      </w:r>
      <w:r>
        <w:rPr>
          <w:rFonts w:ascii="Times New Roman" w:hAnsi="Times New Roman"/>
          <w:b/>
          <w:sz w:val="20"/>
        </w:rPr>
        <w:t>Manager</w:t>
      </w:r>
      <w:r>
        <w:rPr>
          <w:rFonts w:ascii="Times New Roman" w:hAnsi="Times New Roman"/>
          <w:sz w:val="20"/>
        </w:rPr>
        <w:t xml:space="preserve">) or such architect or other representative as Landlord may from time to time designate in writing. Landlord shall give reasonably detailed reasons for any disapproval. Landlords approval or supervision of any construction shall not constitute an assumption by Landlord of responsibility for the accuracy or sufficiency of Tenants Plans, for compliance with law or performance standards or otherwise. Without limiting the foregoing, Tenant agrees that ft shall be solely responsible for all elements of the design of Tenants Plans and Tenants Work (Including, without limitation, compliance with law, functionality of design, the structural integrity of the design, the configuration of the premises and the placement of Tenants furniture, appliances and equipment). Tenant shall submit any changes to Tenants Plans to Landlord for approval before commencing any work with respect to such changes. Unless otherwise agreed by Landlord, all drawings provided by Tenant hereunder shall be of uniform size not exceeding 36 x 48 and to a minimum scale of one eighth inch equals one foot.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Delivery of Premises: Commencement of Tenants Work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(i) intentionally omitted, (ii) Landlords maintenance obligations under the Lease and (Iii) Landlords obligations regarding Latent Defects under </w:t>
      </w:r>
      <w:r>
        <w:rPr>
          <w:rFonts w:ascii="Times New Roman" w:hAnsi="Times New Roman"/>
          <w:sz w:val="20"/>
          <w:u w:val="single"/>
        </w:rPr>
        <w:t>Section 5.1</w:t>
      </w:r>
      <w:r>
        <w:rPr>
          <w:rFonts w:ascii="Times New Roman" w:hAnsi="Times New Roman"/>
          <w:sz w:val="20"/>
        </w:rPr>
        <w:t xml:space="preserve"> of the Lease, Tenant shall take delivery of the Premises in their as is condition. </w:t>
      </w:r>
    </w:p>
    <w:p>
      <w:pPr>
        <w:pStyle w:val="TextBody"/>
        <w:bidi w:val="0"/>
        <w:spacing w:before="240" w:after="0"/>
        <w:jc w:val="left"/>
        <w:rPr>
          <w:rFonts w:ascii="Times New Roman" w:hAnsi="Times New Roman"/>
          <w:sz w:val="20"/>
        </w:rPr>
      </w:pPr>
      <w:r>
        <w:rPr>
          <w:rFonts w:ascii="Times New Roman" w:hAnsi="Times New Roman"/>
          <w:sz w:val="20"/>
        </w:rPr>
        <w:t xml:space="preserve">(b) No construction work shall be undertaken or commenced by Tenant in the Premises until: </w:t>
      </w:r>
    </w:p>
    <w:p>
      <w:pPr>
        <w:pStyle w:val="TextBody"/>
        <w:bidi w:val="0"/>
        <w:spacing w:before="120" w:after="0"/>
        <w:jc w:val="left"/>
        <w:rPr>
          <w:rFonts w:ascii="Times New Roman" w:hAnsi="Times New Roman"/>
          <w:sz w:val="20"/>
        </w:rPr>
      </w:pPr>
      <w:r>
        <w:rPr>
          <w:rFonts w:ascii="Times New Roman" w:hAnsi="Times New Roman"/>
          <w:sz w:val="20"/>
        </w:rPr>
        <w:t xml:space="preserve">(i) Tenants Plans have been submitted to and approved by Landlord, which approval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(ii) all governmental approvals and permits required for the commencement and performance of Tenants Work have been obtained by Tenant, and evidence thereof has been provided to Landlord, </w:t>
      </w:r>
    </w:p>
    <w:p>
      <w:pPr>
        <w:pStyle w:val="TextBody"/>
        <w:bidi w:val="0"/>
        <w:spacing w:before="120" w:after="0"/>
        <w:jc w:val="left"/>
        <w:rPr>
          <w:rFonts w:ascii="Times New Roman" w:hAnsi="Times New Roman"/>
          <w:sz w:val="20"/>
        </w:rPr>
      </w:pPr>
      <w:r>
        <w:rPr>
          <w:rFonts w:ascii="Times New Roman" w:hAnsi="Times New Roman"/>
          <w:sz w:val="20"/>
        </w:rPr>
        <w:t xml:space="preserve">(iii) all required insurance coverages have been obtained by Tenant, and evidence thereof provided to Landlord, </w:t>
      </w:r>
    </w:p>
    <w:p>
      <w:pPr>
        <w:pStyle w:val="TextBody"/>
        <w:bidi w:val="0"/>
        <w:spacing w:before="120" w:after="0"/>
        <w:jc w:val="left"/>
        <w:rPr>
          <w:rFonts w:ascii="Times New Roman" w:hAnsi="Times New Roman"/>
          <w:sz w:val="20"/>
        </w:rPr>
      </w:pPr>
      <w:r>
        <w:rPr>
          <w:rFonts w:ascii="Times New Roman" w:hAnsi="Times New Roman"/>
          <w:sz w:val="20"/>
        </w:rPr>
        <w:t xml:space="preserve">(iv) items required to be submitted to Landlord prior to commencement of construction of Tenants Work have been so submitted and have been approved, where required, and </w:t>
      </w:r>
    </w:p>
    <w:p>
      <w:pPr>
        <w:pStyle w:val="TextBody"/>
        <w:bidi w:val="0"/>
        <w:spacing w:before="120" w:after="0"/>
        <w:jc w:val="left"/>
        <w:rPr>
          <w:rFonts w:ascii="Times New Roman" w:hAnsi="Times New Roman"/>
          <w:sz w:val="20"/>
        </w:rPr>
      </w:pPr>
      <w:r>
        <w:rPr>
          <w:rFonts w:ascii="Times New Roman" w:hAnsi="Times New Roman"/>
          <w:sz w:val="20"/>
        </w:rPr>
        <w:t xml:space="preserve">(v) Landlord has given written notice that the work can proceed, subject to such reasonable conditions as Landlord may impose. Landlord agrees to give such notice (and inform Tenant of such reasonable conditions [if any]) promptly after Tenant satisfies the requirements of this </w:t>
      </w:r>
      <w:r>
        <w:rPr>
          <w:rFonts w:ascii="Times New Roman" w:hAnsi="Times New Roman"/>
          <w:sz w:val="20"/>
          <w:u w:val="single"/>
        </w:rPr>
        <w:t>Section 4(b)(i)-(iv)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Standards of Design and Construction of Tenants Work and Conditions of Tenants performance</w:t>
      </w:r>
      <w:r>
        <w:rPr>
          <w:rFonts w:ascii="Times New Roman" w:hAnsi="Times New Roman"/>
          <w:sz w:val="20"/>
        </w:rPr>
        <w:t xml:space="preserve">. All Tenants Work done In or upon the Premises shall be done according to the standards set forth in this Section 5 except as the same may be modified on Tenants Plans approved by or on behalf of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All design and construction shall comply with all applicable Legal Requirements and industry standards. Approval by Landlord of Tenants Plans shall not constitute a waiver of this requirement or assumption by Landlord of responsibility for compliance. Where several sets of the foregoing Legal Requirements and standards must be met, the strictest shall apply where not prohibited by another Legal Requirement or standard. Tenant shall cause Tenants Architect to become familiar with the foregoing design criteria and with all construction procedures which may be established by Landlord for the Building in order to permit completion of proper and adequate architectural, mechanical, electrical, plumbing and fire protection working drawings for Tenants Work in conformity with the standards provided for herein and In order to assure proper coordination of Tenants Work with the construction of other tenants premises In the Building. </w:t>
      </w:r>
    </w:p>
    <w:p>
      <w:pPr>
        <w:pStyle w:val="TextBody"/>
        <w:bidi w:val="0"/>
        <w:spacing w:before="240" w:after="0"/>
        <w:jc w:val="left"/>
        <w:rPr>
          <w:rFonts w:ascii="Times New Roman" w:hAnsi="Times New Roman"/>
          <w:sz w:val="20"/>
        </w:rPr>
      </w:pPr>
      <w:r>
        <w:rPr>
          <w:rFonts w:ascii="Times New Roman" w:hAnsi="Times New Roman"/>
          <w:sz w:val="20"/>
        </w:rPr>
        <w:t xml:space="preserve">(b) Prior to commencing Tenants Work, Tenant shall, at its own cost and expense, obtain all required building permits and any other permits or approvals required from Governmental Authorities or any other party and when construction has been completed shall, at its own cost and expense, obtain an occupancy permit for the Premises, which shall be delivered to Landlord. </w:t>
      </w:r>
    </w:p>
    <w:p>
      <w:pPr>
        <w:pStyle w:val="TextBody"/>
        <w:bidi w:val="0"/>
        <w:spacing w:before="240" w:after="0"/>
        <w:jc w:val="left"/>
        <w:rPr>
          <w:rFonts w:ascii="Times New Roman" w:hAnsi="Times New Roman"/>
          <w:sz w:val="20"/>
        </w:rPr>
      </w:pPr>
      <w:r>
        <w:rPr>
          <w:rFonts w:ascii="Times New Roman" w:hAnsi="Times New Roman"/>
          <w:sz w:val="20"/>
        </w:rPr>
        <w:t xml:space="preserve">(c) The cost of obtaining the permits and approvals required to be obtained by Tenant or the Project GC under this </w:t>
      </w:r>
      <w:r>
        <w:rPr>
          <w:rFonts w:ascii="Times New Roman" w:hAnsi="Times New Roman"/>
          <w:sz w:val="20"/>
          <w:u w:val="single"/>
        </w:rPr>
        <w:t>Section 5(b)</w:t>
      </w:r>
      <w:r>
        <w:rPr>
          <w:rFonts w:ascii="Times New Roman" w:hAnsi="Times New Roman"/>
          <w:sz w:val="20"/>
        </w:rPr>
        <w:t xml:space="preserve"> shall constitute Permitted Costs (as defined in </w:t>
      </w:r>
      <w:r>
        <w:rPr>
          <w:rFonts w:ascii="Times New Roman" w:hAnsi="Times New Roman"/>
          <w:sz w:val="20"/>
          <w:u w:val="single"/>
        </w:rPr>
        <w:t>Section 7</w:t>
      </w:r>
      <w:r>
        <w:rPr>
          <w:rFonts w:ascii="Times New Roman" w:hAnsi="Times New Roman"/>
          <w:sz w:val="20"/>
        </w:rPr>
        <w:t xml:space="preserve">) which shall be reimbursed out of the Construction Allowance in accordance with </w:t>
      </w:r>
      <w:r>
        <w:rPr>
          <w:rFonts w:ascii="Times New Roman" w:hAnsi="Times New Roman"/>
          <w:sz w:val="20"/>
          <w:u w:val="single"/>
        </w:rPr>
        <w:t>Section 7</w:t>
      </w:r>
      <w:r>
        <w:rPr>
          <w:rFonts w:ascii="Times New Roman" w:hAnsi="Times New Roman"/>
          <w:sz w:val="20"/>
        </w:rPr>
        <w:t xml:space="preserve"> of this Work Letter, provided the requirements of said </w:t>
      </w:r>
      <w:r>
        <w:rPr>
          <w:rFonts w:ascii="Times New Roman" w:hAnsi="Times New Roman"/>
          <w:sz w:val="20"/>
          <w:u w:val="single"/>
        </w:rPr>
        <w:t>Section 7</w:t>
      </w:r>
      <w:r>
        <w:rPr>
          <w:rFonts w:ascii="Times New Roman" w:hAnsi="Times New Roman"/>
          <w:sz w:val="20"/>
        </w:rPr>
        <w:t xml:space="preserve"> are satisfied. </w:t>
      </w:r>
    </w:p>
    <w:p>
      <w:pPr>
        <w:pStyle w:val="TextBody"/>
        <w:bidi w:val="0"/>
        <w:spacing w:before="240" w:after="0"/>
        <w:jc w:val="left"/>
        <w:rPr>
          <w:rFonts w:ascii="Times New Roman" w:hAnsi="Times New Roman"/>
          <w:sz w:val="20"/>
        </w:rPr>
      </w:pPr>
      <w:r>
        <w:rPr>
          <w:rFonts w:ascii="Times New Roman" w:hAnsi="Times New Roman"/>
          <w:sz w:val="20"/>
        </w:rPr>
        <w:t>(d) All contractors and subcontractors selected or engaged by or on behalf of Tenant for construction of Tenants Work (collectively, </w:t>
      </w:r>
      <w:r>
        <w:rPr>
          <w:rFonts w:ascii="Times New Roman" w:hAnsi="Times New Roman"/>
          <w:b/>
          <w:sz w:val="20"/>
        </w:rPr>
        <w:t>Tenants Contractors</w:t>
      </w:r>
      <w:r>
        <w:rPr>
          <w:rFonts w:ascii="Times New Roman" w:hAnsi="Times New Roman"/>
          <w:sz w:val="20"/>
        </w:rPr>
        <w:t xml:space="preserve">) shall be on Landlords approved list or are approved In writing by Landlord and shall be licensed contractors, possessing good labor relations, capable of performing quality workmanship and working in harmony with Landlords employees, contractors and subcontractors and with other contractors and subcontractors on the job site. All work shall be coordinated with any general construction work in the Building in order not to adversely affect other work being performed by or for Landlord or its contractors and subcontractors. </w:t>
      </w:r>
    </w:p>
    <w:p>
      <w:pPr>
        <w:pStyle w:val="TextBody"/>
        <w:bidi w:val="0"/>
        <w:spacing w:before="240" w:after="0"/>
        <w:jc w:val="left"/>
        <w:rPr>
          <w:rFonts w:ascii="Times New Roman" w:hAnsi="Times New Roman"/>
          <w:sz w:val="20"/>
        </w:rPr>
      </w:pPr>
      <w:r>
        <w:rPr>
          <w:rFonts w:ascii="Times New Roman" w:hAnsi="Times New Roman"/>
          <w:sz w:val="20"/>
        </w:rPr>
        <w:t xml:space="preserve">(e) Landlord shall have the right, but not the obligation, to perform, on behalf of and for the account of Tenant subject to reimbursement by Tenant for the reasonable actual costs thereof without any profit to Landlord, any work (i) which Landlord deems necessary to be done on an emergency basis, or (ii) which pertains to structural components of the Building, or (iii) which pertains to the Buildings mechanical, electrical, plumbing and fire protection systems, or (iv) which pertains to the erection of temporary safety barricades or signs during construction, or (v) which pertains to patching of Tenants Work and other work in the Building. If Landlord elects to exercise Its rights under clauses (ii) or (iii) of this </w:t>
      </w:r>
      <w:r>
        <w:rPr>
          <w:rFonts w:ascii="Times New Roman" w:hAnsi="Times New Roman"/>
          <w:sz w:val="20"/>
          <w:u w:val="single"/>
        </w:rPr>
        <w:t>Section 5(d)</w:t>
      </w:r>
      <w:r>
        <w:rPr>
          <w:rFonts w:ascii="Times New Roman" w:hAnsi="Times New Roman"/>
          <w:sz w:val="20"/>
        </w:rPr>
        <w:t xml:space="preserve">, Landlord agrees to give Tenant reasonable prior written notice and to consult with Tenant about the completion of such work so as to minimize Tenants costs without adversely impacting the Buildings structural components or Building Systems. </w:t>
      </w:r>
    </w:p>
    <w:p>
      <w:pPr>
        <w:pStyle w:val="TextBody"/>
        <w:bidi w:val="0"/>
        <w:spacing w:before="240" w:after="0"/>
        <w:jc w:val="left"/>
        <w:rPr>
          <w:rFonts w:ascii="Times New Roman" w:hAnsi="Times New Roman"/>
          <w:sz w:val="20"/>
        </w:rPr>
      </w:pPr>
      <w:r>
        <w:rPr>
          <w:rFonts w:ascii="Times New Roman" w:hAnsi="Times New Roman"/>
          <w:sz w:val="20"/>
        </w:rPr>
        <w:t xml:space="preserve">(f) Only new materials shall be used in Tenants Work, except where explicitly shown in Tenants Plans approved by Landlord. Upon the completion of Tenants Work, Tenant shall provide or cause to be provided to Landlord warranties of at least one (1) year In duration from the date of completion against defects in workmanship and materials on all work performed and equipment installed in the Premises as part of Tenants Work. </w:t>
      </w:r>
    </w:p>
    <w:p>
      <w:pPr>
        <w:pStyle w:val="TextBody"/>
        <w:bidi w:val="0"/>
        <w:spacing w:before="240" w:after="0"/>
        <w:jc w:val="left"/>
        <w:rPr>
          <w:rFonts w:ascii="Times New Roman" w:hAnsi="Times New Roman"/>
          <w:sz w:val="20"/>
        </w:rPr>
      </w:pPr>
      <w:r>
        <w:rPr>
          <w:rFonts w:ascii="Times New Roman" w:hAnsi="Times New Roman"/>
          <w:sz w:val="20"/>
        </w:rPr>
        <w:t xml:space="preserve">(g) My parties performing Tenants Work, In performing such work, shall not interfere with other tenants and occupants of the Building. Tenant shall take all reasonable precautionary steps to protect the Premises end the facilities of others affected by Tenants Work and to properly police same. Construction equipment and materials are to be kept within the Premises and delivery and loading of equipment and materials shall be done at such locations and at such time as Landlord shall reasonably direct so as not to burden the construction or operation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(h) Landlord shall have the right to order Tenant or any of Tenants Contractors who have violated the requirements imposed on Tenant or Tenants Contractors pursuant to this Work Letter to cease work and remove its equipment and employees from the Building unless Tenant or Tenants Contracts, as the case may be, cures such violation within 24 hours after receipt by Tenant or Tenants Contractor(s) of notice of such violation, which notice may be sent in accordance with the notice provisions of the Lease or by email to Pat Garrison, pat@lightbank.com.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Subject to Landlords payment of the Construction Allowance pursuant to, and in accordance with, </w:t>
      </w:r>
      <w:r>
        <w:rPr>
          <w:rFonts w:ascii="Times New Roman" w:hAnsi="Times New Roman"/>
          <w:sz w:val="20"/>
          <w:u w:val="single"/>
        </w:rPr>
        <w:t>Section 7</w:t>
      </w:r>
      <w:r>
        <w:rPr>
          <w:rFonts w:ascii="Times New Roman" w:hAnsi="Times New Roman"/>
          <w:sz w:val="20"/>
        </w:rPr>
        <w:t xml:space="preserve"> Tenant shall pay Landlord for the actual, reasonable cost of (i) all work performed by Landlord on behalf of Tenant, (ii) all materials or labor furnished on Tenants behalf, and (iii) all other amounts required to be paid pursuant to this Work Letter by Tenant to Landlord, within thirty (30) days from the date of Landlords Invoice therefor, </w:t>
      </w:r>
    </w:p>
    <w:p>
      <w:pPr>
        <w:pStyle w:val="TextBody"/>
        <w:bidi w:val="0"/>
        <w:spacing w:before="240" w:after="0"/>
        <w:jc w:val="left"/>
        <w:rPr>
          <w:rFonts w:ascii="Times New Roman" w:hAnsi="Times New Roman"/>
          <w:sz w:val="20"/>
        </w:rPr>
      </w:pPr>
      <w:r>
        <w:rPr>
          <w:rFonts w:ascii="Times New Roman" w:hAnsi="Times New Roman"/>
          <w:sz w:val="20"/>
        </w:rPr>
        <w:t xml:space="preserve">(j) Charges for any service (including, without limitation, electricity, water, HVAC, dumpster fees, hoisting charges or freight elevator operator employed during the pendency of the performance of Tenants Work and the like) to Tenant or the Premises shall be the responsibility of Tenant from the date Tenant is obligated to commence or commences Tenants Work. Tenant shall pay Landlords contractors and Landlord their actual, respective charges for such services and all other support services which may be provided at Tenants (or its agents or contractors or the Project GCs) request by Landlords contractors or by Landlord. All use of freight elevators is subject to scheduling by Landlord and to charges established by Landlord for the reimbursement of Landlords actual costs for Tenants use of the freight elevators during the hours for which additional charges may be charged by Landlord as specified in </w:t>
      </w:r>
      <w:r>
        <w:rPr>
          <w:rFonts w:ascii="Times New Roman" w:hAnsi="Times New Roman"/>
          <w:sz w:val="20"/>
          <w:u w:val="single"/>
        </w:rPr>
        <w:t>Section 10.3</w:t>
      </w:r>
      <w:r>
        <w:rPr>
          <w:rFonts w:ascii="Times New Roman" w:hAnsi="Times New Roman"/>
          <w:sz w:val="20"/>
        </w:rPr>
        <w:t xml:space="preserve"> of the Lease. Tenant shall ensure that Tenants Contractors remove all construction debris and shall not place debris in the Buildings waste containers. </w:t>
      </w:r>
    </w:p>
    <w:p>
      <w:pPr>
        <w:pStyle w:val="TextBody"/>
        <w:bidi w:val="0"/>
        <w:spacing w:before="240" w:after="0"/>
        <w:jc w:val="left"/>
        <w:rPr>
          <w:rFonts w:ascii="Times New Roman" w:hAnsi="Times New Roman"/>
          <w:sz w:val="20"/>
        </w:rPr>
      </w:pPr>
      <w:r>
        <w:rPr>
          <w:rFonts w:ascii="Times New Roman" w:hAnsi="Times New Roman"/>
          <w:sz w:val="20"/>
        </w:rPr>
        <w:t xml:space="preserve">(k) Tenant shall permit access to the Premises, and Tenants Work shall be subject to inspection by Landlord, Manager and Landlords architects, contractors and other representatives, at all times during the period when Tenants Work is being constructed and installed, including a final Inspection following completion of Tenants Work and at the time that Landlord, or any of the aforementioned parties, desires to conduct such an inspection, Tenant will permit Landlord or such party, as applicable, to have access to conduct such inspection. </w:t>
      </w:r>
    </w:p>
    <w:p>
      <w:pPr>
        <w:pStyle w:val="TextBody"/>
        <w:bidi w:val="0"/>
        <w:spacing w:before="240" w:after="0"/>
        <w:jc w:val="left"/>
        <w:rPr>
          <w:rFonts w:ascii="Times New Roman" w:hAnsi="Times New Roman"/>
          <w:sz w:val="20"/>
        </w:rPr>
      </w:pPr>
      <w:r>
        <w:rPr>
          <w:rFonts w:ascii="Times New Roman" w:hAnsi="Times New Roman"/>
          <w:sz w:val="20"/>
        </w:rPr>
        <w:t xml:space="preserve">(l) Subject only to Unavoidable Delays, Tenant shall cause the Tenants Work to be completed expeditiously and efficiently, and shall use commercially reasonable efforts (which shall not require overtime) to cause the Tenants Work to be completed prior to the date which Is 180 days after the Delivery Date. Tenant shall notify Landlord upon completion of Tenants Work. </w:t>
      </w:r>
    </w:p>
    <w:p>
      <w:pPr>
        <w:pStyle w:val="TextBody"/>
        <w:bidi w:val="0"/>
        <w:spacing w:before="240" w:after="0"/>
        <w:jc w:val="left"/>
        <w:rPr>
          <w:rFonts w:ascii="Times New Roman" w:hAnsi="Times New Roman"/>
          <w:sz w:val="20"/>
        </w:rPr>
      </w:pPr>
      <w:r>
        <w:rPr>
          <w:rFonts w:ascii="Times New Roman" w:hAnsi="Times New Roman"/>
          <w:sz w:val="20"/>
        </w:rPr>
        <w:t xml:space="preserve">(m) In addition, upon completion of Tenants Work, Tenant shall notify Landlord and shall furnish Landlord with final waivers of liens and contractors affidavits, in such form as may be reasonably required by Landlord, Landlords title insurance company or construction lender, if any, from all parties performing labor or supplying materials or services in connection with Tenants Work showing that all of said parties have been compensated in full and waiving all liens In connection with the Premises and Building. Tenant shall furnish partial waivers of liens and contractors affidavits to Landlord from time to time during the course of construction upon Landlords request covering those portions of such labor, materials and services which have been performed and supplied. Tenant shall submit to Landlord a detailed breakdown of the total construction costs of Tenants Work, together with such evidence of payment as is reasonably satisfactory to Landlord. </w:t>
      </w:r>
    </w:p>
    <w:p>
      <w:pPr>
        <w:pStyle w:val="TextBody"/>
        <w:bidi w:val="0"/>
        <w:spacing w:before="240" w:after="0"/>
        <w:jc w:val="left"/>
        <w:rPr>
          <w:rFonts w:ascii="Times New Roman" w:hAnsi="Times New Roman"/>
          <w:sz w:val="20"/>
        </w:rPr>
      </w:pPr>
      <w:r>
        <w:rPr>
          <w:rFonts w:ascii="Times New Roman" w:hAnsi="Times New Roman"/>
          <w:sz w:val="20"/>
        </w:rPr>
        <w:t xml:space="preserve">(n) Tenant shall have no authority to permit Project GC, Tenants Contractors or any other party to deviate in any material respect from the Approved Tenants Plans in performance of Tenants Work, except as approved by Landlord and its designated representative in writing, which approval shall not be unreasonably withheld, conditioned or delayed to the extent that the requested deviation from the Approved Tenants Plans does not affect the Buildings structure or Building Systems. Upon completion of Tenants Work, Tenant shall furnish to Landlord a hard copy and an electronic version of mu-built° drawings of Tenants Work. </w:t>
      </w:r>
    </w:p>
    <w:p>
      <w:pPr>
        <w:pStyle w:val="TextBody"/>
        <w:bidi w:val="0"/>
        <w:spacing w:before="240" w:after="0"/>
        <w:jc w:val="left"/>
        <w:rPr>
          <w:rFonts w:ascii="Times New Roman" w:hAnsi="Times New Roman"/>
          <w:sz w:val="20"/>
        </w:rPr>
      </w:pPr>
      <w:r>
        <w:rPr>
          <w:rFonts w:ascii="Times New Roman" w:hAnsi="Times New Roman"/>
          <w:sz w:val="20"/>
        </w:rPr>
        <w:t xml:space="preserve">(o)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(p) Tenant shall cause the Project GC. Tenants Contractors, Tenants Architect and Tenants engineer to comply with all applicable terms of this Work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Tenant and Tenants employees shall not be permitted to occupy the Premises for the purpose of conducting Tenants business therein until Landlords architect reasonably confirms that Tenants Work therein has been substantially completed in accordance with the Approved Tenants Plans. Landlord agrees that it shall use reasonable efforts to obtain such confirmation within two (2) Business Days after Tenants written request therefor.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any insurance which may be required under the Lease, Tenant shall secure, pay for and maintain or cause the Project GC and the other Tenants Contractors to secure, pay for and maintain during the continuance of construction and fixturing work within the Building or Premises, insurance in the following minimum coverages and limits of liability: </w:t>
      </w:r>
    </w:p>
    <w:p>
      <w:pPr>
        <w:pStyle w:val="TextBody"/>
        <w:bidi w:val="0"/>
        <w:spacing w:before="120" w:after="0"/>
        <w:jc w:val="left"/>
        <w:rPr>
          <w:rFonts w:ascii="Times New Roman" w:hAnsi="Times New Roman"/>
          <w:sz w:val="20"/>
        </w:rPr>
      </w:pPr>
      <w:r>
        <w:rPr>
          <w:rFonts w:ascii="Times New Roman" w:hAnsi="Times New Roman"/>
          <w:sz w:val="20"/>
        </w:rPr>
        <w:t xml:space="preserve">(i) Workers Compensation and Employers Liability Insurance with limits of not less than $1,000,000.00 and as required by any Employee Benefit Acts or other statutes applicable where the work is to be performed as will protect Tenants Contractors from liability under the aforementioned acts. </w:t>
      </w:r>
    </w:p>
    <w:p>
      <w:pPr>
        <w:pStyle w:val="TextBody"/>
        <w:bidi w:val="0"/>
        <w:spacing w:before="120" w:after="0"/>
        <w:jc w:val="left"/>
        <w:rPr>
          <w:rFonts w:ascii="Times New Roman" w:hAnsi="Times New Roman"/>
          <w:sz w:val="20"/>
        </w:rPr>
      </w:pPr>
      <w:r>
        <w:rPr>
          <w:rFonts w:ascii="Times New Roman" w:hAnsi="Times New Roman"/>
          <w:sz w:val="20"/>
        </w:rPr>
        <w:t xml:space="preserve">(ii) Comprehensive General Liability Insurance (including Contractors Protective Liability) in the following amounts: (a) for the Project GC, in an amount not less than $2,000,000.00 per occurrence, whether involving bodily injury liability (or death resulting therefrom) or property damage liability, or a combination thereof, with a minimum aggregate limit of $2,000,000.00, and with umbrella coverage with limits not less than $10,000,000.00 and (b) for any other Tenants Contractors, in an amount not less than $1,000,000.00 per occurrence, whether Involving bodily Injury liability (or death resulting therefrom) or property damage liability, or a combination thereof, with a minimum aggregate limit of $1,000,000.00, and with umbrella coverage with limits not less than $5,000,000.00. Such insurance shall provide for explosion and collapse, completed operations coverage with 2 year extension after completion of the work, and broad form blanket contractual liability coverage and shall insure Tenants Contractors against any and all claims for bodily injury, including death resulting therefrom, and damage to the property of others arising from its operations under the contracts, whether such operations are performed by Tenants Contractors or by anyone directly or Indirectly employed by any of them. </w:t>
      </w:r>
    </w:p>
    <w:p>
      <w:pPr>
        <w:pStyle w:val="TextBody"/>
        <w:bidi w:val="0"/>
        <w:spacing w:before="120" w:after="0"/>
        <w:jc w:val="left"/>
        <w:rPr>
          <w:rFonts w:ascii="Times New Roman" w:hAnsi="Times New Roman"/>
          <w:sz w:val="20"/>
        </w:rPr>
      </w:pPr>
      <w:r>
        <w:rPr>
          <w:rFonts w:ascii="Times New Roman" w:hAnsi="Times New Roman"/>
          <w:sz w:val="20"/>
        </w:rPr>
        <w:t xml:space="preserve">(iii) Comprehensive Automobile Liability Insurance, including the ownership, maintenance and operation of any automotive equipment, owned, hired, or non-owned in an amount not less than $500,000.00 for each person In one accident, and $1,000,000.00 for injuries sustained by two or more persons In any one accident and property damage liability in an amount not less than $1,000,000.00 for each accident. Such insurance shall insure Tenants Contractors against any and all claims for bodily injury, including death resulting therefrom, and damage to the property of others arising from its operations under the contracts, whether such operations are performed by Tenants Contractors, or by anyone directly or indirectly employed by any of them. </w:t>
      </w:r>
    </w:p>
    <w:p>
      <w:pPr>
        <w:pStyle w:val="TextBody"/>
        <w:bidi w:val="0"/>
        <w:spacing w:before="120" w:after="0"/>
        <w:jc w:val="left"/>
        <w:rPr>
          <w:rFonts w:ascii="Times New Roman" w:hAnsi="Times New Roman"/>
          <w:sz w:val="20"/>
        </w:rPr>
      </w:pPr>
      <w:r>
        <w:rPr>
          <w:rFonts w:ascii="Times New Roman" w:hAnsi="Times New Roman"/>
          <w:sz w:val="20"/>
        </w:rPr>
        <w:t xml:space="preserve">(iv) All-risk- builders risk insurance upon the entire Tenants Work to the full insurable value thereof. This insurance shall include the interests of Landlord and Tenant (and their respective contractors and subcontractors of any tier to the extent of any insurable interest therein) in the Tenants Work and shall insure against the perils of fire and extended coverage and shall include all-risk builders risk insurance for physical loss or damage including, without duplication of coverage, theft, vandalism and malicious mischief. If portions of the Tenants Work are stored off the site of the Building or in transit to said site are not covered under said all-risks builders risk Insurance, then Tenant shall effect and maintain similar property insurance on such portions of Tenants Work. Any loss insured under said all-risk builders risk Insurance is to be adjusted with Landlord and Tenant and made payable to Landlord as trustee for the insureds, as their Interests may appear, subject to the agreement reached by said parties in interest, or in the absence of any such agreement, then in accordance with a final, non-appealable order of a court of competent jurisdiction. If after such loss no other special agreement is made, the decision to replace or not replace any such damaged Tenants Work shall be made in accordance with the terms and provisions of the Lease. The waiver of subrogation provisions contained In the Lease shall apply to the gall-risk builders risk insurance policy to be obtained by Tenant pursuant to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policies (except the workers compensation policy) shall be endorsed to include as additional insured parties Landlord and its officers, directors, partners,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Manager, Landlords contractors, Landlords architects, and such additional persons as Landlord may designate. said endorsements shall also provide that all additional insured parties shall be given not less than thirty (30) days prior written notice of any reduction, cancellation or non-renewal of coverage (except that not less than ten (10) days prior written notice shall be sufficient in the case of cancellation for non-payment of premium) and shall provide that the insurance coverage afforded to the additional Insured parties thereunder shall be primary to any insurance carried independently by said additional insured parties and such additional Insured Interest shall extend to all coverages required herein, including completed operations coverage. At Tenants request, Landlord shall furnish a list of names and addresses of parties to be named as additional insureds. The insurance policies required hereunder shall be considered as the primary Insurance and shall not call into contribution any insurance maintained by Landlord. Additionally, where applicable, each policy shall contain a cross-liability and severability of interest clause.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limitation of the indemnification provisions contained in the Lease or elsewhere in this Work Letter, Tenant agrees to indemnify, defend and hold harmless Landlord and the Exculpated Parties from and against all claims, charges, liabilities, obligations, penalties, causes of action, liens, damages, costs and expenses, Including, without limitation, reasonable attorneys fees and other profession&amp; fees (to the extent permitted by Legal Requirements) arising out of or in connection with Tenants Work or the entry of Tenants Contractors (including, without limitation, the Project GC) into the Building and the Premises, including, without limitation, the cost of any repairs to the Premises or Building necessitated by activities of Tenants Contractors (including, without limitation, the Project GC) and bodily injury to persons or damage to the property of Tenant, its employees, agents, Invitees, licensees or others; provided, however, that Tenant shall not be required to Indemnify Landlord or any Exculpated Parties from its or their own negligence to the extent that such Indemnification would be prohibited by applicable Legal Requirements. it is understood and agreed that the foregoing Indemnity shall be In addition to the Insurance requirements set forth above and shall not be in discharge of or in substitution for same.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Construction Allowance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Landlord shall pay to Tenant an improvement allowance to be applied (subject to the immediately succeeding paragraph) toward the cost of Tenants Work (the </w:t>
      </w:r>
      <w:r>
        <w:rPr>
          <w:rFonts w:ascii="Times New Roman" w:hAnsi="Times New Roman"/>
          <w:b/>
          <w:sz w:val="20"/>
        </w:rPr>
        <w:t>Construction Allowance</w:t>
      </w:r>
      <w:r>
        <w:rPr>
          <w:rFonts w:ascii="Times New Roman" w:hAnsi="Times New Roman"/>
          <w:sz w:val="20"/>
        </w:rPr>
        <w:t>) equal to the following: an amount equal to an aggregate of $5,071,105.00, which is $65.00 per rentable square foot of the Premises. In addition, Landlord shall reimburse Tenant for the actual, reasonable cost to perform the Separation Work (the </w:t>
      </w:r>
      <w:r>
        <w:rPr>
          <w:rFonts w:ascii="Times New Roman" w:hAnsi="Times New Roman"/>
          <w:b/>
          <w:sz w:val="20"/>
        </w:rPr>
        <w:t>Separation Work Reimbursement</w:t>
      </w:r>
      <w:r>
        <w:rPr>
          <w:rFonts w:ascii="Times New Roman" w:hAnsi="Times New Roman"/>
          <w:sz w:val="20"/>
        </w:rPr>
        <w:t xml:space="preserve">) as evidenced by the documents submitted for disbursement from the Escrow Agent as provided in </w:t>
      </w:r>
      <w:r>
        <w:rPr>
          <w:rFonts w:ascii="Times New Roman" w:hAnsi="Times New Roman"/>
          <w:sz w:val="20"/>
          <w:u w:val="single"/>
        </w:rPr>
        <w:t>Sections 7(e)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below. </w:t>
      </w:r>
      <w:r>
        <w:rPr>
          <w:rFonts w:ascii="Times New Roman" w:hAnsi="Times New Roman"/>
          <w:b/>
          <w:sz w:val="20"/>
        </w:rPr>
        <w:t>Total Allowance</w:t>
      </w:r>
      <w:r>
        <w:rPr>
          <w:rFonts w:ascii="Times New Roman" w:hAnsi="Times New Roman"/>
          <w:sz w:val="20"/>
        </w:rPr>
        <w:t xml:space="preserve"> shall mean the Construction Allowance, the Separation Work Reimbursement and the Application Amount, as defined in </w:t>
      </w:r>
      <w:r>
        <w:rPr>
          <w:rFonts w:ascii="Times New Roman" w:hAnsi="Times New Roman"/>
          <w:sz w:val="20"/>
          <w:u w:val="single"/>
        </w:rPr>
        <w:t>Section 7(c)</w:t>
      </w:r>
      <w:r>
        <w:rPr>
          <w:rFonts w:ascii="Times New Roman" w:hAnsi="Times New Roman"/>
          <w:sz w:val="20"/>
        </w:rPr>
        <w:t xml:space="preserve"> below. The Construction Allowance and the Application Amount may be used, at Tenants sole discretion, for the cost of preparing design and construction documents and mechanical and electrical plans for the Tenants Work and for hard and soft costs, furniture, trade fixtures and equipment, teledata cabling and permitting costs In connection with the Tenants Work (the </w:t>
      </w:r>
      <w:r>
        <w:rPr>
          <w:rFonts w:ascii="Times New Roman" w:hAnsi="Times New Roman"/>
          <w:b/>
          <w:sz w:val="20"/>
        </w:rPr>
        <w:t>Permitted Costs</w:t>
      </w:r>
      <w:r>
        <w:rPr>
          <w:rFonts w:ascii="Times New Roman" w:hAnsi="Times New Roman"/>
          <w:sz w:val="20"/>
        </w:rPr>
        <w:t xml:space="preserve">) with respect to the Premises, as determined by Tenant In Its sole discretion but subject to </w:t>
      </w:r>
      <w:r>
        <w:rPr>
          <w:rFonts w:ascii="Times New Roman" w:hAnsi="Times New Roman"/>
          <w:sz w:val="20"/>
          <w:u w:val="single"/>
        </w:rPr>
        <w:t>Section 7(b)</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(b) Tenant shall spend not less than 75% of the Construction Allowance (the </w:t>
      </w:r>
      <w:r>
        <w:rPr>
          <w:rFonts w:ascii="Times New Roman" w:hAnsi="Times New Roman"/>
          <w:b/>
          <w:sz w:val="20"/>
        </w:rPr>
        <w:t>Minimum Hard Cost Expenditure</w:t>
      </w:r>
      <w:r>
        <w:rPr>
          <w:rFonts w:ascii="Times New Roman" w:hAnsi="Times New Roman"/>
          <w:sz w:val="20"/>
        </w:rPr>
        <w:t xml:space="preserve">) on account of labor, contractors and materials relating to Tenants </w:t>
      </w:r>
      <w:r>
        <w:rPr>
          <w:rFonts w:ascii="Times New Roman" w:hAnsi="Times New Roman"/>
          <w:b/>
          <w:sz w:val="20"/>
        </w:rPr>
        <w:t>Work Nerd Costs</w:t>
      </w:r>
      <w:r>
        <w:rPr>
          <w:rFonts w:ascii="Times New Roman" w:hAnsi="Times New Roman"/>
          <w:sz w:val="20"/>
        </w:rPr>
        <w:t>). The foregoing requirement is herein referred to as the </w:t>
      </w:r>
      <w:r>
        <w:rPr>
          <w:rFonts w:ascii="Times New Roman" w:hAnsi="Times New Roman"/>
          <w:b/>
          <w:sz w:val="20"/>
        </w:rPr>
        <w:t>Hard Costs Requirement</w:t>
      </w:r>
      <w:r>
        <w:rPr>
          <w:rFonts w:ascii="Times New Roman" w:hAnsi="Times New Roman"/>
          <w:sz w:val="20"/>
        </w:rPr>
        <w:t xml:space="preserve">. Tenant further acknowledges and agrees that disbursements on account of Hard Costs to satisfy the Hard Costs Requirement shall be made pursuant to this </w:t>
      </w:r>
      <w:r>
        <w:rPr>
          <w:rFonts w:ascii="Times New Roman" w:hAnsi="Times New Roman"/>
          <w:sz w:val="20"/>
          <w:u w:val="single"/>
        </w:rPr>
        <w:t>Section 7</w:t>
      </w:r>
      <w:r>
        <w:rPr>
          <w:rFonts w:ascii="Times New Roman" w:hAnsi="Times New Roman"/>
          <w:sz w:val="20"/>
        </w:rPr>
        <w:t xml:space="preserve"> no later than May 31, 2019 (the </w:t>
      </w:r>
      <w:r>
        <w:rPr>
          <w:rFonts w:ascii="Times New Roman" w:hAnsi="Times New Roman"/>
          <w:b/>
          <w:sz w:val="20"/>
        </w:rPr>
        <w:t>Hard Cost Tenant Requisition Deadline Date</w:t>
      </w:r>
      <w:r>
        <w:rPr>
          <w:rFonts w:ascii="Times New Roman" w:hAnsi="Times New Roman"/>
          <w:sz w:val="20"/>
        </w:rPr>
        <w:t xml:space="preserve">). If Tenant fails to satisfy the Hard Cost Requirement, a portion of the Construction Allowance equal to the difference between the Minimum Hard Cost Expenditure and the amount actually spent by Tenant, as evidenced by the documents submitted to the Escrow Agent (defined below) on or prior to the Hard Cost Tenant Requisition Deadline Date, for such Hard Costs, shall be forfeited in Its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Provided there Is no Event of Default continuing under the Lease, Tenant may request, by prior written notice to Landlord given no later than 30 days prior to the Commencement Date, that Landlord furnish Tenant with additional funds from the total Abated Rent to apply to the Permitted Costs in an amount designated by Tenant (the </w:t>
      </w:r>
      <w:r>
        <w:rPr>
          <w:rFonts w:ascii="Times New Roman" w:hAnsi="Times New Roman"/>
          <w:b/>
          <w:sz w:val="20"/>
        </w:rPr>
        <w:t>Application Amount</w:t>
      </w:r>
      <w:r>
        <w:rPr>
          <w:rFonts w:ascii="Times New Roman" w:hAnsi="Times New Roman"/>
          <w:sz w:val="20"/>
        </w:rPr>
        <w:t xml:space="preserve">) in such notice and not to exceed an amount equal to $1,170 255.00 (or $15.00 per rentable square foot in the Premises). After receipt of such notice, (a) Landlord shall make available to Tenant, on the same tends and conditions in </w:t>
      </w:r>
      <w:r>
        <w:rPr>
          <w:rFonts w:ascii="Times New Roman" w:hAnsi="Times New Roman"/>
          <w:sz w:val="20"/>
          <w:u w:val="single"/>
        </w:rPr>
        <w:t>Section 7(a)</w:t>
      </w:r>
      <w:r>
        <w:rPr>
          <w:rFonts w:ascii="Times New Roman" w:hAnsi="Times New Roman"/>
          <w:sz w:val="20"/>
        </w:rPr>
        <w:t xml:space="preserve"> above, the Application Amount for payment of Permitted Costs, and (b) the Abated Rent shall be reduced by the Application Amount and the Abatement Period shall be proportionately shortened. If Project GC (or Tenant, if applicable) does not submit a request for payment of the entire Application Amount In accordance with the requirements of this </w:t>
      </w:r>
      <w:r>
        <w:rPr>
          <w:rFonts w:ascii="Times New Roman" w:hAnsi="Times New Roman"/>
          <w:sz w:val="20"/>
          <w:u w:val="single"/>
        </w:rPr>
        <w:t>Section 7</w:t>
      </w:r>
      <w:r>
        <w:rPr>
          <w:rFonts w:ascii="Times New Roman" w:hAnsi="Times New Roman"/>
          <w:sz w:val="20"/>
        </w:rPr>
        <w:t xml:space="preserve"> to Landlord, by May 31,2019, any unused amount shall accrue to the sole benefit of Landlord, it being understood that Tenant shall not be entitled to any credit, abatement or other concession in connection therewith. </w:t>
      </w:r>
    </w:p>
    <w:p>
      <w:pPr>
        <w:pStyle w:val="TextBody"/>
        <w:bidi w:val="0"/>
        <w:spacing w:before="240" w:after="0"/>
        <w:jc w:val="left"/>
        <w:rPr>
          <w:rFonts w:ascii="Times New Roman" w:hAnsi="Times New Roman"/>
          <w:sz w:val="20"/>
        </w:rPr>
      </w:pPr>
      <w:r>
        <w:rPr>
          <w:rFonts w:ascii="Times New Roman" w:hAnsi="Times New Roman"/>
          <w:sz w:val="20"/>
        </w:rPr>
        <w:t>(d) The </w:t>
      </w:r>
      <w:r>
        <w:rPr>
          <w:rFonts w:ascii="Times New Roman" w:hAnsi="Times New Roman"/>
          <w:b/>
          <w:sz w:val="20"/>
        </w:rPr>
        <w:t>Cost of the Tenants Work</w:t>
      </w:r>
      <w:r>
        <w:rPr>
          <w:rFonts w:ascii="Times New Roman" w:hAnsi="Times New Roman"/>
          <w:sz w:val="20"/>
        </w:rPr>
        <w:t> shall include all documented, out-of-pocket Permitted Costs incurred by Tenant in connection with the design, architectural, engineering and hard construction costs of the Tenants Work (including materials, labor and hard construction costs and any Landlord reimbursement contemplated hereunder). Tenant shall be solely responsible for any Cost of the Tenants Work that exceeds the amount of the Construction Allowance, the Separation Work Reimbursement and the Application Amount. If the Cost of the Tenants Work Is reasonably expected by Landlord to exceed the amount of the Construction Allowance, the Separation Work Reimbursement and any then requested Application Amount, Tenant shall have sole responsibility for the payment of such excess cost (</w:t>
      </w:r>
      <w:r>
        <w:rPr>
          <w:rFonts w:ascii="Times New Roman" w:hAnsi="Times New Roman"/>
          <w:b/>
          <w:sz w:val="20"/>
        </w:rPr>
        <w:t>Tenants Excess</w:t>
      </w:r>
      <w:r>
        <w:rPr>
          <w:rFonts w:ascii="Times New Roman" w:hAnsi="Times New Roman"/>
          <w:sz w:val="20"/>
        </w:rPr>
        <w:t xml:space="preserve">) to Escrow Agent (as hereinafter defined) in accordance with the terms of this </w:t>
      </w:r>
      <w:r>
        <w:rPr>
          <w:rFonts w:ascii="Times New Roman" w:hAnsi="Times New Roman"/>
          <w:sz w:val="20"/>
          <w:u w:val="single"/>
        </w:rPr>
        <w:t>Section 7</w:t>
      </w:r>
      <w:r>
        <w:rPr>
          <w:rFonts w:ascii="Times New Roman" w:hAnsi="Times New Roman"/>
          <w:sz w:val="20"/>
        </w:rPr>
        <w:t xml:space="preserve">. For each payment request to Landlord for Tenants Work other than the Separation Work, Tenants payment of Tenants Excess shall be paid on a pan passu basis with Landlords funding of the Construction Allowance and any then requested Application Amount in the respective proportions that (i) the sum of the Construction Allowance and any then requested Application Amount and (ii) Tenants Excess bear to (iii) the expected total Cost of the Tenants Work less the expected Separation Work Reimbursement. Tenant shall pay any installments of Tenants Excess to the Escrow Agent within five (5) business days after Landlords written request therefor. Landlords funding of the Separation Work Reimbursement shall not require any contribution by Tenant. </w:t>
      </w:r>
    </w:p>
    <w:p>
      <w:pPr>
        <w:pStyle w:val="TextBody"/>
        <w:bidi w:val="0"/>
        <w:spacing w:before="240" w:after="0"/>
        <w:jc w:val="left"/>
        <w:rPr>
          <w:rFonts w:ascii="Times New Roman" w:hAnsi="Times New Roman"/>
          <w:sz w:val="20"/>
        </w:rPr>
      </w:pPr>
      <w:r>
        <w:rPr>
          <w:rFonts w:ascii="Times New Roman" w:hAnsi="Times New Roman"/>
          <w:sz w:val="20"/>
        </w:rPr>
        <w:t>(e) Landlord shall establish a construction escrow with a title insurer acceptable to Landlord and Landlords construction or permanent lender, If any (the </w:t>
      </w:r>
      <w:r>
        <w:rPr>
          <w:rFonts w:ascii="Times New Roman" w:hAnsi="Times New Roman"/>
          <w:b/>
          <w:sz w:val="20"/>
        </w:rPr>
        <w:t>Escrow Agent</w:t>
      </w:r>
      <w:r>
        <w:rPr>
          <w:rFonts w:ascii="Times New Roman" w:hAnsi="Times New Roman"/>
          <w:sz w:val="20"/>
        </w:rPr>
        <w:t>), by entering into an Escrow Agreement (as hereinafter defined) providing for payment to Tenants Contractors and payment of the Cost of the Tenants Work as the Tenants Work progresses, upon the Escrow Agents satisfactory review of lien waivers and sworn statements from Tenants Contractors and other applicable parties and upon the Escrow Agents willingness to issue title insurance over mechanics liens relating to Tenants contracts and the Tenants Work to the date of each draw, provided if the Escrow Agent is unwilling to Issue title insurance for a reason unrelated to mechanics liens relating to Tenants contracts and the Tenants Work, Landlord shall remain obligated to fund the applicable portion of the Construction Allowance, Separation Work Reimbursement or any then requested Application Amount. All fees due to the Escrow Agent under the Escrow Agreement shall be paid by Landlord. The escrow agreement by and among Escrow Agent, Landlord, Tenant and Landlords construction or permanent lender, if any (the </w:t>
      </w:r>
      <w:r>
        <w:rPr>
          <w:rFonts w:ascii="Times New Roman" w:hAnsi="Times New Roman"/>
          <w:b/>
          <w:sz w:val="20"/>
        </w:rPr>
        <w:t>Escrow Agreement</w:t>
      </w:r>
      <w:r>
        <w:rPr>
          <w:rFonts w:ascii="Times New Roman" w:hAnsi="Times New Roman"/>
          <w:sz w:val="20"/>
        </w:rPr>
        <w:t xml:space="preserve">) shall provide for payment of the Cost of the Tenants Work in accordance with the terms of this Work Letter and which is otherwise satisfactory to the Escrow Agent and Landlords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construction or permanent lender, if any, and reasonably acceptable to Landlord and Tenant. Payments from the construction escrow of Tenants Excess shall be made on a pad passu basis along with the funding of the Construction Allowance and any then requested Application Amount, In the respective proportions that (i) the sum of Construction Allowance and any then requested Application Amount and (ii) Tenants Excess bear to (iii) the expected total Cost of the Tenants Work less the expected Separation Work Reimbursement. </w:t>
      </w:r>
    </w:p>
    <w:p>
      <w:pPr>
        <w:pStyle w:val="TextBody"/>
        <w:bidi w:val="0"/>
        <w:spacing w:before="240" w:after="0"/>
        <w:jc w:val="left"/>
        <w:rPr>
          <w:rFonts w:ascii="Times New Roman" w:hAnsi="Times New Roman"/>
          <w:sz w:val="20"/>
        </w:rPr>
      </w:pPr>
      <w:r>
        <w:rPr>
          <w:rFonts w:ascii="Times New Roman" w:hAnsi="Times New Roman"/>
          <w:sz w:val="20"/>
        </w:rPr>
        <w:t xml:space="preserve">(f) For each request for payment from Escrow Agent, Tenant shall submit a request for disbursement by the day of the month required by Landlord (or Landlords construction or permanent lender, if any) and Tenant shall provide the following documentation with each request for disbursement; (i) a certification from Tenants architect on form AIA-G702/6703 or such other form satisfactory to the Escrow Agent and Landlords construction or permanent lender, if any, certifying that the Tenants Work completed to date has been performed substantially in conformance with the Approved Tenants Plans, (ii) a statement of account executed by Tenant Identifying any and all additions or deletions to the estimated total Cost of the Tenants Work through such date, (iii) a sworn statement from Tenant setting out all of the work done or materials furnished to the Premises to date and listing all contracts let for the furnishings of future work or materials for the Premises in a form satisfactory to Landlord, Escrow Agent and Landlords construction or permanent lender, if any, (iv) a lien waiver, on a form reasonably acceptable to Landlords construction or permanent lender. If any, and the Escrow Agent, signed by the Project GC and Tenants subcontractors releasing their rights through the date of the sworn statement to lien the Premises or the Building conditioned upon payment, (v) copies of invoices with respect to any amounts covered by the request, and (vi) such other documents in such form as Landlord, Landlords construction or permanent tender, if any, and the Escrow Agent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(g) For the final request for payment from Escrow Agent, Tenant shall submit a request for disbursement by the day of the month required by Landlord (or Landlords construction or permanent lender, if any) and Tenant shall provide the documentation required pursuant to Section ja) above and (i) the as-built plans of the Tenants Work; Oft a final certificate of occupancy or, If a final certificate of occupancy is not reasonably available or obtainable, any other appropriate documentation permitting Tenant to occupy and use the Premises in accordance with the Permitted Use, (iii) a certificate of substantial completion from Tenants architect on form AIA-G704 or such other form satisfactory to the Escrow Agent and Landlords construction or permanent lender, if any, certifying that all of the Tenants Work is substantially completed in conformance with the Approved Tenants Plans; (Iv) a punch list of outstanding work to complete the Tenants Work, and (v) such other documents In such form as Landlord, Landlords construction or permanent lender, if any, and the Escrow Agent may reasonably require. If Project GC (or Tenant, if applicable) does not submit a request for payment of the entire Construction Allowance and Separation Work Reimbursement in accordance with the requirements of this </w:t>
      </w:r>
      <w:r>
        <w:rPr>
          <w:rFonts w:ascii="Times New Roman" w:hAnsi="Times New Roman"/>
          <w:sz w:val="20"/>
          <w:u w:val="single"/>
        </w:rPr>
        <w:t>Section 7</w:t>
      </w:r>
      <w:r>
        <w:rPr>
          <w:rFonts w:ascii="Times New Roman" w:hAnsi="Times New Roman"/>
          <w:sz w:val="20"/>
        </w:rPr>
        <w:t xml:space="preserve"> to Landlord, by May 31, 2019, any unused amount shall accrue to the sole benefit of Landlord, it being understood that Tenant shall not be entitled to any credit, abatement or other concession in connection therewith. Notwithstanding anything herein to the contrary, Landlord shall not be obligated to disburse any portion of the Total Allowance during the continuance of an uncured default under the Lease, and Landlords obligation to disburse shall only resume when and if such default is cured.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contained in this </w:t>
      </w:r>
      <w:r>
        <w:rPr>
          <w:rFonts w:ascii="Times New Roman" w:hAnsi="Times New Roman"/>
          <w:sz w:val="20"/>
          <w:u w:val="single"/>
        </w:rPr>
        <w:t>Section 7</w:t>
      </w:r>
      <w:r>
        <w:rPr>
          <w:rFonts w:ascii="Times New Roman" w:hAnsi="Times New Roman"/>
          <w:sz w:val="20"/>
        </w:rPr>
        <w:t xml:space="preserve"> if (1) the Tenants Work has been completed and all costs related thereto have been paid in full, and (2) less than the entire Construction Allowance was used (and the portion not used shall be called the </w:t>
      </w:r>
      <w:r>
        <w:rPr>
          <w:rFonts w:ascii="Times New Roman" w:hAnsi="Times New Roman"/>
          <w:b/>
          <w:sz w:val="20"/>
        </w:rPr>
        <w:t>Unused Allowance</w:t>
      </w:r>
      <w:r>
        <w:rPr>
          <w:rFonts w:ascii="Times New Roman" w:hAnsi="Times New Roman"/>
          <w:sz w:val="20"/>
        </w:rPr>
        <w:t xml:space="preserve">), then, provided Tenant Is not then in default under the Lease, Tenant may request that Landlord apply the portion of the Unused Allowance not to exceed $1,287,77625, or 25% of the Construction Allowance, against the then next due Installments of Fixed Rent, Tenants Operating Payment and Tenants Tax Payment for all or any portion of the Premises due under the Lease after expiration of the Rent Abatement Period. If Tenant is not able to get the full benefit of such portion of the Unused Allowance by applying the same as a credit against Fixed Rent, Tenants Operating Payment and Tenants Tax Payment for any reason (such as, for example, because the Lease terminates early due to a casualty), then Tenant shall not be entitled to any cash or credit or other compensation of any kind for such portion of the Unused Allowance. If Project GC (or Tenant, if applicable) does not submit a request for payment of the entire Construction Allowance In accordance with the requirements of this </w:t>
      </w:r>
      <w:r>
        <w:rPr>
          <w:rFonts w:ascii="Times New Roman" w:hAnsi="Times New Roman"/>
          <w:sz w:val="20"/>
          <w:u w:val="single"/>
        </w:rPr>
        <w:t>Section 7</w:t>
      </w:r>
      <w:r>
        <w:rPr>
          <w:rFonts w:ascii="Times New Roman" w:hAnsi="Times New Roman"/>
          <w:sz w:val="20"/>
        </w:rPr>
        <w:t xml:space="preserve"> to Landlord, by May 31, 2019, any portion thereof not requested by such date shall he deemed to be Unused Allowance and shall no longer be available to be reimbursed to Tenant and shall only be available to be applied (upon Tenants request) against the then next due Installments of Fixed Rent, Tenants Operating Payment and Tenants Tax Payment in accordance with the terms of this paragraph. Notwithstanding anything herein to the contrary, Landlord shall not be obligated to allow the Unused Allowance to de applied against any portion of the rent for the Premises during the continuance of an uncured default under the Lease, and Landlords obligation to allow such application shall only resume when and if such default is 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Charges due from Tenant to Landlord pursuant to this Work Letter, if any, may be deducted by Landlord from any payment of the Total Allowance provided Landlord has delivered reasonable evidence of such charges to Tenant at least 30 days prior to the date such charges are deducted from the Total Allowance. </w:t>
      </w:r>
    </w:p>
    <w:p>
      <w:pPr>
        <w:pStyle w:val="TextBody"/>
        <w:bidi w:val="0"/>
        <w:spacing w:before="240" w:after="0"/>
        <w:jc w:val="left"/>
        <w:rPr>
          <w:rFonts w:ascii="Times New Roman" w:hAnsi="Times New Roman"/>
          <w:sz w:val="20"/>
        </w:rPr>
      </w:pPr>
      <w:r>
        <w:rPr>
          <w:rFonts w:ascii="Times New Roman" w:hAnsi="Times New Roman"/>
          <w:sz w:val="20"/>
        </w:rPr>
        <w:t xml:space="preserve">(b) If the Approved Tenants Plans require the construction and installation of more fire hose cabinets or telephone/electrical closets than the number regularly provided by Landlord in the portion of the Building in which the Premises are located, Tenant shall pay all costs and expenses arising from the construction and Installation of such additional fire hose cabinets or telephone/electrical closets. </w:t>
      </w:r>
    </w:p>
    <w:p>
      <w:pPr>
        <w:pStyle w:val="TextBody"/>
        <w:bidi w:val="0"/>
        <w:spacing w:before="240" w:after="0"/>
        <w:jc w:val="left"/>
        <w:rPr>
          <w:rFonts w:ascii="Times New Roman" w:hAnsi="Times New Roman"/>
          <w:sz w:val="20"/>
        </w:rPr>
      </w:pPr>
      <w:r>
        <w:rPr>
          <w:rFonts w:ascii="Times New Roman" w:hAnsi="Times New Roman"/>
          <w:sz w:val="20"/>
        </w:rPr>
        <w:t xml:space="preserve">(c) This Work Letter shall not be deemed applicable to any additional space added to the Premises at any time or from time to time, whether by any options under the Lease or otherwise, or to any portion of the Premises or any additions thereto In the event of a renewal or extension of the Term of the Lease, whether by any options under the Lease or otherwise, unless expressly so provided in the Lease or any amendment or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any amounts owed by Tenant hereunder and not paid when due or Tenants failure to perform Its obligations hereunder, Landlord shall have all of the rights and remedies granted to Landlord under the Lease for non-payment by Tenant of any amounts owed thereunder or failure by Tenant to perform its obligations thereunder. </w:t>
      </w:r>
    </w:p>
    <w:p>
      <w:pPr>
        <w:pStyle w:val="TextBody"/>
        <w:bidi w:val="0"/>
        <w:spacing w:before="240" w:after="0"/>
        <w:jc w:val="center"/>
        <w:rPr>
          <w:rFonts w:ascii="Times New Roman" w:hAnsi="Times New Roman"/>
          <w:sz w:val="20"/>
        </w:rPr>
      </w:pPr>
      <w:r>
        <w:rPr>
          <w:rFonts w:ascii="Times New Roman" w:hAnsi="Times New Roman"/>
          <w:sz w:val="20"/>
        </w:rPr>
        <w:t xml:space="preserve">[END OF WORK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ADDITIONAL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RENEWAL OPTION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Grant of Option; Condltions.</w:t>
            </w:r>
            <w:r>
              <w:rPr>
                <w:rFonts w:ascii="Times New Roman" w:hAnsi="Times New Roman"/>
                <w:sz w:val="20"/>
              </w:rPr>
              <w:t xml:space="preserve"> Subject to the terms herein, Tenant shall have the right to extend the Term (the </w:t>
            </w:r>
            <w:r>
              <w:rPr>
                <w:rFonts w:ascii="Times New Roman" w:hAnsi="Times New Roman"/>
                <w:b/>
                <w:sz w:val="20"/>
              </w:rPr>
              <w:t>Renewal Option</w:t>
            </w:r>
            <w:r>
              <w:rPr>
                <w:rFonts w:ascii="Times New Roman" w:hAnsi="Times New Roman"/>
                <w:sz w:val="20"/>
              </w:rPr>
              <w:t xml:space="preserve">) for one additional period of 5 years commencing on the day immediately following the Expiration Date (the </w:t>
            </w:r>
            <w:r>
              <w:rPr>
                <w:rFonts w:ascii="Times New Roman" w:hAnsi="Times New Roman"/>
                <w:b/>
                <w:sz w:val="20"/>
              </w:rPr>
              <w:t>Renewal Term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It Is agreed that Tenant may exercise a Renewal Option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receives notice </w:t>
            </w:r>
            <w:r>
              <w:rPr>
                <w:rFonts w:ascii="Times New Roman" w:hAnsi="Times New Roman"/>
                <w:i/>
                <w:sz w:val="20"/>
              </w:rPr>
              <w:t xml:space="preserve">of </w:t>
            </w:r>
            <w:r>
              <w:rPr>
                <w:rFonts w:ascii="Times New Roman" w:hAnsi="Times New Roman"/>
                <w:sz w:val="20"/>
              </w:rPr>
              <w:t>exercise (</w:t>
            </w:r>
            <w:r>
              <w:rPr>
                <w:rFonts w:ascii="Times New Roman" w:hAnsi="Times New Roman"/>
                <w:b/>
                <w:sz w:val="20"/>
              </w:rPr>
              <w:t>Initial Renewal Notice</w:t>
            </w:r>
            <w:r>
              <w:rPr>
                <w:rFonts w:ascii="Times New Roman" w:hAnsi="Times New Roman"/>
                <w:sz w:val="20"/>
              </w:rPr>
              <w:t xml:space="preserve">) no later than twelve (12) months and no earlier than eighteen (18) months prior to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exists at the time that Tenant delivers its Initial Renewal Notice or at the time Tenant delivers its Acceptance Notice (as defined below) or Rejection Notice (as defined below), as applicable, unless Landlord, in its sole and absolute discretion, otherwise agrees in writing;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is the named Tenant on page 1 of the Lease or a transferee in a transaction for which consent of Landlord Is not required or for which the terms of </w:t>
            </w:r>
            <w:r>
              <w:rPr>
                <w:rFonts w:ascii="Times New Roman" w:hAnsi="Times New Roman"/>
                <w:sz w:val="20"/>
                <w:u w:val="single"/>
              </w:rPr>
              <w:t>Section 14.1</w:t>
            </w:r>
            <w:r>
              <w:rPr>
                <w:rFonts w:ascii="Times New Roman" w:hAnsi="Times New Roman"/>
                <w:sz w:val="20"/>
              </w:rPr>
              <w:t xml:space="preserve"> of the Lease are inapplicable, both pursuant to </w:t>
            </w:r>
            <w:r>
              <w:rPr>
                <w:rFonts w:ascii="Times New Roman" w:hAnsi="Times New Roman"/>
                <w:sz w:val="20"/>
                <w:u w:val="single"/>
              </w:rPr>
              <w:t>Section 14.9</w:t>
            </w:r>
            <w:r>
              <w:rPr>
                <w:rFonts w:ascii="Times New Roman" w:hAnsi="Times New Roman"/>
                <w:sz w:val="20"/>
              </w:rPr>
              <w:t xml:space="preserve">,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not have sublet 50% or more of the Premises and must be in occupancy of the entire Premises (subject to any sublease of less than 50% of the Premises), except In connection with a transaction for which consent of Landlord is not required or for which the terms of </w:t>
            </w:r>
            <w:r>
              <w:rPr>
                <w:rFonts w:ascii="Times New Roman" w:hAnsi="Times New Roman"/>
                <w:sz w:val="20"/>
                <w:u w:val="single"/>
              </w:rPr>
              <w:t>Section 14.1</w:t>
            </w:r>
            <w:r>
              <w:rPr>
                <w:rFonts w:ascii="Times New Roman" w:hAnsi="Times New Roman"/>
                <w:sz w:val="20"/>
              </w:rPr>
              <w:t xml:space="preserve"> of the Lease are inapplicable, both pursuant to </w:t>
            </w:r>
            <w:r>
              <w:rPr>
                <w:rFonts w:ascii="Times New Roman" w:hAnsi="Times New Roman"/>
                <w:sz w:val="20"/>
                <w:u w:val="single"/>
              </w:rPr>
              <w:t>Section 14.9</w:t>
            </w:r>
            <w:r>
              <w:rPr>
                <w:rFonts w:ascii="Times New Roman" w:hAnsi="Times New Roman"/>
                <w:sz w:val="20"/>
              </w:rPr>
              <w:t xml:space="preserve"> of the Lease, at the time that Tenant delivers Its Initial Renewal Notice and at the time Tenant delivers its Acceptance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is in full force and effect at the time that Tenant delivers Its Initial Renewal Notice and at the time Tenant delivers as Acceptance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Terms Applicable to Premises During Renewal Term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Fixed Rent rate per rentable square foot for the Premises during the Renewal Term shall equal the Fair Market Net Rental Value (hereinafter defined) rate per rentable square foot for the Premises. Fixed Rent during the Renewal Term shall increase, if at all, in accordance with the Increases assumed in the determination of Fair Market Net Rental Value rate. Fixed Rent attributable to the Premises shall be payable In monthly Installments in accordance with the terms and conditions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pay Additional Rent (i.e., Tenants Tax Payment and Tenants Operating Payment) for the Premises during the Renewal Term In accordance with Article 7 of the Lease, and the manner and method In which Tenant reimburses Landlord for Tenants share of Operating Expenses and Taxes shall be some of the factors considered in determining the Fair Market Net Rental Value rate for the Renewal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Renewal Term shall otherwise be upon the same terms, covenants, conditions, provisions and agreements contained in the Lease, except as expressly set forth In the Lease or this </w:t>
            </w:r>
            <w:r>
              <w:rPr>
                <w:rFonts w:ascii="Times New Roman" w:hAnsi="Times New Roman"/>
                <w:sz w:val="20"/>
                <w:u w:val="single"/>
              </w:rPr>
              <w:t>Section 1.</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1.03.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Procedure for Determining Fair Market Net Rental Value</w:t>
            </w:r>
            <w:r>
              <w:rPr>
                <w:rFonts w:ascii="Times New Roman" w:hAnsi="Times New Roman"/>
                <w:sz w:val="20"/>
              </w:rPr>
              <w:t>. On or prior to 30 days after the later of (y) receipt of Tenants Initial Renewal Notice, and (z) the date which is 11 months prior to the last day of the then current Term, Landlord shall advise Tenant in writing of the applicable Fixed Rent rate for the Premises (or applicable portion thereof) for the Renewal Term. Tenant, within 15 days after the date on which Landlord advises Tenant of the Fixed Rent rate for the Renewal Term, shall either (i) if Tenant accepts Landlords determination, provide Landlord with written notice of acceptance (</w:t>
            </w:r>
            <w:r>
              <w:rPr>
                <w:rFonts w:ascii="Times New Roman" w:hAnsi="Times New Roman"/>
                <w:b/>
                <w:sz w:val="20"/>
              </w:rPr>
              <w:t>Acceptance Notice</w:t>
            </w:r>
            <w:r>
              <w:rPr>
                <w:rFonts w:ascii="Times New Roman" w:hAnsi="Times New Roman"/>
                <w:sz w:val="20"/>
              </w:rPr>
              <w:t xml:space="preserve">), or(ii) if Tenant disagrees with Landlords determination, provide Landlord with written notice of rejection (the </w:t>
            </w:r>
            <w:r>
              <w:rPr>
                <w:rFonts w:ascii="Times New Roman" w:hAnsi="Times New Roman"/>
                <w:b/>
                <w:sz w:val="20"/>
              </w:rPr>
              <w:t>Rejection Notice</w:t>
            </w:r>
            <w:r>
              <w:rPr>
                <w:rFonts w:ascii="Times New Roman" w:hAnsi="Times New Roman"/>
                <w:sz w:val="20"/>
              </w:rPr>
              <w:t>). If Tenant fails to provide Landlord with either an Acceptance Notice or Rejection Notice within such 30-day period, Landlord shall provide an additional written notice to Tenant (</w:t>
            </w:r>
            <w:r>
              <w:rPr>
                <w:rFonts w:ascii="Times New Roman" w:hAnsi="Times New Roman"/>
                <w:b/>
                <w:sz w:val="20"/>
              </w:rPr>
              <w:t>Landlords Additional Notice</w:t>
            </w:r>
            <w:r>
              <w:rPr>
                <w:rFonts w:ascii="Times New Roman" w:hAnsi="Times New Roman"/>
                <w:sz w:val="20"/>
              </w:rPr>
              <w:t xml:space="preserve">) advising Tenant that It has not provided Landlord with either an Acceptance Notice or a Rejection Notice and that Tenant wit be deemed to have delivered an Acceptance Notice if Tenant does not deliver to Landlord either an Acceptance Notice or a Rejection Notice within 5 Business Days after receipt of Landlords Additional Notice. If Tenant falls to provide Landlord with either an Acceptance Notice or a Rejection Notice within 5 Business Days after receipt of Landlords Additional Notice, Tenant shall be deemed to have delivered an Acceptance Notice. If Tenant provides, or Is deemed to have provided, Landlord with an Acceptance Notice within such 30-day period, or 5 Business Day period (as applicable), Landlord and Tenant shall enter into the Renewal Amendment (as defined below) upon the terms and conditions set forth herein. If Tenant provides Landlord with a Rejection Notice, Landlord and Tenant shall work together In good faith for a period of 15 days to agree upon the Fair Market Net Rental Value rate for the Premises (or applicable portion thereof) for the Renewal Term. Upon agreement, Landlord and Tenant shall enter Into the Renewal Amendment in accordance with the terms and conditions hereof. </w:t>
            </w:r>
          </w:p>
        </w:tc>
      </w:tr>
    </w:tbl>
    <w:p>
      <w:pPr>
        <w:pStyle w:val="TextBody"/>
        <w:bidi w:val="0"/>
        <w:spacing w:before="120" w:after="0"/>
        <w:jc w:val="left"/>
        <w:rPr>
          <w:rFonts w:ascii="Times New Roman" w:hAnsi="Times New Roman"/>
          <w:sz w:val="20"/>
        </w:rPr>
      </w:pPr>
      <w:r>
        <w:rPr>
          <w:rFonts w:ascii="Times New Roman" w:hAnsi="Times New Roman"/>
          <w:sz w:val="20"/>
        </w:rPr>
        <w:t>If Landlord and Tenant fail to agree upon the Fair Market Net Rental Value rate within such 30-day period, Tenant may then retract Tenants applicable Initial Renewal Notice by delivering written notice of such retraction to Landlord within 10 days (the </w:t>
      </w:r>
      <w:r>
        <w:rPr>
          <w:rFonts w:ascii="Times New Roman" w:hAnsi="Times New Roman"/>
          <w:b/>
          <w:sz w:val="20"/>
        </w:rPr>
        <w:t>Retraction Period</w:t>
      </w:r>
      <w:r>
        <w:rPr>
          <w:rFonts w:ascii="Times New Roman" w:hAnsi="Times New Roman"/>
          <w:sz w:val="20"/>
        </w:rPr>
        <w:t>) after the expiration of such 30-day period. If Tenant does not retract Tenants applicable Initial Renewal Notice, within the Retraction Period, Tenant shall be deemed to have irrevocably exercised the Renewal Option, and Landlord and Tenant, within 15 days after the expiration of the Retraction Period, shall each simultaneously submit to the other, in a sealed envelope, Its good faith estimate of the Fair Market Net Rental Value rate (collectively referred to as the </w:t>
      </w:r>
      <w:r>
        <w:rPr>
          <w:rFonts w:ascii="Times New Roman" w:hAnsi="Times New Roman"/>
          <w:b/>
          <w:sz w:val="20"/>
        </w:rPr>
        <w:t>Estimates</w:t>
      </w:r>
      <w:r>
        <w:rPr>
          <w:rFonts w:ascii="Times New Roman" w:hAnsi="Times New Roman"/>
          <w:sz w:val="20"/>
        </w:rPr>
        <w:t>). If the higher Estimate Is less than or equal to 105% of the lower Estimate, the Fair Market Net Rental Value rate shall be the average of the Estimates. If either Landlord or Tenant fails (the </w:t>
      </w:r>
      <w:r>
        <w:rPr>
          <w:rFonts w:ascii="Times New Roman" w:hAnsi="Times New Roman"/>
          <w:b/>
          <w:sz w:val="20"/>
        </w:rPr>
        <w:t>Sending Party</w:t>
      </w:r>
      <w:r>
        <w:rPr>
          <w:rFonts w:ascii="Times New Roman" w:hAnsi="Times New Roman"/>
          <w:sz w:val="20"/>
        </w:rPr>
        <w:t xml:space="preserve">) to timely deliver its Estimate to the other party (the </w:t>
      </w:r>
      <w:r>
        <w:rPr>
          <w:rFonts w:ascii="Times New Roman" w:hAnsi="Times New Roman"/>
          <w:b/>
          <w:sz w:val="20"/>
        </w:rPr>
        <w:t>Receiving Party</w:t>
      </w:r>
      <w:r>
        <w:rPr>
          <w:rFonts w:ascii="Times New Roman" w:hAnsi="Times New Roman"/>
          <w:sz w:val="20"/>
        </w:rPr>
        <w:t xml:space="preserve">), the Receiving Party shall notify the Sending Party that the Sending Party failed to deliver its Estimate and the Sending Party shall have 5 days after receipt of such notice to deliver its Estimate to the Receiving Party. If the Sending Party fails to timely delivery its Estimate within such additional 5 days, then provided the Receiving Party timely delivered its Estimate to the Sending Party, the Estimate of the Receiving Party shall be accepted as the Fair Market Net Rental Value rate. </w:t>
      </w:r>
    </w:p>
    <w:p>
      <w:pPr>
        <w:pStyle w:val="TextBody"/>
        <w:bidi w:val="0"/>
        <w:spacing w:before="120" w:after="0"/>
        <w:jc w:val="left"/>
        <w:rPr>
          <w:rFonts w:ascii="Times New Roman" w:hAnsi="Times New Roman"/>
          <w:sz w:val="20"/>
        </w:rPr>
      </w:pPr>
      <w:r>
        <w:rPr>
          <w:rFonts w:ascii="Times New Roman" w:hAnsi="Times New Roman"/>
          <w:sz w:val="20"/>
        </w:rPr>
        <w:t xml:space="preserve">If the Fair Market Net Rental Value rate Is not resolved by the exchange of Estimates, Landlord and Tenant, within 7 days after the exchange of Estimates, shall each select a real estate broker to determine which of the two Estimates more closely reflects the Fair Market Net Rental Value rate. Each real estate broker selected by either Landlord or Tenant shall be a broker licensed in Chicago, Illinois, with at least 10 years continuous experience in the commercial leasing market in Chicago, Illinois, and shall have a working knowledge of current rental rates and practices for commercial office properties in Chicago, Illinois. Upon selection, Landlords and Tenants real estate brokers shall work together in good faith to agree upon which of the two Estimates more closely reflects the Fair Market Net Rental Value rate for the Premises for the Renewal Term. The Estimate chosen by such real estate brokers shall be binding on both Landlord and Tenant as the Fair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Net Rental Value rate for the Premises during the Renewal Term. If either Landlord or Tenant fails to appoint a real estate broker within the 7-day period referred to above, the real estate broker appointed by the other party shall be the sole real estate broker for the purposes hereof and shall determine which Estimate more closely reflects the Fair Market Net Rental Value rate for the Premises. If the two real estate brokers cannot agree upon which of the two Estimates more closely reflects the Fair Market Net Rental Value rate within the 16 days after their appointment, then, within 10 days after the expiration of such 15-day period, the two real estate brokers shall select a third real estate broker meeting the aforementioned criteria. Once the third real estate broker has been selected as provided for above, then, as soon thereafter as practicable, but In any case within 14 days, the third real estate broker shall make his or her determination of which of the two Estimates more closely reflects the Fair Market Net Rents Value rate and such Estimate shall be binding on both Landlord and Tenant as the Fair Market Net Rental Value rate for the Premises during the Renewal Term. The parties shall share equally in the costs of the third real estate broker. Any fees of any real estate broker, counsel or experts engaged directly by Landlord or Tenant, however, shall be borne by the party retaining such real estate broker, counsel or expert. </w:t>
      </w:r>
    </w:p>
    <w:p>
      <w:pPr>
        <w:pStyle w:val="TextBody"/>
        <w:bidi w:val="0"/>
        <w:spacing w:before="120" w:after="0"/>
        <w:jc w:val="left"/>
        <w:rPr>
          <w:rFonts w:ascii="Times New Roman" w:hAnsi="Times New Roman"/>
          <w:sz w:val="20"/>
        </w:rPr>
      </w:pPr>
      <w:r>
        <w:rPr>
          <w:rFonts w:ascii="Times New Roman" w:hAnsi="Times New Roman"/>
          <w:sz w:val="20"/>
        </w:rPr>
        <w:t xml:space="preserve">If the Fair Market Net Rental Value rate has not been determined by the commencement date of the Renewal Term, Tenant shall pay Fixed Rent upon the terms and conditions in effect for the Premises during the final month of the initial Term until such time as the Fair Market Net Rental Value rate has been determined. Upon such determination, the Fixed Rent for the Premises shall be retroactively adjusted to the commencement of the Renewal Term for the Premises. If such adjustment results in an underpayment of Fixed Rent by Tenant, Tenant shall pay Landlord the amount of such underpayment within 30 days after the determination thereof. If such adjustment results in an overpayment of Fixed Rent by Tenant, Landlord shall credit such overpayment against the next installment of Fixed Rent due under the Lease and, to the extent necessary, any subsequent installments until the entire amount of such overpayment has been credited against Fixed Rent.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Renewal Amendment.</w:t>
            </w:r>
            <w:r>
              <w:rPr>
                <w:rFonts w:ascii="Times New Roman" w:hAnsi="Times New Roman"/>
                <w:sz w:val="20"/>
              </w:rPr>
              <w:t xml:space="preserve"> If Tenant Is entitled to and properly exercises its Renewal Option, Landlord shall prepare an amendment (the </w:t>
            </w:r>
            <w:r>
              <w:rPr>
                <w:rFonts w:ascii="Times New Roman" w:hAnsi="Times New Roman"/>
                <w:b/>
                <w:sz w:val="20"/>
              </w:rPr>
              <w:t>Renewal Amendment</w:t>
            </w:r>
            <w:r>
              <w:rPr>
                <w:rFonts w:ascii="Times New Roman" w:hAnsi="Times New Roman"/>
                <w:sz w:val="20"/>
              </w:rPr>
              <w:t xml:space="preserve">) to reflect changes in the Fixed Rent, Term, Expiration Date and other appropriate terms. The Renewal Amendment shall be sent to Tenant within a reasonable time after receipt of the Acceptance Notice (or after Landlord and Tenant mutually agree upon the Fair Market Net Rental Value rate as provided in </w:t>
            </w:r>
            <w:r>
              <w:rPr>
                <w:rFonts w:ascii="Times New Roman" w:hAnsi="Times New Roman"/>
                <w:sz w:val="20"/>
                <w:u w:val="single"/>
              </w:rPr>
              <w:t>Section 1.03</w:t>
            </w:r>
            <w:r>
              <w:rPr>
                <w:rFonts w:ascii="Times New Roman" w:hAnsi="Times New Roman"/>
                <w:sz w:val="20"/>
              </w:rPr>
              <w:t xml:space="preserve"> above) and Tenant, within a reasonable time after receipt of the Renewal Amendment, shall execute the Renewal Amendment or, only if the Renewal Amendment purports to amend terms of the Lease other than those stated in this </w:t>
            </w:r>
            <w:r>
              <w:rPr>
                <w:rFonts w:ascii="Times New Roman" w:hAnsi="Times New Roman"/>
                <w:sz w:val="20"/>
                <w:u w:val="single"/>
              </w:rPr>
              <w:t>Section 1.04</w:t>
            </w:r>
            <w:r>
              <w:rPr>
                <w:rFonts w:ascii="Times New Roman" w:hAnsi="Times New Roman"/>
                <w:sz w:val="20"/>
              </w:rPr>
              <w:t xml:space="preserve"> return the Renewal Amendment to Landlord with reasonable comments, in which case, the parties shall negotiate said amendment and execute the same once agreement has been reached, but, upon final determination of the Fair Market Net Rental Value rate applicable during the Renewal Term as described herein, an otherwise valid exercise of the Renewal Option shall be fully effective whether or not the Renewal Amendment Is executed.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Definition of Fair Market Net Rental Value.</w:t>
            </w:r>
            <w:r>
              <w:rPr>
                <w:rFonts w:ascii="Times New Roman" w:hAnsi="Times New Roman"/>
                <w:sz w:val="20"/>
              </w:rPr>
              <w:t xml:space="preserve"> For purposes of this Renewal Option, </w:t>
            </w:r>
            <w:r>
              <w:rPr>
                <w:rFonts w:ascii="Times New Roman" w:hAnsi="Times New Roman"/>
                <w:b/>
                <w:sz w:val="20"/>
              </w:rPr>
              <w:t>Fair Market Net Rental Value</w:t>
            </w:r>
            <w:r>
              <w:rPr>
                <w:rFonts w:ascii="Times New Roman" w:hAnsi="Times New Roman"/>
                <w:sz w:val="20"/>
              </w:rPr>
              <w:t xml:space="preserve"> shall mean the arms-length fair market annual rental rate per rentable square foot under renewal leases and amendments entered Into on or about the date that Is 6 months prior to the start of the Renewal Term for which the Fair Market Net Rental Value is being determined hereunder for space comparable to the Premises in the Budding and in office buildings comparable to the Building in the River North submarket of Chicago, Illinois. The determination of Fair Market Net Rental Value shall take into account any material economic differences between the terms of this Lease and any comparison lease or amendment, such as rent abatements, construction costs, commissions and other lease procurement costs and other concessions and the manner, if any, in which the landlord under any such lease is reimbursed for operating expenses and taxes (Including,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without limitation, the base year, if any). The determination of Fair Market Net Rental Value shall also take into consideration any reasonably anticipated changes in the Fair Market Net Rental Value rate from the time such Fair Market Net Rental Value rate is being determined and the time such Fair Market Net Rental Value rate will become effective under the Lease. Tenant acknowledges and agrees that Landlord shall have no obligation to provide Tenant with a construction allowance, rent abatement or any other concessions for the Renewal Term, provided that the Fair Market Net Rental Value rate shall take Into account the concessions (if any) that Landlord elects (in its sole discretion) to grant to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RIGHT OF FIRST OFFER.</w:t>
            </w:r>
            <w:r>
              <w:rPr>
                <w:rFonts w:ascii="Times New Roman" w:hAnsi="Times New Roman"/>
                <w:sz w:val="20"/>
              </w:rPr>
              <w:t xml:space="preserve"> Landlord hereby grants to Tenant me on-going right to lease (the </w:t>
            </w:r>
            <w:r>
              <w:rPr>
                <w:rFonts w:ascii="Times New Roman" w:hAnsi="Times New Roman"/>
                <w:b/>
                <w:sz w:val="20"/>
              </w:rPr>
              <w:t>Right of First Offer</w:t>
            </w:r>
            <w:r>
              <w:rPr>
                <w:rFonts w:ascii="Times New Roman" w:hAnsi="Times New Roman"/>
                <w:sz w:val="20"/>
              </w:rPr>
              <w:t xml:space="preserve">), upon the terms and conditions hereinafter set forth, but subject to the existing rights (as of the date of the Lease) of any current tenants of the 800 Building and subject to Landlords right (whether or not specified in such lease) to renew or extend the term of the lease of the then-current tenant or occupant of the Offer Space (hereinafter defined), the Available ROFO Space (hereinafter defined) that becomes available for leasing (as determined in accordance with </w:t>
            </w:r>
            <w:r>
              <w:rPr>
                <w:rFonts w:ascii="Times New Roman" w:hAnsi="Times New Roman"/>
                <w:sz w:val="20"/>
                <w:u w:val="single"/>
              </w:rPr>
              <w:t>Section 2.01</w:t>
            </w:r>
            <w:r>
              <w:rPr>
                <w:rFonts w:ascii="Times New Roman" w:hAnsi="Times New Roman"/>
                <w:sz w:val="20"/>
              </w:rPr>
              <w:t xml:space="preserve"> below) during the Offer Period (hereinafter defined), prior to entering into a </w:t>
            </w:r>
            <w:r>
              <w:rPr>
                <w:rFonts w:ascii="Times New Roman" w:hAnsi="Times New Roman"/>
                <w:i/>
                <w:sz w:val="20"/>
              </w:rPr>
              <w:t xml:space="preserve">ease </w:t>
            </w:r>
            <w:r>
              <w:rPr>
                <w:rFonts w:ascii="Times New Roman" w:hAnsi="Times New Roman"/>
                <w:sz w:val="20"/>
              </w:rPr>
              <w:t xml:space="preserve">far such </w:t>
            </w:r>
            <w:r>
              <w:rPr>
                <w:rFonts w:ascii="Times New Roman" w:hAnsi="Times New Roman"/>
                <w:i/>
                <w:sz w:val="20"/>
              </w:rPr>
              <w:t xml:space="preserve">space </w:t>
            </w:r>
            <w:r>
              <w:rPr>
                <w:rFonts w:ascii="Times New Roman" w:hAnsi="Times New Roman"/>
                <w:sz w:val="20"/>
              </w:rPr>
              <w:t>with another party. Tenant acknowledges and agrees that Landlord shall have the right to renew the lease of a then-current tenant or occupant of the Offer Space regardless of whether such then-current tenant or occupant has a right to renew Its lease under the terms of its lease. </w:t>
            </w:r>
            <w:r>
              <w:rPr>
                <w:rFonts w:ascii="Times New Roman" w:hAnsi="Times New Roman"/>
                <w:b/>
                <w:sz w:val="20"/>
              </w:rPr>
              <w:t>Available</w:t>
            </w:r>
            <w:r>
              <w:rPr>
                <w:rFonts w:ascii="Times New Roman" w:hAnsi="Times New Roman"/>
                <w:sz w:val="20"/>
              </w:rPr>
              <w:t xml:space="preserve"> </w:t>
            </w:r>
            <w:r>
              <w:rPr>
                <w:rFonts w:ascii="Times New Roman" w:hAnsi="Times New Roman"/>
                <w:b/>
                <w:sz w:val="20"/>
              </w:rPr>
              <w:t>ROFO Space</w:t>
            </w:r>
            <w:r>
              <w:rPr>
                <w:rFonts w:ascii="Times New Roman" w:hAnsi="Times New Roman"/>
                <w:sz w:val="20"/>
              </w:rPr>
              <w:t xml:space="preserve"> shall mean the remaining rentable area of the 5th floor of the 800 Building and any rentable area on the 5th floor of the 900 Building that has been (or will be) converted into office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portion of the Available ROFO Space shall be deemed to be </w:t>
            </w:r>
            <w:r>
              <w:rPr>
                <w:rFonts w:ascii="Times New Roman" w:hAnsi="Times New Roman"/>
                <w:b/>
                <w:sz w:val="20"/>
              </w:rPr>
              <w:t xml:space="preserve">available for leasing </w:t>
            </w:r>
            <w:r>
              <w:rPr>
                <w:rFonts w:ascii="Times New Roman" w:hAnsi="Times New Roman"/>
                <w:sz w:val="20"/>
              </w:rPr>
              <w:t xml:space="preserve">when Landlord is prepared to offer to lease such space to parties other than to the then-current tenant or occupant of such portion of the Available ROFO Space and other than to current tenants of the Building with existing rights (as of the date of </w:t>
            </w:r>
            <w:r>
              <w:rPr>
                <w:rFonts w:ascii="Times New Roman" w:hAnsi="Times New Roman"/>
                <w:i/>
                <w:sz w:val="20"/>
              </w:rPr>
              <w:t xml:space="preserve">the </w:t>
            </w:r>
            <w:r>
              <w:rPr>
                <w:rFonts w:ascii="Times New Roman" w:hAnsi="Times New Roman"/>
                <w:sz w:val="20"/>
              </w:rPr>
              <w:t>Lease) to lease such space. Any such portion of the Available ROFO Space which is available for leasing as described above is referred to as the </w:t>
            </w:r>
            <w:r>
              <w:rPr>
                <w:rFonts w:ascii="Times New Roman" w:hAnsi="Times New Roman"/>
                <w:b/>
                <w:sz w:val="20"/>
              </w:rPr>
              <w:t>Offer Space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Prior to Landlords entering into a lease for any Offer Space during the Offer Period, Landlord shall give Tenant a written notice (the </w:t>
            </w:r>
            <w:r>
              <w:rPr>
                <w:rFonts w:ascii="Times New Roman" w:hAnsi="Times New Roman"/>
                <w:b/>
                <w:sz w:val="20"/>
              </w:rPr>
              <w:t>Offer Notice</w:t>
            </w:r>
            <w:r>
              <w:rPr>
                <w:rFonts w:ascii="Times New Roman" w:hAnsi="Times New Roman"/>
                <w:sz w:val="20"/>
              </w:rPr>
              <w:t xml:space="preserve">) setting forth (i) the location, (ii) the rentable area, (iii) the Fair Market Net Rental Value rate (as defined in </w:t>
            </w:r>
            <w:r>
              <w:rPr>
                <w:rFonts w:ascii="Times New Roman" w:hAnsi="Times New Roman"/>
                <w:sz w:val="20"/>
                <w:u w:val="single"/>
              </w:rPr>
              <w:t>Section 1.05)</w:t>
            </w:r>
            <w:r>
              <w:rPr>
                <w:rFonts w:ascii="Times New Roman" w:hAnsi="Times New Roman"/>
                <w:sz w:val="20"/>
              </w:rPr>
              <w:t xml:space="preserve"> as reasonably determined by Landlord; (iv) any concessions which Landlord, at its election, is willing to provide; (v) all other material economic terms; (vi) the target delivery date (the </w:t>
            </w:r>
            <w:r>
              <w:rPr>
                <w:rFonts w:ascii="Times New Roman" w:hAnsi="Times New Roman"/>
                <w:b/>
                <w:sz w:val="20"/>
              </w:rPr>
              <w:t>Offer Space Target Delivery Date</w:t>
            </w:r>
            <w:r>
              <w:rPr>
                <w:rFonts w:ascii="Times New Roman" w:hAnsi="Times New Roman"/>
                <w:sz w:val="20"/>
              </w:rPr>
              <w:t>); (vii) the term for which the Offer Space is being offered (which shall be coterminous with the Term of the Lease, unless there is less than 3 full years remaining in the Term of the Lease [including any exercised renewal options], in with case, Landlord may specify a different term for the Offer Space) and (viii) the commencement date (the </w:t>
            </w:r>
            <w:r>
              <w:rPr>
                <w:rFonts w:ascii="Times New Roman" w:hAnsi="Times New Roman"/>
                <w:b/>
                <w:sz w:val="20"/>
              </w:rPr>
              <w:t>Offer Space Commencement Date</w:t>
            </w:r>
            <w:r>
              <w:rPr>
                <w:rFonts w:ascii="Times New Roman" w:hAnsi="Times New Roman"/>
                <w:sz w:val="20"/>
              </w:rPr>
              <w:t xml:space="preserve">), which shall be </w:t>
            </w:r>
            <w:r>
              <w:rPr>
                <w:rFonts w:ascii="Times New Roman" w:hAnsi="Times New Roman"/>
                <w:i/>
                <w:sz w:val="20"/>
              </w:rPr>
              <w:t xml:space="preserve">the </w:t>
            </w:r>
            <w:r>
              <w:rPr>
                <w:rFonts w:ascii="Times New Roman" w:hAnsi="Times New Roman"/>
                <w:sz w:val="20"/>
              </w:rPr>
              <w:t xml:space="preserve">date which is the earlier to occur of (A) 60 days after Landlord tenders delivery (or is deemed to have tendered delivery) of the Offer Space to Tenant, and (B) the date on which Tenant commences beneficial use of the Offer Space. For </w:t>
            </w:r>
            <w:r>
              <w:rPr>
                <w:rFonts w:ascii="Times New Roman" w:hAnsi="Times New Roman"/>
                <w:i/>
                <w:sz w:val="20"/>
              </w:rPr>
              <w:t xml:space="preserve">purposes hereof, </w:t>
            </w:r>
            <w:r>
              <w:rPr>
                <w:rFonts w:ascii="Times New Roman" w:hAnsi="Times New Roman"/>
                <w:sz w:val="20"/>
              </w:rPr>
              <w:t xml:space="preserve">the term </w:t>
            </w:r>
            <w:r>
              <w:rPr>
                <w:rFonts w:ascii="Times New Roman" w:hAnsi="Times New Roman"/>
                <w:b/>
                <w:sz w:val="20"/>
              </w:rPr>
              <w:t>beneficial use</w:t>
            </w:r>
            <w:r>
              <w:rPr>
                <w:rFonts w:ascii="Times New Roman" w:hAnsi="Times New Roman"/>
                <w:sz w:val="20"/>
              </w:rPr>
              <w:t xml:space="preserve"> shall mean that Tenant commences its business operations from the applicable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Tenants right to lease the Offer Space shall be exercisable by written notice (the </w:t>
            </w:r>
            <w:r>
              <w:rPr>
                <w:rFonts w:ascii="Times New Roman" w:hAnsi="Times New Roman"/>
                <w:b/>
                <w:sz w:val="20"/>
              </w:rPr>
              <w:t>ROFO Exercise Notice</w:t>
            </w:r>
            <w:r>
              <w:rPr>
                <w:rFonts w:ascii="Times New Roman" w:hAnsi="Times New Roman"/>
                <w:sz w:val="20"/>
              </w:rPr>
              <w:t>) from Tenant to Landlord delivered not later than 5 Business Days after the Offer Notice is delivered to Tenant (</w:t>
            </w:r>
            <w:r>
              <w:rPr>
                <w:rFonts w:ascii="Times New Roman" w:hAnsi="Times New Roman"/>
                <w:b/>
                <w:sz w:val="20"/>
              </w:rPr>
              <w:t>Tenants ROFO Response Period</w:t>
            </w:r>
            <w:r>
              <w:rPr>
                <w:rFonts w:ascii="Times New Roman" w:hAnsi="Times New Roman"/>
                <w:sz w:val="20"/>
              </w:rPr>
              <w:t xml:space="preserve">). Upon Tenants delivering the ROFO Exercise Notice to Landlord, Tenant shall be deemed to have irrevocably exercised the Right of First Offer with respect to the applicable Offer Space. Tenant may not elect to lease less than the entire portion of the Offer Space described in an Offer Notice, provided if the Third Expansion Space (as defined in </w:t>
            </w:r>
            <w:r>
              <w:rPr>
                <w:rFonts w:ascii="Times New Roman" w:hAnsi="Times New Roman"/>
                <w:sz w:val="20"/>
                <w:u w:val="single"/>
              </w:rPr>
              <w:t>Section 6.03(a)</w:t>
            </w:r>
            <w:r>
              <w:rPr>
                <w:rFonts w:ascii="Times New Roman" w:hAnsi="Times New Roman"/>
                <w:sz w:val="20"/>
              </w:rPr>
              <w:t xml:space="preserve"> of to this Lease) has not been added to the Premises pursuant to </w:t>
            </w:r>
            <w:r>
              <w:rPr>
                <w:rFonts w:ascii="Times New Roman" w:hAnsi="Times New Roman"/>
                <w:sz w:val="20"/>
                <w:u w:val="single"/>
              </w:rPr>
              <w:t>Section _6 .03(a)</w:t>
            </w:r>
            <w:r>
              <w:rPr>
                <w:rFonts w:ascii="Times New Roman" w:hAnsi="Times New Roman"/>
                <w:sz w:val="20"/>
              </w:rPr>
              <w:t xml:space="preserve"> of </w:t>
            </w:r>
            <w:r>
              <w:rPr>
                <w:rFonts w:ascii="Times New Roman" w:hAnsi="Times New Roman"/>
                <w:sz w:val="20"/>
                <w:u w:val="single"/>
              </w:rPr>
              <w:t>Exhibit E</w:t>
            </w:r>
            <w:r>
              <w:rPr>
                <w:rFonts w:ascii="Times New Roman" w:hAnsi="Times New Roman"/>
                <w:sz w:val="20"/>
              </w:rPr>
              <w:t xml:space="preserve"> to this Lease and the Offer Notice includes the Third Expansion Space, then with respect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to any such Offer Notice sent to Tenant prior to Landlord executing a lease for the Third Expansion Space (whether or not the Third Expansion Space is leased with other space) with a third party, Tenant shall have the right (the </w:t>
            </w:r>
            <w:r>
              <w:rPr>
                <w:b/>
              </w:rPr>
              <w:t>Selection Right</w:t>
            </w:r>
            <w:r>
              <w:rPr/>
              <w:t xml:space="preserve">) In the ROFO Exercise Notice to elect either (i) the Third Expansion Space only as the Offer Space for such ROFO Exercise Notice or (ii) the applicable Offer Space set forth in the Offer Notice (and for purposes of this </w:t>
            </w:r>
            <w:r>
              <w:rPr>
                <w:u w:val="single"/>
              </w:rPr>
              <w:t>Section 2,</w:t>
            </w:r>
            <w:r>
              <w:rPr/>
              <w:t xml:space="preserve"> the Third Expansion Space as elected by Tenant to be such Offer Space pursuant to clause (i) or clause (ii) of this sentence shall be referred to as the </w:t>
            </w:r>
            <w:r>
              <w:rPr>
                <w:b/>
              </w:rPr>
              <w:t>Third Expansion Offer Space</w:t>
            </w:r>
            <w:r>
              <w:rPr/>
              <w:t xml:space="preserve">). If Tenant does not timely exercise the Right of First Offer with respect to all or a portion of the Offer Space, as applicable, then, subject to </w:t>
            </w:r>
            <w:r>
              <w:rPr>
                <w:u w:val="single"/>
              </w:rPr>
              <w:t>Section 2.05</w:t>
            </w:r>
            <w:r>
              <w:rPr/>
              <w:t xml:space="preserve"> below, Landlord shall have the right thereafter to lease the portion of the Offer Space for which Tenant has not timely exercised its Right of First Offer, as applicable, to any prospective tenant free and clear of the Right of First Offer, and Tenant shall have no further rights with respect to such portion of the Offer Space, other than as expressly set forth in </w:t>
            </w:r>
            <w:r>
              <w:rPr>
                <w:u w:val="single"/>
              </w:rPr>
              <w:t>Section 2.05</w:t>
            </w:r>
            <w:r>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Intentionally omitted.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If Tenant does not timely exercise the Right of First Offer to lease the Offer Space (by timely delivering the ROFO Exercise Notice prior to the expiration of the Tenants ROFO Response Period), or does not have the right to exercise the Right of First Offer at the lime Landlord would otherwise have been obligated to deliver the Offer Notice, then Landlord shall have the right to lease such space to other prospective tenants during the 12 month period following Tenants ROFO Response Period for a Net Effective Rental Rate (hereinafter defined) which is not less than ninety percent (90%) of the Net Effective Rental Rate offered to Tenant In the related Offer Notice. As used herein, the term </w:t>
            </w:r>
            <w:r>
              <w:rPr>
                <w:rFonts w:ascii="Times New Roman" w:hAnsi="Times New Roman"/>
                <w:b/>
                <w:sz w:val="20"/>
              </w:rPr>
              <w:t>Net Effective Rental Rate</w:t>
            </w:r>
            <w:r>
              <w:rPr>
                <w:rFonts w:ascii="Times New Roman" w:hAnsi="Times New Roman"/>
                <w:sz w:val="20"/>
              </w:rPr>
              <w:t xml:space="preserve"> shall mean the net rental rate payable to Landlord under a lease net of all tenant inducements (e.g., tenant Improvement allowances, rental abatements, moving allowances), with the cost of such tenant inducements, together with Interest thereon at a rate of ten percent (10%) per annum, amortized over the term of such lease. Furthermore, If Landlord desires to lease such Offer Space during such 12 month period at a Net Effective Rental Rate less than ninety percent (90%) of the Net Effective Rental Rate offered to Tenant in the Offer Notice Landlord shall again offer the Offer Space to Tenant with a new Offer Notice reflecting such lower Net Effective Rental Rate, subject to and in accordance with the other tams of this </w:t>
            </w:r>
            <w:r>
              <w:rPr>
                <w:rFonts w:ascii="Times New Roman" w:hAnsi="Times New Roman"/>
                <w:sz w:val="20"/>
                <w:u w:val="single"/>
              </w:rPr>
              <w:t>Section 2.</w:t>
            </w:r>
            <w:r>
              <w:rPr>
                <w:rFonts w:ascii="Times New Roman" w:hAnsi="Times New Roman"/>
                <w:sz w:val="20"/>
              </w:rPr>
              <w:t xml:space="preserve"> If Landlord enters into a lease within such 12-month period for the Offer Space for a Net Effective Rental Rate which is not less than ninety percent (90%) of the Net Effective Rental Rate offered to Tenant In the related Offer Notice, Tenant shall not have any right with respect to such Offer Space until such Offer Space again becomes available for leasing thereafter. If Landlord fails to lease the Offer Space within such 12-month period, then prior to entering Into a lease for the Offer Space during the Offer Period, Landlord shall again offer such space to Tenant with a new Offer Notice, and if such Offer Space Includes the Third Expansion Space and the Third Expansion Space has not previously been leased to a third party, Tenant shall have the Selection Right (defined In </w:t>
            </w:r>
            <w:r>
              <w:rPr>
                <w:rFonts w:ascii="Times New Roman" w:hAnsi="Times New Roman"/>
                <w:sz w:val="20"/>
                <w:u w:val="single"/>
              </w:rPr>
              <w:t>Section 7.09</w:t>
            </w:r>
            <w:r>
              <w:rPr>
                <w:rFonts w:ascii="Times New Roman" w:hAnsi="Times New Roman"/>
                <w:sz w:val="20"/>
              </w:rPr>
              <w:t xml:space="preserve"> of this </w:t>
            </w:r>
            <w:r>
              <w:rPr>
                <w:rFonts w:ascii="Times New Roman" w:hAnsi="Times New Roman"/>
                <w:sz w:val="20"/>
                <w:u w:val="single"/>
              </w:rPr>
              <w:t>Exhibit E)</w:t>
            </w:r>
            <w:r>
              <w:rPr>
                <w:rFonts w:ascii="Times New Roman" w:hAnsi="Times New Roman"/>
                <w:sz w:val="20"/>
              </w:rPr>
              <w:t xml:space="preserve"> with respect to such Offer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Tenants right to tease any Offer Space is subject to the following additional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must be in full force and effect on the date on which Tenant delivers the ROFO Exercise Notice to Landlord and on the applicable Offer Space Commencement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under the Lease exists on the date Tenant delivers the ROFO Exercise Notice to Landlord;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not have sublet 50% or more of the Premises and must be in occupancy of the entire Premises (subject to any sublease of less than 50% of the Premises) at the time Landlord would otherwise deliver the Offer Notice of the Premises, except in connection with a transaction for which consent of Landlord is not required or for which the terms of </w:t>
            </w:r>
            <w:r>
              <w:rPr>
                <w:rFonts w:ascii="Times New Roman" w:hAnsi="Times New Roman"/>
                <w:sz w:val="20"/>
                <w:u w:val="single"/>
              </w:rPr>
              <w:t>Section 14.1</w:t>
            </w:r>
            <w:r>
              <w:rPr>
                <w:rFonts w:ascii="Times New Roman" w:hAnsi="Times New Roman"/>
                <w:sz w:val="20"/>
              </w:rPr>
              <w:t xml:space="preserve"> of the Lease are inapplicable, both pursuant to </w:t>
            </w:r>
            <w:r>
              <w:rPr>
                <w:rFonts w:ascii="Times New Roman" w:hAnsi="Times New Roman"/>
                <w:sz w:val="20"/>
                <w:u w:val="single"/>
              </w:rPr>
              <w:t>Section 14.9</w:t>
            </w:r>
            <w:r>
              <w:rPr>
                <w:rFonts w:ascii="Times New Roman" w:hAnsi="Times New Roman"/>
                <w:sz w:val="20"/>
              </w:rPr>
              <w:t xml:space="preserve">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not have delivered Tenants Termination Notice to Landlord pursuant to </w:t>
            </w:r>
            <w:r>
              <w:rPr>
                <w:rFonts w:ascii="Times New Roman" w:hAnsi="Times New Roman"/>
                <w:sz w:val="20"/>
                <w:u w:val="single"/>
              </w:rPr>
              <w:t>Section 3.01</w:t>
            </w:r>
            <w:r>
              <w:rPr>
                <w:rFonts w:ascii="Times New Roman" w:hAnsi="Times New Roman"/>
                <w:sz w:val="20"/>
              </w:rPr>
              <w:t xml:space="preserve">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is the named Tenant on page 1 of the Lease or a transferee in a transaction for which consent of Landlord is not required or for which the terms of </w:t>
            </w:r>
            <w:r>
              <w:rPr>
                <w:rFonts w:ascii="Times New Roman" w:hAnsi="Times New Roman"/>
                <w:sz w:val="20"/>
                <w:u w:val="single"/>
              </w:rPr>
              <w:t>Section 14.1</w:t>
            </w:r>
            <w:r>
              <w:rPr>
                <w:rFonts w:ascii="Times New Roman" w:hAnsi="Times New Roman"/>
                <w:sz w:val="20"/>
              </w:rPr>
              <w:t xml:space="preserve"> of the Lease are inapplicable, both pursuant to </w:t>
            </w:r>
            <w:r>
              <w:rPr>
                <w:rFonts w:ascii="Times New Roman" w:hAnsi="Times New Roman"/>
                <w:sz w:val="20"/>
                <w:u w:val="single"/>
              </w:rPr>
              <w:t>Section 14.9</w:t>
            </w:r>
            <w:r>
              <w:rPr>
                <w:rFonts w:ascii="Times New Roman" w:hAnsi="Times New Roman"/>
                <w:sz w:val="20"/>
              </w:rPr>
              <w:t xml:space="preserve">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has validly exercised the Right of First Offer, then effective as of the applicable Offer Space Commencement Date, the applicable Offer Space shall be included in the Premises for all purposes of the Lease, as amended hereby, subject to all of the terms, conditions and provisions of the Lease, as modified by the following and as further modified by this </w:t>
            </w:r>
            <w:r>
              <w:rPr>
                <w:rFonts w:ascii="Times New Roman" w:hAnsi="Times New Roman"/>
                <w:sz w:val="20"/>
                <w:u w:val="single"/>
              </w:rPr>
              <w:t>Section 7</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Fixed Rent per square foot of rentable area for such Offer </w:t>
            </w:r>
            <w:r>
              <w:rPr>
                <w:rFonts w:ascii="Times New Roman" w:hAnsi="Times New Roman"/>
                <w:i/>
                <w:sz w:val="20"/>
              </w:rPr>
              <w:t xml:space="preserve">Space </w:t>
            </w:r>
            <w:r>
              <w:rPr>
                <w:rFonts w:ascii="Times New Roman" w:hAnsi="Times New Roman"/>
                <w:sz w:val="20"/>
              </w:rPr>
              <w:t xml:space="preserve">shall be the rate (including escalations) specified In the applicable Offer Notice, subject to </w:t>
            </w:r>
            <w:r>
              <w:rPr>
                <w:rFonts w:ascii="Times New Roman" w:hAnsi="Times New Roman"/>
                <w:sz w:val="20"/>
                <w:u w:val="single"/>
              </w:rPr>
              <w:t>Section 2.13</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pay Tenants Operating Payment and Tenants Tax Payment for the Offer Space In accordance with the terms of the Lease and Tenants Proportionate Share for the Offer Space shall be calculated </w:t>
            </w:r>
            <w:r>
              <w:rPr>
                <w:rFonts w:ascii="Times New Roman" w:hAnsi="Times New Roman"/>
                <w:i/>
                <w:sz w:val="20"/>
              </w:rPr>
              <w:t xml:space="preserve">based </w:t>
            </w:r>
            <w:r>
              <w:rPr>
                <w:rFonts w:ascii="Times New Roman" w:hAnsi="Times New Roman"/>
                <w:sz w:val="20"/>
              </w:rPr>
              <w:t xml:space="preserve">on the rentable area of the 600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with respect to the Offer Space shall commence on the applicable Offer Space Commencement Date and shall expire simultaneously with the expiration or earlier termination of the Term, including any extension or renewal thereof, unless the Offer Notice specified a different term for the Offer Space (as permitted under clause [vi] of </w:t>
            </w:r>
            <w:r>
              <w:rPr>
                <w:rFonts w:ascii="Times New Roman" w:hAnsi="Times New Roman"/>
                <w:sz w:val="20"/>
                <w:u w:val="single"/>
              </w:rPr>
              <w:t>Section 2.02)</w:t>
            </w:r>
            <w:r>
              <w:rPr>
                <w:rFonts w:ascii="Times New Roman" w:hAnsi="Times New Roman"/>
                <w:sz w:val="20"/>
              </w:rPr>
              <w:t xml:space="preserve">, in which case the stated term for the Offer Space shall expire on such date and such date shall not be subject to extension pursuant to the Renewal Option (as defined In </w:t>
            </w:r>
            <w:r>
              <w:rPr>
                <w:rFonts w:ascii="Times New Roman" w:hAnsi="Times New Roman"/>
                <w:sz w:val="20"/>
                <w:u w:val="single"/>
              </w:rPr>
              <w:t>Section 1.01)</w:t>
            </w:r>
            <w:r>
              <w:rPr>
                <w:rFonts w:ascii="Times New Roman" w:hAnsi="Times New Roman"/>
                <w:sz w:val="20"/>
              </w:rPr>
              <w:t xml:space="preserve"> or early termination pursuant to the Termination Option (as defined In </w:t>
            </w:r>
            <w:r>
              <w:rPr>
                <w:rFonts w:ascii="Times New Roman" w:hAnsi="Times New Roman"/>
                <w:sz w:val="20"/>
                <w:u w:val="single"/>
              </w:rPr>
              <w:t>Section 3.01)</w:t>
            </w:r>
            <w:r>
              <w:rPr>
                <w:rFonts w:ascii="Times New Roman" w:hAnsi="Times New Roman"/>
                <w:sz w:val="20"/>
              </w:rPr>
              <w:t xml:space="preserve"> (and such stated date shall be referred to herein as the </w:t>
            </w:r>
            <w:r>
              <w:rPr>
                <w:rFonts w:ascii="Times New Roman" w:hAnsi="Times New Roman"/>
                <w:b/>
                <w:sz w:val="20"/>
              </w:rPr>
              <w:t>Offer Space Extended Termination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not be entitled to any allowances, abatements or other financial concessions that may have been provided to Tenant in connection with the existing Premises, except as may be expressly set forth in the applicable Offer Notice (in which case such allowances, abatement or other financial concessions which Landlord, at its election, is willing to provide shall be taken Into account in the calculation of Fair Market Net Rental Value rate) or unless such concessions are expressly provided for in this </w:t>
            </w:r>
            <w:r>
              <w:rPr>
                <w:rFonts w:ascii="Times New Roman" w:hAnsi="Times New Roman"/>
                <w:sz w:val="20"/>
                <w:u w:val="single"/>
              </w:rPr>
              <w:t>Section 2</w:t>
            </w:r>
            <w:r>
              <w:rPr>
                <w:rFonts w:ascii="Times New Roman" w:hAnsi="Times New Roman"/>
                <w:sz w:val="20"/>
              </w:rPr>
              <w:t xml:space="preserve"> with respect to the Offer Space;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Space shall be leased in its as is condition as of the Offer Space Commencement Date, without representation or warranty by Landlord or any other party acting on behalf of Landlord, except as may be expressly set forth in the applicable Offer Notice; provided, however, nothing contained in this </w:t>
            </w:r>
            <w:r>
              <w:rPr>
                <w:rFonts w:ascii="Times New Roman" w:hAnsi="Times New Roman"/>
                <w:sz w:val="20"/>
                <w:u w:val="single"/>
              </w:rPr>
              <w:t xml:space="preserve">Section 2.07(e) </w:t>
            </w:r>
            <w:r>
              <w:rPr>
                <w:rFonts w:ascii="Times New Roman" w:hAnsi="Times New Roman"/>
                <w:sz w:val="20"/>
              </w:rPr>
              <w:t xml:space="preserve">shall in any way limit reduce or affect Landlords maintenance obligations as to the Offer Space pursuant to the terms and provisions of the Lease.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2.08.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shall use commercially reasonable diligent efforts (including the prompt commencement and diligent prosecution of eviction proceedings, if necessary) to deliver possession of the Offer Space to Tenant on the applicable Offer Space Target Delivery Date, provided that, as long as Landlord has used commercially reasonable diligent efforts to gain possession of the Offer Space from a previous tenant or occupant (including the prompt commencement and diligent prosecution of eviction proceedings, if necessary), the Offer Space Target Delivery Date shall be extended to the extent of any delay In Landlord delivering possession of the Offer Space to Tenant as a result of a previous tenant or occupant holding over. Tenants possession of the Offer Space prior to the applicable Offer Space Commencement Date shall be subject to all of the terms and conditions of the Lease, except that Fixed Rent and Tenants Operating Payment and Tenants Tax Payment shall not commence to accrue with respect to such Offer Space until the applicable Offer Space Commencement Date, unless Tenant commences beneficial use of the Offer Space, in which event Rent shall commence as of such date. If Landlord fails to deliver possession of the Offer Space on the applicable Offer Space Target Delivery Date, then Landlord shall not be subject to any liability for failure to deliver possession, and such failure to deliver possession shall not affect either the validity of the Lease or the obligations of either Landlord or Tenant hereunder or be construed to extend the expiration of the Tern either as to such Offer Space (unless the term for the Offer Space is not coterminous with the Term of the Lease for the rest of the Premises and such termination date of the Offer Space is dependent on the Offer Space Commencement Date) or the balance of the Premises (provided that the Offer Space Commencement Date shall be determined as set forth in clause [viii] of </w:t>
            </w:r>
            <w:r>
              <w:rPr>
                <w:rFonts w:ascii="Times New Roman" w:hAnsi="Times New Roman"/>
                <w:sz w:val="20"/>
                <w:u w:val="single"/>
              </w:rPr>
              <w:t>Section 2.02</w:t>
            </w:r>
            <w:r>
              <w:rPr>
                <w:rFonts w:ascii="Times New Roman" w:hAnsi="Times New Roman"/>
                <w:sz w:val="20"/>
              </w:rPr>
              <w:t xml:space="preserve"> based on the date that Landlord tenders [or is deemed to have tendered] delivery of the Offer Space to Tenant). Notwithstanding the foregoing, if, subject to Unavoidable Delays, holdover by a previous tenant or occupant of the Offer Space and delay caused by Tenant or a Tenant Party (collectively, a </w:t>
            </w:r>
            <w:r>
              <w:rPr>
                <w:rFonts w:ascii="Times New Roman" w:hAnsi="Times New Roman"/>
                <w:b/>
                <w:sz w:val="20"/>
              </w:rPr>
              <w:t>Tenant Delay</w:t>
            </w:r>
            <w:r>
              <w:rPr>
                <w:rFonts w:ascii="Times New Roman" w:hAnsi="Times New Roman"/>
                <w:sz w:val="20"/>
              </w:rPr>
              <w:t xml:space="preserve">), Landlord has not tendered (or been deemed to have tendered) delivery of the Offer Space to Tenant, In the condition required by the Offer Notice, on or before the date which is 60 days after the Offer Space Target Delivery Date, and such delay causes an actual delay in Tenants performance of Tenants alterations and improvements therein, then, in addition to any other rent abatements which may be granted to Tenant pursuant to the Offer Notice, and as Tenants sole remedy for such late delivery, Tenant shall be entitled to </w:t>
            </w:r>
            <w:r>
              <w:rPr>
                <w:rFonts w:ascii="Times New Roman" w:hAnsi="Times New Roman"/>
                <w:b/>
                <w:sz w:val="20"/>
              </w:rPr>
              <w:t xml:space="preserve">1 </w:t>
            </w:r>
            <w:r>
              <w:rPr>
                <w:rFonts w:ascii="Times New Roman" w:hAnsi="Times New Roman"/>
                <w:sz w:val="20"/>
              </w:rPr>
              <w:t xml:space="preserve">day of abatement of Fixed Rent with respect to the Offer Space for each 1 day of delay during the period commencing with the Old day after the Offer Space Target Delivery Date (as the same has been extended due to Unavoidable Delays or holdover by a previous tenant or occupant) and continuing until Landlord tenders (or is deemed to have tendered) delivery of the Offer Space to Tenant in the condition required by the Offer Notice. Notwithstanding anything to the contrary, Landlord shall be deemed to have tendered delivery of the Offer Space on the date Landlord would have tendered delivery of the Offer Space but for a Tenant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2.09.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valid exercise by Tenant of the Right of First Offer for any particular Offer Space, Landlord and Tenant shall promptly enter into a written amendment to the Lease reflecting the terms, conditions and provisions applicable to such Offer Space, as determined in accordance 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portion of the Available ROFO Space is leased to Tenant other than pursuant to the Right of First Offer, such portion of the Available ROFO Space shall thereupon be deleted from the Available ROFO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As used herein, the term </w:t>
            </w:r>
            <w:r>
              <w:rPr>
                <w:rFonts w:ascii="Times New Roman" w:hAnsi="Times New Roman"/>
                <w:b/>
                <w:sz w:val="20"/>
              </w:rPr>
              <w:t>Offer Period</w:t>
            </w:r>
            <w:r>
              <w:rPr>
                <w:rFonts w:ascii="Times New Roman" w:hAnsi="Times New Roman"/>
                <w:sz w:val="20"/>
              </w:rPr>
              <w:t xml:space="preserve"> shall mean the period commencing on the date of the Lease and continuing through the end of the Initial Term; provided, however, If Tenant delivers Tenants Termination Notice to Landlord in accordance with </w:t>
            </w:r>
            <w:r>
              <w:rPr>
                <w:rFonts w:ascii="Times New Roman" w:hAnsi="Times New Roman"/>
                <w:sz w:val="20"/>
                <w:u w:val="single"/>
              </w:rPr>
              <w:t>Section 3.01</w:t>
            </w:r>
            <w:r>
              <w:rPr>
                <w:rFonts w:ascii="Times New Roman" w:hAnsi="Times New Roman"/>
                <w:sz w:val="20"/>
              </w:rPr>
              <w:t xml:space="preserve"> then the Offer Period shall expire on the date of Tenants Termination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2.12.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is of the essence with respect to the dates, terms and provisions of this </w:t>
            </w:r>
            <w:r>
              <w:rPr>
                <w:rFonts w:ascii="Times New Roman" w:hAnsi="Times New Roman"/>
                <w:sz w:val="20"/>
                <w:u w:val="single"/>
              </w:rPr>
              <w:t>Section 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2.13.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this </w:t>
            </w:r>
            <w:r>
              <w:rPr>
                <w:rFonts w:ascii="Times New Roman" w:hAnsi="Times New Roman"/>
                <w:sz w:val="20"/>
                <w:u w:val="single"/>
              </w:rPr>
              <w:t>Section 2</w:t>
            </w:r>
            <w:r>
              <w:rPr>
                <w:rFonts w:ascii="Times New Roman" w:hAnsi="Times New Roman"/>
                <w:sz w:val="20"/>
              </w:rPr>
              <w:t xml:space="preserve"> of this </w:t>
            </w:r>
            <w:r>
              <w:rPr>
                <w:rFonts w:ascii="Times New Roman" w:hAnsi="Times New Roman"/>
                <w:sz w:val="20"/>
                <w:u w:val="single"/>
              </w:rPr>
              <w:t>Exhibit E</w:t>
            </w:r>
            <w:r>
              <w:rPr>
                <w:rFonts w:ascii="Times New Roman" w:hAnsi="Times New Roman"/>
                <w:sz w:val="20"/>
              </w:rPr>
              <w:t xml:space="preserve"> if, and only it the Offer Space (i) is the Third Expansion Offer Space as described in </w:t>
            </w:r>
            <w:r>
              <w:rPr>
                <w:rFonts w:ascii="Times New Roman" w:hAnsi="Times New Roman"/>
                <w:sz w:val="20"/>
                <w:u w:val="single"/>
              </w:rPr>
              <w:t>Section 2.03(i)</w:t>
            </w:r>
            <w:r>
              <w:rPr>
                <w:rFonts w:ascii="Times New Roman" w:hAnsi="Times New Roman"/>
                <w:sz w:val="20"/>
              </w:rPr>
              <w:t xml:space="preserve"> of this </w:t>
            </w:r>
            <w:r>
              <w:rPr>
                <w:rFonts w:ascii="Times New Roman" w:hAnsi="Times New Roman"/>
                <w:sz w:val="20"/>
                <w:u w:val="single"/>
              </w:rPr>
              <w:t>Exhibit E</w:t>
            </w:r>
            <w:r>
              <w:rPr>
                <w:rFonts w:ascii="Times New Roman" w:hAnsi="Times New Roman"/>
                <w:sz w:val="20"/>
              </w:rPr>
              <w:t xml:space="preserve">, or (11) includes the Third Expansion Offer Space as described </w:t>
            </w:r>
            <w:r>
              <w:rPr>
                <w:rFonts w:ascii="Times New Roman" w:hAnsi="Times New Roman"/>
                <w:sz w:val="20"/>
                <w:u w:val="single"/>
              </w:rPr>
              <w:t>Section 2.03(ii)</w:t>
            </w:r>
            <w:r>
              <w:rPr>
                <w:rFonts w:ascii="Times New Roman" w:hAnsi="Times New Roman"/>
                <w:sz w:val="20"/>
              </w:rPr>
              <w:t xml:space="preserve">, the following shall apply.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annual Fixed Rent rate per rentable square toot of the Third Expansion Offer Space shall be the same as the Fixed Rent rate per rentable square foot of the Premises initially demised by the Lease which is In effect on the Offer Space Commencement Date. The Fixed Rent rate for the Third Expansion Offer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Third Expansion Offer Space shall be the same. Fixed Rent attributable to the Third Expansion Offer Space shall be payable in monthly installments in accordance with the terms and conditions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Improvement allowance (the </w:t>
            </w:r>
            <w:r>
              <w:rPr>
                <w:rFonts w:ascii="Times New Roman" w:hAnsi="Times New Roman"/>
                <w:b/>
                <w:sz w:val="20"/>
              </w:rPr>
              <w:t>Third Expansion Offer Space Improvement Allowance</w:t>
            </w:r>
            <w:r>
              <w:rPr>
                <w:rFonts w:ascii="Times New Roman" w:hAnsi="Times New Roman"/>
                <w:sz w:val="20"/>
              </w:rPr>
              <w:t>) in an amount per rentable square foot of the Third Expansion Offer Space equal to $65.00 multiplied by a fraction, the numerator of which is the number of full calendar months remaining in the initial Term on the Offer Space Commencement Date and the denominator of which is 132. Such Third Expansion Offer Space Improvement Allowance shall be applied toward the cost of the improvements to be performed by Tenant in the Third Expansion Offer Space (the </w:t>
            </w:r>
            <w:r>
              <w:rPr>
                <w:rFonts w:ascii="Times New Roman" w:hAnsi="Times New Roman"/>
                <w:b/>
                <w:sz w:val="20"/>
              </w:rPr>
              <w:t>Third Expansion Offer Space Improvement</w:t>
            </w:r>
            <w:r>
              <w:rPr>
                <w:rFonts w:ascii="Times New Roman" w:hAnsi="Times New Roman"/>
                <w:sz w:val="20"/>
              </w:rPr>
              <w:t xml:space="preserve">). The Third Expansion Offer Space Improvement Allowance shall be disbursed In the same manner as described in, and subject to the same terms and conditions of, </w:t>
            </w:r>
            <w:r>
              <w:rPr>
                <w:rFonts w:ascii="Times New Roman" w:hAnsi="Times New Roman"/>
                <w:sz w:val="20"/>
                <w:u w:val="single"/>
              </w:rPr>
              <w:t>Section 7</w:t>
            </w:r>
            <w:r>
              <w:rPr>
                <w:rFonts w:ascii="Times New Roman" w:hAnsi="Times New Roman"/>
                <w:sz w:val="20"/>
              </w:rPr>
              <w:t xml:space="preserve"> of the Work Letter attached to the Lease as </w:t>
            </w:r>
            <w:r>
              <w:rPr>
                <w:rFonts w:ascii="Times New Roman" w:hAnsi="Times New Roman"/>
                <w:sz w:val="20"/>
                <w:u w:val="single"/>
              </w:rPr>
              <w:t>Exhibit D</w:t>
            </w:r>
            <w:r>
              <w:rPr>
                <w:rFonts w:ascii="Times New Roman" w:hAnsi="Times New Roman"/>
                <w:sz w:val="20"/>
              </w:rPr>
              <w:t xml:space="preserve"> except that, for purposes of this </w:t>
            </w:r>
            <w:r>
              <w:rPr>
                <w:rFonts w:ascii="Times New Roman" w:hAnsi="Times New Roman"/>
                <w:sz w:val="20"/>
                <w:u w:val="single"/>
              </w:rPr>
              <w:t>Section 2.13(b)</w:t>
            </w:r>
            <w:r>
              <w:rPr>
                <w:rFonts w:ascii="Times New Roman" w:hAnsi="Times New Roman"/>
                <w:sz w:val="20"/>
              </w:rPr>
              <w:t xml:space="preserve"> (i) all references to the following terms in </w:t>
            </w:r>
            <w:r>
              <w:rPr>
                <w:rFonts w:ascii="Times New Roman" w:hAnsi="Times New Roman"/>
                <w:sz w:val="20"/>
                <w:u w:val="single"/>
              </w:rPr>
              <w:t>Section 7</w:t>
            </w:r>
            <w:r>
              <w:rPr>
                <w:rFonts w:ascii="Times New Roman" w:hAnsi="Times New Roman"/>
                <w:sz w:val="20"/>
              </w:rPr>
              <w:t xml:space="preserve"> of the Work Letter shall instead have the following meanings: (A) Tenants Work shall Instead refer to the Third Expansion Offer Space Improvements, and (B) Construction Allowance, Separation Work Reimbursement and Application Amount shall instead refer to the Third Expansion Offer Space Improvement Allowance, and (ii) any Third Expansion Offer Space Improvement Allowance remaining undisbursed after the date which Is 180 days immediately following the Offer Space Commencement Date shall accrue to Landlord and Tenant shall have no claim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the Fixed Rent, Tenants Operating Payment and Tenants Tax Payment initially payable with respect to the Third Expansion Offer Space (</w:t>
            </w:r>
            <w:r>
              <w:rPr>
                <w:rFonts w:ascii="Times New Roman" w:hAnsi="Times New Roman"/>
                <w:b/>
                <w:sz w:val="20"/>
              </w:rPr>
              <w:t>Third Expansion Offer Space Rental Abatements</w:t>
            </w:r>
            <w:r>
              <w:rPr>
                <w:rFonts w:ascii="Times New Roman" w:hAnsi="Times New Roman"/>
                <w:sz w:val="20"/>
              </w:rPr>
              <w:t xml:space="preserve">) for the number of months calculated by multiplying (i) 12 months by (ii) a fraction, the numerator of which is the number of full calendar months remaining in the initial Term on the Offer Space Commencement Date and the denominator of which is 132. Such Third Expansion Offer Space Rental Abatement shall be applied toward the first rent due with respect to the Third Expansion Offer Space. Notwithstanding anything herein to the contrary, In no event shall Tenant be entitled to apply the Third Expansion Offer Space Rental Abatement against the rent due in connection with the Third Expansion Offer Space unless and until (i) Tenant shall have occupied and be operating Its business in substantially all of the Third Expansion Offer Space, and (ii) Tenant shall not be In Default of any of its obligations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Offer Space Includes the Third Expansion Offer Space as described in </w:t>
            </w:r>
            <w:r>
              <w:rPr>
                <w:rFonts w:ascii="Times New Roman" w:hAnsi="Times New Roman"/>
                <w:sz w:val="20"/>
                <w:u w:val="single"/>
              </w:rPr>
              <w:t>Section 2.03(ii).</w:t>
            </w:r>
            <w:r>
              <w:rPr>
                <w:rFonts w:ascii="Times New Roman" w:hAnsi="Times New Roman"/>
                <w:sz w:val="20"/>
              </w:rPr>
              <w:t xml:space="preserve"> the terms set forth in the applicable Offer Notice shall apply to the Offer Space other than the Third Expansion Offer Space.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OPTION TO TERMINATE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3.01.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Tenants Option to Terminate</w:t>
            </w:r>
            <w:r>
              <w:rPr>
                <w:rFonts w:ascii="Times New Roman" w:hAnsi="Times New Roman"/>
                <w:sz w:val="20"/>
              </w:rPr>
              <w:t xml:space="preserve">. Provided that (i) no Event of Default exists at the time Tenant delivers Tenants Termination Notice (hereinafter defined), (ii) the original Tenant named in the first paragraph of the Lease or the transferee of a transfer for which Landlords consent is not required pursuant to </w:t>
            </w:r>
            <w:r>
              <w:rPr>
                <w:rFonts w:ascii="Times New Roman" w:hAnsi="Times New Roman"/>
                <w:sz w:val="20"/>
                <w:u w:val="single"/>
              </w:rPr>
              <w:t>Section 14.9</w:t>
            </w:r>
            <w:r>
              <w:rPr>
                <w:rFonts w:ascii="Times New Roman" w:hAnsi="Times New Roman"/>
                <w:sz w:val="20"/>
              </w:rPr>
              <w:t xml:space="preserve"> of the Lease is the Tenant hereunder, and (iii) Tenant shall not have sublet any portion of the Premises and is in occupancy of the entire Premises at the time Tenant delivers Tenants Termination Notice, except in connection with a transaction for which consent of Landlord is not required pursuant to </w:t>
            </w:r>
            <w:r>
              <w:rPr>
                <w:rFonts w:ascii="Times New Roman" w:hAnsi="Times New Roman"/>
                <w:sz w:val="20"/>
                <w:u w:val="single"/>
              </w:rPr>
              <w:t>Section 14.9</w:t>
            </w:r>
            <w:r>
              <w:rPr>
                <w:rFonts w:ascii="Times New Roman" w:hAnsi="Times New Roman"/>
                <w:sz w:val="20"/>
              </w:rPr>
              <w:t xml:space="preserve"> of the Lease, Tenant shall have the option to terminate the Lease (the </w:t>
            </w:r>
            <w:r>
              <w:rPr>
                <w:rFonts w:ascii="Times New Roman" w:hAnsi="Times New Roman"/>
                <w:b/>
                <w:sz w:val="20"/>
              </w:rPr>
              <w:t>Termination Option</w:t>
            </w:r>
            <w:r>
              <w:rPr>
                <w:rFonts w:ascii="Times New Roman" w:hAnsi="Times New Roman"/>
                <w:sz w:val="20"/>
              </w:rPr>
              <w:t>) effective as of the last day of the 96th full calendar month following the Commencement Date (the </w:t>
            </w:r>
            <w:r>
              <w:rPr>
                <w:rFonts w:ascii="Times New Roman" w:hAnsi="Times New Roman"/>
                <w:b/>
                <w:sz w:val="20"/>
              </w:rPr>
              <w:t>Early Termination Date</w:t>
            </w:r>
            <w:r>
              <w:rPr>
                <w:rFonts w:ascii="Times New Roman" w:hAnsi="Times New Roman"/>
                <w:sz w:val="20"/>
              </w:rPr>
              <w:t>), as though such Early Termination Date were the Expiration Date set forth in the Lease, subject to Tenants compliance with the following conditions: (a) Tenant shall deliver irrevocable written notice (</w:t>
            </w:r>
            <w:r>
              <w:rPr>
                <w:rFonts w:ascii="Times New Roman" w:hAnsi="Times New Roman"/>
                <w:b/>
                <w:sz w:val="20"/>
              </w:rPr>
              <w:t>Tenants Termination Notice</w:t>
            </w:r>
            <w:r>
              <w:rPr>
                <w:rFonts w:ascii="Times New Roman" w:hAnsi="Times New Roman"/>
                <w:sz w:val="20"/>
              </w:rPr>
              <w:t xml:space="preserve">) exercising such option no later than the last day of the 84th full calendar month following the Commencement Date, (b) Tenant shall pay to Landlord the Early Termination Payment (hereinafter defined), and (c) Tenant shall continue to pay all Rent and other charges due under the Lease and comply with each and every term and provision hereof accruing through the Early Termination Date (and thereafter, if Tenant, in violation of the Lease, does not surrender the Premises to Landlord on the Early Termination Date) (and all such obligations shall survive such termination, including, but not limited to, the obligation of Tenant to pay, or Landlord to refund any overpayment of, any year-end adjustments and any other Additional Rent or other charges not yet determined or biked prior to the Early Termination Date and the obligation of Tenant to comply with those provisions relating to the condition of the Premises at the time of surrender). Notwithstanding anything to the contrary contained in the Lease, upon delivery of Tenants Termination Notice to Landlord, Tenant shall no longer be pen-rated to exercise Its Right of First Offer (as set forth in </w:t>
            </w:r>
            <w:r>
              <w:rPr>
                <w:rFonts w:ascii="Times New Roman" w:hAnsi="Times New Roman"/>
                <w:sz w:val="20"/>
                <w:u w:val="single"/>
              </w:rPr>
              <w:t>Section 7</w:t>
            </w:r>
            <w:r>
              <w:rPr>
                <w:rFonts w:ascii="Times New Roman" w:hAnsi="Times New Roman"/>
                <w:sz w:val="20"/>
              </w:rPr>
              <w:t xml:space="preserve"> above) or Its Renewal Option (as set forth in </w:t>
            </w:r>
            <w:r>
              <w:rPr>
                <w:rFonts w:ascii="Times New Roman" w:hAnsi="Times New Roman"/>
                <w:sz w:val="20"/>
                <w:u w:val="single"/>
              </w:rPr>
              <w:t>Section 1</w:t>
            </w:r>
            <w:r>
              <w:rPr>
                <w:rFonts w:ascii="Times New Roman" w:hAnsi="Times New Roman"/>
                <w:sz w:val="20"/>
              </w:rPr>
              <w:t xml:space="preserve"> above), and all such rights shall be null and void as of the date of Tenants Termination Notice. Time is of the essence with respect to the dates, terms and provisions of this </w:t>
            </w:r>
            <w:r>
              <w:rPr>
                <w:rFonts w:ascii="Times New Roman" w:hAnsi="Times New Roman"/>
                <w:sz w:val="20"/>
                <w:u w:val="single"/>
              </w:rPr>
              <w:t>Section 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3.02.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Early Termination Payment.</w:t>
            </w:r>
            <w:r>
              <w:rPr>
                <w:rFonts w:ascii="Times New Roman" w:hAnsi="Times New Roman"/>
                <w:sz w:val="20"/>
              </w:rPr>
              <w:t xml:space="preserve"> If Tenant elects to terminate the Lease pursuant to the provisions of this </w:t>
            </w:r>
            <w:r>
              <w:rPr>
                <w:rFonts w:ascii="Times New Roman" w:hAnsi="Times New Roman"/>
                <w:sz w:val="20"/>
                <w:u w:val="single"/>
              </w:rPr>
              <w:t>Section 3,</w:t>
            </w:r>
            <w:r>
              <w:rPr>
                <w:rFonts w:ascii="Times New Roman" w:hAnsi="Times New Roman"/>
                <w:sz w:val="20"/>
              </w:rPr>
              <w:t xml:space="preserve"> then as consideration for such early termination, and not as a penalty, Tenant shall pay Landlord a termination fee (the </w:t>
            </w:r>
            <w:r>
              <w:rPr>
                <w:rFonts w:ascii="Times New Roman" w:hAnsi="Times New Roman"/>
                <w:b/>
                <w:sz w:val="20"/>
              </w:rPr>
              <w:t>Early Termination Payment</w:t>
            </w:r>
            <w:r>
              <w:rPr>
                <w:rFonts w:ascii="Times New Roman" w:hAnsi="Times New Roman"/>
                <w:sz w:val="20"/>
              </w:rPr>
              <w:t xml:space="preserve">) in an amount equal to the sum of the following amounts paid by Landlord with respect to the Premises initially demised by the Lease, calculated as of the Early Termination Date: (i) the unamortized portion of any construction allowances (including, without limitation, the Construction Allowance and Application Amount specified In </w:t>
            </w:r>
            <w:r>
              <w:rPr>
                <w:rFonts w:ascii="Times New Roman" w:hAnsi="Times New Roman"/>
                <w:sz w:val="20"/>
                <w:u w:val="single"/>
              </w:rPr>
              <w:t>Section 7</w:t>
            </w:r>
            <w:r>
              <w:rPr>
                <w:rFonts w:ascii="Times New Roman" w:hAnsi="Times New Roman"/>
                <w:sz w:val="20"/>
              </w:rPr>
              <w:t xml:space="preserve"> of the Work Letter), plus (ii) the unamortized portion of any abated rent, plus (iii) the unamortized portion of any brokerage commissions, plus (iv) the unamortized portion of any legal costs and expenses Incurred in negotiating and drafting the Lease, and, for purposes of determining the Early Termination Payment, the unamortized portion of the construction allowances, abated rent, the brokerage commissions and legal costs and expenses (as applicable) shall be calculated based upon the amortization of each such amount in equal monthly amounts on a straight-line basis commencing on the first day of their full calendar month following the Commencement Date and ending on the Expiration Date, using an interest rate of 7.5% per annum. Tenant shall deliver the Early Termination Payment to Landlord at least 30 days prior to the Early Termination Date. The Early Termination Payment shall be in addition to (and not In lieu of) any sums due and owing to Landlord under the Lease with regard to the period up to and including the Early Termination Date. If Tenant exercises its option to terminate and fails to deliver the Early Termination Payment to Landlord as provided above, Landlord shall have the right to (A) declare the Tenants Termination Notice null and void, and the Lease shall continue in full force and effect unaffected thereby or (B) permit the early termination to take effect so that the Lease terminates on the Early Termination Date, provided that Tenant shall remain responsible for any portion of the Early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Termination Payment not paid to Landlord (and Tenants obligation to pay the Early Termination Payment shall survive the expiration or early termination of the Lease). If Landlord falls to notify Tenant of its election under clause (A) or clause (B) in the preceding sentence within 30 days after receipt of Tenants Termination Notice, Landlord shall be deemed to have elected clause (A), and the Lease shall continue in full force and effect. Notwithstanding anything to the contrary contained In the Lease, if Tenant leases space In the Building in addition to the Premises initially demised by the Lease, and the stated term of the Lease with respect to such space would have expired on the Expiration Date (as opposed to an Offer Space Extended Termination Date [as defined In </w:t>
            </w:r>
            <w:r>
              <w:rPr>
                <w:u w:val="single"/>
              </w:rPr>
              <w:t>Section 2.07(c)</w:t>
            </w:r>
            <w:r>
              <w:rPr/>
              <w:t xml:space="preserve"> of this </w:t>
            </w:r>
            <w:r>
              <w:rPr>
                <w:u w:val="single"/>
              </w:rPr>
              <w:t>Exhibit E)</w:t>
            </w:r>
            <w:r>
              <w:rPr/>
              <w:t xml:space="preserve">, but for the exercise of the Termination Option, then the Early Termination Payment shall be increased by the unamortized balance of the leasing costs (which for purposes of such additional spaces shall mean construction allowances, brokerage commissions, abated rent, legal costs and expenses and any other concessions granted to Tenant) attributable to the leasing of such additional space as of the Early Termination Date. The amortization of the leasing costs for such additional space shall be from the commencement date of the term of the Lease with respect to such additional space through the Expiration Date at an Interest rate of 7.5%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SIGN KIOSKS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4.01.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Term, and any extension thereof, provided that (i) Tenant Is leasing and occupying at least the number of Rentable Square Feet In the Premises as stated in </w:t>
            </w:r>
            <w:r>
              <w:rPr>
                <w:rFonts w:ascii="Times New Roman" w:hAnsi="Times New Roman"/>
                <w:sz w:val="20"/>
                <w:u w:val="single"/>
              </w:rPr>
              <w:t>Section 1.1</w:t>
            </w:r>
            <w:r>
              <w:rPr>
                <w:rFonts w:ascii="Times New Roman" w:hAnsi="Times New Roman"/>
                <w:sz w:val="20"/>
              </w:rPr>
              <w:t xml:space="preserve"> of the Lease as of the date of the Lease, (ii) Tenant installs Tenants Kiosk Signage (defined below) on or before May 31, 2019, and (iii) Tenant is the Tenant named In the introductory paragraph of the Lease or the transferee of a transfer for which Landlords consent is not required pursuant to </w:t>
            </w:r>
            <w:r>
              <w:rPr>
                <w:rFonts w:ascii="Times New Roman" w:hAnsi="Times New Roman"/>
                <w:sz w:val="20"/>
                <w:u w:val="single"/>
              </w:rPr>
              <w:t>Section 14.9</w:t>
            </w:r>
            <w:r>
              <w:rPr>
                <w:rFonts w:ascii="Times New Roman" w:hAnsi="Times New Roman"/>
                <w:sz w:val="20"/>
              </w:rPr>
              <w:t xml:space="preserve"> of the Lease, Tenant, at Tenants sole cost, with at least 30 days notice to Landlord but subject to the approval of all applicable Governmental Authorities, shall have the right to install its signage (the </w:t>
            </w:r>
            <w:r>
              <w:rPr>
                <w:rFonts w:ascii="Times New Roman" w:hAnsi="Times New Roman"/>
                <w:b/>
                <w:sz w:val="20"/>
              </w:rPr>
              <w:t>Tenants Kiosk Signage</w:t>
            </w:r>
            <w:r>
              <w:rPr>
                <w:rFonts w:ascii="Times New Roman" w:hAnsi="Times New Roman"/>
                <w:sz w:val="20"/>
              </w:rPr>
              <w:t>) on the northern most sign kiosk at the Building (the </w:t>
            </w:r>
            <w:r>
              <w:rPr>
                <w:rFonts w:ascii="Times New Roman" w:hAnsi="Times New Roman"/>
                <w:b/>
                <w:sz w:val="20"/>
              </w:rPr>
              <w:t>North Sign Kiosk</w:t>
            </w:r>
            <w:r>
              <w:rPr>
                <w:rFonts w:ascii="Times New Roman" w:hAnsi="Times New Roman"/>
                <w:sz w:val="20"/>
              </w:rPr>
              <w:t xml:space="preserve">), subject to Landlords approval, including, without limitation, the materials, design, size, color, location on the North Sign Kiosk and the manner in which the Tenants Kiosk Signage is included in the North Sign Kiosk, which approval shall not be unreasonably withheld, conditioned or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4.02.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North Sign Kiosk will be maintained by Landlord at Landlords cost, subject to inclusion of such costs in Operating Costs as described In the Lease. However, if Tenant installs the Tenants Kiosk signage on the North Sign Kiosk, then Tenant shall be responsible for correcting any defects In the fabrication or Installation thereof and for replacement thereof, if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4.03.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removal of the North Sign Kiosk Is required by one or more Governmental Authorities, if Landlord removes, relocates or replaces the North Sign Kosk, Tenant will be entitled to signage on such replacement or relocated Sign Kiosk which Is reasonably comparable (including prominence thereon) to Tenants Kiosk Signage on the original Sign Kiosk.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4.04.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expiration or earlier termination of the Lease or Tenants fight to possession of the Premises, or if Tenant leases and occupies less than the number of Rentable Square Feet in the Premises as stated in </w:t>
            </w:r>
            <w:r>
              <w:rPr>
                <w:rFonts w:ascii="Times New Roman" w:hAnsi="Times New Roman"/>
                <w:sz w:val="20"/>
                <w:u w:val="single"/>
              </w:rPr>
              <w:t>Section 1.1</w:t>
            </w:r>
            <w:r>
              <w:rPr>
                <w:rFonts w:ascii="Times New Roman" w:hAnsi="Times New Roman"/>
                <w:sz w:val="20"/>
              </w:rPr>
              <w:t xml:space="preserve"> of the Lease as of the date of the Lease, then Tenant at its cost within 30 days after request of Landlord, shall remove Tenants Kiosk Signage from the North Sign Kiosk and restore the affected portion of the North Sign Kiosk to the condition it was in prior to installation of Tenants Kiosk Signage thereon, ordinary wear and tear excepted, or, at Landlords option, Landlord may perform such work and Tenant shall reimburse Landlord for the reasonable cost of same within 30 days after receipt of an Invoice for such costs. if Tenant does not perform such work within such 30 day period, then Landlord may do so, at Tenants cost, and Tenant shall reimburse Landlord for the cost of such work within 30 days after request therefor. If Tenant installs Tenants Kiosk Signage as described herein, and subsequently is required to remove Tenants Kiosk Signage pursuant to this </w:t>
            </w:r>
            <w:r>
              <w:rPr>
                <w:rFonts w:ascii="Times New Roman" w:hAnsi="Times New Roman"/>
                <w:sz w:val="20"/>
                <w:u w:val="single"/>
              </w:rPr>
              <w:t>Section 4</w:t>
            </w:r>
            <w:r>
              <w:rPr>
                <w:rFonts w:ascii="Times New Roman" w:hAnsi="Times New Roman"/>
                <w:sz w:val="20"/>
              </w:rPr>
              <w:t xml:space="preserve"> Tenants rights to install signage on the North Sign Kiosk shall be deemed terminated.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4.05.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shall have the right to redesign the entire signage program for the 600 Building and/or the 900 Building and, in connection therewith, remove the North Sign Kiosk and the other sign kiosks located at the 600 Building and 900 Building, If any. Tenant will be entitled to signage on such replacement sign program which Is reasonably comparable (including prominence thereon) to Tenants Kiosk Signage on the original North Sign Kiosk and to the replacement signage granted to Echo Global Logistics, Inc. and Uptake Technologies, Inc., provided such replacement sign program may or may not include sign kiosks.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MONUMENT SIGN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5.01.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Tenant (i) is the Tenant named in the Introductory paragraph of the Lease or the transferee of a transfer for which Landlords consent Is not required pursuant to </w:t>
            </w:r>
            <w:r>
              <w:rPr>
                <w:rFonts w:ascii="Times New Roman" w:hAnsi="Times New Roman"/>
                <w:sz w:val="20"/>
                <w:u w:val="single"/>
              </w:rPr>
              <w:t>Section 14.9</w:t>
            </w:r>
            <w:r>
              <w:rPr>
                <w:rFonts w:ascii="Times New Roman" w:hAnsi="Times New Roman"/>
                <w:sz w:val="20"/>
              </w:rPr>
              <w:t xml:space="preserve"> of the Lease, (ii) is leasing and occupying at least 78,017 rentable square feet in the Building, and (iii) obtains, at its cost, all applicable approvals and permits from Governmental Authorities and third parties, Tenant shall have the right to construct a monument sign (</w:t>
            </w:r>
            <w:r>
              <w:rPr>
                <w:rFonts w:ascii="Times New Roman" w:hAnsi="Times New Roman"/>
                <w:b/>
                <w:sz w:val="20"/>
              </w:rPr>
              <w:t>New Monument Sign</w:t>
            </w:r>
            <w:r>
              <w:rPr>
                <w:rFonts w:ascii="Times New Roman" w:hAnsi="Times New Roman"/>
                <w:sz w:val="20"/>
              </w:rPr>
              <w:t xml:space="preserve">) in front of the Building on Kingsbury Street in a location reasonably designated by Landlord, and reasonably acceptable to Tenant, and install its graphic design </w:t>
            </w:r>
            <w:r>
              <w:rPr>
                <w:rFonts w:ascii="Times New Roman" w:hAnsi="Times New Roman"/>
                <w:b/>
                <w:sz w:val="20"/>
              </w:rPr>
              <w:t>(Tenants Monument Graphic</w:t>
            </w:r>
            <w:r>
              <w:rPr>
                <w:rFonts w:ascii="Times New Roman" w:hAnsi="Times New Roman"/>
                <w:sz w:val="20"/>
              </w:rPr>
              <w:t xml:space="preserve">) on one side only of the </w:t>
            </w:r>
            <w:r>
              <w:rPr>
                <w:rFonts w:ascii="Times New Roman" w:hAnsi="Times New Roman"/>
                <w:b/>
                <w:sz w:val="20"/>
              </w:rPr>
              <w:t xml:space="preserve">New </w:t>
            </w:r>
            <w:r>
              <w:rPr>
                <w:rFonts w:ascii="Times New Roman" w:hAnsi="Times New Roman"/>
                <w:sz w:val="20"/>
              </w:rPr>
              <w:t xml:space="preserve">Monument Sign, subject to Landlords approval, including, without limitation, as to the materials, design, size and color and the manner in which the New Monument Sign Is Installed and Tenants Monument Graphic is attached to the New Monument Sign, which approval shall not be unreasonably withheld, conditioned or delayed. Tenant shall be the only party with Its Identification on the New Monument Sign. To the extent Tenant intends to have the New Monument Sign or Tenants Monument Graphic illuminated, Tenant, at Its cost and pursuant to the plans and specification for the New Monument Sign, shall bring electricity to the location of the New Monument Sign and cause such electrical service to be connected to Tenants electrical service for the Premises which is separately billed and paid by Tenant. Landlord, at its cost, may relocate the New Monument Sign together with Tenants Monument Graphic.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5.02.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New Monument Sign and Tenants Monument Graphic shall be considered part of the Premises for purposes of Tenants maintenance and repair obligations (</w:t>
            </w:r>
            <w:r>
              <w:rPr>
                <w:rFonts w:ascii="Times New Roman" w:hAnsi="Times New Roman"/>
                <w:sz w:val="20"/>
                <w:u w:val="single"/>
              </w:rPr>
              <w:t>Section 6.1</w:t>
            </w:r>
            <w:r>
              <w:rPr>
                <w:rFonts w:ascii="Times New Roman" w:hAnsi="Times New Roman"/>
                <w:sz w:val="20"/>
              </w:rPr>
              <w:t xml:space="preserve"> of the Lease), insurance obligations (Article 11 of the Lease) and indemnity obligations (Article 28 of the Lease). The New Monument Sign and Tenants Monument Graphic shall be considered part of Tenants Property for purposes of damage by fire or casualty (Article 12 of the Lease) and eminent domain (Article 13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5.03.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expiration or earlier termination of the Lease or Tenants right to possession of the Premises, or if Tenant leases and occupies less than 78,017 rentable square feet in the Building, or if Tenant is not the named tenant on page 1 of the Lease or a transferee of a transferee in a transaction for which consent of Landlord is not required pursuant to </w:t>
            </w:r>
            <w:r>
              <w:rPr>
                <w:rFonts w:ascii="Times New Roman" w:hAnsi="Times New Roman"/>
                <w:sz w:val="20"/>
                <w:u w:val="single"/>
              </w:rPr>
              <w:t>Section 14.9</w:t>
            </w:r>
            <w:r>
              <w:rPr>
                <w:rFonts w:ascii="Times New Roman" w:hAnsi="Times New Roman"/>
                <w:sz w:val="20"/>
              </w:rPr>
              <w:t xml:space="preserve"> of the Lease, then Tenant, at its cost within 30 days after request of Landlord, shall remove Tenants Monument Graphic from the New Monument Sign or remove the entire New Monument Sign, and restore either the affected portion of the new Monument Sign or the portion of the property on which the New Monument Sign was located to the condition It was in prior to installation thereof, ordinary wear and tear excepted. If Tenant does not perform such work within such 30 day period, then Landlord may do so, at Tenants cost, and Tenant shall reimburse Landlord for the cost of such work within 30 days after request therefor. If Tenant installs the New Monument Sign and Tenants Monument Graphic as described herein, and subsequently is required to remove the New Monument Sign or Tenants Monument Graphic pursuant to this </w:t>
            </w:r>
            <w:r>
              <w:rPr>
                <w:rFonts w:ascii="Times New Roman" w:hAnsi="Times New Roman"/>
                <w:sz w:val="20"/>
                <w:u w:val="single"/>
              </w:rPr>
              <w:t>Section 5,</w:t>
            </w:r>
            <w:r>
              <w:rPr>
                <w:rFonts w:ascii="Times New Roman" w:hAnsi="Times New Roman"/>
                <w:sz w:val="20"/>
              </w:rPr>
              <w:t xml:space="preserve"> Tenants rights to install signage on the New Monument Sign shall be deemed terminated.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5.04.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shall have the right to redesign the entire signage program for the 600 Building and/or the 900 Building and, In connection therewith, remove the New Monument Sign and the other monument signs located at the 600 Building and 900 Building, if any. Tenant will be entitled to a monument or equivalent signage as part of such replacement sign program which Is reasonably comparable (including prominence thereon) to the New Monument Sign Kiosk and to the replacement monument or equivalent signage granted to echo Global Logistics, Inc. and Uptake Technologies, Inc., provided such replacement sign program may or may not include monument 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EXPANSIONS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6.01.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First Expansion Space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Wrigley. Lease includes a conference room and reception space depicted on </w:t>
            </w:r>
            <w:r>
              <w:rPr>
                <w:rFonts w:ascii="Times New Roman" w:hAnsi="Times New Roman"/>
                <w:sz w:val="20"/>
                <w:u w:val="single"/>
              </w:rPr>
              <w:t>Exhibit E-1,</w:t>
            </w:r>
            <w:r>
              <w:rPr>
                <w:rFonts w:ascii="Times New Roman" w:hAnsi="Times New Roman"/>
                <w:sz w:val="20"/>
              </w:rPr>
              <w:t xml:space="preserve"> attached hereto (the </w:t>
            </w:r>
            <w:r>
              <w:rPr>
                <w:rFonts w:ascii="Times New Roman" w:hAnsi="Times New Roman"/>
                <w:b/>
                <w:sz w:val="20"/>
              </w:rPr>
              <w:t>First Expansion Space</w:t>
            </w:r>
            <w:r>
              <w:rPr>
                <w:rFonts w:ascii="Times New Roman" w:hAnsi="Times New Roman"/>
                <w:sz w:val="20"/>
              </w:rPr>
              <w:t>) consisting of approximately 5,605 rentable square feet. Effective as of the later of (i) June 1, 2019, which is the day following the expiration of the Wrigley Lease and (ii) the day on which possession of the First Expansion Space is delivered to Tenant (such later date is referred to as the </w:t>
            </w:r>
            <w:r>
              <w:rPr>
                <w:rFonts w:ascii="Times New Roman" w:hAnsi="Times New Roman"/>
                <w:b/>
                <w:sz w:val="20"/>
              </w:rPr>
              <w:t>First Expansion Effective Date</w:t>
            </w:r>
            <w:r>
              <w:rPr>
                <w:rFonts w:ascii="Times New Roman" w:hAnsi="Times New Roman"/>
                <w:sz w:val="20"/>
              </w:rPr>
              <w:t xml:space="preserve">), the Premises, as initially defined in the Lease, shall be Increased by the addition of the First Expansion Space on the terms set forth herein. No later than 30 days after the First Expansion Effective Date, Landlord, at Its option, may cause the First Expansion Space to be measured In accordance with the BOMA Standard and notify Tenant of such measurement, which measurement shall be stipulated as the rentable square footage of the First Expansion Space. The First Expansion Space shall be leased by Tenant subject to all the terms and conditions of the Lease except as expressly modified In this </w:t>
            </w:r>
            <w:r>
              <w:rPr>
                <w:rFonts w:ascii="Times New Roman" w:hAnsi="Times New Roman"/>
                <w:sz w:val="20"/>
                <w:u w:val="single"/>
              </w:rPr>
              <w:t>Section 6.01</w:t>
            </w:r>
            <w:r>
              <w:rPr>
                <w:rFonts w:ascii="Times New Roman" w:hAnsi="Times New Roman"/>
                <w:sz w:val="20"/>
              </w:rPr>
              <w:t xml:space="preserve"> and except that Tenant shall not be entitled to receive any allowances, abatements or other financial concessions granted with respect to the Premises initially demised by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commence payment of Rent with respect to the First Expansion Space on the date (the </w:t>
            </w:r>
            <w:r>
              <w:rPr>
                <w:rFonts w:ascii="Times New Roman" w:hAnsi="Times New Roman"/>
                <w:b/>
                <w:sz w:val="20"/>
              </w:rPr>
              <w:t>First Expansion Rent Commencement Date</w:t>
            </w:r>
            <w:r>
              <w:rPr>
                <w:rFonts w:ascii="Times New Roman" w:hAnsi="Times New Roman"/>
                <w:sz w:val="20"/>
              </w:rPr>
              <w:t>) which is the earlier of (i) 90 days after the First Expansion Effective Date (the </w:t>
            </w:r>
            <w:r>
              <w:rPr>
                <w:rFonts w:ascii="Times New Roman" w:hAnsi="Times New Roman"/>
                <w:b/>
                <w:sz w:val="20"/>
              </w:rPr>
              <w:t xml:space="preserve">First Expansion Build Out Period </w:t>
            </w:r>
            <w:r>
              <w:rPr>
                <w:rFonts w:ascii="Times New Roman" w:hAnsi="Times New Roman"/>
                <w:sz w:val="20"/>
              </w:rPr>
              <w:t>and (Ii) the date on which Tenant commences its business operations in the First Expansion Space. If Tenant commences Its business operations In the First Expansion Space prior to the last day of the First Expansion Build Out Period, the period of time beginning on the date on which Tenant so commences Its business operations in the First Expansion Space and ending on the last day of the First Expansion Build Out Period is referred to as the </w:t>
            </w:r>
            <w:r>
              <w:rPr>
                <w:rFonts w:ascii="Times New Roman" w:hAnsi="Times New Roman"/>
                <w:b/>
                <w:sz w:val="20"/>
              </w:rPr>
              <w:t>First Expansion Beneficial Occupancy Period.</w:t>
            </w:r>
            <w:r>
              <w:rPr>
                <w:rFonts w:ascii="Times New Roman" w:hAnsi="Times New Roman"/>
                <w:sz w:val="20"/>
              </w:rPr>
              <w:t xml:space="preserve"> The initial annual Fixed Rent rate per rentable square foot of the First Expansion Space shall be the same as the Fixed Rent rate per rentable square foot of the Premises Initially demised by the Lease on the First Expansion Rent Commencement Date. The Fixed Rent rate for the First Expansion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First Expansion Space shall be the same. Commencing on the First Expansion Rent Commencement Date, Tenants Proportionate Share shall be increased to reflect the inclusion of the First Expansion Space in the Premises. The First Expansion Space shall be delivered to Tenant in its as is condition without any agreements, representations, understandings or obligations on the part of Landlord to perform any alterations, repairs or improvements. Any construction, alterations or improvements to the First Expansion Space shall be performed by Tenant at its sole cost and expense and shall be governed in all respects by the terms of the Lease.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be entitled to receive an Improvement allowance (the </w:t>
            </w:r>
            <w:r>
              <w:rPr>
                <w:rFonts w:ascii="Times New Roman" w:hAnsi="Times New Roman"/>
                <w:b/>
                <w:sz w:val="20"/>
              </w:rPr>
              <w:t>First Expansion Space Improvement Allowance</w:t>
            </w:r>
            <w:r>
              <w:rPr>
                <w:rFonts w:ascii="Times New Roman" w:hAnsi="Times New Roman"/>
                <w:sz w:val="20"/>
              </w:rPr>
              <w:t xml:space="preserve">) in an amount per rentable square foot of the First Expansion Space equal to $65.00 multiplied by a fraction, the numerator of which Is the number of full calendar months remaining in the initial Term on the First Expansion Rent Commencement Date and the denominator of which is 132. Such First Expansion Space Improvement Allowance shall </w:t>
            </w:r>
            <w:r>
              <w:rPr>
                <w:rFonts w:ascii="Times New Roman" w:hAnsi="Times New Roman"/>
                <w:i/>
                <w:sz w:val="20"/>
              </w:rPr>
              <w:t xml:space="preserve">be </w:t>
            </w:r>
            <w:r>
              <w:rPr>
                <w:rFonts w:ascii="Times New Roman" w:hAnsi="Times New Roman"/>
                <w:sz w:val="20"/>
              </w:rPr>
              <w:t xml:space="preserve">applied toward the cost of the improvements to be performed by Tenant in the First Expansion Space (the </w:t>
            </w:r>
            <w:r>
              <w:rPr>
                <w:rFonts w:ascii="Times New Roman" w:hAnsi="Times New Roman"/>
                <w:b/>
                <w:sz w:val="20"/>
              </w:rPr>
              <w:t>First Expansion Space Improvements</w:t>
            </w:r>
            <w:r>
              <w:rPr>
                <w:rFonts w:ascii="Times New Roman" w:hAnsi="Times New Roman"/>
                <w:sz w:val="20"/>
              </w:rPr>
              <w:t xml:space="preserve">). The First Expansion Space Improvements shall include, to the extent necessary, the construction of a demising wall to demise the First Expansion Space from the adjacent office space and Common Area and separation of utilities between the First Expansion space and the adjacent office space and Common Area. The First Expansion Space Improvement Allowance shall be disbursed in the same manner as described in, and subject to the same terms and conditions of, </w:t>
            </w:r>
            <w:r>
              <w:rPr>
                <w:rFonts w:ascii="Times New Roman" w:hAnsi="Times New Roman"/>
                <w:sz w:val="20"/>
                <w:u w:val="single"/>
              </w:rPr>
              <w:t>Sections 7(d),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of the Work Letter attached to the Lease as </w:t>
            </w:r>
            <w:r>
              <w:rPr>
                <w:rFonts w:ascii="Times New Roman" w:hAnsi="Times New Roman"/>
                <w:sz w:val="20"/>
                <w:u w:val="single"/>
              </w:rPr>
              <w:t>Exhibit D</w:t>
            </w:r>
            <w:r>
              <w:rPr>
                <w:rFonts w:ascii="Times New Roman" w:hAnsi="Times New Roman"/>
                <w:sz w:val="20"/>
              </w:rPr>
              <w:t xml:space="preserve"> except that, for purposes of this </w:t>
            </w:r>
            <w:r>
              <w:rPr>
                <w:rFonts w:ascii="Times New Roman" w:hAnsi="Times New Roman"/>
                <w:sz w:val="20"/>
                <w:u w:val="single"/>
              </w:rPr>
              <w:t>Section 6.01(c)(i),</w:t>
            </w:r>
            <w:r>
              <w:rPr>
                <w:rFonts w:ascii="Times New Roman" w:hAnsi="Times New Roman"/>
                <w:sz w:val="20"/>
              </w:rPr>
              <w:t xml:space="preserve"> (i) all references to the following terms in </w:t>
            </w:r>
            <w:r>
              <w:rPr>
                <w:rFonts w:ascii="Times New Roman" w:hAnsi="Times New Roman"/>
                <w:sz w:val="20"/>
                <w:u w:val="single"/>
              </w:rPr>
              <w:t>Sections 7(d)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(g) of the Work Letter shall instead have the following meanings: (A)Tenants Work shall instead refer to the First Expansion Space improvements, and (B) Construction Allowance, Separation Work Reimbursement, Application Amount and Total Allowance shall instead refer to the First Expansion Space Improvement Allowance, and (ii) any First Expansion Space Improvement Allowance remaining undisbursed after the date which is 365 days immediately following the First Expansion Effective Date shall accrue to Landlord and Tenant shall have no claim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the Fixed Rent, Tenants Operating Payment and Tenants Tax Payment Initially payable with respect to the First Expansion Space (</w:t>
            </w:r>
            <w:r>
              <w:rPr>
                <w:rFonts w:ascii="Times New Roman" w:hAnsi="Times New Roman"/>
                <w:b/>
                <w:sz w:val="20"/>
              </w:rPr>
              <w:t>First Expansion Space Rental Abatement</w:t>
            </w:r>
            <w:r>
              <w:rPr>
                <w:rFonts w:ascii="Times New Roman" w:hAnsi="Times New Roman"/>
                <w:sz w:val="20"/>
              </w:rPr>
              <w:t xml:space="preserve">) for the number of months calculated by multiplying (i) 12 months by (ii) a fraction, the numerator of which is the number of full calendar months remaining in the Initial Term on the First Expansion Rent Commencement Date and the denominator of which is 132. Such First Expansion Space Rental Abatement shall be applied toward the first rent due with respect to the First Expansion Space. Notwithstanding anything herein to the contrary, In no event shall Tenant be entitled to apply the First Expansion Space Rental Abatement against the rent due in connection with the First Expansion Space (A) unless and until Tenant shall have occupied and be operating its business in substantially all of the First Expansion Space, and (B) if an Event of Default has occurred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shall endeavor to deliver possession of the First Expansion Space to Tenant on the First Expansion Effective Date. If Tenant takes possession of or enters the First Expansion Space before the First Expansion Rent Commencement Date, Tenant shall pay for all services requested by Tenant (e.g., freight elevator usage and utilities) and Tenant shall be subject to the terms and conditions of the Lease;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 except for the cost of such services requested by Tenant. Tenant shall not be required to pay Rent for any entry or possession before the First Expansion Rent Commencement Date during which Tenant, with Landlords approval, has entered, or is in possession of, the First Expansion Space for the sole purpose of performing improvements or installing furniture, equipment or other personal property, and (ii) during the First Expansion Beneficial Occupancy Period, Tenant shall not be required to pay Rent but shall pay the cost of utilities and janitorial services for the First Expansion Space and for any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specifically requested by Tenant. If Landlord falls to deliver possession of the First Expansion Space to Tenant on the First Expansion Effective Date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figure to deliver possession shall not affect either the validity of the Lease or the obligations of either Landlord or Tenant thereunder or be construed to extend the expiration of the Term either as to the First Expansion Space or the balance of the Premises; provided, however, that under such circumstances, Landlord shall make reasonable efforts to obtain possession of the First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determination of the rentable square footage of the First Expansion Space, the First Expansion Effective Date and the First Expansion Rent Commencement Date. Landlord and Tenant shalt promptly execute and deliver an amendment to the Lease reflecting the lease of the First Expansion Space by Landlord to Tenant on the terms provided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6.02.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Second Expansion Space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in Its sole discretion, may elect to construct a corridor (the </w:t>
            </w:r>
            <w:r>
              <w:rPr>
                <w:rFonts w:ascii="Times New Roman" w:hAnsi="Times New Roman"/>
                <w:b/>
                <w:sz w:val="20"/>
              </w:rPr>
              <w:t xml:space="preserve">New Corridor) </w:t>
            </w:r>
            <w:r>
              <w:rPr>
                <w:rFonts w:ascii="Times New Roman" w:hAnsi="Times New Roman"/>
                <w:sz w:val="20"/>
              </w:rPr>
              <w:t xml:space="preserve">in certain space currently leased to Wrigley under the Wrigley Lease and if Landlord so elects to construct the New Corridor, there will be an additional portion of the space currently leased to Wrigley depicted on </w:t>
            </w:r>
            <w:r>
              <w:rPr>
                <w:rFonts w:ascii="Times New Roman" w:hAnsi="Times New Roman"/>
                <w:sz w:val="20"/>
                <w:u w:val="single"/>
              </w:rPr>
              <w:t>Exhibit E-1</w:t>
            </w:r>
            <w:r>
              <w:rPr>
                <w:rFonts w:ascii="Times New Roman" w:hAnsi="Times New Roman"/>
                <w:sz w:val="20"/>
              </w:rPr>
              <w:t xml:space="preserve"> attached hereto (the </w:t>
            </w:r>
            <w:r>
              <w:rPr>
                <w:rFonts w:ascii="Times New Roman" w:hAnsi="Times New Roman"/>
                <w:b/>
                <w:sz w:val="20"/>
              </w:rPr>
              <w:t xml:space="preserve">Second Expansion Space) </w:t>
            </w:r>
            <w:r>
              <w:rPr>
                <w:rFonts w:ascii="Times New Roman" w:hAnsi="Times New Roman"/>
                <w:sz w:val="20"/>
              </w:rPr>
              <w:t>consisting of approximately 4,099 rentable square feet contiguous to the Premises. Notwithstanding the foregoing, (1) if Tenant has leased the remaining office space on the 5th floor of the 600 Building (other than the Premises initially leased pursuant to the Lease) prior to the date on which Landlord has constructed the New Corridor, Landlord shall not have the right to construct the New Corridor unless and until the Premises no longer Includes all rentable square footage on the 501 floor of the 600 Building, and (2) unless Tenant has failed to deliver a ROFO Exercise Notice(s) during the applicable Tenants ROF0 Response Period with respect to Offer Space(s) including all or a portion of the 5th Floor of the 600 Building, Landlord shall not construct the New Corridor. Effective as of the later of (i) the date Landlord Substantially completes the New Corridor (if at all) and (ii) the day on which possession of the Second Expansion Space is delivered to Tenant (such later date is referred to as the </w:t>
            </w:r>
            <w:r>
              <w:rPr>
                <w:rFonts w:ascii="Times New Roman" w:hAnsi="Times New Roman"/>
                <w:b/>
                <w:sz w:val="20"/>
              </w:rPr>
              <w:t>Second</w:t>
            </w:r>
            <w:r>
              <w:rPr>
                <w:rFonts w:ascii="Times New Roman" w:hAnsi="Times New Roman"/>
                <w:sz w:val="20"/>
              </w:rPr>
              <w:t xml:space="preserve"> </w:t>
            </w:r>
            <w:r>
              <w:rPr>
                <w:rFonts w:ascii="Times New Roman" w:hAnsi="Times New Roman"/>
                <w:b/>
                <w:sz w:val="20"/>
              </w:rPr>
              <w:t>Expansion Effective Date</w:t>
            </w:r>
            <w:r>
              <w:rPr>
                <w:rFonts w:ascii="Times New Roman" w:hAnsi="Times New Roman"/>
                <w:sz w:val="20"/>
              </w:rPr>
              <w:t xml:space="preserve">), the Premises, as initially defined in the Lease, shall be increased by the addition of the Second Expansion Space on the terms set forth herein. Prior to the Second Expansion Effective Date, Landlord, at its option, may cause the Second Expansion Space to be measured in accordance with the BOMA Standard and notify Tenant of such measurement, which measurement shall be stipulated as the rentable square footage of the Second Expansion Space. The Second Expansion Space shall be leased by Tenant subject to all the terms and conditions of the Lease except as expressly modified in this </w:t>
            </w:r>
            <w:r>
              <w:rPr>
                <w:rFonts w:ascii="Times New Roman" w:hAnsi="Times New Roman"/>
                <w:sz w:val="20"/>
                <w:u w:val="single"/>
              </w:rPr>
              <w:t>Section 6.02</w:t>
            </w:r>
            <w:r>
              <w:rPr>
                <w:rFonts w:ascii="Times New Roman" w:hAnsi="Times New Roman"/>
                <w:sz w:val="20"/>
              </w:rPr>
              <w:t xml:space="preserve"> and except that Tenant shall not be entitled to receive any allowances, abatements or other financial concessions granted with respect to the Premises initially demised by the 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commence payment of Rent with respect to the Second Expansion Space on the date (the </w:t>
            </w:r>
            <w:r>
              <w:rPr>
                <w:rFonts w:ascii="Times New Roman" w:hAnsi="Times New Roman"/>
                <w:b/>
                <w:sz w:val="20"/>
              </w:rPr>
              <w:t>Second Expansion Rent Commencement Date</w:t>
            </w:r>
            <w:r>
              <w:rPr>
                <w:rFonts w:ascii="Times New Roman" w:hAnsi="Times New Roman"/>
                <w:sz w:val="20"/>
              </w:rPr>
              <w:t>) which is the earlier of (i) 90 days after the Second Expansion Effective Date (the </w:t>
            </w:r>
            <w:r>
              <w:rPr>
                <w:rFonts w:ascii="Times New Roman" w:hAnsi="Times New Roman"/>
                <w:b/>
                <w:sz w:val="20"/>
              </w:rPr>
              <w:t>Second Expansion Build Out Period</w:t>
            </w:r>
            <w:r>
              <w:rPr>
                <w:rFonts w:ascii="Times New Roman" w:hAnsi="Times New Roman"/>
                <w:sz w:val="20"/>
              </w:rPr>
              <w:t>) and (ii) the date on which Tenant commences its business operations In the Second Expansion Space. If Tenant commences its business operations In the Second Expansion Space prior to the last day of the Second Expansion Build Out Period, the period of time beginning on the date on which Tenant so commences its business operations In the Second Expansion Space and ending on the last day of the Second Expansion Build Out Period is referred to as the </w:t>
            </w:r>
            <w:r>
              <w:rPr>
                <w:rFonts w:ascii="Times New Roman" w:hAnsi="Times New Roman"/>
                <w:b/>
                <w:sz w:val="20"/>
              </w:rPr>
              <w:t>Second Expansion Beneficial Occupancy Period</w:t>
            </w:r>
            <w:r>
              <w:rPr>
                <w:rFonts w:ascii="Times New Roman" w:hAnsi="Times New Roman"/>
                <w:sz w:val="20"/>
              </w:rPr>
              <w:t xml:space="preserve">. The initial annual Fixed Rent rate per rentable square foot of the Second Expansion Space shall be the same as the Fixed Rent rate per rentable square foot of the Premises initially demised by the Lease on the Second Expansion Rent Commencement Date. The Fixed Rent rate for the Second Expansion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Second Expansion Space shall be the same. Commencing on the Second Expansion Rent Commencement Date, Tenants Proportionate Share shall be increased to reflect the inclusion of the Second Expansion Space in the Premises. As part of Landlords construction of the New Corridor, Landlord shall (i) construct the demising wall separating the Second Expansion Space from the adjacent Common Area, (ii) separate the utilities serving the Second Expansion Space from the utilities serving adjacent space and (iii) connect the utilities serving the Second Expansion Space to the utilities serving the Premises. Except as described in the preceding sentence, the Second Expansion Space shall be delivered to Tenant in its as is condition without any agreements, representations, understandings or obligations on the part of Landlord to perform any other alterations, repairs or improvements. My other construction, alterations or Improvements to the Second Expansion Space shall be performed by Tenant at Its sole cost and expense and shall be governed in all respects by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be entitled to receive an improvement allowance (the </w:t>
            </w:r>
            <w:r>
              <w:rPr>
                <w:rFonts w:ascii="Times New Roman" w:hAnsi="Times New Roman"/>
                <w:b/>
                <w:sz w:val="20"/>
              </w:rPr>
              <w:t>Second Expansion Space Improvement Allowance</w:t>
            </w:r>
            <w:r>
              <w:rPr>
                <w:rFonts w:ascii="Times New Roman" w:hAnsi="Times New Roman"/>
                <w:sz w:val="20"/>
              </w:rPr>
              <w:t>) in an amount per rentable square foot of the Second Expansion Space equal to $85.00 multiplied by a fraction, the numerator of which Is the number of full calendar months remaining in the initial Term on the Second Expansion Rent Commencement Date and the denominator of which is 132. Such Second Expansion Space Improvement Allowance shall be applied toward the cost of the improvements to be performed by Tenant in the Second Expansion Space (the </w:t>
            </w:r>
            <w:r>
              <w:rPr>
                <w:rFonts w:ascii="Times New Roman" w:hAnsi="Times New Roman"/>
                <w:b/>
                <w:sz w:val="20"/>
              </w:rPr>
              <w:t>Second Expansion Space Improvements</w:t>
            </w:r>
            <w:r>
              <w:rPr>
                <w:rFonts w:ascii="Times New Roman" w:hAnsi="Times New Roman"/>
                <w:sz w:val="20"/>
              </w:rPr>
              <w:t xml:space="preserve">). The Second Expansion Space improvement Allowance shall be disbursed in the same manner as described in, and subject to the same terms and conditions of. </w:t>
            </w:r>
            <w:r>
              <w:rPr>
                <w:rFonts w:ascii="Times New Roman" w:hAnsi="Times New Roman"/>
                <w:sz w:val="20"/>
                <w:u w:val="single"/>
              </w:rPr>
              <w:t>Sections 7(d)</w:t>
            </w:r>
            <w:r>
              <w:rPr>
                <w:rFonts w:ascii="Times New Roman" w:hAnsi="Times New Roman"/>
                <w:sz w:val="20"/>
              </w:rPr>
              <w:t xml:space="preserve">, </w:t>
            </w:r>
            <w:r>
              <w:rPr>
                <w:rFonts w:ascii="Times New Roman" w:hAnsi="Times New Roman"/>
                <w:sz w:val="20"/>
                <w:u w:val="single"/>
              </w:rPr>
              <w:t>(e)</w:t>
            </w:r>
            <w:r>
              <w:rPr>
                <w:rFonts w:ascii="Times New Roman" w:hAnsi="Times New Roman"/>
                <w:b/>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of the Work Letter attached to the Lease as </w:t>
            </w:r>
            <w:r>
              <w:rPr>
                <w:rFonts w:ascii="Times New Roman" w:hAnsi="Times New Roman"/>
                <w:sz w:val="20"/>
                <w:u w:val="single"/>
              </w:rPr>
              <w:t>Exhibit D</w:t>
            </w:r>
            <w:r>
              <w:rPr>
                <w:rFonts w:ascii="Times New Roman" w:hAnsi="Times New Roman"/>
                <w:sz w:val="20"/>
              </w:rPr>
              <w:t xml:space="preserve"> except that, for purposes of this </w:t>
            </w:r>
            <w:r>
              <w:rPr>
                <w:rFonts w:ascii="Times New Roman" w:hAnsi="Times New Roman"/>
                <w:sz w:val="20"/>
                <w:u w:val="single"/>
              </w:rPr>
              <w:t>Section 8.02(c)</w:t>
            </w:r>
            <w:r>
              <w:rPr>
                <w:rFonts w:ascii="Times New Roman" w:hAnsi="Times New Roman"/>
                <w:sz w:val="20"/>
              </w:rPr>
              <w:t xml:space="preserve"> (i) all references to the following terms in </w:t>
            </w:r>
            <w:r>
              <w:rPr>
                <w:rFonts w:ascii="Times New Roman" w:hAnsi="Times New Roman"/>
                <w:sz w:val="20"/>
                <w:u w:val="single"/>
              </w:rPr>
              <w:t>Sections 7(d)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of the Work Letter shall instead have the following meanings: (A) Tenants Work shall instead refer to the Second Expansion Space Improvements, and (B) Construction Allowance, Separation Work Reimbursement Application Amount and Total Allowance shall instead refer to the Second Expansion Space Improvement Allowance, and (ii) any Second Expansion Space Improvement Allowance remaining undisbursed after the date which is 365 days immediately following the Second Expansion Effective Date shall accrue to Landlord and Tenant shall have no claim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the Fixed Rent, Tenants Operating Payment and Tenants Tax Payment initially payable with respect to the Second Expansion Space (</w:t>
            </w:r>
            <w:r>
              <w:rPr>
                <w:rFonts w:ascii="Times New Roman" w:hAnsi="Times New Roman"/>
                <w:b/>
                <w:sz w:val="20"/>
              </w:rPr>
              <w:t>Second Expansion Space Rental Abatement</w:t>
            </w:r>
            <w:r>
              <w:rPr>
                <w:rFonts w:ascii="Times New Roman" w:hAnsi="Times New Roman"/>
                <w:sz w:val="20"/>
              </w:rPr>
              <w:t xml:space="preserve">) for the number of months calculated by multiplying (i) 12 months by (ii) a fraction, the numerator of which is the number of full calendar months remaining In the initial Term on the Second Expansion Rent Commencement Date and the denominator of which is 132. Such Second Expansion Space Rental Abatement shall be applied toward the first rent due with respect to the Second Expansion Space. Notwithstanding anything herein to the contrary, in no event shall Tenant be entitled to apply the Second Expansion Space Rental Abatement against the rent due in connection with the Second Expansion Space (A) unless and until Tenant shall have occupied and be operating its business in substantially all of the Second Expansion Space, and (B) if an Event of Default has occurred under the Lease.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takes possession of or enters the Second Expansion Space before the Second Expansion Rent Commencement Date, Tenant shall pay for all services requested by Tenant (e.g., freight elevator usage and utilities) and Tenant shalt be subject to the terms and conditions of the Lease; provided, however, (i) except for the cost of such services requested by Tenant, Tenant shall not be required to pay Rent for any entry or possession before the Second Expansion Rent Commencement Date during which Tenant, with Landlords approval, has entered, or is in possession of, the. Second Expansion Space for the sole purpose of performing Improvements or installing furniture, equipment or other personal property, and (ii) during the Second Expansion Beneficial Occupancy Period, Tenant shall not be required to pay Rent but shall pay the cost of utilities and Janitorial services for the Second Expansion Space and for any services specifically requested by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determination of the rentable square footage of the Second Expansion Space, the Second Expansion Effective Date, and the Second Expansion Rent Commencement Date, Landlord and Tenant shall promptly execute and deliver an amendment to the Lease reflecting the lease of the Second Expansion Space by Landlord to Tenant on the terms provided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6.03.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Third Expansion Space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As of the date of the Lease, Tenant is subleasing Suite 775 in the Building pursuant to a sublease with Lightbank LLC (</w:t>
            </w:r>
            <w:r>
              <w:rPr>
                <w:rFonts w:ascii="Times New Roman" w:hAnsi="Times New Roman"/>
                <w:b/>
                <w:sz w:val="20"/>
              </w:rPr>
              <w:t>Lightbank</w:t>
            </w:r>
            <w:r>
              <w:rPr>
                <w:rFonts w:ascii="Times New Roman" w:hAnsi="Times New Roman"/>
                <w:sz w:val="20"/>
              </w:rPr>
              <w:t>)</w:t>
            </w:r>
            <w:r>
              <w:rPr>
                <w:rFonts w:ascii="Times New Roman" w:hAnsi="Times New Roman"/>
                <w:b/>
                <w:sz w:val="20"/>
              </w:rPr>
              <w:t xml:space="preserve">. </w:t>
            </w:r>
            <w:r>
              <w:rPr>
                <w:rFonts w:ascii="Times New Roman" w:hAnsi="Times New Roman"/>
                <w:sz w:val="20"/>
              </w:rPr>
              <w:t>Lightbank and Landlord are entering into an amendment to LIghtbanks lease for Suite 775 (the (</w:t>
            </w:r>
            <w:r>
              <w:rPr>
                <w:rFonts w:ascii="Times New Roman" w:hAnsi="Times New Roman"/>
                <w:b/>
                <w:sz w:val="20"/>
              </w:rPr>
              <w:t xml:space="preserve">Lightbank Lease) </w:t>
            </w:r>
            <w:r>
              <w:rPr>
                <w:rFonts w:ascii="Times New Roman" w:hAnsi="Times New Roman"/>
                <w:sz w:val="20"/>
              </w:rPr>
              <w:t>on or about the date of the Lease, pursuant to which Lightbank shall have the right terminate the Lightbank Lease as of Commencement Date of the Lease. In the event (i) Lightbank exercises such termination option and the Lightbank Lease terminates as of the Commencement Date of the Lease and (ii) Landlord is unable to enter Into a lease for Suite 775 with a third party on or before May 31, 2019 (and Landlord shall use commercially reasonable efforts to market Suite 775 and shall negotiate in good faith with potential tenants of Suite 775), then effective on the later of 0) June 1, 2019 and (Ii) the day on which possession of the Third Expansion Space is delivered to Tenant (such later date is referred to as the </w:t>
            </w:r>
            <w:r>
              <w:rPr>
                <w:rFonts w:ascii="Times New Roman" w:hAnsi="Times New Roman"/>
                <w:b/>
                <w:sz w:val="20"/>
              </w:rPr>
              <w:t>Third</w:t>
            </w:r>
            <w:r>
              <w:rPr>
                <w:rFonts w:ascii="Times New Roman" w:hAnsi="Times New Roman"/>
                <w:sz w:val="20"/>
              </w:rPr>
              <w:t xml:space="preserve"> </w:t>
            </w:r>
            <w:r>
              <w:rPr>
                <w:rFonts w:ascii="Times New Roman" w:hAnsi="Times New Roman"/>
                <w:b/>
                <w:sz w:val="20"/>
              </w:rPr>
              <w:t>Expansion Effective Date</w:t>
            </w:r>
            <w:r>
              <w:rPr>
                <w:rFonts w:ascii="Times New Roman" w:hAnsi="Times New Roman"/>
                <w:sz w:val="20"/>
              </w:rPr>
              <w:t xml:space="preserve">), Landlord, at its option, shall have the right to cause, the Premises, as initially defined in the Lease, to be increased by the addition of a portion of the 5th floor of the Budding consisting of 28,798 rentable square feet and depicted on </w:t>
            </w:r>
            <w:r>
              <w:rPr>
                <w:rFonts w:ascii="Times New Roman" w:hAnsi="Times New Roman"/>
                <w:sz w:val="20"/>
                <w:u w:val="single"/>
              </w:rPr>
              <w:t>Exhibit E-1</w:t>
            </w:r>
            <w:r>
              <w:rPr>
                <w:rFonts w:ascii="Times New Roman" w:hAnsi="Times New Roman"/>
                <w:sz w:val="20"/>
              </w:rPr>
              <w:t xml:space="preserve"> attached hereto (the </w:t>
            </w:r>
            <w:r>
              <w:rPr>
                <w:rFonts w:ascii="Times New Roman" w:hAnsi="Times New Roman"/>
                <w:b/>
                <w:sz w:val="20"/>
              </w:rPr>
              <w:t>Third Expansion Space</w:t>
            </w:r>
            <w:r>
              <w:rPr>
                <w:rFonts w:ascii="Times New Roman" w:hAnsi="Times New Roman"/>
                <w:sz w:val="20"/>
              </w:rPr>
              <w:t xml:space="preserve">) on the terms set forth herein. Provided the conditions precedent to Tenants obligation to lease the Third Expansion Space have occurred, and Landlord has elected to cause the Premises to be increased by the Third Expansion Space, the Third Expansion Space shall be added to the Premises on the Third Expansion Effective Date. The rentable square footage of the Third Expansion Space set forth in this </w:t>
            </w:r>
            <w:r>
              <w:rPr>
                <w:rFonts w:ascii="Times New Roman" w:hAnsi="Times New Roman"/>
                <w:sz w:val="20"/>
                <w:u w:val="single"/>
              </w:rPr>
              <w:t>Section 6,03(a)</w:t>
            </w:r>
            <w:r>
              <w:rPr>
                <w:rFonts w:ascii="Times New Roman" w:hAnsi="Times New Roman"/>
                <w:sz w:val="20"/>
              </w:rPr>
              <w:t xml:space="preserve"> shall be stipulated as the rentable square footage of the Third Expansion Space. The Third Expansion Space shall be leased by Tenant subject to all the terms and conditions of the Lease except as expressly modified in this </w:t>
            </w:r>
            <w:r>
              <w:rPr>
                <w:rFonts w:ascii="Times New Roman" w:hAnsi="Times New Roman"/>
                <w:sz w:val="20"/>
                <w:u w:val="single"/>
              </w:rPr>
              <w:t>Section 6.03</w:t>
            </w:r>
            <w:r>
              <w:rPr>
                <w:rFonts w:ascii="Times New Roman" w:hAnsi="Times New Roman"/>
                <w:sz w:val="20"/>
              </w:rPr>
              <w:t xml:space="preserve"> and except that Tenant shall not be entitled to receive any allowances, abatements or other financial concessions granted with respect to the Premises initially demised by the Lease. For the avoidance of doubt, if Lightbank does not exercise its right to terminate the Lightbank Lease, or if Lightbank exercises its right to terminate the Lightbank Lease and Landlord enters into a lease for Suite 775 with a third party on or before May 31, 2019, then in either such event, the terms of this </w:t>
            </w:r>
            <w:r>
              <w:rPr>
                <w:rFonts w:ascii="Times New Roman" w:hAnsi="Times New Roman"/>
                <w:sz w:val="20"/>
                <w:u w:val="single"/>
              </w:rPr>
              <w:t>Section 6.03</w:t>
            </w:r>
            <w:r>
              <w:rPr>
                <w:rFonts w:ascii="Times New Roman" w:hAnsi="Times New Roman"/>
                <w:sz w:val="20"/>
              </w:rPr>
              <w:t xml:space="preserve"> shall be null and void.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commence payment of Rent with respect to the Third Expansion Space on the date (the </w:t>
            </w:r>
            <w:r>
              <w:rPr>
                <w:rFonts w:ascii="Times New Roman" w:hAnsi="Times New Roman"/>
                <w:b/>
                <w:sz w:val="20"/>
              </w:rPr>
              <w:t>Third Expansion Rent Commencement Date</w:t>
            </w:r>
            <w:r>
              <w:rPr>
                <w:rFonts w:ascii="Times New Roman" w:hAnsi="Times New Roman"/>
                <w:sz w:val="20"/>
              </w:rPr>
              <w:t>) which Is the earlier of (i) 180 days after the Third Expansion Effective Date (the </w:t>
            </w:r>
            <w:r>
              <w:rPr>
                <w:rFonts w:ascii="Times New Roman" w:hAnsi="Times New Roman"/>
                <w:b/>
                <w:sz w:val="20"/>
              </w:rPr>
              <w:t>Third Expansion Build Out Period</w:t>
            </w:r>
            <w:r>
              <w:rPr>
                <w:rFonts w:ascii="Times New Roman" w:hAnsi="Times New Roman"/>
                <w:sz w:val="20"/>
              </w:rPr>
              <w:t>) and (ii) the date on which Tenant commences its business operations in the Third Expansion Space. If Tenant commences its business operations in the Third Expansion Space prior to the last day of the Third Expansion Build Out Period, the period of time beginning on the date on which Tenant so commences its business operations In the Third Expansion Space and ending on the last day of the Third Expansion Build Out Period is referred to as the </w:t>
            </w:r>
            <w:r>
              <w:rPr>
                <w:rFonts w:ascii="Times New Roman" w:hAnsi="Times New Roman"/>
                <w:b/>
                <w:sz w:val="20"/>
              </w:rPr>
              <w:t>Third Expansion Beneficial Occupancy</w:t>
            </w:r>
            <w:r>
              <w:rPr>
                <w:rFonts w:ascii="Times New Roman" w:hAnsi="Times New Roman"/>
                <w:sz w:val="20"/>
              </w:rPr>
              <w:t xml:space="preserve"> </w:t>
            </w:r>
            <w:r>
              <w:rPr>
                <w:rFonts w:ascii="Times New Roman" w:hAnsi="Times New Roman"/>
                <w:b/>
                <w:sz w:val="20"/>
              </w:rPr>
              <w:t>Period</w:t>
            </w:r>
            <w:r>
              <w:rPr>
                <w:rFonts w:ascii="Times New Roman" w:hAnsi="Times New Roman"/>
                <w:sz w:val="20"/>
              </w:rPr>
              <w:t xml:space="preserve"> The Initial annual Fixed Rent rate per rentable square foot of the Third Expansion Space shall be the same as the Fixed Rent rate per rentable square foot of the Premises initially demised by the Lease on the Third Expansion Rent Commencement Date. The Fixed Rent rate for the Third Expansion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Third Expansion Space shall be the same. Commencing on the Third Expansion Rent Commencement Date, Tenants Proportionate Share shall be increased to reflect the inclusion of the Third Expansion Space in the Premises. The Third Expansion Space shall be delivered to Tenant in its °as is condition without any agreements, representations, understandings or obligations on the part of Landlord to perform any alterations, repairs or improvements. My construction, alterations or improvements to the Third Expansion Space shall be performed by Tenant at its sole cost and expense and shall be governed in all respects by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improvement allowance (the </w:t>
            </w:r>
            <w:r>
              <w:rPr>
                <w:rFonts w:ascii="Times New Roman" w:hAnsi="Times New Roman"/>
                <w:b/>
                <w:sz w:val="20"/>
              </w:rPr>
              <w:t>Third Expansion Space Improvement Allowance</w:t>
            </w:r>
            <w:r>
              <w:rPr>
                <w:rFonts w:ascii="Times New Roman" w:hAnsi="Times New Roman"/>
                <w:sz w:val="20"/>
              </w:rPr>
              <w:t xml:space="preserve">) in an amount per rentable square foot of the Third Expansion Space equal to $65.00. Such Third Expansion Space Improvement Allowance shall be applied toward the cost of the Improvements to be performed by Tenant in the Third Expansion Space (the </w:t>
            </w:r>
            <w:r>
              <w:rPr>
                <w:rFonts w:ascii="Times New Roman" w:hAnsi="Times New Roman"/>
                <w:b/>
                <w:sz w:val="20"/>
              </w:rPr>
              <w:t xml:space="preserve">Third Expansion </w:t>
            </w:r>
            <w:r>
              <w:rPr>
                <w:rFonts w:ascii="Times New Roman" w:hAnsi="Times New Roman"/>
                <w:b/>
                <w:i/>
                <w:sz w:val="20"/>
              </w:rPr>
              <w:t xml:space="preserve">Space </w:t>
            </w:r>
            <w:r>
              <w:rPr>
                <w:rFonts w:ascii="Times New Roman" w:hAnsi="Times New Roman"/>
                <w:b/>
                <w:sz w:val="20"/>
              </w:rPr>
              <w:t xml:space="preserve">Improvements. </w:t>
            </w:r>
            <w:r>
              <w:rPr>
                <w:rFonts w:ascii="Times New Roman" w:hAnsi="Times New Roman"/>
                <w:sz w:val="20"/>
              </w:rPr>
              <w:t xml:space="preserve">The Third Expansion Space Improvements shall include, to the extent necessary, the construction of a demising wall to demise the Third Expansion Space from the adjacent office space and Common Area and separation of utilities between the Third Expansion space and the adjacent office space and Common Area. The Third Expansion Space Improvement Allowance shall be disbursed in the same manner as described In, and subject to the same terms and conditions of, </w:t>
            </w:r>
            <w:r>
              <w:rPr>
                <w:rFonts w:ascii="Times New Roman" w:hAnsi="Times New Roman"/>
                <w:sz w:val="20"/>
                <w:u w:val="single"/>
              </w:rPr>
              <w:t>Sections 7(d)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of the Work Letter attached to the Lease as </w:t>
            </w:r>
            <w:r>
              <w:rPr>
                <w:rFonts w:ascii="Times New Roman" w:hAnsi="Times New Roman"/>
                <w:sz w:val="20"/>
                <w:u w:val="single"/>
              </w:rPr>
              <w:t>Exhibit D</w:t>
            </w:r>
            <w:r>
              <w:rPr>
                <w:rFonts w:ascii="Times New Roman" w:hAnsi="Times New Roman"/>
                <w:sz w:val="20"/>
              </w:rPr>
              <w:t xml:space="preserve">, except that, for purposes of this </w:t>
            </w:r>
            <w:r>
              <w:rPr>
                <w:rFonts w:ascii="Times New Roman" w:hAnsi="Times New Roman"/>
                <w:sz w:val="20"/>
                <w:u w:val="single"/>
              </w:rPr>
              <w:t>Section 6.03(c)</w:t>
            </w:r>
            <w:r>
              <w:rPr>
                <w:rFonts w:ascii="Times New Roman" w:hAnsi="Times New Roman"/>
                <w:sz w:val="20"/>
              </w:rPr>
              <w:t xml:space="preserve"> (i) all references to the following terms in </w:t>
            </w:r>
            <w:r>
              <w:rPr>
                <w:rFonts w:ascii="Times New Roman" w:hAnsi="Times New Roman"/>
                <w:sz w:val="20"/>
                <w:u w:val="single"/>
              </w:rPr>
              <w:t>Sections 7(d)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of the Work Letter shall instead have the following meanings: (A) Tenants Work shall Instead refer to the Third Expansion Space Improvements, and (B) Construction Allowance, Separation Work Reimbursement Application Amount and Total Allowance shall instead refer to the Third Expansion Space Improvement Allowance; and (ii) any Third Expansion Space Improvement Allowance remaining undisbursed after the date which is 365 days immediately following the Third Expansion Effective Date shall accrue to Landlord and Tenant shall have no claim in connection therewith.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the Fixed Rent, Tenants Operating Payment and Tenants Tax Payment initially payable with respect to the Third Expansion Space (</w:t>
            </w:r>
            <w:r>
              <w:rPr>
                <w:rFonts w:ascii="Times New Roman" w:hAnsi="Times New Roman"/>
                <w:b/>
                <w:sz w:val="20"/>
              </w:rPr>
              <w:t>Third Expansion Space Rental Abatement</w:t>
            </w:r>
            <w:r>
              <w:rPr>
                <w:rFonts w:ascii="Times New Roman" w:hAnsi="Times New Roman"/>
                <w:sz w:val="20"/>
              </w:rPr>
              <w:t xml:space="preserve">) for the first 12 full calendar months following the Third Expansion Rent Commencement Date. Such Third Expansion Space Rental Abatement shall be applied toward the first rent due with respect to the Third Expansion Space. Notwithstanding anything herein to the contrary, in no event shall Tenant be entitled to apply the Third Expansion We Rental Abatement against the rent due in connection with the Third Expansion Space (A) unless and until Tenant shall have occupied and be operating its business in substantially all of the Third Expansion Space, and (B) if an Event of Default has occurred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shall endeavor to deliver possession of the Third Expansion Space to Tenant on the Third Expansion Effective Date. If Tenant takes possession of or enters the Third Expansion Space before the Third Expansion Rent Commencement Date, Tenant shall pay for all services requested by Tenant (e.g., freight elevator usage and utilities) and Tenant shall be subject to the terms and conditions of the Lease; provided, however, (i) except for the cost of such services requested by Tenant, Tenant shall not be required to pay Rent for any entry or possession before the Third Expansion Rent Commencement Date during which Tenant, with Landlords approval, has entered, or is in possession of, the Third Expansion Space for the sole purpose of performing improvements or Installing furniture, equipment or other personal property, and (ii) during the Third Expansion Beneficial Occupancy Period, Tenant shall not be required to pay Rent but shall pay the cost of utilities and janitorial services for the Third Expansion Space and for any services specifically requested by Tenant. If Landlord fails to deliver possession of the Third Expansion Space to Tenant on the Third Expansion Effective Date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failure to deliver possession shall not affect either the validity of the Lease or the obligations of either Landlord or Tenant thereunder or be construed to extend the expiration of the Term either as to the Third Expansion Space or the balance of the Premises; provided, however, that under such circumstances, Landlord shall make reasonable efforts to obtain possession of the Third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determination of the rentable square footage of the Third Expansion Space, the Third Expansion Effective Date and the Third Expansion Rent Commencement Date, Landlord and Tenant shall promptly execute and deliver an amendment to the Lease reflecting the lease of the Third Expansion Space by Landlord to Tenant on the terms provided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BICYCLE STORAGE AREA</w:t>
            </w:r>
            <w:r>
              <w:rPr>
                <w:rFonts w:ascii="Times New Roman" w:hAnsi="Times New Roman"/>
                <w:sz w:val="20"/>
              </w:rPr>
              <w:t xml:space="preserve">. Throughout the Term of the Lease, Tenant and Its employees shall have the non-exclusive right, on a first-come, first-served basis, to store bicycles used by Tenants employees in the bicycle storage area located In the 600 Building, as such area exists on the date of the Lease and as such area may be modified, relocated or removed from time to time, subject to (i) payment of charges imposed by Landlord for use of such bicycle storage area as such charges may change from time to time, and (II) such reasonable rules and regulations established by Landlord from time to time for use of such bicycle storage area.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PERTINENT PROVISIONS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8.01.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Tenants Alterations</w:t>
            </w:r>
            <w:r>
              <w:rPr>
                <w:rFonts w:ascii="Times New Roman" w:hAnsi="Times New Roman"/>
                <w:sz w:val="20"/>
              </w:rPr>
              <w:t xml:space="preserve">. In the fourth line of </w:t>
            </w:r>
            <w:r>
              <w:rPr>
                <w:rFonts w:ascii="Times New Roman" w:hAnsi="Times New Roman"/>
                <w:sz w:val="20"/>
                <w:u w:val="single"/>
              </w:rPr>
              <w:t>Section 4.1(a)</w:t>
            </w:r>
            <w:r>
              <w:rPr>
                <w:rFonts w:ascii="Times New Roman" w:hAnsi="Times New Roman"/>
                <w:sz w:val="20"/>
              </w:rPr>
              <w:t xml:space="preserve"> at the Lease, after the phrase without Landlords prior written consent in each instance; the following phrase shall be Inserted: which consent, subject to the Alteration Criteria (defined below), shall not be unreasonably withheld, conditioned or delayed. In the tenth line of </w:t>
            </w:r>
            <w:r>
              <w:rPr>
                <w:rFonts w:ascii="Times New Roman" w:hAnsi="Times New Roman"/>
                <w:sz w:val="20"/>
                <w:u w:val="single"/>
              </w:rPr>
              <w:t>Section 4,1(a)</w:t>
            </w:r>
            <w:r>
              <w:rPr>
                <w:rFonts w:ascii="Times New Roman" w:hAnsi="Times New Roman"/>
                <w:sz w:val="20"/>
              </w:rPr>
              <w:t xml:space="preserve"> of the Lease, the amount 130,000.00 is deleted, and the amount $75,000.00 is substituted in its place.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8.02.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Tenants Alterations.</w:t>
            </w:r>
            <w:r>
              <w:rPr>
                <w:rFonts w:ascii="Times New Roman" w:hAnsi="Times New Roman"/>
                <w:sz w:val="20"/>
              </w:rPr>
              <w:t xml:space="preserve"> The following is added to the end of </w:t>
            </w:r>
            <w:r>
              <w:rPr>
                <w:rFonts w:ascii="Times New Roman" w:hAnsi="Times New Roman"/>
                <w:sz w:val="20"/>
                <w:u w:val="single"/>
              </w:rPr>
              <w:t>Section 4.1(a)</w:t>
            </w:r>
            <w:r>
              <w:rPr>
                <w:rFonts w:ascii="Times New Roman" w:hAnsi="Times New Roman"/>
                <w:sz w:val="20"/>
              </w:rPr>
              <w:t xml:space="preserve"> of the Lease: Landlord agrees to reasonably cooperate with Tenant (at no cost to Landlord) in Tenants efforts to obtain required Governmental Approvals for Tenants Permitted Alterations.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Expenses</w:t>
            </w:r>
            <w:r>
              <w:rPr>
                <w:rFonts w:ascii="Times New Roman" w:hAnsi="Times New Roman"/>
                <w:sz w:val="20"/>
              </w:rPr>
              <w:t xml:space="preserve">. Clause (12) In </w:t>
            </w:r>
            <w:r>
              <w:rPr>
                <w:rFonts w:ascii="Times New Roman" w:hAnsi="Times New Roman"/>
                <w:sz w:val="20"/>
                <w:u w:val="single"/>
              </w:rPr>
              <w:t>Section 7.1(b)</w:t>
            </w:r>
            <w:r>
              <w:rPr>
                <w:rFonts w:ascii="Times New Roman" w:hAnsi="Times New Roman"/>
                <w:sz w:val="20"/>
              </w:rPr>
              <w:t xml:space="preserve"> of the Lease is deleted in its entirety and replaced with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(12) the portion (if any) of the management fee for the Building which exceeds 3% of the gross revenues of the Building (but excluding from the calculation of such gross revenues the total collected by Landlord for electricity furnished to rentable space in the Building);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Statement. Section</w:t>
            </w:r>
            <w:r>
              <w:rPr>
                <w:rFonts w:ascii="Times New Roman" w:hAnsi="Times New Roman"/>
                <w:sz w:val="20"/>
                <w:u w:val="single"/>
              </w:rPr>
              <w:t> </w:t>
            </w:r>
            <w:r>
              <w:rPr>
                <w:rFonts w:ascii="Times New Roman" w:hAnsi="Times New Roman"/>
                <w:b/>
                <w:sz w:val="20"/>
                <w:u w:val="single"/>
              </w:rPr>
              <w:t>7.1(d)</w:t>
            </w:r>
            <w:r>
              <w:rPr>
                <w:rFonts w:ascii="Times New Roman" w:hAnsi="Times New Roman"/>
                <w:sz w:val="20"/>
              </w:rPr>
              <w:t xml:space="preserve"> of the Lease is deleted in its entirety and replaced with the following: </w:t>
            </w:r>
          </w:p>
        </w:tc>
      </w:tr>
    </w:tbl>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u w:val="single"/>
        </w:rPr>
        <w:t>Statement</w:t>
      </w:r>
      <w:r>
        <w:rPr>
          <w:rFonts w:ascii="Times New Roman" w:hAnsi="Times New Roman"/>
          <w:sz w:val="20"/>
        </w:rPr>
        <w:t xml:space="preserve"> shall mean a statement containing (1) Taxes payable for any Comparison Year, or (2) the Operating Expenses payable for any Comparison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Tenants Tax Payment</w:t>
            </w:r>
            <w:r>
              <w:rPr>
                <w:rFonts w:ascii="Times New Roman" w:hAnsi="Times New Roman"/>
                <w:sz w:val="20"/>
              </w:rPr>
              <w:t xml:space="preserve">. The following is Inserted as the first sentence of </w:t>
            </w:r>
            <w:r>
              <w:rPr>
                <w:rFonts w:ascii="Times New Roman" w:hAnsi="Times New Roman"/>
                <w:sz w:val="20"/>
                <w:u w:val="single"/>
              </w:rPr>
              <w:t>Section 72(a)</w:t>
            </w:r>
            <w:r>
              <w:rPr>
                <w:rFonts w:ascii="Times New Roman" w:hAnsi="Times New Roman"/>
                <w:sz w:val="20"/>
              </w:rPr>
              <w:t xml:space="preserve"> of the Lease: </w:t>
            </w:r>
          </w:p>
        </w:tc>
      </w:tr>
    </w:tbl>
    <w:p>
      <w:pPr>
        <w:pStyle w:val="TextBody"/>
        <w:bidi w:val="0"/>
        <w:spacing w:before="120" w:after="0"/>
        <w:jc w:val="left"/>
        <w:rPr>
          <w:rFonts w:ascii="Times New Roman" w:hAnsi="Times New Roman"/>
          <w:sz w:val="20"/>
        </w:rPr>
      </w:pPr>
      <w:r>
        <w:rPr>
          <w:rFonts w:ascii="Times New Roman" w:hAnsi="Times New Roman"/>
          <w:sz w:val="20"/>
        </w:rPr>
        <w:t>Tenant shall pay to Landlord, as Additional Rent hereunder, the Tenants Proportionate Share of Taxes for each Comparison Year during the Term (</w:t>
      </w:r>
      <w:r>
        <w:rPr>
          <w:rFonts w:ascii="Times New Roman" w:hAnsi="Times New Roman"/>
          <w:b/>
          <w:sz w:val="20"/>
        </w:rPr>
        <w:t>Tenants Tax Payment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Tenants Operating Payment</w:t>
            </w:r>
            <w:r>
              <w:rPr>
                <w:rFonts w:ascii="Times New Roman" w:hAnsi="Times New Roman"/>
                <w:sz w:val="20"/>
              </w:rPr>
              <w:t xml:space="preserve">. The following is Inserted as the first sentence of </w:t>
            </w:r>
            <w:r>
              <w:rPr>
                <w:rFonts w:ascii="Times New Roman" w:hAnsi="Times New Roman"/>
                <w:sz w:val="20"/>
                <w:u w:val="single"/>
              </w:rPr>
              <w:t>Section 7.3(a)</w:t>
            </w:r>
            <w:r>
              <w:rPr>
                <w:rFonts w:ascii="Times New Roman" w:hAnsi="Times New Roman"/>
                <w:sz w:val="20"/>
              </w:rPr>
              <w:t xml:space="preserve"> of the Lease: </w:t>
            </w:r>
          </w:p>
        </w:tc>
      </w:tr>
    </w:tbl>
    <w:p>
      <w:pPr>
        <w:pStyle w:val="TextBody"/>
        <w:bidi w:val="0"/>
        <w:spacing w:before="120" w:after="0"/>
        <w:jc w:val="left"/>
        <w:rPr>
          <w:rFonts w:ascii="Times New Roman" w:hAnsi="Times New Roman"/>
          <w:sz w:val="20"/>
        </w:rPr>
      </w:pPr>
      <w:r>
        <w:rPr>
          <w:rFonts w:ascii="Times New Roman" w:hAnsi="Times New Roman"/>
          <w:sz w:val="20"/>
        </w:rPr>
        <w:t>Tenant shall pay to Landlord, as Additional Rent hereunder, the Tenants Proportionate Share of Operating Expenses for each Comparison Year during the Term (</w:t>
      </w:r>
      <w:r>
        <w:rPr>
          <w:rFonts w:ascii="Times New Roman" w:hAnsi="Times New Roman"/>
          <w:b/>
          <w:sz w:val="20"/>
        </w:rPr>
        <w:t>Tenants Operating Payment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8.07.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Holdover</w:t>
            </w:r>
            <w:r>
              <w:rPr>
                <w:rFonts w:ascii="Times New Roman" w:hAnsi="Times New Roman"/>
                <w:sz w:val="20"/>
              </w:rPr>
              <w:t xml:space="preserve">. The second sentence of </w:t>
            </w:r>
            <w:r>
              <w:rPr>
                <w:rFonts w:ascii="Times New Roman" w:hAnsi="Times New Roman"/>
                <w:sz w:val="20"/>
                <w:u w:val="single"/>
              </w:rPr>
              <w:t>Section 20.2</w:t>
            </w:r>
            <w:r>
              <w:rPr>
                <w:rFonts w:ascii="Times New Roman" w:hAnsi="Times New Roman"/>
                <w:sz w:val="20"/>
              </w:rPr>
              <w:t xml:space="preserve"> of the Lease is deleted in Its entirety, and the following is substituted In Its place: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Tenant therefore agrees that if possession of the Premises is not surrendered to Landlord on or before the Expiration Date or sooner termination of the Term, in addition to Landlords right to pursue an eviction of Tenant, Tenant shall pay to Landlord for any period during which any Tenant Party holds over in the Premises after the Expiration Date or sooner termination of the Term, a sum equal to: (i) 125% of the Rent payable under this Lease for the last full calendar month of the Term determined on a gross basis for each calendar month (or portion thereof) for the first 3 calendar months of such holdover, and (ii) thereafter 150% of the Rent payable under this Lease for the last full calendar month of the Term determined on a gross basis for each calendar month (prorated for any portion thereof) until Tenant vacates the Premises and delivers possession to Landlord. If possession of the Premises is not surrendered to Landlord on or before the Expiration Date or sooner termination of the Term, and Landlord has notified Tenant (the Holdover Notice) that Landlord has entered into a lease for all or any portion of the Premises and that Tenant may be subject to consequential damages if Tenant fails to vacate the Premises on or before the Vacation Deadline (defined below), then, Tenant shall be liable to Landlord for any payment or rent concession (including, without limitation, any consequential damages, but excluding any non-customary excessive penalties provided for In the New Tenants [as hereinafter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lease) which Landlord actually incurs to any tenant obtained by Landlord for all or any part of the Premises (a </w:t>
      </w:r>
      <w:r>
        <w:rPr>
          <w:rFonts w:ascii="Times New Roman" w:hAnsi="Times New Roman"/>
          <w:b/>
          <w:sz w:val="20"/>
        </w:rPr>
        <w:t>New Tenant</w:t>
      </w:r>
      <w:r>
        <w:rPr>
          <w:rFonts w:ascii="Times New Roman" w:hAnsi="Times New Roman"/>
          <w:sz w:val="20"/>
        </w:rPr>
        <w:t>). </w:t>
      </w:r>
      <w:r>
        <w:rPr>
          <w:rFonts w:ascii="Times New Roman" w:hAnsi="Times New Roman"/>
          <w:b/>
          <w:sz w:val="20"/>
        </w:rPr>
        <w:t>Vacation Deadline</w:t>
      </w:r>
      <w:r>
        <w:rPr>
          <w:rFonts w:ascii="Times New Roman" w:hAnsi="Times New Roman"/>
          <w:sz w:val="20"/>
        </w:rPr>
        <w:t xml:space="preserve"> shall mean 120 days df km the date which is the later to occur of (a) the Expiration Date or sooner termination of the Term, and (b) receipt by Tenant of the Holdover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8.08.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Remeasurement</w:t>
            </w:r>
            <w:r>
              <w:rPr>
                <w:rFonts w:ascii="Times New Roman" w:hAnsi="Times New Roman"/>
                <w:sz w:val="20"/>
              </w:rPr>
              <w:t xml:space="preserve">. To the extent that the Lease specifies the rentable square footage of a space in the Building, the parties stipulate and agree that the rentable square footage specified is deemed correct and shall not be remeasured unless there is an actual physical change in such space. The parties hereby stipulate and agree that the rentable area of the 800 Building Is 1,196099 rentable square feet and such rentable areas shall not be remeasured, unless there is an actual change in the 600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8.09.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Landlords Address for Notices I Delivery of Notices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including Article 25 of the Lease, is amended to delete any prior addresses for notices to Landlord and to instead provide that Landlords address for notices or other communications under the Lease 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Equity Commonwealth Management LLC </w:t>
      </w:r>
    </w:p>
    <w:p>
      <w:pPr>
        <w:pStyle w:val="TextBody"/>
        <w:bidi w:val="0"/>
        <w:spacing w:before="0" w:after="0"/>
        <w:jc w:val="left"/>
        <w:rPr>
          <w:rFonts w:ascii="Times New Roman" w:hAnsi="Times New Roman"/>
          <w:sz w:val="20"/>
        </w:rPr>
      </w:pPr>
      <w:r>
        <w:rPr>
          <w:rFonts w:ascii="Times New Roman" w:hAnsi="Times New Roman"/>
          <w:sz w:val="20"/>
        </w:rPr>
        <w:t xml:space="preserve">Two North Riverside Plaza Suite 2100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 Leasing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Equity Commonwealth Management LLC </w:t>
      </w:r>
    </w:p>
    <w:p>
      <w:pPr>
        <w:pStyle w:val="TextBody"/>
        <w:bidi w:val="0"/>
        <w:spacing w:before="0" w:after="0"/>
        <w:jc w:val="left"/>
        <w:rPr>
          <w:rFonts w:ascii="Times New Roman" w:hAnsi="Times New Roman"/>
          <w:sz w:val="20"/>
        </w:rPr>
      </w:pPr>
      <w:r>
        <w:rPr>
          <w:rFonts w:ascii="Times New Roman" w:hAnsi="Times New Roman"/>
          <w:sz w:val="20"/>
        </w:rPr>
        <w:t xml:space="preserve">Two North Riverside Plaza, Suite 2100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is amended to provide that, notwithstanding anything to the contrary contained in the Lease, including Article 25 of the Lease, notices sent by Landlord regarding general Building operational matters may be posted in the Building mailroom or the general Building newsletter or sent via e-mail to the e-mail address provided by Tenant to Landlord for such purpose. All other notices shall be in writing and shall comply with the requirements of Article 25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Insurance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Lease, including, without limitation, </w:t>
            </w:r>
            <w:r>
              <w:rPr>
                <w:rFonts w:ascii="Times New Roman" w:hAnsi="Times New Roman"/>
                <w:sz w:val="20"/>
                <w:u w:val="single"/>
              </w:rPr>
              <w:t>Section 11.1</w:t>
            </w:r>
            <w:r>
              <w:rPr>
                <w:rFonts w:ascii="Times New Roman" w:hAnsi="Times New Roman"/>
                <w:sz w:val="20"/>
              </w:rPr>
              <w:t xml:space="preserve"> of the Lease, Is hereby amended to provide that all liability insurance required to be provided or otherwise carried by Tenant. Tenants contractors or any other party accessing the Premises by, through or under Tenant, shall name as additional insureds (pursuant to the form of additional Insured endorsement providing the broadest coverage for the additional Insured) the following parties: Landlord, the managing agent for the Building, Equity Commonwealth, Equity Commonwealth Management LLC, EQC Operating Trust, and their respective successors and assigns and, with respect to such parties, their respective members, principals, beneficiaries, partners, officers, directors, employees, and agents, and other designees of Landlord and its successors and assigns as the interest of such designees shall appear (the </w:t>
            </w:r>
            <w:r>
              <w:rPr>
                <w:rFonts w:ascii="Times New Roman" w:hAnsi="Times New Roman"/>
                <w:b/>
                <w:sz w:val="20"/>
              </w:rPr>
              <w:t>Additional Insureds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third sentence of </w:t>
            </w:r>
            <w:r>
              <w:rPr>
                <w:rFonts w:ascii="Times New Roman" w:hAnsi="Times New Roman"/>
                <w:sz w:val="20"/>
                <w:u w:val="single"/>
              </w:rPr>
              <w:t>Section 11.1</w:t>
            </w:r>
            <w:r>
              <w:rPr>
                <w:rFonts w:ascii="Times New Roman" w:hAnsi="Times New Roman"/>
                <w:sz w:val="20"/>
              </w:rPr>
              <w:t xml:space="preserve"> of the Lease, the amount 1$2,000,000.00 is deleted, and the amount $5,000,000.00 is substituted in its place. In addition, In subsection (b) of </w:t>
            </w:r>
            <w:r>
              <w:rPr>
                <w:rFonts w:ascii="Times New Roman" w:hAnsi="Times New Roman"/>
                <w:sz w:val="20"/>
                <w:u w:val="single"/>
              </w:rPr>
              <w:t>Section 11.1</w:t>
            </w:r>
            <w:r>
              <w:rPr>
                <w:rFonts w:ascii="Times New Roman" w:hAnsi="Times New Roman"/>
                <w:sz w:val="20"/>
              </w:rPr>
              <w:t xml:space="preserve"> the following is added immediately following the phrase Employers Liability insurance: in the amount of at least $1,000,000.00.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8.11.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Limitation of Liability.</w:t>
            </w:r>
            <w:r>
              <w:rPr>
                <w:rFonts w:ascii="Times New Roman" w:hAnsi="Times New Roman"/>
                <w:sz w:val="20"/>
              </w:rPr>
              <w:t xml:space="preserve"> The following Is added to the Lease as </w:t>
            </w:r>
            <w:r>
              <w:rPr>
                <w:rFonts w:ascii="Times New Roman" w:hAnsi="Times New Roman"/>
                <w:sz w:val="20"/>
                <w:u w:val="single"/>
              </w:rPr>
              <w:t>Section 31 1(r):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CONTAINED IN THIS LEASE, THE LIABILITY OF LANDLORD (AND OF ANY SUCCESSOR LANDLORD) HEREUNDER SHALL BE LIMITED TO THE LESSER OF (A) THE INTEREST OF LANDLORD IN THE REAL PROPERTY (INCLUDING, WITHOUT LIMITATION, UNCOLLECTED RENT, INSURANCE, CONDEMNATION AND SALE PROCEEDS PRIOR TO DISTRIBUTION THEREOF, BUT SUBJECT TO THE RIGHTS OF ANY MORTGAGEE AND TO LANDLORDS RIGHT TO USE ANY INSURANCE AND CONDEMNATION PROCEEDS FOR THE PURPOSES OF REPAIRING AND RESTORING THE BUILDING AND THE REAL PROPERTY), OR (B) THE EQUITY INTEREST LANDLORD WOULD HAVE IN THE REAL PROPERTY IF THE REAL PROPERTY WERE ENCUMBERED BY THIRD PARTY DEBT IN AN AMOUNT EQUAL TO 70% OF THE VALUE OF THE REAL PROPERTY (THE </w:t>
      </w:r>
      <w:r>
        <w:rPr>
          <w:rFonts w:ascii="Times New Roman" w:hAnsi="Times New Roman"/>
          <w:b/>
          <w:sz w:val="20"/>
        </w:rPr>
        <w:t>LANDLORDS EQUITY INTEREST</w:t>
      </w:r>
      <w:r>
        <w:rPr>
          <w:rFonts w:ascii="Times New Roman" w:hAnsi="Times New Roman"/>
          <w:sz w:val="20"/>
        </w:rPr>
        <w:t xml:space="preserve">), AND TENANT SHALL LOOK SOLELY TO LANDLORDS EQUITY INTEREST FOR THE RECOVERY OF ANY JUDGMENT OR AWARD AGAINST LANDLORD OR ANY OF IT TRUSTEES, MEMBERS, PRINCIPALS, BENEFICIARIES, PARTNERS, OFFICERS, DIRECTORS, EMPLOYEES, MORTGAGEES AND AGENTS (COLLECTIVELY, </w:t>
      </w:r>
      <w:r>
        <w:rPr>
          <w:rFonts w:ascii="Times New Roman" w:hAnsi="Times New Roman"/>
          <w:b/>
          <w:sz w:val="20"/>
        </w:rPr>
        <w:t>EXCULPATED PARTIES</w:t>
      </w:r>
      <w:r>
        <w:rPr>
          <w:rFonts w:ascii="Times New Roman" w:hAnsi="Times New Roman"/>
          <w:sz w:val="20"/>
        </w:rPr>
        <w:t xml:space="preserve">). NEITHER LANDLORD NOR ANY LANDLORD RELATED PARTY SHALL BE PERSONALLY LIABLE FOR ANY JUDGMENT OR DEFICIENCY, AND IN NO EVENT SHALL LANDLORD OR ANY LANDLORD RELATED PARTY BE LIABLE TO TENANT FOR ANY LOST PROFIT, DAMAGE TO OR LOSS OF BUSINESS OR ANY FORM OF SPECIAL, INDIRECT OR CONSEQUENTIAL DAMAGE. BEFORE FILING SUIT FOR AN ALLEGED DEFAULT BY LANDLORD, TENANT SHALL GIVE LANDLORD AND THE MORTGAGEE(S) WHOM TENANT HAS BEEN NOTIFIED HOLD MORTGAGES NOTICE AND REASONABLE TIME TO CURE THE ALLEGED DEFAULT. IN ADDITION, TENANT ACKNOWLEDGES THAT ANY ENTITY MANAGING THE BUILDING OR REAL PROPERTY ON BEHALF OF LANDLORD, OR WHICH EXECUTES THIS LEASE AS AGENT FOR LANDLORD, IS ACTING SOLELY IN ITS CAPACITY AS AGENT FOR LANDLORD AND SHALL NOT BE LIABLE FOR ANY OBLIGATIONS, LIABILITIES, LOSSES, DAMAGES OR CLAIMS ARISING OUT OF OR IN CONNECTION WITH THIS LEASE, ALL OF WHICH ARE WHICH WAIVED BY TENANT.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8.12.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REIT Rent Adjustment</w:t>
            </w:r>
            <w:r>
              <w:rPr>
                <w:rFonts w:ascii="Times New Roman" w:hAnsi="Times New Roman"/>
                <w:sz w:val="20"/>
              </w:rPr>
              <w:t xml:space="preserve">. The following is added to the Lease as Article 32: </w:t>
            </w:r>
          </w:p>
        </w:tc>
      </w:tr>
    </w:tbl>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REIT Rent Adjustment.</w:t>
      </w:r>
      <w:r>
        <w:rPr>
          <w:rFonts w:ascii="Times New Roman" w:hAnsi="Times New Roman"/>
          <w:sz w:val="20"/>
        </w:rPr>
        <w:t xml:space="preserve"> Landlord or its beneficial owner is a real estate investment trust (REIT). A REIT is subject to regulations regarding the nature of its income. As long as an adjustment </w:t>
      </w:r>
      <w:r>
        <w:rPr>
          <w:rFonts w:ascii="Times New Roman" w:hAnsi="Times New Roman"/>
          <w:sz w:val="20"/>
          <w:u w:val="single"/>
        </w:rPr>
        <w:t>does not increase</w:t>
      </w:r>
      <w:r>
        <w:rPr>
          <w:rFonts w:ascii="Times New Roman" w:hAnsi="Times New Roman"/>
          <w:sz w:val="20"/>
        </w:rPr>
        <w:t xml:space="preserve"> the monetary obligations of Tenant, and in order to protect Landlord and its beneficial owners from an adverse tax event under the REIT regulations, Landlord may require that the rent or fees (or a portion thereof) payable under the Lease be decreased or paid directly to an affiliate of Landlord, and Tenant shall, without charge and within 10 Business Days after Landlords written request, execute and deliver to Landlord such amendments to the Lease, or such other documents, as may be reasonably required by Landlord to avoid the adverse tax effect in the manner described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Net Profits</w:t>
            </w:r>
            <w:r>
              <w:rPr>
                <w:rFonts w:ascii="Times New Roman" w:hAnsi="Times New Roman"/>
                <w:sz w:val="20"/>
              </w:rPr>
              <w:t xml:space="preserve">. The following Is added to the Lease as Article 14.8(c): </w:t>
            </w:r>
          </w:p>
        </w:tc>
      </w:tr>
    </w:tbl>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Net Profits.</w:t>
      </w:r>
      <w:r>
        <w:rPr>
          <w:rFonts w:ascii="Times New Roman" w:hAnsi="Times New Roman"/>
          <w:sz w:val="20"/>
        </w:rPr>
        <w:t xml:space="preserve"> Notwithstanding anything to the contrary contained In the Lease, neither Tenant nor any other person having a right to possess, use, or occupy (for convenience, collectively referred to In this section as </w:t>
      </w:r>
      <w:r>
        <w:rPr>
          <w:rFonts w:ascii="Times New Roman" w:hAnsi="Times New Roman"/>
          <w:b/>
          <w:sz w:val="20"/>
        </w:rPr>
        <w:t>Use</w:t>
      </w:r>
      <w:r>
        <w:rPr>
          <w:rFonts w:ascii="Times New Roman" w:hAnsi="Times New Roman"/>
          <w:sz w:val="20"/>
        </w:rPr>
        <w:t xml:space="preserve">) the Premises shall enter into any lease, sublease, license, concession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for Use of all or any portion of the Premises which provides for rental or other payment for such Use based, In whole or in part, on the net income or profits derived by any person that leases, possesses, uses, or occupies all or any portion of the Premises (other than an amount based on a fixed percentage or percentages of receipts or sales), and any such purported lease, sublease, license, concession or other agreement shall be absolutely void and Ineffective as a transfer of any right or interest In the Use of all or any part of the Premises. Each and every assignment and sublease shall be expressly subject and subordinate to each and every provision contained In this 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OFAC.</w:t>
            </w:r>
            <w:r>
              <w:rPr>
                <w:rFonts w:ascii="Times New Roman" w:hAnsi="Times New Roman"/>
                <w:sz w:val="20"/>
              </w:rPr>
              <w:t xml:space="preserve"> The following is added to the Lease as Article 33: </w:t>
            </w:r>
          </w:p>
        </w:tc>
      </w:tr>
    </w:tbl>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OFAC.</w:t>
      </w:r>
      <w:r>
        <w:rPr>
          <w:rFonts w:ascii="Times New Roman" w:hAnsi="Times New Roman"/>
          <w:sz w:val="20"/>
        </w:rPr>
        <w:t xml:space="preserve"> Tenant represents and warrants to Landlord, and agrees, that each Individual executing this Lease, as same may be amended, on behalf of Tenant is authorized to do so on behalf of Tenant and that the entity(i es) or individual(s) constituting Tenant or any guarantor, or which may own or control Tenant or any guarantor or which may be owned or controlled by Tenant or any guarantor are not and at no time will be (i) In violation of any Legal Requirements relating to terrorism or money laundering, or (ii) among the individuals or entitles Identified on any list complied pursuant to Fv4cutive Order 13224 for the purpose of identifying suspected terrorists or on the most current list published by the U.S. Treasury Department Office of Foreign Assets Control at its official website, http://www.treas.gov/ofac/tllsdn.pdf or any replacement website or other replacement official publication of such list. A breach by Tenant of the representation or warranty Contained In this Article 33 will constitute an immediate and incurable default of Tenant under this Lease. Landlord represents and warrants to Tenant that each Individual executing this Lease on behalf of Landlord Is authorized to do so on behalf of Landlord and that Landlord is not, and the entities constituting Landlord or which may own or control Landlord or which may be owned or controlled by Landlord are not and at no time will be (a) in violation of any Legal Requirements relating to terrorism or money laundering, or (b) among the individuals or entitles identified on any Terrorist Watch List.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Legally Required Information.</w:t>
            </w:r>
            <w:r>
              <w:rPr>
                <w:rFonts w:ascii="Times New Roman" w:hAnsi="Times New Roman"/>
                <w:sz w:val="20"/>
              </w:rPr>
              <w:t xml:space="preserve"> The following is added to the Lease as Article 34: </w:t>
            </w:r>
          </w:p>
        </w:tc>
      </w:tr>
    </w:tbl>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Legally Resulted Information.</w:t>
      </w:r>
      <w:r>
        <w:rPr>
          <w:rFonts w:ascii="Times New Roman" w:hAnsi="Times New Roman"/>
          <w:sz w:val="20"/>
        </w:rPr>
        <w:t xml:space="preserve"> Tenant agrees to submit to Landlord any Information required (directly or Indirectly) in order for Landlord to (i) comply with Legal Requirements and (II) submit to any Governmental Authority any information legally required by such authority. In addition, Tenant authorizes Landlord to request and receive directly from any utility provider providing utilities to the Premises on a separately metered basis, copies of Tenants utility billing records, if required by Landlord In connection with an analysis of utility consumption at the Building and Tenant agrees to furnish any such records In Tenants possession to Landlord within 10 Business Days after a written request from Landlord, If Landlord is not able to obtain such records from the utility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Security Key Cards.</w:t>
            </w:r>
            <w:r>
              <w:rPr>
                <w:rFonts w:ascii="Times New Roman" w:hAnsi="Times New Roman"/>
                <w:sz w:val="20"/>
              </w:rPr>
              <w:t xml:space="preserve"> The following is added to the Lease as Article 35: </w:t>
            </w:r>
          </w:p>
        </w:tc>
      </w:tr>
    </w:tbl>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Security Key Cards.</w:t>
      </w:r>
      <w:r>
        <w:rPr>
          <w:rFonts w:ascii="Times New Roman" w:hAnsi="Times New Roman"/>
          <w:sz w:val="20"/>
        </w:rPr>
        <w:t xml:space="preserve"> Landlord shall provide to Tenant, at no additional cost to Tenant, 50 Building security key cards for use by Tenant and its employees for purposes of gaining entry to the tenant-occupied portions of the Building. In the event that Tenant desires to obtain any additional Building security key cards, Tenant shall purchase the same from Landlord at Landlords then current standard charges therefor. Tenant shall keep and maintain (and shall cause its employees to keep and maintain) all security key cards provided to Tenant and its employees in a safe and secure manner, and shall not permit any person or entity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Tenant and its employees to use or possess any such security key cards. in addition, Tenant and its employees shall observe all reasonable rules and regulations promulgated by Landlord from time to time regarding the use and possession of Building security key cards and the Building key card security system. Landlord shall not be responsible for any lost, stolen, damaged or destroyed security key cards, and, in the event that Tenant desires to obtain </w:t>
      </w:r>
      <w:r>
        <w:rPr>
          <w:rFonts w:ascii="Times New Roman" w:hAnsi="Times New Roman"/>
          <w:i/>
          <w:sz w:val="20"/>
        </w:rPr>
        <w:t xml:space="preserve">any </w:t>
      </w:r>
      <w:r>
        <w:rPr>
          <w:rFonts w:ascii="Times New Roman" w:hAnsi="Times New Roman"/>
          <w:sz w:val="20"/>
        </w:rPr>
        <w:t xml:space="preserve">replacements of any such key cards, Tenant shall purchase the same from Landlord at Landlords then current standard charges therefor. Upon the expiration or earlier termination of the Term of this Lease, Tenant shall return to Landlord all security key cards provided to Tenant and/or its employees, and shall pay to Landlord Landlords then current standard charges for any lost or missing security key cards.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 Warranty of Landlord</w:t>
            </w:r>
            <w:r>
              <w:rPr>
                <w:rFonts w:ascii="Times New Roman" w:hAnsi="Times New Roman"/>
                <w:sz w:val="20"/>
              </w:rPr>
              <w:t xml:space="preserve">. In the ninth line in </w:t>
            </w:r>
            <w:r>
              <w:rPr>
                <w:rFonts w:ascii="Times New Roman" w:hAnsi="Times New Roman"/>
                <w:sz w:val="20"/>
                <w:u w:val="single"/>
              </w:rPr>
              <w:t>Section 10,6(b)</w:t>
            </w:r>
            <w:r>
              <w:rPr>
                <w:rFonts w:ascii="Times New Roman" w:hAnsi="Times New Roman"/>
                <w:sz w:val="20"/>
              </w:rPr>
              <w:t xml:space="preserve"> of the Lease, the phrase ten (10) shall be replaced with the phrase live (5) and In the eighteenth line of </w:t>
            </w:r>
            <w:r>
              <w:rPr>
                <w:rFonts w:ascii="Times New Roman" w:hAnsi="Times New Roman"/>
                <w:sz w:val="20"/>
                <w:u w:val="single"/>
              </w:rPr>
              <w:t>Section 10.8(b)</w:t>
            </w:r>
            <w:r>
              <w:rPr>
                <w:rFonts w:ascii="Times New Roman" w:hAnsi="Times New Roman"/>
                <w:sz w:val="20"/>
              </w:rPr>
              <w:t xml:space="preserve"> of the Lease, the phrase eleventh (11th) shall be replaced with the phrase sixth (6th).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8.18.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Assignment and Subletting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the end of </w:t>
            </w:r>
            <w:r>
              <w:rPr>
                <w:rFonts w:ascii="Times New Roman" w:hAnsi="Times New Roman"/>
                <w:sz w:val="20"/>
                <w:u w:val="single"/>
              </w:rPr>
              <w:t>Section 14.5(a)(iii)</w:t>
            </w:r>
            <w:r>
              <w:rPr>
                <w:rFonts w:ascii="Times New Roman" w:hAnsi="Times New Roman"/>
                <w:sz w:val="20"/>
              </w:rPr>
              <w:t xml:space="preserve"> after the word Building: , provided if the proposed assignee or subtenant Is Llghtbank LLC or an entity which, directly or Indirectly, Is controlled by Lightbank LLC, this clause (iii) shall not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after the first sentence of </w:t>
            </w:r>
            <w:r>
              <w:rPr>
                <w:rFonts w:ascii="Times New Roman" w:hAnsi="Times New Roman"/>
                <w:sz w:val="20"/>
                <w:u w:val="single"/>
              </w:rPr>
              <w:t>Section 14.8:</w:t>
            </w:r>
            <w:r>
              <w:rPr>
                <w:rFonts w:ascii="Times New Roman" w:hAnsi="Times New Roman"/>
                <w:sz w:val="20"/>
              </w:rPr>
              <w:t xml:space="preserve"> Notwithstanding anything to the contrary, the terms of this </w:t>
            </w:r>
            <w:r>
              <w:rPr>
                <w:rFonts w:ascii="Times New Roman" w:hAnsi="Times New Roman"/>
                <w:sz w:val="20"/>
                <w:u w:val="single"/>
              </w:rPr>
              <w:t>Section 14.8</w:t>
            </w:r>
            <w:r>
              <w:rPr>
                <w:rFonts w:ascii="Times New Roman" w:hAnsi="Times New Roman"/>
                <w:sz w:val="20"/>
              </w:rPr>
              <w:t xml:space="preserve"> shall not apply to a transaction which is exempted from </w:t>
            </w:r>
            <w:r>
              <w:rPr>
                <w:rFonts w:ascii="Times New Roman" w:hAnsi="Times New Roman"/>
                <w:sz w:val="20"/>
                <w:u w:val="single"/>
              </w:rPr>
              <w:t>Section 14.1</w:t>
            </w:r>
            <w:r>
              <w:rPr>
                <w:rFonts w:ascii="Times New Roman" w:hAnsi="Times New Roman"/>
                <w:sz w:val="20"/>
              </w:rPr>
              <w:t xml:space="preserve"> pursuant to the terms of </w:t>
            </w:r>
            <w:r>
              <w:rPr>
                <w:rFonts w:ascii="Times New Roman" w:hAnsi="Times New Roman"/>
                <w:sz w:val="20"/>
                <w:u w:val="single"/>
              </w:rPr>
              <w:t>Section 14.9</w:t>
            </w:r>
            <w:r>
              <w:rPr>
                <w:rFonts w:ascii="Times New Roman" w:hAnsi="Times New Roman"/>
                <w:sz w:val="20"/>
              </w:rPr>
              <w:t xml:space="preserv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contained in </w:t>
            </w:r>
            <w:r>
              <w:rPr>
                <w:rFonts w:ascii="Times New Roman" w:hAnsi="Times New Roman"/>
                <w:sz w:val="20"/>
                <w:u w:val="single"/>
              </w:rPr>
              <w:t>Section 14 9(a)</w:t>
            </w:r>
            <w:r>
              <w:rPr>
                <w:rFonts w:ascii="Times New Roman" w:hAnsi="Times New Roman"/>
                <w:sz w:val="20"/>
              </w:rPr>
              <w:t xml:space="preserve"> of the Lease, Landlord and Tenant agree that (I) an assignment of the Lease to any Affiliate or the sublease of all or a part of the Premises to an Affiliate shall not require Landlords consent provided the conditions set forth in </w:t>
            </w:r>
            <w:r>
              <w:rPr>
                <w:rFonts w:ascii="Times New Roman" w:hAnsi="Times New Roman"/>
                <w:sz w:val="20"/>
                <w:u w:val="single"/>
              </w:rPr>
              <w:t>Section 14.5(a)</w:t>
            </w:r>
            <w:r>
              <w:rPr>
                <w:rFonts w:ascii="Times New Roman" w:hAnsi="Times New Roman"/>
                <w:sz w:val="20"/>
              </w:rPr>
              <w:t xml:space="preserve"> are satisfied. In addition to the conditions precedent to a transaction to which </w:t>
            </w:r>
            <w:r>
              <w:rPr>
                <w:rFonts w:ascii="Times New Roman" w:hAnsi="Times New Roman"/>
                <w:sz w:val="20"/>
                <w:u w:val="single"/>
              </w:rPr>
              <w:t>Section 14.1</w:t>
            </w:r>
            <w:r>
              <w:rPr>
                <w:rFonts w:ascii="Times New Roman" w:hAnsi="Times New Roman"/>
                <w:sz w:val="20"/>
              </w:rPr>
              <w:t xml:space="preserve"> of the Lease shall not apply, as additional conditions precedent, Tenant shall furnish Landlord with a true and correct copy of the proposed transfer document and such document shall be in form and substance reasonably acceptable to Landlord. In the case of a transfer to an Affiliate or a transaction to which </w:t>
            </w:r>
            <w:r>
              <w:rPr>
                <w:rFonts w:ascii="Times New Roman" w:hAnsi="Times New Roman"/>
                <w:sz w:val="20"/>
                <w:u w:val="single"/>
              </w:rPr>
              <w:t>Section 14 1</w:t>
            </w:r>
            <w:r>
              <w:rPr>
                <w:rFonts w:ascii="Times New Roman" w:hAnsi="Times New Roman"/>
                <w:sz w:val="20"/>
              </w:rPr>
              <w:t xml:space="preserve"> of the Lease shall not apply, such transferee shall use the Premises for the Permitted Use only and shall be prohibited from any use that is not compatible with a Class A building, Including, without limitation, use as a school (provided customary training of employees shall be permitted), a political organization or a religious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shall be added as a new </w:t>
            </w:r>
            <w:r>
              <w:rPr>
                <w:rFonts w:ascii="Times New Roman" w:hAnsi="Times New Roman"/>
                <w:sz w:val="20"/>
                <w:u w:val="single"/>
              </w:rPr>
              <w:t>Section 14.14</w:t>
            </w:r>
            <w:r>
              <w:rPr>
                <w:rFonts w:ascii="Times New Roman" w:hAnsi="Times New Roman"/>
                <w:sz w:val="20"/>
              </w:rPr>
              <w:t xml:space="preserve"> of the Lease: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Section</w:t>
      </w:r>
      <w:r>
        <w:rPr>
          <w:rFonts w:ascii="Times New Roman" w:hAnsi="Times New Roman"/>
          <w:sz w:val="20"/>
        </w:rPr>
        <w:t> </w:t>
      </w:r>
      <w:r>
        <w:rPr>
          <w:rFonts w:ascii="Times New Roman" w:hAnsi="Times New Roman"/>
          <w:b/>
          <w:sz w:val="20"/>
        </w:rPr>
        <w:t>14.14</w:t>
      </w:r>
      <w:r>
        <w:rPr>
          <w:rFonts w:ascii="Times New Roman" w:hAnsi="Times New Roman"/>
          <w:sz w:val="20"/>
        </w:rPr>
        <w:t xml:space="preserve"> </w:t>
      </w:r>
      <w:r>
        <w:rPr>
          <w:rFonts w:ascii="Times New Roman" w:hAnsi="Times New Roman"/>
          <w:sz w:val="20"/>
          <w:u w:val="single"/>
        </w:rPr>
        <w:t>Right to Recapture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At any time during the Term Tenant intends to assign this Lease or sublease all or any portion of the Premises (other than in connection with a transfer for which Landlords consent is not required pursuant to</w:t>
      </w:r>
      <w:r>
        <w:rPr>
          <w:rFonts w:ascii="Times New Roman" w:hAnsi="Times New Roman"/>
          <w:sz w:val="20"/>
          <w:u w:val="single"/>
        </w:rPr>
        <w:t xml:space="preserve"> Section 14.9</w:t>
      </w:r>
      <w:r>
        <w:rPr>
          <w:rFonts w:ascii="Times New Roman" w:hAnsi="Times New Roman"/>
          <w:sz w:val="20"/>
        </w:rPr>
        <w:t xml:space="preserve"> of the Lease), prior to listing the Premises with a broker or otherwise making the Premises available for assignment or sublease, Tenant shall notify Landlord of Tenants intent to either assign the Lease or sublease all or any portion of the Premises (</w:t>
      </w:r>
      <w:r>
        <w:rPr>
          <w:rFonts w:ascii="Times New Roman" w:hAnsi="Times New Roman"/>
          <w:b/>
          <w:sz w:val="20"/>
        </w:rPr>
        <w:t>Tenants Notice of Assignment/Sublease</w:t>
      </w:r>
      <w:r>
        <w:rPr>
          <w:rFonts w:ascii="Times New Roman" w:hAnsi="Times New Roman"/>
          <w:sz w:val="20"/>
        </w:rPr>
        <w:t xml:space="preserve">), specifying the portion of the Premises available for sublease (if less than all of the Premises) and the length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term of such sublease (if less than substantially all of the remaining Term). Landlord shall have the right to recapture the portion of the Premises that Tenant is proposing to assign or sublease, by notice to Tenant within thirty (30) days after receipt of Tenants Notice of Assignment/Sublease. if Landlord exercises its light to recapture, this Lease shall automatically be amended (or terminated if the entire Premises is being assigned or sublet) to delete the applicable portion of the Premises effective on the proposed effective date of the assignment or sublease, although Landlord may require Tenant to execute a reasonable amendment or other document reflecting such reduction or termination. Notwithstanding the above, Tenant, within five (5) days after receipt of Landlords notice of Intent to recapture, may withdraw the Tenants Notice of Assignment/Sublease. In that event, Landlords election to recapture the Premises (or applicable portion thereof) shall be null and void and of no force and effect and Tenant shall not be permitted to resubmit the same or substantially the same notice of assignment or sublease within one hundred eighty (180) days after the date such request was rescinded. </w:t>
      </w:r>
    </w:p>
    <w:p>
      <w:pPr>
        <w:pStyle w:val="TextBody"/>
        <w:bidi w:val="0"/>
        <w:spacing w:before="120" w:after="0"/>
        <w:jc w:val="left"/>
        <w:rPr>
          <w:rFonts w:ascii="Times New Roman" w:hAnsi="Times New Roman"/>
          <w:sz w:val="20"/>
        </w:rPr>
      </w:pPr>
      <w:r>
        <w:rPr>
          <w:rFonts w:ascii="Times New Roman" w:hAnsi="Times New Roman"/>
          <w:sz w:val="20"/>
        </w:rPr>
        <w:t xml:space="preserve">(b) If Landlord does not elect to recapture the portion of the Premises that Tenant is proposing to assign or sublease as set forth in Tenants Notice of Assignment/Sublease, Tenant may list the Premises with a broker or otherwise make the Premises available for assignment or sublease as set forth In Tenants Notice of Assignment/Sublease. My assignment or sublease which Tenant intends to enter into thereafter shall remain subject to the requirements of this </w:t>
      </w:r>
      <w:r>
        <w:rPr>
          <w:rFonts w:ascii="Times New Roman" w:hAnsi="Times New Roman"/>
          <w:sz w:val="20"/>
          <w:u w:val="single"/>
        </w:rPr>
        <w:t>Article 14</w:t>
      </w:r>
      <w:r>
        <w:rPr>
          <w:rFonts w:ascii="Times New Roman" w:hAnsi="Times New Roman"/>
          <w:sz w:val="20"/>
        </w:rPr>
        <w:t xml:space="preserve"> except Landlord shall not have a right of recapture, If Tenant falls to enter into an assignment or sublease as set forth in Tenants Notice of Assignment/Sublease within one hundred eighty (180) days after the date of Tenants Notice of Assignment/Sublease (the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Tenant shall notify Landlord (</w:t>
      </w:r>
      <w:r>
        <w:rPr>
          <w:rFonts w:ascii="Times New Roman" w:hAnsi="Times New Roman"/>
          <w:b/>
          <w:sz w:val="20"/>
        </w:rPr>
        <w:t>Tenants Subsequent Notice of Assignment/Sublease</w:t>
      </w:r>
      <w:r>
        <w:rPr>
          <w:rFonts w:ascii="Times New Roman" w:hAnsi="Times New Roman"/>
          <w:sz w:val="20"/>
        </w:rPr>
        <w:t xml:space="preserve">) of Tenants intent to either assign the Lease or sublease all or any portion of the Premises after the expiration of the First Notice Period and every one hundred eighty (180) days thereafter, until Tenant no longer intends to either assign the Lease or sublease all or any portion of the Premises. Landlord shall have the right to recapture the portion of the Premises that Tenant is proposing to assign or sublease, by notice to Tenant within ten (10) Business Days after receipt of Tenants Subsequent Notice of Assignment/Sublease. If Landlord exercises its right to recapture, this Lease shall automatically be amended (or terminated if the entire Premises is being assigned or sublet) to delete the applicable portion of the Premises effective on the proposed effective date of the assignment or sublease, although Landlord may require Tenant to execute a reasonable amendment or other document reflecting such reduction or termination, Notwithstanding the above, Tenant, within five (5) days after receipt of Landlords notice of intent to recapture, may withdraw the Tenants Subsequent Notice of Assignment/Sublease. In that event, Landlords election to recapture the Premises (or applicable portion thereof) shall be null and void and of no force and effect and Tenant shall not be permitted to resubmit the same or substantially the same notice of assignment or sublease within one hundred eighty (180) days after the date such request was rescinded.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Indemnity</w:t>
            </w:r>
            <w:r>
              <w:rPr>
                <w:rFonts w:ascii="Times New Roman" w:hAnsi="Times New Roman"/>
                <w:sz w:val="20"/>
              </w:rPr>
              <w:t xml:space="preserve">. The following is added as a new, </w:t>
            </w:r>
            <w:r>
              <w:rPr>
                <w:rFonts w:ascii="Times New Roman" w:hAnsi="Times New Roman"/>
                <w:sz w:val="20"/>
                <w:u w:val="single"/>
              </w:rPr>
              <w:t>Section 28.3</w:t>
            </w:r>
            <w:r>
              <w:rPr>
                <w:rFonts w:ascii="Times New Roman" w:hAnsi="Times New Roman"/>
                <w:sz w:val="20"/>
              </w:rPr>
              <w:t xml:space="preserve"> to the Lease: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Section 283 Landlords Indemnity.</w:t>
      </w:r>
      <w:r>
        <w:rPr>
          <w:rFonts w:ascii="Times New Roman" w:hAnsi="Times New Roman"/>
          <w:sz w:val="20"/>
        </w:rPr>
        <w:t xml:space="preserve"> Landlord hereby agrees to indemnify, defend and hold Tenant and the Tenant Parties harmless from and against any and all claims for property damage, personal injury or any other matter arising, claimed, charged or incurred against or by Tenant or any of the Tenant Parties In connection with or relating to any event, condition, matter or thing which occurs in, at or about the Property to the extent due to the negligence or willful misconduct of Landlord or any of the Landlord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8.20.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Destruction of the Premises</w:t>
            </w:r>
            <w:r>
              <w:rPr>
                <w:rFonts w:ascii="Times New Roman" w:hAnsi="Times New Roman"/>
                <w:sz w:val="20"/>
              </w:rPr>
              <w:t xml:space="preserve">. </w:t>
            </w:r>
            <w:r>
              <w:rPr>
                <w:rFonts w:ascii="Times New Roman" w:hAnsi="Times New Roman"/>
                <w:sz w:val="20"/>
                <w:u w:val="single"/>
              </w:rPr>
              <w:t>Section 12.2</w:t>
            </w:r>
            <w:r>
              <w:rPr>
                <w:rFonts w:ascii="Times New Roman" w:hAnsi="Times New Roman"/>
                <w:sz w:val="20"/>
              </w:rPr>
              <w:t xml:space="preserve"> of the Lease shall be modified by inserting the following after the second sentence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to the foregoing, if this Lease has not theretofore been terminated as provided above, and if Landlord has not restored the Premises as required in this </w:t>
      </w:r>
      <w:r>
        <w:rPr>
          <w:rFonts w:ascii="Times New Roman" w:hAnsi="Times New Roman"/>
          <w:sz w:val="20"/>
          <w:u w:val="single"/>
        </w:rPr>
        <w:t>Section 12.2</w:t>
      </w:r>
      <w:r>
        <w:rPr>
          <w:rFonts w:ascii="Times New Roman" w:hAnsi="Times New Roman"/>
          <w:sz w:val="20"/>
        </w:rPr>
        <w:t xml:space="preserve"> within 80 days after the estimated date of restoration In such notice from Landlord (as such date shall be extended due to Unavoidable Delays), then Tenant shall have the right to terminate this Lease by notice to Landlord within 15 days after the expiration of such 80 days.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Assignment and Subletting</w:t>
            </w:r>
            <w:r>
              <w:rPr>
                <w:rFonts w:ascii="Times New Roman" w:hAnsi="Times New Roman"/>
                <w:sz w:val="20"/>
              </w:rPr>
              <w:t>. Notwithstanding anything to the contrary contained in the Lease, (a) Tenant may, without the consent of Landlord, sublease or license all or part of the Premises to a Friend (defined below) for any Permitted Use, provided, (i) Tempus Labs, Inc. (</w:t>
            </w:r>
            <w:r>
              <w:rPr>
                <w:rFonts w:ascii="Times New Roman" w:hAnsi="Times New Roman"/>
                <w:b/>
                <w:sz w:val="20"/>
              </w:rPr>
              <w:t>Original Tenant</w:t>
            </w:r>
            <w:r>
              <w:rPr>
                <w:rFonts w:ascii="Times New Roman" w:hAnsi="Times New Roman"/>
                <w:sz w:val="20"/>
              </w:rPr>
              <w:t xml:space="preserve">) or a Named Friend (defined below) is the Tenant hereunder, and (ii) such sublease or license otherwise meets the requirements of </w:t>
            </w:r>
            <w:r>
              <w:rPr>
                <w:rFonts w:ascii="Times New Roman" w:hAnsi="Times New Roman"/>
                <w:sz w:val="20"/>
                <w:u w:val="single"/>
              </w:rPr>
              <w:t>Section 14</w:t>
            </w:r>
            <w:r>
              <w:rPr>
                <w:rFonts w:ascii="Times New Roman" w:hAnsi="Times New Roman"/>
                <w:sz w:val="20"/>
              </w:rPr>
              <w:t xml:space="preserve"> of the Lease. For purposes of the Lease, the tern Friend shall mean and Include Lightbank (the </w:t>
            </w:r>
            <w:r>
              <w:rPr>
                <w:rFonts w:ascii="Times New Roman" w:hAnsi="Times New Roman"/>
                <w:b/>
                <w:sz w:val="20"/>
              </w:rPr>
              <w:t>Named Friend</w:t>
            </w:r>
            <w:r>
              <w:rPr>
                <w:rFonts w:ascii="Times New Roman" w:hAnsi="Times New Roman"/>
                <w:sz w:val="20"/>
              </w:rPr>
              <w:t xml:space="preserve">) and any entity in which the Named Friend has made a substantial investment, as long as the following conditions are satisfied: (i) Original Tenant or an Affiliate of Origins Tenant or a Named Friend is the Tenant hereunder, and (ii) Original Tenant is Controlled (as such term is defined in </w:t>
            </w:r>
            <w:r>
              <w:rPr>
                <w:rFonts w:ascii="Times New Roman" w:hAnsi="Times New Roman"/>
                <w:sz w:val="20"/>
                <w:u w:val="single"/>
              </w:rPr>
              <w:t>Section 1.2</w:t>
            </w:r>
            <w:r>
              <w:rPr>
                <w:rFonts w:ascii="Times New Roman" w:hAnsi="Times New Roman"/>
                <w:sz w:val="20"/>
              </w:rPr>
              <w:t xml:space="preserve"> of the Lease) at the time of such sublease or license by the same Individuals and/for entities which Control Original Tenant as of the date of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8.22.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Removal of Tenants Alterations</w:t>
            </w:r>
            <w:r>
              <w:rPr>
                <w:rFonts w:ascii="Times New Roman" w:hAnsi="Times New Roman"/>
                <w:sz w:val="20"/>
              </w:rPr>
              <w:t>. Notwithstanding anything to the contrary contained in Section 4.2(d) of the Lease, Tenant hereby requests Landlord, at the time Landlord approves Tenants plans and specifications for Tenants Work, to notify Tenant (the </w:t>
            </w:r>
            <w:r>
              <w:rPr>
                <w:rFonts w:ascii="Times New Roman" w:hAnsi="Times New Roman"/>
                <w:b/>
                <w:sz w:val="20"/>
              </w:rPr>
              <w:t>Removal Notice</w:t>
            </w:r>
            <w:r>
              <w:rPr>
                <w:rFonts w:ascii="Times New Roman" w:hAnsi="Times New Roman"/>
                <w:sz w:val="20"/>
              </w:rPr>
              <w:t xml:space="preserve">) of any portions of the Tenants Work which Landlord will require Tenant to remove upon expiration or earlier termination of the Term of the Lease, provided Landlord shall only require Tenant to remove the portions of Tenants Work which, in Landlords reasonable judgment, are (I) of a nature that would require removal and repair costs that are materially in excess of the removal and repair costs associated with standard office Improvements including, without limitation, all Alterations made by or on behalf of Tenant in connection with the Laboratory Use and the Laboratory Space, internal stairways, raised floors, personal baths and showers, vaults, rolling file systems and structural alterations and modifications, or (ii) non-Building standard installations and alterations related to the Laboratory Use and the Laboratory Space, it being understood that the portions of Tenants Work not included In the Removal Notice may remain in the Premises upon expiration or earlier termination of the Term of the Lease. As used herein, standard office improvements Include, without limitation, workstations, offices, conference rooms, pantries, information technology rooms and other space commonly found in standard office build outs. Notwithstanding the terms of this </w:t>
            </w:r>
            <w:r>
              <w:rPr>
                <w:rFonts w:ascii="Times New Roman" w:hAnsi="Times New Roman"/>
                <w:sz w:val="20"/>
                <w:u w:val="single"/>
              </w:rPr>
              <w:t>Section 8.22,</w:t>
            </w:r>
            <w:r>
              <w:rPr>
                <w:rFonts w:ascii="Times New Roman" w:hAnsi="Times New Roman"/>
                <w:sz w:val="20"/>
              </w:rPr>
              <w:t xml:space="preserve"> Tenant acknowledges that all non-Building standard work performed in connection with construction of the Laboratory Space shall be removed by Tenant at it is cost prior to the expiration or earlier termination of the Term of the Lease and Landlord shall not be obligated to so indicate in the Removal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Elevators.</w:t>
            </w:r>
            <w:r>
              <w:rPr>
                <w:rFonts w:ascii="Times New Roman" w:hAnsi="Times New Roman"/>
                <w:sz w:val="20"/>
              </w:rPr>
              <w:t xml:space="preserve"> Notwithstanding anything to the contrary in </w:t>
            </w:r>
            <w:r>
              <w:rPr>
                <w:rFonts w:ascii="Times New Roman" w:hAnsi="Times New Roman"/>
                <w:sz w:val="20"/>
                <w:u w:val="single"/>
              </w:rPr>
              <w:t>Section 10.3</w:t>
            </w:r>
            <w:r>
              <w:rPr>
                <w:rFonts w:ascii="Times New Roman" w:hAnsi="Times New Roman"/>
                <w:sz w:val="20"/>
              </w:rPr>
              <w:t xml:space="preserve"> of the Lease the standard Building charges for the operation of the freight elevators beyond the days and hours prescribed in </w:t>
            </w:r>
            <w:r>
              <w:rPr>
                <w:rFonts w:ascii="Times New Roman" w:hAnsi="Times New Roman"/>
                <w:sz w:val="20"/>
                <w:u w:val="single"/>
              </w:rPr>
              <w:t>Section 10.3</w:t>
            </w:r>
            <w:r>
              <w:rPr>
                <w:rFonts w:ascii="Times New Roman" w:hAnsi="Times New Roman"/>
                <w:sz w:val="20"/>
              </w:rPr>
              <w:t xml:space="preserve"> shall not exceed Landlords actual out-of-pocket costs for operation of the freight elevators on such days and at such hours.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8.24.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Remedies.</w:t>
            </w:r>
            <w:r>
              <w:rPr>
                <w:rFonts w:ascii="Times New Roman" w:hAnsi="Times New Roman"/>
                <w:sz w:val="20"/>
              </w:rPr>
              <w:t xml:space="preserve"> The following shalt be added to the Lease as new Sections 17.1(d) and (e):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(d)WAIVER. </w:t>
      </w:r>
      <w:r>
        <w:rPr>
          <w:rFonts w:ascii="Times New Roman" w:hAnsi="Times New Roman"/>
          <w:sz w:val="20"/>
        </w:rPr>
        <w:t xml:space="preserve">TENANT EXPRESSLY WAIVES THE SERVICE OF ANY STATUTORY DEMAND OR NOTICE WHICH IS A PREREQUISITE TO LANDLORDS COMMENCEMENT OF EVICTION PROCEEDINGS AGAINST TENANT, INCLUDING THE DEMANDS AND NOTICES SPECIFIED IN 735 ILCS SECTIONS 5/9 209 AND 5/9 210.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Mitigation</w:t>
      </w:r>
      <w:r>
        <w:rPr>
          <w:rFonts w:ascii="Times New Roman" w:hAnsi="Times New Roman"/>
          <w:sz w:val="20"/>
        </w:rPr>
        <w:t xml:space="preserve">. If following any Event of Default, Landlord terminates Tenants right of possession, then to the extent required by Legal Requirements, Landlord will use commercially reasonable efforts to mitigate the damages to Landlord arising from Tenants default by attempting to re-let the Premises upon such terms and conditions as may be acceptable to Landlord. The parties hereby agree that Landlord will be deemed to have used commercially reasonable efforts to re-let the Premises in the event Landlords leasing agent lists the Premises as being available for lease in the same manner as such leasing agent lists all other vacant space in the Building. Further, Landlords obligation to mitigate is subject to the following: (i) Landlord shall have no obligation to solicit or entertain negotiations with any other prospective tenants for the Premises until Landlord obtains full and complete possession of the Premises, including, without limitation, the final and unappealable legal right to re-let the Premises free of any claim of Tenant (or Tenants written acknowledgment that Landlord is entitled to exclusive possession of the Premises and has the right to lease the same as a result of an Event of Default by Tenant under this Lease); (ii) Landlord shall not be obligated to give preference to re-letting the Premises over other premises in the Building suitable for that prospective tenants use that may be currently available; (iii) Landlord shall not be obligated to lease the Premises to a substitute tenant for a rental less than the current fair market rental then prevailing for similar space in comparable buildings in the same market area as the Building; (iv) Landlord shall not be obligated to enter Into a new lease under terms and conditions that are unacceptable to Landlord under Landlords then current leasing policies for comparable space in the Building; and (v) Landlord shall not be obligated to enter Into a lease with any proposed substitute tenant that does not have, in Landlords reasonable opinion, sufficient financial resources or operating experience to operate the Premises in a first-class manner. Tenant waives and releases, to the fullest extent legally permissible, any right to assert In any action by Landlord to enforce the terms of this Lease, any defense, counterclaim, or right of setoff or recoupment respecting the mitigation of damages by Landlord, unless and to the extent Landlord fails to act In accordance with the requirements of this </w:t>
      </w:r>
      <w:r>
        <w:rPr>
          <w:rFonts w:ascii="Times New Roman" w:hAnsi="Times New Roman"/>
          <w:sz w:val="20"/>
          <w:u w:val="single"/>
        </w:rPr>
        <w:t>Section 17,1(e).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8.25.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Utilities</w:t>
            </w:r>
            <w:r>
              <w:rPr>
                <w:rFonts w:ascii="Times New Roman" w:hAnsi="Times New Roman"/>
                <w:sz w:val="20"/>
              </w:rPr>
              <w:t xml:space="preserve">. Tenant acknowledges that as of the Delivery Date the utilities serving the Premises will not be separated from the utilities serving the remainder of the Wrigley Space and that Tenant will pay its equitable share of the cost of utilities for the Premises either (i) to Wrigley pursuant to Tenants agreement with Wrigley, or 00 to Landlord within fifteen (15) days after receipt of an invoice therefor, as Additional Rent under the Lease, in the event Landlord pays the cost of utilities for the Premises and the Wrigley Space and invoices Tenant (without any administrative charge) for Tenants equitable share. My such separation of utilities shall be performed by Tenant at its sole cost, pursuant to </w:t>
            </w:r>
            <w:r>
              <w:rPr>
                <w:rFonts w:ascii="Times New Roman" w:hAnsi="Times New Roman"/>
                <w:sz w:val="20"/>
                <w:u w:val="single"/>
              </w:rPr>
              <w:t>Article 4</w:t>
            </w:r>
            <w:r>
              <w:rPr>
                <w:rFonts w:ascii="Times New Roman" w:hAnsi="Times New Roman"/>
                <w:sz w:val="20"/>
              </w:rPr>
              <w:t xml:space="preserve"> of the Lease, provided if the Third Expansion Space has not been added to the Premises pursuant to </w:t>
            </w:r>
            <w:r>
              <w:rPr>
                <w:rFonts w:ascii="Times New Roman" w:hAnsi="Times New Roman"/>
                <w:sz w:val="20"/>
                <w:u w:val="single"/>
              </w:rPr>
              <w:t>Section 6.03</w:t>
            </w:r>
            <w:r>
              <w:rPr>
                <w:rFonts w:ascii="Times New Roman" w:hAnsi="Times New Roman"/>
                <w:sz w:val="20"/>
              </w:rPr>
              <w:t xml:space="preserve"> of </w:t>
            </w:r>
            <w:r>
              <w:rPr>
                <w:rFonts w:ascii="Times New Roman" w:hAnsi="Times New Roman"/>
                <w:sz w:val="20"/>
                <w:u w:val="single"/>
              </w:rPr>
              <w:t>Exhibit E</w:t>
            </w:r>
            <w:r>
              <w:rPr>
                <w:rFonts w:ascii="Times New Roman" w:hAnsi="Times New Roman"/>
                <w:sz w:val="20"/>
              </w:rPr>
              <w:t xml:space="preserve"> to this Lease or otherwise and if Tenant has failed to deliver a ROFO Exercise Notice(s) during the applicable Tenants ROFO Response Period with respect to Offer Space(s) Including all or a portion of the Third Expansion Space, then Landlord shall have the right to require Tenant to separate Its utilities from the utilities serving the remainder of the Wrigley Space but the effective date of such separation shall not be prior to May 31, 2019.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8.26.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Storage Space</w:t>
            </w:r>
            <w:r>
              <w:rPr>
                <w:rFonts w:ascii="Times New Roman" w:hAnsi="Times New Roman"/>
                <w:sz w:val="20"/>
              </w:rPr>
              <w:t xml:space="preserve">. Lightbank and Landlord have entered Into a Lease of Storage Space dated as of November 30, 2012 (the </w:t>
            </w:r>
            <w:r>
              <w:rPr>
                <w:rFonts w:ascii="Times New Roman" w:hAnsi="Times New Roman"/>
                <w:b/>
                <w:sz w:val="20"/>
              </w:rPr>
              <w:t>Lightbank Storage Lease</w:t>
            </w:r>
            <w:r>
              <w:rPr>
                <w:rFonts w:ascii="Times New Roman" w:hAnsi="Times New Roman"/>
                <w:sz w:val="20"/>
              </w:rPr>
              <w:t xml:space="preserve">) for certain storage space on the 7th floor of the 600 Building (the </w:t>
            </w:r>
            <w:r>
              <w:rPr>
                <w:rFonts w:ascii="Times New Roman" w:hAnsi="Times New Roman"/>
                <w:b/>
                <w:sz w:val="20"/>
              </w:rPr>
              <w:t>Lightbank Storage Spate</w:t>
            </w:r>
            <w:r>
              <w:rPr>
                <w:rFonts w:ascii="Times New Roman" w:hAnsi="Times New Roman"/>
                <w:sz w:val="20"/>
              </w:rPr>
              <w:t xml:space="preserve">). If Lightbank exercises its option to terminate the Lightbank Lease as described in </w:t>
            </w:r>
            <w:r>
              <w:rPr>
                <w:rFonts w:ascii="Times New Roman" w:hAnsi="Times New Roman"/>
                <w:sz w:val="20"/>
                <w:u w:val="single"/>
              </w:rPr>
              <w:t>Section 6.03(a)</w:t>
            </w:r>
            <w:r>
              <w:rPr>
                <w:rFonts w:ascii="Times New Roman" w:hAnsi="Times New Roman"/>
                <w:sz w:val="20"/>
              </w:rPr>
              <w:t xml:space="preserve"> of this </w:t>
            </w:r>
            <w:r>
              <w:rPr>
                <w:rFonts w:ascii="Times New Roman" w:hAnsi="Times New Roman"/>
                <w:sz w:val="20"/>
                <w:u w:val="single"/>
              </w:rPr>
              <w:t>Exhibit E</w:t>
            </w:r>
            <w:r>
              <w:rPr>
                <w:rFonts w:ascii="Times New Roman" w:hAnsi="Times New Roman"/>
                <w:sz w:val="20"/>
              </w:rPr>
              <w:t>, the Lightbank Storage Lease will automatically terminate on the same day as the Lightbank Lease terminates. Provided Lightbank exercises its option to terminate the Lightbank Lease and, therefore, the Lightbank Storage Lease, Landlord and Tenant shall enter Into Landlords then standard form of storage space lease (the </w:t>
            </w:r>
            <w:r>
              <w:rPr>
                <w:rFonts w:ascii="Times New Roman" w:hAnsi="Times New Roman"/>
                <w:b/>
                <w:sz w:val="20"/>
              </w:rPr>
              <w:t>Tempus</w:t>
            </w:r>
            <w:r>
              <w:rPr>
                <w:rFonts w:ascii="Times New Roman" w:hAnsi="Times New Roman"/>
                <w:sz w:val="20"/>
              </w:rPr>
              <w:t xml:space="preserve"> </w:t>
            </w:r>
            <w:r>
              <w:rPr>
                <w:rFonts w:ascii="Times New Roman" w:hAnsi="Times New Roman"/>
                <w:b/>
                <w:sz w:val="20"/>
              </w:rPr>
              <w:t>Storage Lease</w:t>
            </w:r>
            <w:r>
              <w:rPr>
                <w:rFonts w:ascii="Times New Roman" w:hAnsi="Times New Roman"/>
                <w:sz w:val="20"/>
              </w:rPr>
              <w:t xml:space="preserve">), reasonably acceptable to Tenant, for the Lightbank Storage Space, at the then current market rent for such storage space, for a term coterminous with the Lease, and with a delivery date and commencement date one day after the termination date of the Lightbank Storage Lease. Tenant acknowledges that Landlord shall not be obligated to cause Lightbank to remove any property then located in the Lightbank Storage Space nor make any other improvements to the Lightbank Storage Space prior to delivering the Lightbank Storage Space to Tenant pursuant to the Tempus Storage Lease and Tenant shall accept the Lightbank Storage Space with the property then located In the Lightbank Storage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8.27.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Execution</w:t>
            </w:r>
            <w:r>
              <w:rPr>
                <w:rFonts w:ascii="Times New Roman" w:hAnsi="Times New Roman"/>
                <w:sz w:val="20"/>
              </w:rPr>
              <w:t xml:space="preserve">. The parties acknowledge and agree that they Intend to conduct this transaction by electronic means and that this Lease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LABORATORY USE</w:t>
            </w:r>
            <w:r>
              <w:rPr>
                <w:rFonts w:ascii="Times New Roman" w:hAnsi="Times New Roman"/>
                <w:sz w:val="20"/>
              </w:rPr>
              <w:t xml:space="preserve">. The following shall be added to the Lease as new Sections 3.2 and 3.3: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3.2</w:t>
      </w:r>
      <w:r>
        <w:rPr>
          <w:rFonts w:ascii="Times New Roman" w:hAnsi="Times New Roman"/>
          <w:sz w:val="20"/>
        </w:rPr>
        <w:t xml:space="preserve"> </w:t>
      </w:r>
      <w:r>
        <w:rPr>
          <w:rFonts w:ascii="Times New Roman" w:hAnsi="Times New Roman"/>
          <w:b/>
          <w:sz w:val="20"/>
          <w:u w:val="single"/>
        </w:rPr>
        <w:t>Laboratory Use and Laboratory Space</w:t>
      </w:r>
      <w:r>
        <w:rPr>
          <w:rFonts w:ascii="Times New Roman" w:hAnsi="Times New Roman"/>
          <w:sz w:val="20"/>
          <w:u w:val="single"/>
        </w:rPr>
        <w:t>.</w:t>
      </w:r>
      <w:r>
        <w:rPr>
          <w:rFonts w:ascii="Times New Roman" w:hAnsi="Times New Roman"/>
          <w:sz w:val="20"/>
        </w:rPr>
        <w:t xml:space="preserve"> As part of Tenants Work (defined in </w:t>
      </w:r>
      <w:r>
        <w:rPr>
          <w:rFonts w:ascii="Times New Roman" w:hAnsi="Times New Roman"/>
          <w:sz w:val="20"/>
          <w:u w:val="single"/>
        </w:rPr>
        <w:t>Exhibit D),</w:t>
      </w:r>
      <w:r>
        <w:rPr>
          <w:rFonts w:ascii="Times New Roman" w:hAnsi="Times New Roman"/>
          <w:sz w:val="20"/>
        </w:rPr>
        <w:t xml:space="preserve"> Tenant shall construct in a portion of the Premises (the </w:t>
      </w:r>
      <w:r>
        <w:rPr>
          <w:rFonts w:ascii="Times New Roman" w:hAnsi="Times New Roman"/>
          <w:b/>
          <w:sz w:val="20"/>
        </w:rPr>
        <w:t>Laboratory Space</w:t>
      </w:r>
      <w:r>
        <w:rPr>
          <w:rFonts w:ascii="Times New Roman" w:hAnsi="Times New Roman"/>
          <w:sz w:val="20"/>
        </w:rPr>
        <w:t>) a facility for use as a laboratory and testing facility (the </w:t>
      </w:r>
      <w:r>
        <w:rPr>
          <w:rFonts w:ascii="Times New Roman" w:hAnsi="Times New Roman"/>
          <w:b/>
          <w:sz w:val="20"/>
        </w:rPr>
        <w:t>Laboratory Use</w:t>
      </w:r>
      <w:r>
        <w:rPr>
          <w:rFonts w:ascii="Times New Roman" w:hAnsi="Times New Roman"/>
          <w:sz w:val="20"/>
        </w:rPr>
        <w:t xml:space="preserve">). Tenants Plans (defined in </w:t>
      </w:r>
      <w:r>
        <w:rPr>
          <w:rFonts w:ascii="Times New Roman" w:hAnsi="Times New Roman"/>
          <w:sz w:val="20"/>
          <w:u w:val="single"/>
        </w:rPr>
        <w:t>Section 3</w:t>
      </w:r>
      <w:r>
        <w:rPr>
          <w:rFonts w:ascii="Times New Roman" w:hAnsi="Times New Roman"/>
          <w:sz w:val="20"/>
        </w:rPr>
        <w:t xml:space="preserve"> of </w:t>
      </w:r>
      <w:r>
        <w:rPr>
          <w:rFonts w:ascii="Times New Roman" w:hAnsi="Times New Roman"/>
          <w:sz w:val="20"/>
          <w:u w:val="single"/>
        </w:rPr>
        <w:t>Exhibit D)</w:t>
      </w:r>
      <w:r>
        <w:rPr>
          <w:rFonts w:ascii="Times New Roman" w:hAnsi="Times New Roman"/>
          <w:sz w:val="20"/>
        </w:rPr>
        <w:t xml:space="preserve"> submitted to Landlord shall clearly designate the portion of the Premises which will constitute the Laboratory Space. </w:t>
      </w:r>
    </w:p>
    <w:p>
      <w:pPr>
        <w:pStyle w:val="TextBody"/>
        <w:bidi w:val="0"/>
        <w:spacing w:before="120" w:after="0"/>
        <w:jc w:val="left"/>
        <w:rPr>
          <w:rFonts w:ascii="Times New Roman" w:hAnsi="Times New Roman"/>
          <w:sz w:val="20"/>
        </w:rPr>
      </w:pPr>
      <w:r>
        <w:rPr>
          <w:rFonts w:ascii="Times New Roman" w:hAnsi="Times New Roman"/>
          <w:sz w:val="20"/>
        </w:rPr>
        <w:t xml:space="preserve">(a) Without limiting the requirements of the Lease and </w:t>
      </w:r>
      <w:r>
        <w:rPr>
          <w:rFonts w:ascii="Times New Roman" w:hAnsi="Times New Roman"/>
          <w:sz w:val="20"/>
          <w:u w:val="single"/>
        </w:rPr>
        <w:t>Exhibit D</w:t>
      </w:r>
      <w:r>
        <w:rPr>
          <w:rFonts w:ascii="Times New Roman" w:hAnsi="Times New Roman"/>
          <w:sz w:val="20"/>
        </w:rPr>
        <w:t xml:space="preserve"> including, without limitation, </w:t>
      </w:r>
      <w:r>
        <w:rPr>
          <w:rFonts w:ascii="Times New Roman" w:hAnsi="Times New Roman"/>
          <w:sz w:val="20"/>
          <w:u w:val="single"/>
        </w:rPr>
        <w:t>Section 8.1</w:t>
      </w:r>
      <w:r>
        <w:rPr>
          <w:rFonts w:ascii="Times New Roman" w:hAnsi="Times New Roman"/>
          <w:sz w:val="20"/>
        </w:rPr>
        <w:t xml:space="preserve"> below, Tenant shall construct the Laboratory Space In accordance with (i) the Biosafety in Microbiological and Biomedical Laboratories, 5th Edition, published by the U.S. Department of Health and Human Services as HHS Publication No. (CDC) 21-1112, Revised December 2009, (ii) the NIH Guidelines for Research Involving Recombinant or Synthetic Nucleic Acid Molecules (NIH Guidelines), published by the U.S. Department of Health and Human Services, November 2013, and (iii) air quality and hazardous materials standards generally used in the industry, such as (without limitation) ASHRAE and ANSI guidelines.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8.1</w:t>
      </w:r>
      <w:r>
        <w:rPr>
          <w:rFonts w:ascii="Times New Roman" w:hAnsi="Times New Roman"/>
          <w:sz w:val="20"/>
        </w:rPr>
        <w:t xml:space="preserve"> to the contrary, Tenant, at Tenants sole cost and expense, shall maintain, repair and replace, as needed, all Alterations made by or on behalf of Tenant with respect to the Laboratory Space regardless of whether such maintenance, repair or replacement is structural or Is to the Building Systems or is located outside of the Premises (such maintenance, repair or replacement which is structural or is to the Building Systems or is located outside of the Premises is referred to as a </w:t>
      </w:r>
      <w:r>
        <w:rPr>
          <w:rFonts w:ascii="Times New Roman" w:hAnsi="Times New Roman"/>
          <w:b/>
          <w:sz w:val="20"/>
        </w:rPr>
        <w:t>Laboratory Structural/System Repair</w:t>
      </w:r>
      <w:r>
        <w:rPr>
          <w:rFonts w:ascii="Times New Roman" w:hAnsi="Times New Roman"/>
          <w:sz w:val="20"/>
        </w:rPr>
        <w:t xml:space="preserve">), and in connection therewith, the Laboratory Structural/System Repair shall be deemed an Alteration and subject to </w:t>
      </w:r>
      <w:r>
        <w:rPr>
          <w:rFonts w:ascii="Times New Roman" w:hAnsi="Times New Roman"/>
          <w:sz w:val="20"/>
          <w:u w:val="single"/>
        </w:rPr>
        <w:t>Article 4</w:t>
      </w:r>
      <w:r>
        <w:rPr>
          <w:rFonts w:ascii="Times New Roman" w:hAnsi="Times New Roman"/>
          <w:sz w:val="20"/>
        </w:rPr>
        <w:t xml:space="preserve"> below Landlord, at its option, may elect to perform such Laboratory Structural/System Repair at Tenants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w:t>
      </w:r>
      <w:r>
        <w:rPr>
          <w:rFonts w:ascii="Times New Roman" w:hAnsi="Times New Roman"/>
          <w:sz w:val="20"/>
          <w:u w:val="single"/>
        </w:rPr>
        <w:t>Section 10.4</w:t>
      </w:r>
      <w:r>
        <w:rPr>
          <w:rFonts w:ascii="Times New Roman" w:hAnsi="Times New Roman"/>
          <w:sz w:val="20"/>
        </w:rPr>
        <w:t xml:space="preserve"> to the contrary, Landlord shall not perform any Janitorial or cleaning services In the Laboratory Space and Tenant, at its cost, shall perform or cause to be performed all janitorial or cleaning services required by Tenant In the Laboratory Space.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759"/>
        <w:gridCol w:w="9040"/>
      </w:tblGrid>
      <w:tr>
        <w:trPr/>
        <w:tc>
          <w:tcPr>
            <w:tcW w:w="406" w:type="dxa"/>
            <w:tcBorders/>
            <w:vAlign w:val="center"/>
          </w:tcPr>
          <w:p>
            <w:pPr>
              <w:pStyle w:val="TableContents"/>
              <w:bidi w:val="0"/>
              <w:spacing w:before="0" w:after="283"/>
              <w:jc w:val="left"/>
              <w:rPr/>
            </w:pPr>
            <w:r>
              <w:rPr/>
              <w:t> </w:t>
            </w:r>
          </w:p>
        </w:tc>
        <w:tc>
          <w:tcPr>
            <w:tcW w:w="759" w:type="dxa"/>
            <w:tcBorders/>
          </w:tcPr>
          <w:p>
            <w:pPr>
              <w:pStyle w:val="TableContents"/>
              <w:bidi w:val="0"/>
              <w:spacing w:before="0" w:after="283"/>
              <w:jc w:val="left"/>
              <w:rPr>
                <w:b/>
                <w:u w:val="single"/>
              </w:rPr>
            </w:pPr>
            <w:r>
              <w:rPr>
                <w:b/>
                <w:u w:val="single"/>
              </w:rPr>
              <w:t>Section</w:t>
            </w:r>
          </w:p>
        </w:tc>
        <w:tc>
          <w:tcPr>
            <w:tcW w:w="904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3.3</w:t>
            </w:r>
            <w:r>
              <w:rPr>
                <w:rFonts w:ascii="Times New Roman" w:hAnsi="Times New Roman"/>
                <w:sz w:val="20"/>
              </w:rPr>
              <w:t xml:space="preserve"> </w:t>
            </w:r>
            <w:r>
              <w:rPr>
                <w:rFonts w:ascii="Times New Roman" w:hAnsi="Times New Roman"/>
                <w:b/>
                <w:sz w:val="20"/>
                <w:u w:val="single"/>
              </w:rPr>
              <w:t>Medical Waste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hereby agrees to furnish to Landlord upon demand, written evidence that Tenant has established a written policy (the Medical </w:t>
            </w:r>
            <w:r>
              <w:rPr>
                <w:rFonts w:ascii="Times New Roman" w:hAnsi="Times New Roman"/>
                <w:b/>
                <w:sz w:val="20"/>
              </w:rPr>
              <w:t xml:space="preserve">Waste Policy) </w:t>
            </w:r>
            <w:r>
              <w:rPr>
                <w:rFonts w:ascii="Times New Roman" w:hAnsi="Times New Roman"/>
                <w:sz w:val="20"/>
              </w:rPr>
              <w:t xml:space="preserve">concerning the identification, collection, storage, decontamination and disposal of hazardous medical waste at the Premises. Tenant further agrees that such Medical Waste Policy shall comply with applicable Legal Requirements and shall incorporate the following elements: (i) Tenants employees, agents and contractors shall be expressly forbidden from disposing of any hazardous medical waste within the Premises or the Real Property In a manner which is contrary to the terms of the Medical Waste Policy; (ii) all such hazardous medical waste will be collected, stored, decontaminated and removed from the Premises and the Real Property by a qualified party in compliance with all applicable Legal Requirements (including, without limitation, the Occupational Safety and Health Act) of any local state or federal entity having jurisdiction over this matter; and (iii) Tenant and Its employees, agents and contractors shall at all times employ proper procedures, including, without limitation, the use of tags, signs or other appropriate written communication, to prevent accidental injury or Illness to other tenants, occupants or invitees in the Premises and the Real Property resulting from Tenants collection, storage, decontamination and disposal of hazardous medical waste. Tenant hereby covenants and agrees that at all times during the Term, Tenant and its employees, agents and contractors and any third parties at any time occupying or present on the Premises shall adhere to the terms and conditions of the Medical Waste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indemnify, defend and hold Landlord and the Landlord Parties harmless against and from any and all liabilities, obligations, damages, penalties, claims, costs, charges or expenses, including without limitation, reasonable attorneys fees, dean-up costs, fines or penalties arising out of or resulting from Tenants violation of this </w:t>
            </w:r>
            <w:r>
              <w:rPr>
                <w:rFonts w:ascii="Times New Roman" w:hAnsi="Times New Roman"/>
                <w:sz w:val="20"/>
                <w:u w:val="single"/>
              </w:rPr>
              <w:t>Section 3.3</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3.3,</w:t>
            </w:r>
            <w:r>
              <w:rPr>
                <w:rFonts w:ascii="Times New Roman" w:hAnsi="Times New Roman"/>
                <w:sz w:val="20"/>
              </w:rPr>
              <w:t xml:space="preserve"> hazardous medical waste shall include, but not be limited to, the following: any potentially infectious materials; blood and other body fluids in any form (including, without limitation, lab specimens); any material contaminated by potentially Infectious materials or by blood or other body fluids; needles and syringes; gloves and linen; uniforms or laundry; and cleaning equipment or materials used to clean any of the foregoing.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E-1 </w:t>
      </w:r>
    </w:p>
    <w:p>
      <w:pPr>
        <w:pStyle w:val="TextBody"/>
        <w:bidi w:val="0"/>
        <w:spacing w:before="240" w:after="0"/>
        <w:jc w:val="center"/>
        <w:rPr>
          <w:rFonts w:ascii="Times New Roman" w:hAnsi="Times New Roman"/>
          <w:b/>
          <w:sz w:val="20"/>
        </w:rPr>
      </w:pPr>
      <w:r>
        <w:rPr>
          <w:rFonts w:ascii="Times New Roman" w:hAnsi="Times New Roman"/>
          <w:b/>
          <w:sz w:val="20"/>
        </w:rPr>
        <w:t xml:space="preserve">FIRST, SECOND AND THIRD EXPANSION SPACES </w:t>
      </w:r>
    </w:p>
    <w:p>
      <w:pPr>
        <w:pStyle w:val="TextBody"/>
        <w:bidi w:val="0"/>
        <w:spacing w:before="240" w:after="0"/>
        <w:jc w:val="left"/>
        <w:rPr>
          <w:rFonts w:ascii="Times New Roman" w:hAnsi="Times New Roman"/>
          <w:sz w:val="20"/>
        </w:rPr>
      </w:pPr>
      <w:r>
        <w:rPr>
          <w:rFonts w:ascii="Times New Roman" w:hAnsi="Times New Roman"/>
          <w:sz w:val="20"/>
        </w:rPr>
        <w:t xml:space="preserve">A-First Expansion Space </w:t>
      </w:r>
    </w:p>
    <w:p>
      <w:pPr>
        <w:pStyle w:val="TextBody"/>
        <w:bidi w:val="0"/>
        <w:spacing w:before="240" w:after="0"/>
        <w:jc w:val="left"/>
        <w:rPr>
          <w:rFonts w:ascii="Times New Roman" w:hAnsi="Times New Roman"/>
          <w:sz w:val="20"/>
        </w:rPr>
      </w:pPr>
      <w:r>
        <w:rPr>
          <w:rFonts w:ascii="Times New Roman" w:hAnsi="Times New Roman"/>
          <w:sz w:val="20"/>
        </w:rPr>
        <w:t xml:space="preserve">B-Second Expansion Space </w:t>
      </w:r>
    </w:p>
    <w:p>
      <w:pPr>
        <w:pStyle w:val="TextBody"/>
        <w:bidi w:val="0"/>
        <w:spacing w:before="240" w:after="0"/>
        <w:jc w:val="left"/>
        <w:rPr>
          <w:rFonts w:ascii="Times New Roman" w:hAnsi="Times New Roman"/>
          <w:sz w:val="20"/>
        </w:rPr>
      </w:pPr>
      <w:r>
        <w:rPr>
          <w:rFonts w:ascii="Times New Roman" w:hAnsi="Times New Roman"/>
          <w:sz w:val="20"/>
        </w:rPr>
        <w:t xml:space="preserve">C-Third Expansion Space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CLEANING SPECIFICATIONS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PREMISES ACCEPTANCE LETTER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11"/>
        <w:gridCol w:w="91"/>
        <w:gridCol w:w="3180"/>
      </w:tblGrid>
      <w:tr>
        <w:trPr/>
        <w:tc>
          <w:tcPr>
            <w:tcW w:w="81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180" w:type="dxa"/>
            <w:tcBorders/>
            <w:vAlign w:val="center"/>
          </w:tcPr>
          <w:p>
            <w:pPr>
              <w:pStyle w:val="TableContents"/>
              <w:bidi w:val="0"/>
              <w:spacing w:before="0" w:after="283"/>
              <w:jc w:val="left"/>
              <w:rPr>
                <w:sz w:val="4"/>
                <w:szCs w:val="4"/>
              </w:rPr>
            </w:pPr>
            <w:r>
              <w:rPr>
                <w:sz w:val="4"/>
                <w:szCs w:val="4"/>
              </w:rPr>
            </w:r>
          </w:p>
        </w:tc>
      </w:tr>
      <w:tr>
        <w:trPr/>
        <w:tc>
          <w:tcPr>
            <w:tcW w:w="811" w:type="dxa"/>
            <w:tcBorders/>
          </w:tcPr>
          <w:p>
            <w:pPr>
              <w:pStyle w:val="TableContents"/>
              <w:bidi w:val="0"/>
              <w:spacing w:before="0" w:after="283"/>
              <w:jc w:val="left"/>
              <w:rPr/>
            </w:pPr>
            <w:r>
              <w:rPr/>
              <w:t>Date</w:t>
            </w:r>
          </w:p>
        </w:tc>
        <w:tc>
          <w:tcPr>
            <w:tcW w:w="91" w:type="dxa"/>
            <w:tcBorders/>
            <w:vAlign w:val="bottom"/>
          </w:tcPr>
          <w:p>
            <w:pPr>
              <w:pStyle w:val="TableContents"/>
              <w:bidi w:val="0"/>
              <w:spacing w:before="0" w:after="283"/>
              <w:jc w:val="left"/>
              <w:rPr/>
            </w:pPr>
            <w:r>
              <w:rPr/>
              <w:t> </w:t>
            </w:r>
          </w:p>
        </w:tc>
        <w:tc>
          <w:tcPr>
            <w:tcW w:w="3180" w:type="dxa"/>
            <w:tcBorders/>
          </w:tcPr>
          <w:p>
            <w:pPr>
              <w:pStyle w:val="TableContents"/>
              <w:pBdr>
                <w:bottom w:val="single" w:sz="2" w:space="1" w:color="000000"/>
              </w:pBdr>
              <w:bidi w:val="0"/>
              <w:spacing w:before="0" w:after="20"/>
              <w:jc w:val="left"/>
              <w:rPr/>
            </w:pPr>
            <w:r>
              <w:rPr/>
              <w:t> </w:t>
            </w:r>
          </w:p>
        </w:tc>
      </w:tr>
      <w:tr>
        <w:trPr/>
        <w:tc>
          <w:tcPr>
            <w:tcW w:w="811" w:type="dxa"/>
            <w:tcBorders/>
          </w:tcPr>
          <w:p>
            <w:pPr>
              <w:pStyle w:val="TableContents"/>
              <w:bidi w:val="0"/>
              <w:spacing w:before="0" w:after="283"/>
              <w:jc w:val="left"/>
              <w:rPr/>
            </w:pPr>
            <w:r>
              <w:rPr/>
              <w:t>Tenant</w:t>
            </w:r>
          </w:p>
        </w:tc>
        <w:tc>
          <w:tcPr>
            <w:tcW w:w="91" w:type="dxa"/>
            <w:tcBorders/>
            <w:vAlign w:val="bottom"/>
          </w:tcPr>
          <w:p>
            <w:pPr>
              <w:pStyle w:val="TableContents"/>
              <w:bidi w:val="0"/>
              <w:spacing w:before="0" w:after="283"/>
              <w:jc w:val="left"/>
              <w:rPr/>
            </w:pPr>
            <w:r>
              <w:rPr/>
              <w:t> </w:t>
            </w:r>
          </w:p>
        </w:tc>
        <w:tc>
          <w:tcPr>
            <w:tcW w:w="3180" w:type="dxa"/>
            <w:tcBorders/>
          </w:tcPr>
          <w:p>
            <w:pPr>
              <w:pStyle w:val="TableContents"/>
              <w:pBdr>
                <w:bottom w:val="single" w:sz="2" w:space="1" w:color="000000"/>
              </w:pBdr>
              <w:bidi w:val="0"/>
              <w:spacing w:before="0" w:after="20"/>
              <w:jc w:val="left"/>
              <w:rPr/>
            </w:pPr>
            <w:r>
              <w:rPr/>
              <w:t> </w:t>
            </w:r>
          </w:p>
        </w:tc>
      </w:tr>
      <w:tr>
        <w:trPr/>
        <w:tc>
          <w:tcPr>
            <w:tcW w:w="811" w:type="dxa"/>
            <w:tcBorders/>
          </w:tcPr>
          <w:p>
            <w:pPr>
              <w:pStyle w:val="TableContents"/>
              <w:bidi w:val="0"/>
              <w:spacing w:before="0" w:after="283"/>
              <w:jc w:val="left"/>
              <w:rPr/>
            </w:pPr>
            <w:r>
              <w:rPr/>
              <w:t>Address</w:t>
            </w:r>
          </w:p>
        </w:tc>
        <w:tc>
          <w:tcPr>
            <w:tcW w:w="91" w:type="dxa"/>
            <w:tcBorders/>
            <w:vAlign w:val="bottom"/>
          </w:tcPr>
          <w:p>
            <w:pPr>
              <w:pStyle w:val="TableContents"/>
              <w:bidi w:val="0"/>
              <w:spacing w:before="0" w:after="283"/>
              <w:jc w:val="left"/>
              <w:rPr/>
            </w:pPr>
            <w:r>
              <w:rPr/>
              <w:t> </w:t>
            </w:r>
          </w:p>
        </w:tc>
        <w:tc>
          <w:tcPr>
            <w:tcW w:w="3180" w:type="dxa"/>
            <w:tcBorders/>
          </w:tcPr>
          <w:p>
            <w:pPr>
              <w:pStyle w:val="TableContents"/>
              <w:pBdr>
                <w:bottom w:val="single" w:sz="2" w:space="1" w:color="000000"/>
              </w:pBdr>
              <w:bidi w:val="0"/>
              <w:spacing w:before="0" w:after="20"/>
              <w:jc w:val="left"/>
              <w:rPr/>
            </w:pPr>
            <w:r>
              <w:rPr/>
              <w:t> </w:t>
            </w:r>
          </w:p>
        </w:tc>
      </w:tr>
      <w:tr>
        <w:trPr/>
        <w:tc>
          <w:tcPr>
            <w:tcW w:w="81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180" w:type="dxa"/>
            <w:tcBorders/>
          </w:tcPr>
          <w:p>
            <w:pPr>
              <w:pStyle w:val="TableContents"/>
              <w:pBdr>
                <w:bottom w:val="single" w:sz="2" w:space="1" w:color="000000"/>
              </w:pBdr>
              <w:bidi w:val="0"/>
              <w:spacing w:before="0" w:after="20"/>
              <w:jc w:val="left"/>
              <w:rPr/>
            </w:pPr>
            <w:r>
              <w:rPr/>
              <w:t> </w:t>
            </w:r>
          </w:p>
        </w:tc>
      </w:tr>
      <w:tr>
        <w:trPr/>
        <w:tc>
          <w:tcPr>
            <w:tcW w:w="81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180" w:type="dxa"/>
            <w:tcBorders/>
          </w:tcPr>
          <w:p>
            <w:pPr>
              <w:pStyle w:val="TableContents"/>
              <w:pBdr>
                <w:bottom w:val="single" w:sz="2" w:space="1" w:color="000000"/>
              </w:pBdr>
              <w:bidi w:val="0"/>
              <w:spacing w:before="0" w:after="20"/>
              <w:jc w:val="left"/>
              <w:rPr/>
            </w:pPr>
            <w:r>
              <w:rPr/>
              <w:t> </w:t>
            </w:r>
          </w:p>
        </w:tc>
      </w:tr>
      <w:tr>
        <w:trPr/>
        <w:tc>
          <w:tcPr>
            <w:tcW w:w="811"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180" w:type="dxa"/>
            <w:tcBorders/>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 Premises Acceptance Letter with respect to that certain Agreement of Lease dated as of 2018, by and between EQC 600 West Chicago Property LLC, as Landlord, and Tempus Labs, Inc., as Tenant, for certain premises described therein, including 78,017 rentable square feet in the Building located at 600 West Chicago Avenue, Chicago, IL. </w:t>
      </w:r>
    </w:p>
    <w:p>
      <w:pPr>
        <w:pStyle w:val="TextBody"/>
        <w:bidi w:val="0"/>
        <w:spacing w:before="240" w:after="0"/>
        <w:jc w:val="left"/>
        <w:rPr>
          <w:rFonts w:ascii="Times New Roman" w:hAnsi="Times New Roman"/>
          <w:sz w:val="20"/>
        </w:rPr>
      </w:pPr>
      <w:r>
        <w:rPr>
          <w:rFonts w:ascii="Times New Roman" w:hAnsi="Times New Roman"/>
          <w:sz w:val="20"/>
        </w:rPr>
        <w:t xml:space="preserve">Dear ______________: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and conditions of the above referenced Lease, Tenant acknowledges and agrees: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accepted possession of the Premises on, 201__.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Premises was delivered to Tenant In the condition required under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Date is 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Date of the Lease is ____________________________.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desires to exercise the Renewal Option, Tenant shall deliver the Renewal Notice to Landlord no later than ___________ and, if the Renewal Option is properly exercised, the Renewal Term shall commence on and ___________ expire on 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desires to exorcise the Termination Option, Tenant shall deliver Tenants Termination Notice to Landlord no later than ___________. If Tenant properly exercises the Termination Option, the Early Termination Date shall be ___________.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acknowledge the foregoing by signing all 3 counterparts of this Premises Acceptance Letter In the space provided and returning 2 fully executed counterparts to my attention. Tenants failure to execute and return this letter, or to provide written objection to the statements contained in this letter, within 30 days after the date of this letter shall be deemed an approval by Tenant of the statements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392"/>
        <w:gridCol w:w="85"/>
        <w:gridCol w:w="2605"/>
      </w:tblGrid>
      <w:tr>
        <w:trPr/>
        <w:tc>
          <w:tcPr>
            <w:tcW w:w="1392"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Acknowledged and Accepted:</w:t>
            </w:r>
          </w:p>
        </w:tc>
      </w:tr>
      <w:tr>
        <w:trPr>
          <w:trHeight w:val="240" w:hRule="atLeast"/>
        </w:trPr>
        <w:tc>
          <w:tcPr>
            <w:tcW w:w="1392" w:type="dxa"/>
            <w:tcBorders/>
            <w:vAlign w:val="center"/>
          </w:tcPr>
          <w:p>
            <w:pPr>
              <w:pStyle w:val="TableContents"/>
              <w:bidi w:val="0"/>
              <w:spacing w:before="0" w:after="283"/>
              <w:jc w:val="left"/>
              <w:rPr>
                <w:sz w:val="4"/>
                <w:szCs w:val="4"/>
              </w:rPr>
            </w:pPr>
            <w:r>
              <w:rPr>
                <w:sz w:val="4"/>
                <w:szCs w:val="4"/>
              </w:rPr>
            </w:r>
          </w:p>
        </w:tc>
        <w:tc>
          <w:tcPr>
            <w:tcW w:w="2690" w:type="dxa"/>
            <w:gridSpan w:val="2"/>
            <w:tcBorders/>
            <w:vAlign w:val="center"/>
          </w:tcPr>
          <w:p>
            <w:pPr>
              <w:pStyle w:val="TableContents"/>
              <w:bidi w:val="0"/>
              <w:spacing w:before="0" w:after="283"/>
              <w:jc w:val="left"/>
              <w:rPr>
                <w:sz w:val="4"/>
                <w:szCs w:val="4"/>
              </w:rPr>
            </w:pPr>
            <w:r>
              <w:rPr>
                <w:sz w:val="4"/>
                <w:szCs w:val="4"/>
              </w:rPr>
            </w:r>
          </w:p>
        </w:tc>
      </w:tr>
      <w:tr>
        <w:trPr/>
        <w:tc>
          <w:tcPr>
            <w:tcW w:w="1392" w:type="dxa"/>
            <w:tcBorders/>
          </w:tcPr>
          <w:p>
            <w:pPr>
              <w:pStyle w:val="TableContents"/>
              <w:bidi w:val="0"/>
              <w:spacing w:before="0" w:after="283"/>
              <w:jc w:val="left"/>
              <w:rPr/>
            </w:pPr>
            <w:r>
              <w:rPr/>
              <w:t>Tenant:</w:t>
            </w:r>
          </w:p>
        </w:tc>
        <w:tc>
          <w:tcPr>
            <w:tcW w:w="85" w:type="dxa"/>
            <w:tcBorders/>
            <w:vAlign w:val="bottom"/>
          </w:tcPr>
          <w:p>
            <w:pPr>
              <w:pStyle w:val="TableContents"/>
              <w:bidi w:val="0"/>
              <w:spacing w:before="0" w:after="283"/>
              <w:jc w:val="left"/>
              <w:rPr/>
            </w:pPr>
            <w:r>
              <w:rPr/>
              <w:t> </w:t>
            </w:r>
          </w:p>
        </w:tc>
        <w:tc>
          <w:tcPr>
            <w:tcW w:w="2605" w:type="dxa"/>
            <w:tcBorders/>
          </w:tcPr>
          <w:p>
            <w:pPr>
              <w:pStyle w:val="TableContents"/>
              <w:pBdr>
                <w:bottom w:val="single" w:sz="2" w:space="1" w:color="000000"/>
              </w:pBdr>
              <w:bidi w:val="0"/>
              <w:spacing w:before="0" w:after="20"/>
              <w:jc w:val="left"/>
              <w:rPr/>
            </w:pPr>
            <w:r>
              <w:rPr/>
              <w:t> </w:t>
            </w:r>
          </w:p>
        </w:tc>
      </w:tr>
      <w:tr>
        <w:trPr/>
        <w:tc>
          <w:tcPr>
            <w:tcW w:w="1392"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2605" w:type="dxa"/>
            <w:tcBorders/>
          </w:tcPr>
          <w:p>
            <w:pPr>
              <w:pStyle w:val="TableContents"/>
              <w:pBdr>
                <w:bottom w:val="single" w:sz="2" w:space="1" w:color="000000"/>
              </w:pBdr>
              <w:bidi w:val="0"/>
              <w:spacing w:before="0" w:after="20"/>
              <w:jc w:val="left"/>
              <w:rPr/>
            </w:pPr>
            <w:r>
              <w:rPr/>
              <w:t> </w:t>
            </w:r>
          </w:p>
        </w:tc>
      </w:tr>
      <w:tr>
        <w:trPr/>
        <w:tc>
          <w:tcPr>
            <w:tcW w:w="1392" w:type="dxa"/>
            <w:tcBorders/>
          </w:tcPr>
          <w:p>
            <w:pPr>
              <w:pStyle w:val="TableContents"/>
              <w:bidi w:val="0"/>
              <w:spacing w:before="0" w:after="283"/>
              <w:jc w:val="left"/>
              <w:rPr/>
            </w:pPr>
            <w:r>
              <w:rPr/>
              <w:t>Name:</w:t>
            </w:r>
          </w:p>
        </w:tc>
        <w:tc>
          <w:tcPr>
            <w:tcW w:w="85" w:type="dxa"/>
            <w:tcBorders/>
            <w:vAlign w:val="bottom"/>
          </w:tcPr>
          <w:p>
            <w:pPr>
              <w:pStyle w:val="TableContents"/>
              <w:bidi w:val="0"/>
              <w:spacing w:before="0" w:after="283"/>
              <w:jc w:val="left"/>
              <w:rPr/>
            </w:pPr>
            <w:r>
              <w:rPr/>
              <w:t> </w:t>
            </w:r>
          </w:p>
        </w:tc>
        <w:tc>
          <w:tcPr>
            <w:tcW w:w="2605" w:type="dxa"/>
            <w:tcBorders/>
          </w:tcPr>
          <w:p>
            <w:pPr>
              <w:pStyle w:val="TableContents"/>
              <w:pBdr>
                <w:bottom w:val="single" w:sz="2" w:space="1" w:color="000000"/>
              </w:pBdr>
              <w:bidi w:val="0"/>
              <w:spacing w:before="0" w:after="20"/>
              <w:jc w:val="left"/>
              <w:rPr/>
            </w:pPr>
            <w:r>
              <w:rPr/>
              <w:t> </w:t>
            </w:r>
          </w:p>
        </w:tc>
      </w:tr>
      <w:tr>
        <w:trPr/>
        <w:tc>
          <w:tcPr>
            <w:tcW w:w="1392" w:type="dxa"/>
            <w:tcBorders/>
          </w:tcPr>
          <w:p>
            <w:pPr>
              <w:pStyle w:val="TableContents"/>
              <w:bidi w:val="0"/>
              <w:spacing w:before="0" w:after="283"/>
              <w:jc w:val="left"/>
              <w:rPr/>
            </w:pPr>
            <w:r>
              <w:rPr/>
              <w:t>Title:</w:t>
            </w:r>
          </w:p>
        </w:tc>
        <w:tc>
          <w:tcPr>
            <w:tcW w:w="85" w:type="dxa"/>
            <w:tcBorders/>
            <w:vAlign w:val="bottom"/>
          </w:tcPr>
          <w:p>
            <w:pPr>
              <w:pStyle w:val="TableContents"/>
              <w:bidi w:val="0"/>
              <w:spacing w:before="0" w:after="283"/>
              <w:jc w:val="left"/>
              <w:rPr/>
            </w:pPr>
            <w:r>
              <w:rPr/>
              <w:t> </w:t>
            </w:r>
          </w:p>
        </w:tc>
        <w:tc>
          <w:tcPr>
            <w:tcW w:w="2605" w:type="dxa"/>
            <w:tcBorders/>
          </w:tcPr>
          <w:p>
            <w:pPr>
              <w:pStyle w:val="TableContents"/>
              <w:pBdr>
                <w:bottom w:val="single" w:sz="2" w:space="1" w:color="000000"/>
              </w:pBdr>
              <w:bidi w:val="0"/>
              <w:spacing w:before="0" w:after="20"/>
              <w:jc w:val="left"/>
              <w:rPr/>
            </w:pPr>
            <w:r>
              <w:rPr/>
              <w:t> </w:t>
            </w:r>
          </w:p>
        </w:tc>
      </w:tr>
      <w:tr>
        <w:trPr/>
        <w:tc>
          <w:tcPr>
            <w:tcW w:w="1392" w:type="dxa"/>
            <w:tcBorders/>
          </w:tcPr>
          <w:p>
            <w:pPr>
              <w:pStyle w:val="TableContents"/>
              <w:bidi w:val="0"/>
              <w:spacing w:before="0" w:after="283"/>
              <w:jc w:val="left"/>
              <w:rPr/>
            </w:pPr>
            <w:r>
              <w:rPr/>
              <w:t>Date:</w:t>
            </w:r>
          </w:p>
        </w:tc>
        <w:tc>
          <w:tcPr>
            <w:tcW w:w="85" w:type="dxa"/>
            <w:tcBorders/>
            <w:vAlign w:val="bottom"/>
          </w:tcPr>
          <w:p>
            <w:pPr>
              <w:pStyle w:val="TableContents"/>
              <w:bidi w:val="0"/>
              <w:spacing w:before="0" w:after="283"/>
              <w:jc w:val="left"/>
              <w:rPr/>
            </w:pPr>
            <w:r>
              <w:rPr/>
              <w:t> </w:t>
            </w:r>
          </w:p>
        </w:tc>
        <w:tc>
          <w:tcPr>
            <w:tcW w:w="260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H </w:t>
      </w:r>
    </w:p>
    <w:p>
      <w:pPr>
        <w:pStyle w:val="TextBody"/>
        <w:bidi w:val="0"/>
        <w:spacing w:before="240" w:after="0"/>
        <w:jc w:val="center"/>
        <w:rPr>
          <w:rFonts w:ascii="Times New Roman" w:hAnsi="Times New Roman"/>
          <w:b/>
          <w:sz w:val="20"/>
        </w:rPr>
      </w:pPr>
      <w:r>
        <w:rPr>
          <w:rFonts w:ascii="Times New Roman" w:hAnsi="Times New Roman"/>
          <w:b/>
          <w:sz w:val="20"/>
        </w:rPr>
        <w:t xml:space="preserve">FORM LETTER OF CREDIT </w:t>
      </w:r>
    </w:p>
    <w:p>
      <w:pPr>
        <w:pStyle w:val="TextBody"/>
        <w:bidi w:val="0"/>
        <w:spacing w:before="240" w:after="0"/>
        <w:jc w:val="center"/>
        <w:rPr>
          <w:rFonts w:ascii="Times New Roman" w:hAnsi="Times New Roman"/>
          <w:b/>
          <w:sz w:val="20"/>
        </w:rPr>
      </w:pPr>
      <w:r>
        <w:rPr>
          <w:rFonts w:ascii="Times New Roman" w:hAnsi="Times New Roman"/>
          <w:b/>
          <w:sz w:val="20"/>
        </w:rPr>
        <w:t xml:space="preserve">[LETTERHEAD OF ISSUER OF LETTER OF CREDIT]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REP IRREVOCABLE LETTER OF CREDIT NO. 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GENTLEMEN: </w:t>
      </w:r>
    </w:p>
    <w:p>
      <w:pPr>
        <w:pStyle w:val="TextBody"/>
        <w:bidi w:val="0"/>
        <w:spacing w:before="120" w:after="0"/>
        <w:jc w:val="left"/>
        <w:rPr>
          <w:rFonts w:ascii="Times New Roman" w:hAnsi="Times New Roman"/>
          <w:sz w:val="20"/>
        </w:rPr>
      </w:pPr>
      <w:r>
        <w:rPr>
          <w:rFonts w:ascii="Times New Roman" w:hAnsi="Times New Roman"/>
          <w:sz w:val="20"/>
        </w:rPr>
        <w:t xml:space="preserve">WE HEREBY OPEN OUR UNCONDITIONAL IRREVOCABLE CLEAN LETTER OF CREDIT NO. _________. IN YOUR FAVOR AVAILABLE BY YOUR DRAFT(S) AT SIGHT FOR AN AMOUNT NOT TO EXCEED IN THE AGGREGATE ($_________) EFFECTIVE IMMEDIATELY. </w:t>
      </w:r>
    </w:p>
    <w:p>
      <w:pPr>
        <w:pStyle w:val="TextBody"/>
        <w:bidi w:val="0"/>
        <w:spacing w:before="240" w:after="0"/>
        <w:jc w:val="left"/>
        <w:rPr>
          <w:rFonts w:ascii="Times New Roman" w:hAnsi="Times New Roman"/>
          <w:sz w:val="20"/>
        </w:rPr>
      </w:pPr>
      <w:r>
        <w:rPr>
          <w:rFonts w:ascii="Times New Roman" w:hAnsi="Times New Roman"/>
          <w:sz w:val="20"/>
        </w:rPr>
        <w:t xml:space="preserve">ALL DRAFTS SO DRAWN MUST BE MARKED DRAWN UNDER IRREVOCABLE LETTER OF CREDIT OF [ISSUING BANK], NO. _________. DATED _________, 20__. </w:t>
      </w:r>
    </w:p>
    <w:p>
      <w:pPr>
        <w:pStyle w:val="TextBody"/>
        <w:bidi w:val="0"/>
        <w:spacing w:before="240" w:after="0"/>
        <w:jc w:val="left"/>
        <w:rPr>
          <w:rFonts w:ascii="Times New Roman" w:hAnsi="Times New Roman"/>
          <w:sz w:val="20"/>
        </w:rPr>
      </w:pPr>
      <w:r>
        <w:rPr>
          <w:rFonts w:ascii="Times New Roman" w:hAnsi="Times New Roman"/>
          <w:sz w:val="20"/>
        </w:rPr>
        <w:t xml:space="preserve">THIS LETTER OF CREDIT IS ISSUED, PRESENTABLE AND PAYABLE AT OUR OFFICE AT _______________________, OR SUCH OTHER OFFICE IN CHICAGO, ILLINOIS AS WE MAY DESIGNATE BY WRITTEN NOTICE TO YOU, AND EXPIRES WITH OUR CLOSE OF BUSINESS ON _______________________________. IT IS A CONDITION OF THIS LETTER OF CREDIT THAT IT SHALL BE AUTOMATICALLY EXTENDED FOR ADDITIONAL TWELVE MONTH PERIODS THROUGH ___________________________. </w:t>
      </w:r>
      <w:r>
        <w:rPr>
          <w:rFonts w:ascii="Times New Roman" w:hAnsi="Times New Roman"/>
          <w:b/>
          <w:sz w:val="20"/>
        </w:rPr>
        <w:t>[INSERT DATE WHICH IS 60 DAYS AFTER LEASE EXPIRATION]</w:t>
      </w:r>
      <w:r>
        <w:rPr>
          <w:rFonts w:ascii="Times New Roman" w:hAnsi="Times New Roman"/>
          <w:sz w:val="20"/>
        </w:rPr>
        <w:t xml:space="preserve">, UNLESS WE INFORM YOU IN WRITING BY REGISTERED MAIL AT THE ABOVE ADDRESS (WITH A COPY TO ________________________________________________________________________) DISPATCHED BY US AT LEAST 60 DAYS PRIOR TO THE THEN EXPIRATION DATE THAT THIS LE I I ER OF CREDIT SHALL NOT BE EXTENDED, IN THE EVENT THIS CREDIT IS NOT EXTENDED FOR AN ADDITIONAL PERIOD AS PROVIDED ABOVE, YOU MAY DRAW HEREUNDER. SUCH DRAWING IS TO BE MADE BY MEANS OF A DRAFT ON US AT SIGHT WHICH MUST BE PRESENTED TO US BEFORE THE THEN EXPIRATION DATE OF THIS LETTER OF CREDIT. THIS LETTER OF CREDIT CANNOT BE MODIFIED OR REVOKED WITHOUT YOUR CONSENT. THIS LETTER OF CREDIT IS PAYABLE IN MULTIPLE DRAFTS AND SHALL BE TRANSFERABLE BY YOU WITHOUT ADDITIONAL CHARGE. </w:t>
      </w:r>
    </w:p>
    <w:p>
      <w:pPr>
        <w:pStyle w:val="TextBody"/>
        <w:bidi w:val="0"/>
        <w:spacing w:before="240" w:after="0"/>
        <w:jc w:val="left"/>
        <w:rPr>
          <w:rFonts w:ascii="Times New Roman" w:hAnsi="Times New Roman"/>
          <w:sz w:val="20"/>
        </w:rPr>
      </w:pPr>
      <w:r>
        <w:rPr>
          <w:rFonts w:ascii="Times New Roman" w:hAnsi="Times New Roman"/>
          <w:sz w:val="20"/>
        </w:rPr>
        <w:t xml:space="preserve">DRAWS MAY BE PRESENTED BY FACSIMILE TO OUR FAX NUMBER _________________. IF PRESENTATION IS BY FACSIMILE, THE ORIGINAL DRAFT AND THIS LETTER OF CREDIT MUST BE SENT BY OVERNIGHT COURIER THE SAME DAY AS THE FAX PRESENTATION. PAYMENT WILL BE EFFECTED ONLY UPON RECEIPT OF THE ORIGINAL DRAFT AND THE LETTER OF CREDIT AT OUR ABOVE OFFICE. </w:t>
      </w:r>
    </w:p>
    <w:p>
      <w:pPr>
        <w:pStyle w:val="TextBody"/>
        <w:bidi w:val="0"/>
        <w:spacing w:before="240" w:after="0"/>
        <w:jc w:val="left"/>
        <w:rPr>
          <w:rFonts w:ascii="Times New Roman" w:hAnsi="Times New Roman"/>
          <w:sz w:val="20"/>
        </w:rPr>
      </w:pPr>
      <w:r>
        <w:rPr>
          <w:rFonts w:ascii="Times New Roman" w:hAnsi="Times New Roman"/>
          <w:sz w:val="20"/>
        </w:rPr>
        <w:t xml:space="preserve">IF DEMAND FOR PAYMENT IS PRESENTED BEFORE 11:00 A.M. CENTRAL TIME, PAYMENT SHALL BE MADE TO YOU OF THE AMOUNT DEMANDED IN IMMEDIATELY AVAILABLE FUNDS NOT LATER THAN 4:00 P.M. CENTRAL TIME ON THE FOLLOWING BUSINESS DAY. IF DEMAND FOR PAYMENT IS PRESENTED AFTER 11:00 A.M. CENTRAL TIME, PAYMENT SHALL BE MADE TO YOU OF THE AMOUNT DEMANDED IN IMMEDIATELY AVAILABLE FUNDS NOT LATER THAN 4:00 P.M. CENTRAL TIME ON THE SECOND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HEREBY DO UNDERTAKE TO PROMPTLY HONOR YOUR SIGHT DRAFT OR DRAFTS DRAWN ON US, INDICATING OUR LETTER OF CREDIT NO. ___________ FOR THE AMOUNT AVAILABLE TO BE DRAWN ON THIS LEI [ ER OF CREDIT UPON PRESENTATION OF YOUR SIGHT DRAFT IN THE FORM OF SCHEDULE A ATTACHED HERETO DRAWN ON US AT OUR OFFICES SPECIFIED ABOVE DURING OUR USUAL BUSINESS HOURS ON OR BEFORE THE EXPIRATION DATE HEREOF. </w:t>
      </w:r>
    </w:p>
    <w:p>
      <w:pPr>
        <w:pStyle w:val="TextBody"/>
        <w:bidi w:val="0"/>
        <w:spacing w:before="240" w:after="0"/>
        <w:jc w:val="left"/>
        <w:rPr>
          <w:rFonts w:ascii="Times New Roman" w:hAnsi="Times New Roman"/>
          <w:sz w:val="20"/>
        </w:rPr>
      </w:pPr>
      <w:r>
        <w:rPr>
          <w:rFonts w:ascii="Times New Roman" w:hAnsi="Times New Roman"/>
          <w:sz w:val="20"/>
        </w:rPr>
        <w:t xml:space="preserve">EXCEPT AS EXPRESSLY STATED HEREIN, THIS UNDERTAKING IS NOT SUBJECT TO ANY AGREEMENTS, REQUIREMENTS OR QUALIFICATION. OUR OBLIGATION UNDER THIS LETTER OF CREDIT IS OUR INDIVIDUAL OBLIGATION AND IS IN NO WAY CONTINGENT UPON REIMBURSEMENT WITH RESPECT THERETO OR UPON OUR ABILITY TO PERFECT ANY LIEN, SECURITY INTEREST OR ANY OTHER REIMBURSEMENT. </w:t>
      </w:r>
    </w:p>
    <w:p>
      <w:pPr>
        <w:pStyle w:val="TextBody"/>
        <w:bidi w:val="0"/>
        <w:spacing w:before="240" w:after="0"/>
        <w:jc w:val="left"/>
        <w:rPr>
          <w:rFonts w:ascii="Times New Roman" w:hAnsi="Times New Roman"/>
          <w:sz w:val="20"/>
        </w:rPr>
      </w:pPr>
      <w:r>
        <w:rPr>
          <w:rFonts w:ascii="Times New Roman" w:hAnsi="Times New Roman"/>
          <w:sz w:val="20"/>
        </w:rPr>
        <w:t xml:space="preserve">EXCEPT SO FAR AS OTHERWISE EXPRESSLY STATED, THIS LETTER OF CREDIT IS SUBJECT TO INTERNATIONAL STANDBY PRACTICES 1998, INTERNATIONAL CHAMBER OF COMMERCE PUBLICATION NO. 590. </w:t>
      </w:r>
    </w:p>
    <w:p>
      <w:pPr>
        <w:pStyle w:val="TextBody"/>
        <w:bidi w:val="0"/>
        <w:spacing w:before="240" w:after="0"/>
        <w:jc w:val="center"/>
        <w:rPr>
          <w:rFonts w:ascii="Times New Roman" w:hAnsi="Times New Roman"/>
          <w:sz w:val="20"/>
        </w:rPr>
      </w:pPr>
      <w:r>
        <w:rPr>
          <w:rFonts w:ascii="Times New Roman" w:hAnsi="Times New Roman"/>
          <w:sz w:val="20"/>
        </w:rPr>
        <w:t xml:space="preserve">[ISSUER OF LETTER OF CREDIT]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TO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w:t>
      </w:r>
    </w:p>
    <w:p>
      <w:pPr>
        <w:pStyle w:val="TextBody"/>
        <w:bidi w:val="0"/>
        <w:spacing w:before="240" w:after="0"/>
        <w:jc w:val="left"/>
        <w:rPr>
          <w:rFonts w:ascii="Times New Roman" w:hAnsi="Times New Roman"/>
          <w:sz w:val="20"/>
        </w:rPr>
      </w:pPr>
      <w:r>
        <w:rPr>
          <w:rFonts w:ascii="Times New Roman" w:hAnsi="Times New Roman"/>
          <w:sz w:val="20"/>
        </w:rPr>
        <w:t xml:space="preserve">pay at sight by wire transfer in immediately available funds to ______________________ the sum of U.S. $___________ drawn under irrevocable letter of credit no. ________________, dated _______________ 20__, issued by 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to: [issuer of letter of credit]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[CITY,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FIRST AMENDMENT TO AGREEMENT OF LEASE </w:t>
      </w:r>
    </w:p>
    <w:p>
      <w:pPr>
        <w:pStyle w:val="TextBody"/>
        <w:bidi w:val="0"/>
        <w:spacing w:before="240" w:after="0"/>
        <w:jc w:val="left"/>
        <w:rPr>
          <w:rFonts w:ascii="Times New Roman" w:hAnsi="Times New Roman"/>
          <w:sz w:val="20"/>
        </w:rPr>
      </w:pPr>
      <w:r>
        <w:rPr>
          <w:rFonts w:ascii="Times New Roman" w:hAnsi="Times New Roman"/>
          <w:b/>
          <w:sz w:val="20"/>
        </w:rPr>
        <w:t>THIS FIRST AMENDMENT TO AGREEMENT OF LEASE</w:t>
      </w:r>
      <w:r>
        <w:rPr>
          <w:rFonts w:ascii="Times New Roman" w:hAnsi="Times New Roman"/>
          <w:sz w:val="20"/>
        </w:rPr>
        <w:t xml:space="preserve"> (this </w:t>
      </w:r>
      <w:r>
        <w:rPr>
          <w:rFonts w:ascii="Times New Roman" w:hAnsi="Times New Roman"/>
          <w:b/>
          <w:sz w:val="20"/>
        </w:rPr>
        <w:t>Amendment</w:t>
      </w:r>
      <w:r>
        <w:rPr>
          <w:rFonts w:ascii="Times New Roman" w:hAnsi="Times New Roman"/>
          <w:sz w:val="20"/>
        </w:rPr>
        <w:t xml:space="preserve">) is made and entered into as of </w:t>
      </w:r>
      <w:r>
        <w:rPr>
          <w:rFonts w:ascii="Times New Roman" w:hAnsi="Times New Roman"/>
          <w:sz w:val="20"/>
          <w:u w:val="single"/>
        </w:rPr>
        <w:t>        January 30        </w:t>
      </w:r>
      <w:r>
        <w:rPr>
          <w:rFonts w:ascii="Times New Roman" w:hAnsi="Times New Roman"/>
          <w:sz w:val="20"/>
        </w:rPr>
        <w:t>, 2018, (the </w:t>
      </w:r>
      <w:r>
        <w:rPr>
          <w:rFonts w:ascii="Times New Roman" w:hAnsi="Times New Roman"/>
          <w:b/>
          <w:sz w:val="20"/>
        </w:rPr>
        <w:t>Effective Date</w:t>
      </w:r>
      <w:r>
        <w:rPr>
          <w:rFonts w:ascii="Times New Roman" w:hAnsi="Times New Roman"/>
          <w:sz w:val="20"/>
        </w:rPr>
        <w:t xml:space="preserve">) by and between </w:t>
      </w:r>
      <w:r>
        <w:rPr>
          <w:rFonts w:ascii="Times New Roman" w:hAnsi="Times New Roman"/>
          <w:b/>
          <w:sz w:val="20"/>
        </w:rPr>
        <w:t>EQC 600 WEST CHICAGO PROPERTY LLC</w:t>
      </w:r>
      <w:r>
        <w:rPr>
          <w:rFonts w:ascii="Times New Roman" w:hAnsi="Times New Roman"/>
          <w:sz w:val="20"/>
        </w:rPr>
        <w:t>, a Delaware limited liability company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TEMPUS LABS, INC.</w:t>
      </w:r>
      <w:r>
        <w:rPr>
          <w:rFonts w:ascii="Times New Roman" w:hAnsi="Times New Roman"/>
          <w:sz w:val="20"/>
        </w:rPr>
        <w:t>, a Delaware corporation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Landlord and Tenant are parties to that certain Agreement of Lease dated January 18, 2018 (such lease is referred to herein as the </w:t>
            </w:r>
            <w:r>
              <w:rPr>
                <w:rFonts w:ascii="Times New Roman" w:hAnsi="Times New Roman"/>
                <w:b/>
                <w:sz w:val="20"/>
              </w:rPr>
              <w:t>Lease</w:t>
            </w:r>
            <w:r>
              <w:rPr>
                <w:rFonts w:ascii="Times New Roman" w:hAnsi="Times New Roman"/>
                <w:sz w:val="20"/>
              </w:rPr>
              <w:t>). Pursuant to the Lease. Landlord has leased to Tenant space currently containing approximately 78,017 rentable square feet (the </w:t>
            </w:r>
            <w:r>
              <w:rPr>
                <w:rFonts w:ascii="Times New Roman" w:hAnsi="Times New Roman"/>
                <w:b/>
                <w:sz w:val="20"/>
              </w:rPr>
              <w:t>Premises</w:t>
            </w:r>
            <w:r>
              <w:rPr>
                <w:rFonts w:ascii="Times New Roman" w:hAnsi="Times New Roman"/>
                <w:sz w:val="20"/>
              </w:rPr>
              <w:t>) on the fifth floor of the building commonly known as 600 West Chicago located at 600 West Chicago Avenue, Chicago, Illinois (the </w:t>
            </w:r>
            <w:r>
              <w:rPr>
                <w:rFonts w:ascii="Times New Roman" w:hAnsi="Times New Roman"/>
                <w:b/>
                <w:sz w:val="20"/>
              </w:rPr>
              <w:t>Building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and Landlord mutually desire that the Lease be amended on and subject to the following terms and conditions. </w:t>
            </w:r>
          </w:p>
        </w:tc>
      </w:tr>
    </w:tbl>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herein contained and other good and valuable consideration, the receipt and sufficiency of which are hereby acknowledged, Landlord and Tenant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Amend</w:t>
            </w:r>
            <w:r>
              <w:rPr>
                <w:rFonts w:ascii="Times New Roman" w:hAnsi="Times New Roman"/>
                <w:i/>
                <w:sz w:val="20"/>
                <w:u w:val="single"/>
              </w:rPr>
              <w:t>me</w:t>
            </w:r>
            <w:r>
              <w:rPr>
                <w:rFonts w:ascii="Times New Roman" w:hAnsi="Times New Roman"/>
                <w:b/>
                <w:sz w:val="20"/>
                <w:u w:val="single"/>
              </w:rPr>
              <w:t>nt</w:t>
            </w:r>
            <w:r>
              <w:rPr>
                <w:rFonts w:ascii="Times New Roman" w:hAnsi="Times New Roman"/>
                <w:sz w:val="20"/>
              </w:rPr>
              <w:t xml:space="preserve">. Effective as of the date hereof (unless different effective date(s) is/are specifically referenced in this Section), Landlord and Tenant agree that the Lease shall be amended in accordance with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Modification of Rentable Square Footages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Rentable Square Foot area of the Premises, as stated in the paragraphs entitled Premises Area and Tenants Proportionate Share in the Basic Lease Provisions set forth in Section 1.1 of the Lease, in Sections 5.01 and 5.03 of Exhibit E to the Lease, in Exhibit G and in any other references in the Lease, is hereby modified by deleting the number 78,017 and substituting in its place the number 79,241.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Rentable Square Foot area of the First Expansion Space, as stated in Section 6.01(a) of Exhibit E to the Lease and in any other references in the Lease, is hereby modified by deleting the number 5,605 and substituting in its place the number 5,818.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Rentable Square Foot area of the Second Expansion Space, as stated in Section 6.02(a) of Exhibit E to the Lease and in any other references in the Lease, is hereby modified by deleting the number 4,099 and substituting in its place the number 3,993.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Rentable Square Foot area of the Third Expansion Space, as stated in Section 6.03(a) of Exhibit E to the Lease and in any other references in the Lease, is hereby modified by deleting the number 28,798 and substituting in its place the number 28,592.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and Tenant stipulate and agree that the Rentable Square Footage areas set forth in this Section 1.01 are correct and shall not be remeasured, unless there is an actual physical change in the respective area to which such Rentable Square Footage relates.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1</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Tenants Proportionate Share</w:t>
            </w:r>
            <w:r>
              <w:rPr>
                <w:rFonts w:ascii="Times New Roman" w:hAnsi="Times New Roman"/>
                <w:sz w:val="20"/>
              </w:rPr>
              <w:t xml:space="preserve">. Tenants Proportionate Share, as stated in the paragraph entitled Tenants Proportionate Share in the Basic Lease Provisions set forth in Section 1.1 of the Lease, shall be modified to delete the percentage 6.5281% and substitute in its place the number 6.6305%.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Construction Allowance; Application Amount; Unused Allowance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Construction Allowance, as stated in Section 7(a) of Exhibit D to the Lease, is hereby modified by deleting the amount 65,071,105.00 and substituting in its place the amount $5,150,665.00.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Amount, as stated in Section 7(c) of Exhibit D to the Lease, is hereby modified by deleting the amount $1,170,255.00 and substituting in its place the amount $1,188,615.00.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Unused Allowance, as stated in Section 7(h) of Exhibit D to the Lease, is hereby modified by deleting the amount $1,267,776.25 and substituting in its place the amount $1,287,666.25.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Exhibits A and E-1</w:t>
            </w:r>
            <w:r>
              <w:rPr>
                <w:rFonts w:ascii="Times New Roman" w:hAnsi="Times New Roman"/>
                <w:sz w:val="20"/>
              </w:rPr>
              <w:t xml:space="preserve">. Exhibit A, Floor Plan of the Premises, to the Lease is hereby deleted and replaced with Exhibit A, Floor Plan of the Premises, attached to this Amendment. Exhibit E-1, First, Second and Third Expansion Spaces, to the Lease is hereby deleted and replaced with Exhibit E-1, First, Second and Third Expansion Spaces, attached to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Fixed Rent Schedule</w:t>
            </w:r>
            <w:r>
              <w:rPr>
                <w:rFonts w:ascii="Times New Roman" w:hAnsi="Times New Roman"/>
                <w:sz w:val="20"/>
              </w:rPr>
              <w:t xml:space="preserve">. Exhibit C, Fixed Rent Schedule, to the Lease is hereby deleted and replaced with Exhibit C, Fixed Rent Schedule, attached to this Amendment. Tenant has previously deposited with Landlord the sum of $149,532.58 to be applied by Landlord to the first months Fixed Rent due under the Lease following the Rent Abatement Period. Tenant acknowledges that based on the adjustment to Fixed Rent pursuant to this Amendment, such first months Fixed Rent has increased and Tenant shall owe an additional $2,346.00 as Fixed Rent for such first month.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Corrections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references to Abatement Period in Section 2.3 of the Lease and in Section 7(c) of Exhibit D to the Lease shall be deleted and replaced with the phrase Rent Abatement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reference to Additional Amount in the second line of Section 2(a) of Exhibit D to the Lease shall be deleted and replaced with the phrase Application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two references to Landlord Related Party in Section 8.11 of Exhibit E to the Lease shall be deleted and replaced with the phrase Landlord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Miscellaneous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and the attached exhibits, which are hereby incorporated into and made a part of this Amendment, set forth the entire agreement between the parties with respect to the matters set forth herein. There have been no additional oral or written representations or agreements.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2</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herein modified or amended, the provisions, conditions and terms of the Lease shall remain unchanged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inconsistency between the provisions of the Lease and this Amendment, the provisions of this Amendment shall govern and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this Amendment by Landlord is not an offer to enter into this Amendment but rather is a solicitation for such an offer by Tenant. Landlord shall not be bound by this Amendment until Landlord has executed and delivered the same to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capitalized terms used in this Amendment shall have the same definitions as set forth in the Lease to the extent that such capitalized terms are defined therein and not redefined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hereby represents to Landlord that Tenant has dealt with no broker in connection with this Amendment, other than CBRE, Inc.. Tenant agrees to indemnify and hold the Landlord Parties harmless from all claims of any other broker claiming to have represented Tenant in connection with this Amendment. Landlord hereby represents to Tenant that Landlord has dealt with no broker in connection with this Amendment, other than The Telos Group LLC. Landlord agrees to indemnify and hold the Tenant Parties harmless from all claims of any brokers claiming to have represented Landlord in connection with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contained in this Amendment to any tenant or other occupant in the Building or to any agent, employee, subtenant or assignee of such tenant or occupant, and Tenant also shall cause the Tenant Parties (including, without limitation, its brokers) to comply with the restrictions set forth in this sentence The terms and provisions of the preceding sentence shall survive the termination of the Lease (whether by lapse of time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construed without regard to any presumption or other rule requiring construction against the party causing this Amendment to be drafted. This Amendment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includes the following exhibits and attachments, which are incorporated herein by reference: </w:t>
            </w:r>
            <w:r>
              <w:rPr>
                <w:rFonts w:ascii="Times New Roman" w:hAnsi="Times New Roman"/>
                <w:b/>
                <w:sz w:val="20"/>
              </w:rPr>
              <w:t>Exhibit A</w:t>
            </w:r>
            <w:r>
              <w:rPr>
                <w:rFonts w:ascii="Times New Roman" w:hAnsi="Times New Roman"/>
                <w:sz w:val="20"/>
              </w:rPr>
              <w:t xml:space="preserve"> (Floor Plan of the Premises), Exhibit C (Fixed Rent Schedule), and </w:t>
            </w:r>
            <w:r>
              <w:rPr>
                <w:rFonts w:ascii="Times New Roman" w:hAnsi="Times New Roman"/>
                <w:b/>
                <w:sz w:val="20"/>
              </w:rPr>
              <w:t>Exhibit E-1</w:t>
            </w:r>
            <w:r>
              <w:rPr>
                <w:rFonts w:ascii="Times New Roman" w:hAnsi="Times New Roman"/>
                <w:sz w:val="20"/>
              </w:rPr>
              <w:t xml:space="preserve"> (First, Second and Third Expansion Spaces).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3</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Landlord and Tenant have executed this Amendment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EQC 600 WEST CHICAGO PROPERTY LLC,</w:t>
            </w:r>
            <w:r>
              <w:rPr/>
              <w:t xml:space="preserve"> a Delaware limited liability company</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Marx</w:t>
            </w:r>
          </w:p>
        </w:tc>
      </w:tr>
    </w:tbl>
    <w:tbl>
      <w:tblPr>
        <w:tblW w:w="2000" w:type="pct"/>
        <w:jc w:val="right"/>
        <w:tblInd w:w="0" w:type="dxa"/>
        <w:tblLayout w:type="fixed"/>
        <w:tblCellMar>
          <w:top w:w="0" w:type="dxa"/>
          <w:left w:w="0" w:type="dxa"/>
          <w:bottom w:w="0" w:type="dxa"/>
          <w:right w:w="0" w:type="dxa"/>
        </w:tblCellMar>
      </w:tblPr>
      <w:tblGrid>
        <w:gridCol w:w="642"/>
        <w:gridCol w:w="61"/>
        <w:gridCol w:w="3379"/>
      </w:tblGrid>
      <w:tr>
        <w:trPr/>
        <w:tc>
          <w:tcPr>
            <w:tcW w:w="64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79" w:type="dxa"/>
            <w:tcBorders/>
            <w:vAlign w:val="center"/>
          </w:tcPr>
          <w:p>
            <w:pPr>
              <w:pStyle w:val="TableContents"/>
              <w:bidi w:val="0"/>
              <w:spacing w:before="0" w:after="283"/>
              <w:jc w:val="left"/>
              <w:rPr>
                <w:sz w:val="4"/>
                <w:szCs w:val="4"/>
              </w:rPr>
            </w:pPr>
            <w:r>
              <w:rPr>
                <w:sz w:val="4"/>
                <w:szCs w:val="4"/>
              </w:rPr>
            </w:r>
          </w:p>
        </w:tc>
      </w:tr>
      <w:tr>
        <w:trPr/>
        <w:tc>
          <w:tcPr>
            <w:tcW w:w="64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79" w:type="dxa"/>
            <w:tcBorders/>
          </w:tcPr>
          <w:p>
            <w:pPr>
              <w:pStyle w:val="TableContents"/>
              <w:bidi w:val="0"/>
              <w:spacing w:before="0" w:after="283"/>
              <w:jc w:val="left"/>
              <w:rPr/>
            </w:pPr>
            <w:r>
              <w:rPr/>
              <w:t>Eric Marx</w:t>
            </w:r>
          </w:p>
        </w:tc>
      </w:tr>
    </w:tbl>
    <w:tbl>
      <w:tblPr>
        <w:tblW w:w="2000" w:type="pct"/>
        <w:jc w:val="right"/>
        <w:tblInd w:w="0" w:type="dxa"/>
        <w:tblLayout w:type="fixed"/>
        <w:tblCellMar>
          <w:top w:w="0" w:type="dxa"/>
          <w:left w:w="0" w:type="dxa"/>
          <w:bottom w:w="0" w:type="dxa"/>
          <w:right w:w="0" w:type="dxa"/>
        </w:tblCellMar>
      </w:tblPr>
      <w:tblGrid>
        <w:gridCol w:w="541"/>
        <w:gridCol w:w="60"/>
        <w:gridCol w:w="3481"/>
      </w:tblGrid>
      <w:tr>
        <w:trPr/>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54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81" w:type="dxa"/>
            <w:tcBorders/>
          </w:tcPr>
          <w:p>
            <w:pPr>
              <w:pStyle w:val="TableContents"/>
              <w:bidi w:val="0"/>
              <w:spacing w:before="0" w:after="283"/>
              <w:jc w:val="left"/>
              <w:rPr/>
            </w:pPr>
            <w:r>
              <w:rPr/>
              <w:t>Authorized Signatory</w:t>
            </w:r>
          </w:p>
        </w:tc>
      </w:tr>
    </w:tbl>
    <w:tbl>
      <w:tblPr>
        <w:tblW w:w="2000" w:type="pct"/>
        <w:jc w:val="right"/>
        <w:tblInd w:w="0" w:type="dxa"/>
        <w:tblLayout w:type="fixed"/>
        <w:tblCellMar>
          <w:top w:w="0" w:type="dxa"/>
          <w:left w:w="0" w:type="dxa"/>
          <w:bottom w:w="0" w:type="dxa"/>
          <w:right w:w="0" w:type="dxa"/>
        </w:tblCellMar>
      </w:tblPr>
      <w:tblGrid>
        <w:gridCol w:w="1249"/>
        <w:gridCol w:w="64"/>
        <w:gridCol w:w="2769"/>
      </w:tblGrid>
      <w:tr>
        <w:trPr/>
        <w:tc>
          <w:tcPr>
            <w:tcW w:w="1249"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249" w:type="dxa"/>
            <w:tcBorders/>
            <w:vAlign w:val="center"/>
          </w:tcPr>
          <w:p>
            <w:pPr>
              <w:pStyle w:val="TableContents"/>
              <w:bidi w:val="0"/>
              <w:spacing w:before="0" w:after="283"/>
              <w:jc w:val="left"/>
              <w:rPr>
                <w:sz w:val="4"/>
                <w:szCs w:val="4"/>
              </w:rPr>
            </w:pPr>
            <w:r>
              <w:rPr>
                <w:sz w:val="4"/>
                <w:szCs w:val="4"/>
              </w:rPr>
            </w:r>
          </w:p>
        </w:tc>
        <w:tc>
          <w:tcPr>
            <w:tcW w:w="2833" w:type="dxa"/>
            <w:gridSpan w:val="2"/>
            <w:tcBorders/>
            <w:vAlign w:val="center"/>
          </w:tcPr>
          <w:p>
            <w:pPr>
              <w:pStyle w:val="TableContents"/>
              <w:bidi w:val="0"/>
              <w:spacing w:before="0" w:after="283"/>
              <w:jc w:val="left"/>
              <w:rPr>
                <w:sz w:val="4"/>
                <w:szCs w:val="4"/>
              </w:rPr>
            </w:pPr>
            <w:r>
              <w:rPr>
                <w:sz w:val="4"/>
                <w:szCs w:val="4"/>
              </w:rPr>
            </w:r>
          </w:p>
        </w:tc>
      </w:tr>
      <w:tr>
        <w:trPr/>
        <w:tc>
          <w:tcPr>
            <w:tcW w:w="1249" w:type="dxa"/>
            <w:tcBorders/>
          </w:tcPr>
          <w:p>
            <w:pPr>
              <w:pStyle w:val="TableContents"/>
              <w:bidi w:val="0"/>
              <w:spacing w:before="0" w:after="283"/>
              <w:jc w:val="left"/>
              <w:rPr>
                <w:b/>
              </w:rPr>
            </w:pPr>
            <w:r>
              <w:rPr>
                <w:b/>
              </w:rPr>
              <w:t>TENANT:</w:t>
            </w:r>
          </w:p>
        </w:tc>
        <w:tc>
          <w:tcPr>
            <w:tcW w:w="64" w:type="dxa"/>
            <w:tcBorders/>
            <w:vAlign w:val="bottom"/>
          </w:tcPr>
          <w:p>
            <w:pPr>
              <w:pStyle w:val="TableContents"/>
              <w:bidi w:val="0"/>
              <w:spacing w:before="0" w:after="283"/>
              <w:jc w:val="left"/>
              <w:rPr/>
            </w:pPr>
            <w:r>
              <w:rPr/>
              <w:t> </w:t>
            </w:r>
          </w:p>
        </w:tc>
        <w:tc>
          <w:tcPr>
            <w:tcW w:w="2769"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LABS, INC., a Delaware corporation</w:t>
            </w:r>
          </w:p>
        </w:tc>
      </w:tr>
    </w:tbl>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bl>
    <w:tbl>
      <w:tblPr>
        <w:tblW w:w="2000" w:type="pct"/>
        <w:jc w:val="right"/>
        <w:tblInd w:w="0" w:type="dxa"/>
        <w:tblLayout w:type="fixed"/>
        <w:tblCellMar>
          <w:top w:w="0" w:type="dxa"/>
          <w:left w:w="0" w:type="dxa"/>
          <w:bottom w:w="0" w:type="dxa"/>
          <w:right w:w="0" w:type="dxa"/>
        </w:tblCellMar>
      </w:tblPr>
      <w:tblGrid>
        <w:gridCol w:w="632"/>
        <w:gridCol w:w="60"/>
        <w:gridCol w:w="3390"/>
      </w:tblGrid>
      <w:tr>
        <w:trPr/>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90" w:type="dxa"/>
            <w:tcBorders/>
          </w:tcPr>
          <w:p>
            <w:pPr>
              <w:pStyle w:val="TableContents"/>
              <w:bidi w:val="0"/>
              <w:spacing w:before="0" w:after="283"/>
              <w:jc w:val="left"/>
              <w:rPr/>
            </w:pPr>
            <w:r>
              <w:rPr/>
              <w:t>Eric Lefkofsky</w:t>
            </w:r>
          </w:p>
        </w:tc>
      </w:tr>
      <w:tr>
        <w:trPr/>
        <w:tc>
          <w:tcPr>
            <w:tcW w:w="63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90" w:type="dxa"/>
            <w:tcBorders/>
          </w:tcPr>
          <w:p>
            <w:pPr>
              <w:pStyle w:val="TableContents"/>
              <w:bidi w:val="0"/>
              <w:spacing w:before="0" w:after="283"/>
              <w:jc w:val="left"/>
              <w:rPr/>
            </w:pPr>
            <w:r>
              <w:rPr/>
              <w:t>CEO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4</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FLOOR PLAN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The floor plan which follows is intended solely to identify the general outline of the Premises, and should not be used for any other purpose. All areas, dimensions and locations are approximate, and any physical conditions indicated may not exist as shown.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FIXED RENT SCHEDULE </w:t>
      </w:r>
    </w:p>
    <w:p>
      <w:pPr>
        <w:pStyle w:val="TextBody"/>
        <w:bidi w:val="0"/>
        <w:spacing w:before="240" w:after="0"/>
        <w:jc w:val="left"/>
        <w:rPr>
          <w:rFonts w:ascii="Times New Roman" w:hAnsi="Times New Roman"/>
          <w:sz w:val="20"/>
        </w:rPr>
      </w:pPr>
      <w:r>
        <w:rPr>
          <w:rFonts w:ascii="Times New Roman" w:hAnsi="Times New Roman"/>
          <w:sz w:val="20"/>
        </w:rPr>
        <w:t xml:space="preserve">Commencing on the Commencement Date, Tenant shall pay Landlord Fixed Rent for the Premises in accordance with the terms of the Lease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86"/>
        <w:gridCol w:w="258"/>
        <w:gridCol w:w="140"/>
        <w:gridCol w:w="1409"/>
        <w:gridCol w:w="60"/>
        <w:gridCol w:w="258"/>
        <w:gridCol w:w="140"/>
        <w:gridCol w:w="1156"/>
        <w:gridCol w:w="60"/>
        <w:gridCol w:w="258"/>
        <w:gridCol w:w="272"/>
        <w:gridCol w:w="1143"/>
        <w:gridCol w:w="65"/>
      </w:tblGrid>
      <w:tr>
        <w:trPr/>
        <w:tc>
          <w:tcPr>
            <w:tcW w:w="4986"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Months of Term</w:t>
              <w:br/>
              <w:t>Following the</w:t>
              <w:br/>
              <w:t>Commencement Date</w:t>
            </w:r>
          </w:p>
        </w:tc>
        <w:tc>
          <w:tcPr>
            <w:tcW w:w="258"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Annual Rate of</w:t>
              <w:br/>
              <w:t>Fixed Rent</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Monthly</w:t>
              <w:br/>
              <w:t>Fixed Rent</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Rental Rate</w:t>
              <w:br/>
              <w:t>Per Rentable</w:t>
              <w:br/>
              <w:t>Square Foot</w:t>
            </w:r>
          </w:p>
        </w:tc>
        <w:tc>
          <w:tcPr>
            <w:tcW w:w="65" w:type="dxa"/>
            <w:tcBorders/>
            <w:vAlign w:val="bottom"/>
          </w:tcPr>
          <w:p>
            <w:pPr>
              <w:pStyle w:val="TableContents"/>
              <w:bidi w:val="0"/>
              <w:spacing w:before="0" w:after="283"/>
              <w:jc w:val="left"/>
              <w:rPr/>
            </w:pPr>
            <w:r>
              <w:rPr/>
              <w:t> </w:t>
            </w:r>
          </w:p>
        </w:tc>
      </w:tr>
      <w:tr>
        <w:trPr/>
        <w:tc>
          <w:tcPr>
            <w:tcW w:w="4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1,822,542.96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151,878.58</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23.00</w:t>
            </w:r>
          </w:p>
        </w:tc>
        <w:tc>
          <w:tcPr>
            <w:tcW w:w="65" w:type="dxa"/>
            <w:tcBorders/>
            <w:shd w:fill="CCEEFF" w:val="clear"/>
            <w:vAlign w:val="bottom"/>
          </w:tcPr>
          <w:p>
            <w:pPr>
              <w:pStyle w:val="TableContents"/>
              <w:bidi w:val="0"/>
              <w:spacing w:before="0" w:after="283"/>
              <w:jc w:val="left"/>
              <w:rPr/>
            </w:pPr>
            <w:r>
              <w:rPr/>
              <w:t> </w:t>
            </w:r>
          </w:p>
        </w:tc>
      </w:tr>
      <w:tr>
        <w:trPr/>
        <w:tc>
          <w:tcPr>
            <w:tcW w:w="4986" w:type="dxa"/>
            <w:tcBorders/>
          </w:tcPr>
          <w:p>
            <w:pPr>
              <w:pStyle w:val="TableContents"/>
              <w:bidi w:val="0"/>
              <w:spacing w:before="0" w:after="0"/>
              <w:jc w:val="left"/>
              <w:rPr>
                <w:rFonts w:ascii="Times New Roman" w:hAnsi="Times New Roman"/>
                <w:sz w:val="20"/>
              </w:rPr>
            </w:pPr>
            <w:r>
              <w:rPr>
                <w:rFonts w:ascii="Times New Roman" w:hAnsi="Times New Roman"/>
                <w:sz w:val="20"/>
              </w:rPr>
              <w:t>13-24</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1,868,502.84</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155,708.57</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23.58</w:t>
            </w:r>
          </w:p>
        </w:tc>
        <w:tc>
          <w:tcPr>
            <w:tcW w:w="65" w:type="dxa"/>
            <w:tcBorders/>
            <w:vAlign w:val="bottom"/>
          </w:tcPr>
          <w:p>
            <w:pPr>
              <w:pStyle w:val="TableContents"/>
              <w:bidi w:val="0"/>
              <w:spacing w:before="0" w:after="283"/>
              <w:jc w:val="left"/>
              <w:rPr/>
            </w:pPr>
            <w:r>
              <w:rPr/>
              <w:t> </w:t>
            </w:r>
          </w:p>
        </w:tc>
      </w:tr>
      <w:tr>
        <w:trPr/>
        <w:tc>
          <w:tcPr>
            <w:tcW w:w="4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25-36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1,915,254.96</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159,604.58</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24.17</w:t>
            </w:r>
          </w:p>
        </w:tc>
        <w:tc>
          <w:tcPr>
            <w:tcW w:w="65" w:type="dxa"/>
            <w:tcBorders/>
            <w:shd w:fill="CCEEFF" w:val="clear"/>
            <w:vAlign w:val="bottom"/>
          </w:tcPr>
          <w:p>
            <w:pPr>
              <w:pStyle w:val="TableContents"/>
              <w:bidi w:val="0"/>
              <w:spacing w:before="0" w:after="283"/>
              <w:jc w:val="left"/>
              <w:rPr/>
            </w:pPr>
            <w:r>
              <w:rPr/>
              <w:t> </w:t>
            </w:r>
          </w:p>
        </w:tc>
      </w:tr>
      <w:tr>
        <w:trPr/>
        <w:tc>
          <w:tcPr>
            <w:tcW w:w="4986" w:type="dxa"/>
            <w:tcBorders/>
          </w:tcPr>
          <w:p>
            <w:pPr>
              <w:pStyle w:val="TableContents"/>
              <w:bidi w:val="0"/>
              <w:spacing w:before="0" w:after="0"/>
              <w:jc w:val="left"/>
              <w:rPr>
                <w:rFonts w:ascii="Times New Roman" w:hAnsi="Times New Roman"/>
                <w:sz w:val="20"/>
              </w:rPr>
            </w:pPr>
            <w:r>
              <w:rPr>
                <w:rFonts w:ascii="Times New Roman" w:hAnsi="Times New Roman"/>
                <w:sz w:val="20"/>
              </w:rPr>
              <w:t>37-48</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1,962,799.56</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163,566.63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24.77</w:t>
            </w:r>
          </w:p>
        </w:tc>
        <w:tc>
          <w:tcPr>
            <w:tcW w:w="65" w:type="dxa"/>
            <w:tcBorders/>
            <w:vAlign w:val="bottom"/>
          </w:tcPr>
          <w:p>
            <w:pPr>
              <w:pStyle w:val="TableContents"/>
              <w:bidi w:val="0"/>
              <w:spacing w:before="0" w:after="283"/>
              <w:jc w:val="left"/>
              <w:rPr/>
            </w:pPr>
            <w:r>
              <w:rPr/>
              <w:t> </w:t>
            </w:r>
          </w:p>
        </w:tc>
      </w:tr>
      <w:tr>
        <w:trPr/>
        <w:tc>
          <w:tcPr>
            <w:tcW w:w="4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49-60</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2,011,929.00</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167,660.75</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25.39</w:t>
            </w:r>
          </w:p>
        </w:tc>
        <w:tc>
          <w:tcPr>
            <w:tcW w:w="65" w:type="dxa"/>
            <w:tcBorders/>
            <w:shd w:fill="CCEEFF" w:val="clear"/>
            <w:vAlign w:val="bottom"/>
          </w:tcPr>
          <w:p>
            <w:pPr>
              <w:pStyle w:val="TableContents"/>
              <w:bidi w:val="0"/>
              <w:spacing w:before="0" w:after="283"/>
              <w:jc w:val="left"/>
              <w:rPr/>
            </w:pPr>
            <w:r>
              <w:rPr/>
              <w:t> </w:t>
            </w:r>
          </w:p>
        </w:tc>
      </w:tr>
      <w:tr>
        <w:trPr/>
        <w:tc>
          <w:tcPr>
            <w:tcW w:w="4986" w:type="dxa"/>
            <w:tcBorders/>
          </w:tcPr>
          <w:p>
            <w:pPr>
              <w:pStyle w:val="TableContents"/>
              <w:bidi w:val="0"/>
              <w:spacing w:before="0" w:after="0"/>
              <w:jc w:val="left"/>
              <w:rPr>
                <w:rFonts w:ascii="Times New Roman" w:hAnsi="Times New Roman"/>
                <w:sz w:val="20"/>
              </w:rPr>
            </w:pPr>
            <w:r>
              <w:rPr>
                <w:rFonts w:ascii="Times New Roman" w:hAnsi="Times New Roman"/>
                <w:sz w:val="20"/>
              </w:rPr>
              <w:t>61-72</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2,061,850.80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171,820.90</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26.02</w:t>
            </w:r>
          </w:p>
        </w:tc>
        <w:tc>
          <w:tcPr>
            <w:tcW w:w="65" w:type="dxa"/>
            <w:tcBorders/>
            <w:vAlign w:val="bottom"/>
          </w:tcPr>
          <w:p>
            <w:pPr>
              <w:pStyle w:val="TableContents"/>
              <w:bidi w:val="0"/>
              <w:spacing w:before="0" w:after="283"/>
              <w:jc w:val="left"/>
              <w:rPr/>
            </w:pPr>
            <w:r>
              <w:rPr/>
              <w:t> </w:t>
            </w:r>
          </w:p>
        </w:tc>
      </w:tr>
      <w:tr>
        <w:trPr/>
        <w:tc>
          <w:tcPr>
            <w:tcW w:w="4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73-84</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2,113,357.44</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176,113.12</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26.67</w:t>
            </w:r>
          </w:p>
        </w:tc>
        <w:tc>
          <w:tcPr>
            <w:tcW w:w="65" w:type="dxa"/>
            <w:tcBorders/>
            <w:shd w:fill="CCEEFF" w:val="clear"/>
            <w:vAlign w:val="bottom"/>
          </w:tcPr>
          <w:p>
            <w:pPr>
              <w:pStyle w:val="TableContents"/>
              <w:bidi w:val="0"/>
              <w:spacing w:before="0" w:after="283"/>
              <w:jc w:val="left"/>
              <w:rPr/>
            </w:pPr>
            <w:r>
              <w:rPr/>
              <w:t> </w:t>
            </w:r>
          </w:p>
        </w:tc>
      </w:tr>
      <w:tr>
        <w:trPr/>
        <w:tc>
          <w:tcPr>
            <w:tcW w:w="4986" w:type="dxa"/>
            <w:tcBorders/>
          </w:tcPr>
          <w:p>
            <w:pPr>
              <w:pStyle w:val="TableContents"/>
              <w:bidi w:val="0"/>
              <w:spacing w:before="0" w:after="0"/>
              <w:jc w:val="left"/>
              <w:rPr>
                <w:rFonts w:ascii="Times New Roman" w:hAnsi="Times New Roman"/>
                <w:sz w:val="20"/>
              </w:rPr>
            </w:pPr>
            <w:r>
              <w:rPr>
                <w:rFonts w:ascii="Times New Roman" w:hAnsi="Times New Roman"/>
                <w:sz w:val="20"/>
              </w:rPr>
              <w:t>85-96</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2,166,448.92</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180,537.41</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27.34</w:t>
            </w:r>
          </w:p>
        </w:tc>
        <w:tc>
          <w:tcPr>
            <w:tcW w:w="65" w:type="dxa"/>
            <w:tcBorders/>
            <w:vAlign w:val="bottom"/>
          </w:tcPr>
          <w:p>
            <w:pPr>
              <w:pStyle w:val="TableContents"/>
              <w:bidi w:val="0"/>
              <w:spacing w:before="0" w:after="283"/>
              <w:jc w:val="left"/>
              <w:rPr/>
            </w:pPr>
            <w:r>
              <w:rPr/>
              <w:t> </w:t>
            </w:r>
          </w:p>
        </w:tc>
      </w:tr>
      <w:tr>
        <w:trPr/>
        <w:tc>
          <w:tcPr>
            <w:tcW w:w="4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97-108</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2,220,332.88</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185,027.74</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28.02</w:t>
            </w:r>
          </w:p>
        </w:tc>
        <w:tc>
          <w:tcPr>
            <w:tcW w:w="65" w:type="dxa"/>
            <w:tcBorders/>
            <w:shd w:fill="CCEEFF" w:val="clear"/>
            <w:vAlign w:val="bottom"/>
          </w:tcPr>
          <w:p>
            <w:pPr>
              <w:pStyle w:val="TableContents"/>
              <w:bidi w:val="0"/>
              <w:spacing w:before="0" w:after="283"/>
              <w:jc w:val="left"/>
              <w:rPr/>
            </w:pPr>
            <w:r>
              <w:rPr/>
              <w:t> </w:t>
            </w:r>
          </w:p>
        </w:tc>
      </w:tr>
      <w:tr>
        <w:trPr/>
        <w:tc>
          <w:tcPr>
            <w:tcW w:w="4986" w:type="dxa"/>
            <w:tcBorders/>
          </w:tcPr>
          <w:p>
            <w:pPr>
              <w:pStyle w:val="TableContents"/>
              <w:bidi w:val="0"/>
              <w:spacing w:before="0" w:after="0"/>
              <w:jc w:val="left"/>
              <w:rPr>
                <w:rFonts w:ascii="Times New Roman" w:hAnsi="Times New Roman"/>
                <w:sz w:val="20"/>
              </w:rPr>
            </w:pPr>
            <w:r>
              <w:rPr>
                <w:rFonts w:ascii="Times New Roman" w:hAnsi="Times New Roman"/>
                <w:sz w:val="20"/>
              </w:rPr>
              <w:t>109-120</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2,275,801.56</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189,650.13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28.72</w:t>
            </w:r>
          </w:p>
        </w:tc>
        <w:tc>
          <w:tcPr>
            <w:tcW w:w="65" w:type="dxa"/>
            <w:tcBorders/>
            <w:vAlign w:val="bottom"/>
          </w:tcPr>
          <w:p>
            <w:pPr>
              <w:pStyle w:val="TableContents"/>
              <w:bidi w:val="0"/>
              <w:spacing w:before="0" w:after="283"/>
              <w:jc w:val="left"/>
              <w:rPr/>
            </w:pPr>
            <w:r>
              <w:rPr/>
              <w:t> </w:t>
            </w:r>
          </w:p>
        </w:tc>
      </w:tr>
      <w:tr>
        <w:trPr/>
        <w:tc>
          <w:tcPr>
            <w:tcW w:w="4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121-132</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2,332,855.08</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194,404.59</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29.44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plus any partial calendar month following the Commencement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 2.4</w:t>
            </w:r>
            <w:r>
              <w:rPr>
                <w:rFonts w:ascii="Times New Roman" w:hAnsi="Times New Roman"/>
                <w:sz w:val="20"/>
              </w:rPr>
              <w:t xml:space="preserve"> of the Lease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E-1 </w:t>
      </w:r>
    </w:p>
    <w:p>
      <w:pPr>
        <w:pStyle w:val="TextBody"/>
        <w:bidi w:val="0"/>
        <w:spacing w:before="240" w:after="0"/>
        <w:jc w:val="center"/>
        <w:rPr>
          <w:rFonts w:ascii="Times New Roman" w:hAnsi="Times New Roman"/>
          <w:b/>
          <w:sz w:val="20"/>
        </w:rPr>
      </w:pPr>
      <w:r>
        <w:rPr>
          <w:rFonts w:ascii="Times New Roman" w:hAnsi="Times New Roman"/>
          <w:b/>
          <w:sz w:val="20"/>
        </w:rPr>
        <w:t xml:space="preserve">FIRST, SECOND AND THIRD EXPANSION SPACES </w:t>
      </w:r>
    </w:p>
    <w:p>
      <w:pPr>
        <w:pStyle w:val="TextBody"/>
        <w:bidi w:val="0"/>
        <w:spacing w:before="240" w:after="0"/>
        <w:jc w:val="left"/>
        <w:rPr>
          <w:rFonts w:ascii="Times New Roman" w:hAnsi="Times New Roman"/>
          <w:sz w:val="20"/>
        </w:rPr>
      </w:pPr>
      <w:r>
        <w:rPr>
          <w:rFonts w:ascii="Times New Roman" w:hAnsi="Times New Roman"/>
          <w:sz w:val="20"/>
        </w:rPr>
        <w:t xml:space="preserve">A  First Expansion Space </w:t>
      </w:r>
    </w:p>
    <w:p>
      <w:pPr>
        <w:pStyle w:val="TextBody"/>
        <w:bidi w:val="0"/>
        <w:spacing w:before="240" w:after="0"/>
        <w:jc w:val="left"/>
        <w:rPr>
          <w:rFonts w:ascii="Times New Roman" w:hAnsi="Times New Roman"/>
          <w:sz w:val="20"/>
        </w:rPr>
      </w:pPr>
      <w:r>
        <w:rPr>
          <w:rFonts w:ascii="Times New Roman" w:hAnsi="Times New Roman"/>
          <w:sz w:val="20"/>
        </w:rPr>
        <w:t xml:space="preserve">B  Second Expansion Space </w:t>
      </w:r>
    </w:p>
    <w:p>
      <w:pPr>
        <w:pStyle w:val="TextBody"/>
        <w:bidi w:val="0"/>
        <w:spacing w:before="240" w:after="0"/>
        <w:jc w:val="left"/>
        <w:rPr>
          <w:rFonts w:ascii="Times New Roman" w:hAnsi="Times New Roman"/>
          <w:sz w:val="20"/>
        </w:rPr>
      </w:pPr>
      <w:r>
        <w:rPr>
          <w:rFonts w:ascii="Times New Roman" w:hAnsi="Times New Roman"/>
          <w:sz w:val="20"/>
        </w:rPr>
        <w:t xml:space="preserve">C  Third Expansion Space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E-1</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AMENDMENT TO AGREEMENT OF LEASE </w:t>
      </w:r>
    </w:p>
    <w:p>
      <w:pPr>
        <w:pStyle w:val="TextBody"/>
        <w:bidi w:val="0"/>
        <w:spacing w:before="240" w:after="0"/>
        <w:jc w:val="left"/>
        <w:rPr>
          <w:rFonts w:ascii="Times New Roman" w:hAnsi="Times New Roman"/>
          <w:sz w:val="20"/>
        </w:rPr>
      </w:pPr>
      <w:r>
        <w:rPr>
          <w:rFonts w:ascii="Times New Roman" w:hAnsi="Times New Roman"/>
          <w:b/>
          <w:sz w:val="20"/>
        </w:rPr>
        <w:t>THIS SECOND AMENDMENT TO AGREEMENT OF LEASE</w:t>
      </w:r>
      <w:r>
        <w:rPr>
          <w:rFonts w:ascii="Times New Roman" w:hAnsi="Times New Roman"/>
          <w:sz w:val="20"/>
        </w:rPr>
        <w:t xml:space="preserve"> (the </w:t>
      </w:r>
      <w:r>
        <w:rPr>
          <w:rFonts w:ascii="Times New Roman" w:hAnsi="Times New Roman"/>
          <w:b/>
          <w:sz w:val="20"/>
        </w:rPr>
        <w:t>Amendment</w:t>
      </w:r>
      <w:r>
        <w:rPr>
          <w:rFonts w:ascii="Times New Roman" w:hAnsi="Times New Roman"/>
          <w:sz w:val="20"/>
        </w:rPr>
        <w:t>) is made and entered into as of July 30, 2018 (the </w:t>
      </w:r>
      <w:r>
        <w:rPr>
          <w:rFonts w:ascii="Times New Roman" w:hAnsi="Times New Roman"/>
          <w:b/>
          <w:sz w:val="20"/>
        </w:rPr>
        <w:t>Amendment Effective Date</w:t>
      </w:r>
      <w:r>
        <w:rPr>
          <w:rFonts w:ascii="Times New Roman" w:hAnsi="Times New Roman"/>
          <w:sz w:val="20"/>
        </w:rPr>
        <w:t>), by and between CHICAGO KINGSBURY, LLC, a Delaware limited liability company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TEMPUS LABS, INC., a Delaware corporation</w:t>
      </w:r>
      <w:r>
        <w:rPr>
          <w:rFonts w:ascii="Times New Roman" w:hAnsi="Times New Roman"/>
          <w:sz w:val="20"/>
        </w:rPr>
        <w:t xml:space="preserve">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Landlord (as successor in interest to EQC 600 West Chicago, LLC, a Delaware limited liability company) and Tenant are parties to that certain lease dated January 18, 2018, which lease has been previously amended by First Amendment to Agreement of Lease dated as of January 30, 2018 (the </w:t>
            </w:r>
            <w:r>
              <w:rPr>
                <w:rFonts w:ascii="Times New Roman" w:hAnsi="Times New Roman"/>
                <w:b/>
                <w:sz w:val="20"/>
              </w:rPr>
              <w:t>First Amendment</w:t>
            </w:r>
            <w:r>
              <w:rPr>
                <w:rFonts w:ascii="Times New Roman" w:hAnsi="Times New Roman"/>
                <w:sz w:val="20"/>
              </w:rPr>
              <w:t>) (collectively, the </w:t>
            </w:r>
            <w:r>
              <w:rPr>
                <w:rFonts w:ascii="Times New Roman" w:hAnsi="Times New Roman"/>
                <w:b/>
                <w:sz w:val="20"/>
              </w:rPr>
              <w:t>Lease</w:t>
            </w:r>
            <w:r>
              <w:rPr>
                <w:rFonts w:ascii="Times New Roman" w:hAnsi="Times New Roman"/>
                <w:sz w:val="20"/>
              </w:rPr>
              <w:t xml:space="preserve">). Pursuant to the Lease, Landlord has leased to Tenant space currently containing approximately </w:t>
            </w:r>
            <w:r>
              <w:rPr>
                <w:rFonts w:ascii="Times New Roman" w:hAnsi="Times New Roman"/>
                <w:b/>
                <w:sz w:val="20"/>
              </w:rPr>
              <w:t>79,241</w:t>
            </w:r>
            <w:r>
              <w:rPr>
                <w:rFonts w:ascii="Times New Roman" w:hAnsi="Times New Roman"/>
                <w:sz w:val="20"/>
              </w:rPr>
              <w:t xml:space="preserve"> Rentable Square Feet (the </w:t>
            </w:r>
            <w:r>
              <w:rPr>
                <w:rFonts w:ascii="Times New Roman" w:hAnsi="Times New Roman"/>
                <w:b/>
                <w:sz w:val="20"/>
              </w:rPr>
              <w:t>Original Premises</w:t>
            </w:r>
            <w:r>
              <w:rPr>
                <w:rFonts w:ascii="Times New Roman" w:hAnsi="Times New Roman"/>
                <w:sz w:val="20"/>
              </w:rPr>
              <w:t>) on the fifth floor of the building located at 600 West Chicago Avenue, Chicago, Illinois (the </w:t>
            </w:r>
            <w:r>
              <w:rPr>
                <w:rFonts w:ascii="Times New Roman" w:hAnsi="Times New Roman"/>
                <w:b/>
                <w:sz w:val="20"/>
              </w:rPr>
              <w:t>Building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addition of the First Expansion Space to the Premises, Tenant has requested that the Third Expansion Space (as such term is defined in Section 6 of Exhibit E to the Lease) be added to the Original Premises. In connection therewith, Landlord and Tenant have agreed upon a different configuration of the remaining portions of the fifth floor of the Building and the parties wish to amend the Lease appropriately.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has requested that additional space containing approximately </w:t>
            </w:r>
            <w:r>
              <w:rPr>
                <w:rFonts w:ascii="Times New Roman" w:hAnsi="Times New Roman"/>
                <w:b/>
                <w:sz w:val="20"/>
              </w:rPr>
              <w:t>370</w:t>
            </w:r>
            <w:r>
              <w:rPr>
                <w:rFonts w:ascii="Times New Roman" w:hAnsi="Times New Roman"/>
                <w:sz w:val="20"/>
              </w:rPr>
              <w:t xml:space="preserve"> Rentable Square Feet on the fifth floor of the Building shown on </w:t>
            </w:r>
            <w:r>
              <w:rPr>
                <w:rFonts w:ascii="Times New Roman" w:hAnsi="Times New Roman"/>
                <w:b/>
                <w:sz w:val="20"/>
              </w:rPr>
              <w:t>Exhibit A</w:t>
            </w:r>
            <w:r>
              <w:rPr>
                <w:rFonts w:ascii="Times New Roman" w:hAnsi="Times New Roman"/>
                <w:sz w:val="20"/>
              </w:rPr>
              <w:t xml:space="preserve"> hereto (the </w:t>
            </w:r>
            <w:r>
              <w:rPr>
                <w:rFonts w:ascii="Times New Roman" w:hAnsi="Times New Roman"/>
                <w:b/>
                <w:sz w:val="20"/>
              </w:rPr>
              <w:t>Fourth Expansion Space</w:t>
            </w:r>
            <w:r>
              <w:rPr>
                <w:rFonts w:ascii="Times New Roman" w:hAnsi="Times New Roman"/>
                <w:sz w:val="20"/>
              </w:rPr>
              <w:t xml:space="preserve">) be added to the Original Premises and that the Lease be appropriately amended and Landlord is willing to do the same on the following terms and conditions. </w:t>
            </w:r>
          </w:p>
        </w:tc>
      </w:tr>
    </w:tbl>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above recitals which by this reference are incorporated herein, the mutual covenants and conditions contained herein and other valuable consideration, the receipt and sufficiency of which are hereby acknowledged, Landlord and Tenant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1.</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Fourth Expansion Space and Effective Date</w:t>
            </w:r>
            <w:r>
              <w:rPr>
                <w:rFonts w:ascii="Times New Roman" w:hAnsi="Times New Roman"/>
                <w:sz w:val="20"/>
              </w:rPr>
              <w:t>. Effective as of April 20, 2018 (the </w:t>
            </w:r>
            <w:r>
              <w:rPr>
                <w:rFonts w:ascii="Times New Roman" w:hAnsi="Times New Roman"/>
                <w:b/>
                <w:sz w:val="20"/>
              </w:rPr>
              <w:t>Fourth Expansion Effective Date</w:t>
            </w:r>
            <w:r>
              <w:rPr>
                <w:rFonts w:ascii="Times New Roman" w:hAnsi="Times New Roman"/>
                <w:sz w:val="20"/>
              </w:rPr>
              <w:t xml:space="preserve">), the Premises, as defined in the Lease, is increased from 79,241 Rentable Square Feet on the fifth floor to 79,611 Rentable Square Feet on the fifth floor by the addition of the Fourth Expansion Space, and from and after the Fourth Expansion Effective Date, the Original Premises and the Fourth Expansion Space, collectively, shall be deemed the Premises, as defined in the Lease. The Term for the Fourth Expansion Space shall commence on the Fourth Expansion Effective Date and end on the Expiration Date. The Fourth Expansion Space is subject to all the terms and conditions of the Lease except as expressly modified herein and except that Tenant shall not be entitled to receive any allowances, abatements or other financial concessions granted with respect to the Original Premises unless such concessions are expressly provided for herein with respect to the Fourth Expansion Space. Tenants obligation to pay Rent with respect to the Fourth Expansion Space shall commence retroactively on the Commencement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Fixed Rent</w:t>
            </w:r>
            <w:r>
              <w:rPr>
                <w:rFonts w:ascii="Times New Roman" w:hAnsi="Times New Roman"/>
                <w:sz w:val="20"/>
              </w:rPr>
              <w:t xml:space="preserve">. Effective as of the Commencement Effective Date, the Fixed Rent Schedule attached to the First Amendment as Exhibit C is deleted in its entirety, and Exhibit C attached to this Amendment is substituted in its place. The parties acknowledge the Commencement Date of the Lease is June 1, 2018 and the Expiration Date is May 31, 2029.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such Fixed Rent shall be payable by Tenant in accordance with the terms of the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Additional Security Deposit</w:t>
            </w:r>
            <w:r>
              <w:rPr>
                <w:rFonts w:ascii="Times New Roman" w:hAnsi="Times New Roman"/>
                <w:sz w:val="20"/>
              </w:rPr>
              <w:t xml:space="preserve">. No additional Security Deposit shall be required in connection with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4.</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Tenants Proportionate Share</w:t>
            </w:r>
            <w:r>
              <w:rPr>
                <w:rFonts w:ascii="Times New Roman" w:hAnsi="Times New Roman"/>
                <w:sz w:val="20"/>
              </w:rPr>
              <w:t xml:space="preserve">. Effective as of the Commencement Date, Tenants Proportionate Share for the Fourth Expansion Space is 0.0310% (and Tenants Proportionate Share for the entire Premises is 6.6615%).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5.</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Expenses and Taxes</w:t>
            </w:r>
            <w:r>
              <w:rPr>
                <w:rFonts w:ascii="Times New Roman" w:hAnsi="Times New Roman"/>
                <w:sz w:val="20"/>
              </w:rPr>
              <w:t xml:space="preserve">. Effective as of the Commencement Date, in addition to Tenants Proportionate Share for the Original Premises, Tenant shall also pay Tenants Proportionate Share of Operating Expenses and Taxes applicable to the Fourth Expansion Space in accordance with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Improvements to the Fourth Expansion Space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Condition of the Fourth Expansion Space</w:t>
            </w:r>
            <w:r>
              <w:rPr>
                <w:rFonts w:ascii="Times New Roman" w:hAnsi="Times New Roman"/>
                <w:sz w:val="20"/>
              </w:rPr>
              <w:t xml:space="preserve">. Tenant has inspected the Fourth Expansion Space and agrees to accept the same as is without any agreements, representations, understandings or obligations on the part of Landlord to perform any alterations, repairs or improvements, except as may be expressly provided otherwise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Responsibility for improvements to the Fourth Expansion Space</w:t>
            </w:r>
            <w:r>
              <w:rPr>
                <w:rFonts w:ascii="Times New Roman" w:hAnsi="Times New Roman"/>
                <w:sz w:val="20"/>
              </w:rPr>
              <w:t>. Tenant may perform improvements to the Fourth Expansion Space in accordance with the Work Letter attached to the Lease as Exhibit D (</w:t>
            </w:r>
            <w:r>
              <w:rPr>
                <w:rFonts w:ascii="Times New Roman" w:hAnsi="Times New Roman"/>
                <w:b/>
                <w:sz w:val="20"/>
              </w:rPr>
              <w:t>Exhibit D</w:t>
            </w:r>
            <w:r>
              <w:rPr>
                <w:rFonts w:ascii="Times New Roman" w:hAnsi="Times New Roman"/>
                <w:sz w:val="20"/>
              </w:rPr>
              <w:t xml:space="preserve">), as Exhibit D is amended pursuant to Section 6.03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to Exhibit D (Work Letter) of the Lease</w:t>
            </w:r>
            <w:r>
              <w:rPr>
                <w:rFonts w:ascii="Times New Roman" w:hAnsi="Times New Roman"/>
                <w:sz w:val="20"/>
              </w:rPr>
              <w:t xml:space="preserve">. The provisions of Exhibit D shall apply to the Fourth Expansion Space, except as provided or amended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Sections 1(b) and 1(c) of Exhibit D shall not apply to the Fourth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Fourth Expansion Effective Date, the term Premises in Exhibit D shall be deemed to include the Fourth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Tenants Work to be performed in the Fourth Expansion Space and the deadlines and obligations imposed upon Tenant in Exhibit D, wherever there is a reference to the date of execution and delivery of the Lease in Exhibit D, such term shall be deemed to mean the date of execution and delivery of this Amendment, and wherever Tenant is required to provide information to Landlord prior to performing work in the Premises (to the extent that additional or different information than that provided in connection with the Original Premises is required with respect to the Tenants Work to be performed in the Fourth Expansion Space), except for those deadlines that are listed as specific dates (i.e. the May 31, 2019 deadline for Tenant submitting its application for payment of the Application Amount to Landlord), the deadlines and time frames contained in Exhibit D as they relate to Tenants Work to be performed in the Fourth Expansion Space (and the approval process related thereto) shall be separate and distinct from the deadlines and time frames applicable to the Original Premises. For example, with respect to the Tenants Work to be performed in the Fourth Expansion Space, Tenant shall provide Landlord with the information applicable to the Fourth Expansion Space required by Section 2(c) of Exhibit D at least 5 days prior to the commencement of construction of Tenants Work in the Fourth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Section 7(a) of Exhibit D, the amount $5,150,665.00 is deleted in its entirety, and the amount $5,174,715.00 is substituted in its place.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632"/>
        <w:gridCol w:w="612"/>
        <w:gridCol w:w="7961"/>
      </w:tblGrid>
      <w:tr>
        <w:trPr/>
        <w:tc>
          <w:tcPr>
            <w:tcW w:w="1632"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Section 7(c) of Exhibit D, the amount $1,188,615.00 is deleted in its entirety, and the amount $1,194,165.00 is substituted in its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(f)</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Section 7(h) of Exhibit D, the amount $1,287,666.25 is deleted in its entirety, and the amount $1,293,678.75 is substituted in its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Expansion Spaces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Second Expansion Space</w:t>
            </w:r>
            <w:r>
              <w:rPr>
                <w:rFonts w:ascii="Times New Roman" w:hAnsi="Times New Roman"/>
                <w:sz w:val="20"/>
              </w:rPr>
              <w:t xml:space="preserve">. Section 6.02 of Exhibit E to the Lease is hereby deleted in its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Third Expansion Space</w:t>
            </w:r>
            <w:r>
              <w:rPr>
                <w:rFonts w:ascii="Times New Roman" w:hAnsi="Times New Roman"/>
                <w:sz w:val="20"/>
              </w:rPr>
              <w:t xml:space="preserve">. Section 6.03 (a) of Exhibit E to the Lease is hereby deleted in its entirety and replaced as follows: </w:t>
            </w:r>
          </w:p>
        </w:tc>
      </w:tr>
    </w:tbl>
    <w:p>
      <w:pPr>
        <w:pStyle w:val="TextBody"/>
        <w:bidi w:val="0"/>
        <w:spacing w:before="120" w:after="0"/>
        <w:jc w:val="left"/>
        <w:rPr>
          <w:rFonts w:ascii="Times New Roman" w:hAnsi="Times New Roman"/>
          <w:sz w:val="20"/>
        </w:rPr>
      </w:pPr>
      <w:r>
        <w:rPr>
          <w:rFonts w:ascii="Times New Roman" w:hAnsi="Times New Roman"/>
          <w:sz w:val="20"/>
        </w:rPr>
        <w:t>(a) Effective on the later of (i) June 1, 2019 and (ii) the day on which possession of the Third Expansion Space (defined below) is delivered to Tenant (such later date is referred to as the </w:t>
      </w:r>
      <w:r>
        <w:rPr>
          <w:rFonts w:ascii="Times New Roman" w:hAnsi="Times New Roman"/>
          <w:b/>
          <w:sz w:val="20"/>
        </w:rPr>
        <w:t>Third Expansion Effective Date</w:t>
      </w:r>
      <w:r>
        <w:rPr>
          <w:rFonts w:ascii="Times New Roman" w:hAnsi="Times New Roman"/>
          <w:sz w:val="20"/>
        </w:rPr>
        <w:t xml:space="preserve">), the Premises, as initially defined in the Lease, shall be increased by the addition of a portion of the 5th floor of the Building consisting of 29,755 rentable square feet and depicted on </w:t>
      </w:r>
      <w:r>
        <w:rPr>
          <w:rFonts w:ascii="Times New Roman" w:hAnsi="Times New Roman"/>
          <w:sz w:val="20"/>
          <w:u w:val="single"/>
        </w:rPr>
        <w:t>Exhibit E-1</w:t>
      </w:r>
      <w:r>
        <w:rPr>
          <w:rFonts w:ascii="Times New Roman" w:hAnsi="Times New Roman"/>
          <w:sz w:val="20"/>
        </w:rPr>
        <w:t xml:space="preserve"> attached hereto (the </w:t>
      </w:r>
      <w:r>
        <w:rPr>
          <w:rFonts w:ascii="Times New Roman" w:hAnsi="Times New Roman"/>
          <w:b/>
          <w:sz w:val="20"/>
        </w:rPr>
        <w:t>Third Expansion Space</w:t>
      </w:r>
      <w:r>
        <w:rPr>
          <w:rFonts w:ascii="Times New Roman" w:hAnsi="Times New Roman"/>
          <w:sz w:val="20"/>
        </w:rPr>
        <w:t xml:space="preserve">) on the terms set forth herein. The rentable square footage of the Third Expansion Space set forth in this </w:t>
      </w:r>
      <w:r>
        <w:rPr>
          <w:rFonts w:ascii="Times New Roman" w:hAnsi="Times New Roman"/>
          <w:sz w:val="20"/>
          <w:u w:val="single"/>
        </w:rPr>
        <w:t>Section 6.03(a)</w:t>
      </w:r>
      <w:r>
        <w:rPr>
          <w:rFonts w:ascii="Times New Roman" w:hAnsi="Times New Roman"/>
          <w:sz w:val="20"/>
        </w:rPr>
        <w:t xml:space="preserve"> shall be stipulated as the rentable square footage of the Third Expansion Space. The Third Expansion Space shall be leased by Tenant subject to all the terms and conditions of the Lease except as expressly modified in this </w:t>
      </w:r>
      <w:r>
        <w:rPr>
          <w:rFonts w:ascii="Times New Roman" w:hAnsi="Times New Roman"/>
          <w:sz w:val="20"/>
          <w:u w:val="single"/>
        </w:rPr>
        <w:t>Section 6.03</w:t>
      </w:r>
      <w:r>
        <w:rPr>
          <w:rFonts w:ascii="Times New Roman" w:hAnsi="Times New Roman"/>
          <w:sz w:val="20"/>
        </w:rPr>
        <w:t xml:space="preserve"> and except that Tenant shall not be entitled to receive any allowances, abatements or other financial concessions granted with respect to the Premises initially demised by the Lease. Landlord and Tenant acknowledge that the Third Expansion Space is a portion of the Available ROFO Space as defined in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Exhibit E</w:t>
      </w:r>
      <w:r>
        <w:rPr>
          <w:rFonts w:ascii="Times New Roman" w:hAnsi="Times New Roman"/>
          <w:sz w:val="20"/>
        </w:rPr>
        <w:t xml:space="preserve"> and shall be added to the Premises pursuant to this </w:t>
      </w:r>
      <w:r>
        <w:rPr>
          <w:rFonts w:ascii="Times New Roman" w:hAnsi="Times New Roman"/>
          <w:sz w:val="20"/>
          <w:u w:val="single"/>
        </w:rPr>
        <w:t>Section 6.03</w:t>
      </w:r>
      <w:r>
        <w:rPr>
          <w:rFonts w:ascii="Times New Roman" w:hAnsi="Times New Roman"/>
          <w:sz w:val="20"/>
        </w:rPr>
        <w:t xml:space="preserve"> (including, without limitation, the non-prorated Third Expansion Space Rental Abatement [defined in </w:t>
      </w:r>
      <w:r>
        <w:rPr>
          <w:rFonts w:ascii="Times New Roman" w:hAnsi="Times New Roman"/>
          <w:sz w:val="20"/>
          <w:u w:val="single"/>
        </w:rPr>
        <w:t>Section 6.03(d)</w:t>
      </w:r>
      <w:r>
        <w:rPr>
          <w:rFonts w:ascii="Times New Roman" w:hAnsi="Times New Roman"/>
          <w:sz w:val="20"/>
        </w:rPr>
        <w:t xml:space="preserve"> below] and the non-prorated Third Expansion Space Improvement Allowance [defined in </w:t>
      </w:r>
      <w:r>
        <w:rPr>
          <w:rFonts w:ascii="Times New Roman" w:hAnsi="Times New Roman"/>
          <w:sz w:val="20"/>
          <w:u w:val="single"/>
        </w:rPr>
        <w:t>Section 6.03(c)</w:t>
      </w:r>
      <w:r>
        <w:rPr>
          <w:rFonts w:ascii="Times New Roman" w:hAnsi="Times New Roman"/>
          <w:sz w:val="20"/>
        </w:rPr>
        <w:t xml:space="preserve"> below]) and not as Offer Space under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Exhibit E</w:t>
      </w:r>
      <w:r>
        <w:rPr>
          <w:rFonts w:ascii="Times New Roman" w:hAnsi="Times New Roman"/>
          <w:sz w:val="20"/>
        </w:rPr>
        <w:t>. Following the Third Expansion Effective Date, the Available ROFO Space shall no longer include the Third Expansion Space. Landlord, at its expense, shall construct a corridor (the </w:t>
      </w:r>
      <w:r>
        <w:rPr>
          <w:rFonts w:ascii="Times New Roman" w:hAnsi="Times New Roman"/>
          <w:b/>
          <w:sz w:val="20"/>
        </w:rPr>
        <w:t>New Corridor</w:t>
      </w:r>
      <w:r>
        <w:rPr>
          <w:rFonts w:ascii="Times New Roman" w:hAnsi="Times New Roman"/>
          <w:sz w:val="20"/>
        </w:rPr>
        <w:t xml:space="preserve">) in certain space currently leased to Wrigley under the Wrigley Lease after Landlord regains legal possession of the portion of the space currently leased to Wrigley containing the New Corridor, which construction shall occur simultaneously with Tenants performance of the Third Expansion Space Improvements.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Exhibit E-1</w:t>
            </w:r>
            <w:r>
              <w:rPr>
                <w:rFonts w:ascii="Times New Roman" w:hAnsi="Times New Roman"/>
                <w:sz w:val="20"/>
              </w:rPr>
              <w:t xml:space="preserve">. Exhibit E-1 attached to the First Amendment as Exhibit E-1 is deleted in its entirety, and </w:t>
            </w:r>
            <w:r>
              <w:rPr>
                <w:rFonts w:ascii="Times New Roman" w:hAnsi="Times New Roman"/>
                <w:b/>
                <w:sz w:val="20"/>
              </w:rPr>
              <w:t>Exhibit E-1</w:t>
            </w:r>
            <w:r>
              <w:rPr>
                <w:rFonts w:ascii="Times New Roman" w:hAnsi="Times New Roman"/>
                <w:sz w:val="20"/>
              </w:rPr>
              <w:t xml:space="preserve"> attached to this Amendment is substituted in its place. </w:t>
            </w:r>
            <w:r>
              <w:rPr>
                <w:rFonts w:ascii="Times New Roman" w:hAnsi="Times New Roman"/>
                <w:b/>
                <w:sz w:val="20"/>
              </w:rPr>
              <w:t>Exhibit E-1</w:t>
            </w:r>
            <w:r>
              <w:rPr>
                <w:rFonts w:ascii="Times New Roman" w:hAnsi="Times New Roman"/>
                <w:sz w:val="20"/>
              </w:rPr>
              <w:t xml:space="preserve"> depicts the location of the First Expansion Space, the Third Expansion Space and the New Corridor on the fifth floor of the Building. In addition to construction of the New Corridor, Landlord, at its expense, shall (i) remove the existing doors separating the New Corridor from the elevator lobby on the fifth floor of the Building and (ii) install double glass doors from the New Corridor into the Third Expansion Space and install a single door from the Common Area into the First Expansion Space. The work described in clause (ii) in the preceding sentence is shown on </w:t>
            </w:r>
            <w:r>
              <w:rPr>
                <w:rFonts w:ascii="Times New Roman" w:hAnsi="Times New Roman"/>
                <w:b/>
                <w:sz w:val="20"/>
              </w:rPr>
              <w:t>Exhibit E-2</w:t>
            </w:r>
            <w:r>
              <w:rPr>
                <w:rFonts w:ascii="Times New Roman" w:hAnsi="Times New Roman"/>
                <w:sz w:val="20"/>
              </w:rPr>
              <w:t xml:space="preserve"> attached to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Wrigley Lease</w:t>
            </w:r>
            <w:r>
              <w:rPr>
                <w:rFonts w:ascii="Times New Roman" w:hAnsi="Times New Roman"/>
                <w:sz w:val="20"/>
              </w:rPr>
              <w:t>. Notwithstanding anything to the contrary contained in the Lease or this Amendment, Landlord agrees not to renew the Wrigley Lease with respect to the First Expansion Space or the Third Expansion Space, except as required by Legal Requirements. As of the date of this Amendment, Landlord and Wrigley are negotiating the renewal of the Wrigley Lease for 1 year (with an expiration date of May 31, 2020) with respect to the portion of the Wrigley Space (the </w:t>
            </w:r>
            <w:r>
              <w:rPr>
                <w:rFonts w:ascii="Times New Roman" w:hAnsi="Times New Roman"/>
                <w:b/>
                <w:sz w:val="20"/>
              </w:rPr>
              <w:t>Remaining Wrigley 5th</w:t>
            </w:r>
            <w:r>
              <w:rPr>
                <w:rFonts w:ascii="Times New Roman" w:hAnsi="Times New Roman"/>
                <w:sz w:val="20"/>
              </w:rPr>
              <w:t xml:space="preserve"> </w:t>
            </w:r>
            <w:r>
              <w:rPr>
                <w:rFonts w:ascii="Times New Roman" w:hAnsi="Times New Roman"/>
                <w:b/>
                <w:sz w:val="20"/>
              </w:rPr>
              <w:t>Floor Space</w:t>
            </w:r>
            <w:r>
              <w:rPr>
                <w:rFonts w:ascii="Times New Roman" w:hAnsi="Times New Roman"/>
                <w:sz w:val="20"/>
              </w:rPr>
              <w:t xml:space="preserve">) consisting of approximately 38,327 rentable square feet and adjacent to (and not including) the Third Expansion Space as well as not including the First Expansion Space. Notwithstanding anything to the contrary contained in the Lease or this Amendment, Landlord agrees not to enter into any further one-year extensions of the Wrigley Lease with respect to the Remaining Wrigley 5th Floor Space beyond June 1, 2020, except as required by Legal Requirements. As required in Sections 6.01(e) and 6.03(e) of Exhibit E to the Lease, Landlord shall make reasonable efforts to obtain possession of the First Expansion Space and Third Expansion Space upon expiration of the Wrigley Lease on May 31, 2019.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8.</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Roof Deck</w:t>
            </w:r>
            <w:r>
              <w:rPr>
                <w:rFonts w:ascii="Times New Roman" w:hAnsi="Times New Roman"/>
                <w:sz w:val="20"/>
              </w:rPr>
              <w:t>. Subject to the rights of other tenants and occupants of the 600 Building and 900 Building to use the improved portion of the roof deck of the 600 Building designated by Landlord for common use by tenants and occupants of the 600 Building and 900 Building (the </w:t>
            </w:r>
            <w:r>
              <w:rPr>
                <w:rFonts w:ascii="Times New Roman" w:hAnsi="Times New Roman"/>
                <w:b/>
                <w:sz w:val="20"/>
              </w:rPr>
              <w:t>Roof Deck</w:t>
            </w:r>
            <w:r>
              <w:rPr>
                <w:rFonts w:ascii="Times New Roman" w:hAnsi="Times New Roman"/>
                <w:sz w:val="20"/>
              </w:rPr>
              <w:t xml:space="preserve">), and further subject to Tenants compliance with both the rules and regulations, such as usage fees, access hours and permitted activities, and Landlords reservation procedures relating to the use of the Roof Deck, Tenant shall have the right to use the Roof Deck. Notwithstanding the foregoing, Tenant shall be permitted to reserve the Roof Deck for private events occurring after business hours on a first-come, first-served basis 4 times in each calendar year during the Term (prorated for partial calendar years during the Term) with no usage fees for such 4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Area Restrooms</w:t>
            </w:r>
            <w:r>
              <w:rPr>
                <w:rFonts w:ascii="Times New Roman" w:hAnsi="Times New Roman"/>
                <w:sz w:val="20"/>
              </w:rPr>
              <w:t xml:space="preserve">. Landlord, at its sole cost and expense, shall substantially complete a refurbishment of the Common Area restrooms depicted on </w:t>
            </w:r>
            <w:r>
              <w:rPr>
                <w:rFonts w:ascii="Times New Roman" w:hAnsi="Times New Roman"/>
                <w:b/>
                <w:sz w:val="20"/>
              </w:rPr>
              <w:t>Exhibit E-2</w:t>
            </w:r>
            <w:r>
              <w:rPr>
                <w:rFonts w:ascii="Times New Roman" w:hAnsi="Times New Roman"/>
                <w:sz w:val="20"/>
              </w:rPr>
              <w:t xml:space="preserve"> and located on the 5th floor of the 600 Building on or before December 31,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Parking Space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67"/>
        <w:gridCol w:w="9232"/>
      </w:tblGrid>
      <w:tr>
        <w:trPr/>
        <w:tc>
          <w:tcPr>
            <w:tcW w:w="406" w:type="dxa"/>
            <w:tcBorders/>
            <w:vAlign w:val="center"/>
          </w:tcPr>
          <w:p>
            <w:pPr>
              <w:pStyle w:val="TableContents"/>
              <w:bidi w:val="0"/>
              <w:spacing w:before="0" w:after="283"/>
              <w:jc w:val="left"/>
              <w:rPr/>
            </w:pPr>
            <w:r>
              <w:rPr/>
              <w:t> </w:t>
            </w:r>
          </w:p>
        </w:tc>
        <w:tc>
          <w:tcPr>
            <w:tcW w:w="567" w:type="dxa"/>
            <w:tcBorders/>
          </w:tcPr>
          <w:p>
            <w:pPr>
              <w:pStyle w:val="TableContents"/>
              <w:bidi w:val="0"/>
              <w:spacing w:before="0" w:after="283"/>
              <w:jc w:val="left"/>
              <w:rPr/>
            </w:pPr>
            <w:r>
              <w:rPr/>
              <w:t>10.01</w:t>
            </w:r>
          </w:p>
        </w:tc>
        <w:tc>
          <w:tcPr>
            <w:tcW w:w="9232" w:type="dxa"/>
            <w:tcBorders/>
          </w:tcPr>
          <w:p>
            <w:pPr>
              <w:pStyle w:val="TableContents"/>
              <w:bidi w:val="0"/>
              <w:spacing w:before="0" w:after="0"/>
              <w:jc w:val="left"/>
              <w:rPr>
                <w:rFonts w:ascii="Times New Roman" w:hAnsi="Times New Roman"/>
                <w:sz w:val="20"/>
              </w:rPr>
            </w:pPr>
            <w:r>
              <w:rPr>
                <w:rFonts w:ascii="Times New Roman" w:hAnsi="Times New Roman"/>
                <w:sz w:val="20"/>
              </w:rPr>
              <w:t>Landlord agrees that the 3 Reserved Parking Spaces located in the 900 Parking Garage shall be (i) the closest available reserved parking spaces from time to time to the entrance to the 600 Building from the 5th floor of the 900 Parking Garage as long as the 3 Reserved Parking Spaces are located on the 5th floor of the 900 Parking Garage, and (ii) the closest available reserved parking spaces from time to time to the </w:t>
            </w:r>
            <w:r>
              <w:rPr>
                <w:rFonts w:ascii="Times New Roman" w:hAnsi="Times New Roman"/>
                <w:b/>
                <w:sz w:val="20"/>
              </w:rPr>
              <w:t>Executive Parking</w:t>
            </w:r>
            <w:r>
              <w:rPr>
                <w:rFonts w:ascii="Times New Roman" w:hAnsi="Times New Roman"/>
                <w:sz w:val="20"/>
              </w:rPr>
              <w:t xml:space="preserve"> spaces allocated to Groupon, Inc. on the 4th floor of the 900 Parking Garage as of the time when the 3 Reserved Parking Spaces are no longer located on the 5th floor of the 900 Parking Garage.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84"/>
        <w:gridCol w:w="9218"/>
      </w:tblGrid>
      <w:tr>
        <w:trPr/>
        <w:tc>
          <w:tcPr>
            <w:tcW w:w="403" w:type="dxa"/>
            <w:tcBorders/>
            <w:vAlign w:val="center"/>
          </w:tcPr>
          <w:p>
            <w:pPr>
              <w:pStyle w:val="TableContents"/>
              <w:bidi w:val="0"/>
              <w:spacing w:before="0" w:after="283"/>
              <w:jc w:val="left"/>
              <w:rPr/>
            </w:pPr>
            <w:r>
              <w:rPr/>
              <w:t> </w:t>
            </w:r>
          </w:p>
        </w:tc>
        <w:tc>
          <w:tcPr>
            <w:tcW w:w="584" w:type="dxa"/>
            <w:tcBorders/>
          </w:tcPr>
          <w:p>
            <w:pPr>
              <w:pStyle w:val="TableContents"/>
              <w:bidi w:val="0"/>
              <w:spacing w:before="0" w:after="283"/>
              <w:jc w:val="left"/>
              <w:rPr/>
            </w:pPr>
            <w:r>
              <w:rPr/>
              <w:t>10.02</w:t>
            </w:r>
          </w:p>
        </w:tc>
        <w:tc>
          <w:tcPr>
            <w:tcW w:w="92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terms of Section 10.7 of the Lease, 20 of the 25 Non-reserved Parking Spaces as of the date of this Amendment shall be located in the 900 Parking Garage throughout the Term, including any extensions thereof. That certain Parking Agreement dated as of January 24, 2018 between Landlord and Tenant is hereby terminated and of no further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75"/>
        <w:gridCol w:w="9225"/>
      </w:tblGrid>
      <w:tr>
        <w:trPr/>
        <w:tc>
          <w:tcPr>
            <w:tcW w:w="405" w:type="dxa"/>
            <w:tcBorders/>
            <w:vAlign w:val="center"/>
          </w:tcPr>
          <w:p>
            <w:pPr>
              <w:pStyle w:val="TableContents"/>
              <w:bidi w:val="0"/>
              <w:spacing w:before="0" w:after="283"/>
              <w:jc w:val="left"/>
              <w:rPr/>
            </w:pPr>
            <w:r>
              <w:rPr/>
              <w:t> </w:t>
            </w:r>
          </w:p>
        </w:tc>
        <w:tc>
          <w:tcPr>
            <w:tcW w:w="575" w:type="dxa"/>
            <w:tcBorders/>
          </w:tcPr>
          <w:p>
            <w:pPr>
              <w:pStyle w:val="TableContents"/>
              <w:bidi w:val="0"/>
              <w:spacing w:before="0" w:after="283"/>
              <w:jc w:val="left"/>
              <w:rPr/>
            </w:pPr>
            <w:r>
              <w:rPr/>
              <w:t>10.03</w:t>
            </w:r>
          </w:p>
        </w:tc>
        <w:tc>
          <w:tcPr>
            <w:tcW w:w="92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Commencing on each respective date set forth below and continuing for the remainder of the Term, Landlord confers upon Tenant the right and license to use the number of additional non-reserved parking spaces set forth below under all the terms and conditions of the Lease, including, without limitation, Tenants obligation to pay a parking fee with respect to such additional non-reserved parking spaces: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381"/>
        <w:gridCol w:w="662"/>
        <w:gridCol w:w="718"/>
        <w:gridCol w:w="3116"/>
        <w:gridCol w:w="62"/>
      </w:tblGrid>
      <w:tr>
        <w:trPr/>
        <w:tc>
          <w:tcPr>
            <w:tcW w:w="2381"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662" w:type="dxa"/>
            <w:tcBorders/>
            <w:vAlign w:val="bottom"/>
          </w:tcPr>
          <w:p>
            <w:pPr>
              <w:pStyle w:val="TableContents"/>
              <w:bidi w:val="0"/>
              <w:spacing w:before="0" w:after="283"/>
              <w:jc w:val="left"/>
              <w:rPr/>
            </w:pPr>
            <w:r>
              <w:rPr/>
              <w:t>  </w:t>
            </w:r>
          </w:p>
        </w:tc>
        <w:tc>
          <w:tcPr>
            <w:tcW w:w="3834"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ADDITIONAL NON-</w:t>
            </w:r>
            <w:r>
              <w:rPr/>
              <w:br/>
            </w:r>
            <w:r>
              <w:rPr>
                <w:b/>
              </w:rPr>
              <w:t>RESERVED PARKING SPACES</w:t>
            </w:r>
          </w:p>
        </w:tc>
        <w:tc>
          <w:tcPr>
            <w:tcW w:w="62" w:type="dxa"/>
            <w:tcBorders/>
            <w:vAlign w:val="bottom"/>
          </w:tcPr>
          <w:p>
            <w:pPr>
              <w:pStyle w:val="TableContents"/>
              <w:bidi w:val="0"/>
              <w:spacing w:before="0" w:after="283"/>
              <w:jc w:val="left"/>
              <w:rPr/>
            </w:pPr>
            <w:r>
              <w:rPr/>
              <w:t> </w:t>
            </w:r>
          </w:p>
        </w:tc>
      </w:tr>
      <w:tr>
        <w:trPr/>
        <w:tc>
          <w:tcPr>
            <w:tcW w:w="2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Expansion Rent</w:t>
            </w:r>
          </w:p>
          <w:p>
            <w:pPr>
              <w:pStyle w:val="TableContents"/>
              <w:bidi w:val="0"/>
              <w:spacing w:before="0" w:after="20"/>
              <w:jc w:val="left"/>
              <w:rPr>
                <w:rFonts w:ascii="Times New Roman" w:hAnsi="Times New Roman"/>
                <w:sz w:val="20"/>
              </w:rPr>
            </w:pPr>
            <w:r>
              <w:rPr>
                <w:rFonts w:ascii="Times New Roman" w:hAnsi="Times New Roman"/>
                <w:sz w:val="20"/>
              </w:rPr>
              <w:t>Commencement Date</w:t>
            </w:r>
          </w:p>
        </w:tc>
        <w:tc>
          <w:tcPr>
            <w:tcW w:w="662"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left"/>
              <w:rPr/>
            </w:pPr>
            <w:r>
              <w:rPr/>
              <w:t> </w:t>
            </w:r>
          </w:p>
        </w:tc>
        <w:tc>
          <w:tcPr>
            <w:tcW w:w="3116" w:type="dxa"/>
            <w:tcBorders/>
            <w:shd w:fill="CCEEFF" w:val="clear"/>
            <w:vAlign w:val="bottom"/>
          </w:tcPr>
          <w:p>
            <w:pPr>
              <w:pStyle w:val="TableContents"/>
              <w:bidi w:val="0"/>
              <w:spacing w:before="0" w:after="283"/>
              <w:jc w:val="right"/>
              <w:rPr/>
            </w:pPr>
            <w:r>
              <w:rPr/>
              <w:t>2</w:t>
            </w:r>
          </w:p>
        </w:tc>
        <w:tc>
          <w:tcPr>
            <w:tcW w:w="62" w:type="dxa"/>
            <w:tcBorders/>
            <w:shd w:fill="CCEEFF" w:val="clear"/>
            <w:vAlign w:val="bottom"/>
          </w:tcPr>
          <w:p>
            <w:pPr>
              <w:pStyle w:val="TableContents"/>
              <w:bidi w:val="0"/>
              <w:spacing w:before="0" w:after="283"/>
              <w:jc w:val="left"/>
              <w:rPr/>
            </w:pPr>
            <w:r>
              <w:rPr/>
              <w:t> </w:t>
            </w:r>
          </w:p>
        </w:tc>
      </w:tr>
      <w:tr>
        <w:trPr/>
        <w:tc>
          <w:tcPr>
            <w:tcW w:w="2381" w:type="dxa"/>
            <w:tcBorders/>
          </w:tcPr>
          <w:p>
            <w:pPr>
              <w:pStyle w:val="TableContents"/>
              <w:bidi w:val="0"/>
              <w:spacing w:before="0" w:after="0"/>
              <w:jc w:val="left"/>
              <w:rPr>
                <w:rFonts w:ascii="Times New Roman" w:hAnsi="Times New Roman"/>
                <w:sz w:val="20"/>
              </w:rPr>
            </w:pPr>
            <w:r>
              <w:rPr>
                <w:rFonts w:ascii="Times New Roman" w:hAnsi="Times New Roman"/>
                <w:sz w:val="20"/>
              </w:rPr>
              <w:t>Third Expansion Rent</w:t>
            </w:r>
          </w:p>
          <w:p>
            <w:pPr>
              <w:pStyle w:val="TableContents"/>
              <w:bidi w:val="0"/>
              <w:spacing w:before="0" w:after="20"/>
              <w:jc w:val="left"/>
              <w:rPr>
                <w:rFonts w:ascii="Times New Roman" w:hAnsi="Times New Roman"/>
                <w:sz w:val="20"/>
              </w:rPr>
            </w:pPr>
            <w:r>
              <w:rPr>
                <w:rFonts w:ascii="Times New Roman" w:hAnsi="Times New Roman"/>
                <w:sz w:val="20"/>
              </w:rPr>
              <w:t>Commencement Date</w:t>
            </w:r>
          </w:p>
        </w:tc>
        <w:tc>
          <w:tcPr>
            <w:tcW w:w="66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left"/>
              <w:rPr/>
            </w:pPr>
            <w:r>
              <w:rPr/>
              <w:t> </w:t>
            </w:r>
          </w:p>
        </w:tc>
        <w:tc>
          <w:tcPr>
            <w:tcW w:w="3116"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additional non-reserved parking spaces shall be deemed Non-reserved Parking Spaces for purposes of the Lease and shall be located in the 900 Parking Garage to the extent parking spaces are available in the 900 Parking Garage.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Other Pertinent Provisions</w:t>
            </w:r>
            <w:r>
              <w:rPr>
                <w:rFonts w:ascii="Times New Roman" w:hAnsi="Times New Roman"/>
                <w:sz w:val="20"/>
              </w:rPr>
              <w:t xml:space="preserve">. Landlord and Tenant agree that, effective as of the date of this Amendment (unless different effective date(s) is/are specifically referenced in this Section), the Lease shall be amended in the following additional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91"/>
        <w:gridCol w:w="9208"/>
      </w:tblGrid>
      <w:tr>
        <w:trPr/>
        <w:tc>
          <w:tcPr>
            <w:tcW w:w="406" w:type="dxa"/>
            <w:tcBorders/>
            <w:vAlign w:val="center"/>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11.01</w:t>
            </w:r>
          </w:p>
        </w:tc>
        <w:tc>
          <w:tcPr>
            <w:tcW w:w="920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Address and Method for Payments of Rent</w:t>
            </w:r>
            <w:r>
              <w:rPr>
                <w:rFonts w:ascii="Times New Roman" w:hAnsi="Times New Roman"/>
                <w:sz w:val="20"/>
              </w:rPr>
              <w:t xml:space="preserve">. The address regarding Tenants payment of amounts due under the Lease set forth in Section 2.2 of the Lease, is no longer of any further effect, and the following address is substituted in its place: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Bank: </w:t>
      </w:r>
    </w:p>
    <w:p>
      <w:pPr>
        <w:pStyle w:val="TextBody"/>
        <w:bidi w:val="0"/>
        <w:spacing w:before="0" w:after="0"/>
        <w:jc w:val="left"/>
        <w:rPr>
          <w:rFonts w:ascii="Times New Roman" w:hAnsi="Times New Roman"/>
          <w:sz w:val="20"/>
        </w:rPr>
      </w:pPr>
      <w:r>
        <w:rPr>
          <w:rFonts w:ascii="Times New Roman" w:hAnsi="Times New Roman"/>
          <w:sz w:val="20"/>
        </w:rPr>
        <w:t xml:space="preserve">Bank Address: </w:t>
      </w:r>
    </w:p>
    <w:p>
      <w:pPr>
        <w:pStyle w:val="TextBody"/>
        <w:bidi w:val="0"/>
        <w:spacing w:before="0" w:after="0"/>
        <w:jc w:val="left"/>
        <w:rPr>
          <w:rFonts w:ascii="Times New Roman" w:hAnsi="Times New Roman"/>
          <w:sz w:val="20"/>
        </w:rPr>
      </w:pPr>
      <w:r>
        <w:rPr>
          <w:rFonts w:ascii="Times New Roman" w:hAnsi="Times New Roman"/>
          <w:sz w:val="20"/>
        </w:rPr>
        <w:t xml:space="preserve">ABA Number: </w:t>
      </w:r>
    </w:p>
    <w:p>
      <w:pPr>
        <w:pStyle w:val="TextBody"/>
        <w:bidi w:val="0"/>
        <w:spacing w:before="0" w:after="0"/>
        <w:jc w:val="left"/>
        <w:rPr>
          <w:rFonts w:ascii="Times New Roman" w:hAnsi="Times New Roman"/>
          <w:sz w:val="20"/>
        </w:rPr>
      </w:pPr>
      <w:r>
        <w:rPr>
          <w:rFonts w:ascii="Times New Roman" w:hAnsi="Times New Roman"/>
          <w:sz w:val="20"/>
        </w:rPr>
        <w:t xml:space="preserve">Account Name: </w:t>
      </w:r>
    </w:p>
    <w:p>
      <w:pPr>
        <w:pStyle w:val="TextBody"/>
        <w:bidi w:val="0"/>
        <w:spacing w:before="0" w:after="0"/>
        <w:jc w:val="left"/>
        <w:rPr>
          <w:rFonts w:ascii="Times New Roman" w:hAnsi="Times New Roman"/>
          <w:sz w:val="20"/>
        </w:rPr>
      </w:pPr>
      <w:r>
        <w:rPr>
          <w:rFonts w:ascii="Times New Roman" w:hAnsi="Times New Roman"/>
          <w:sz w:val="20"/>
        </w:rPr>
        <w:t xml:space="preserve">Account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81"/>
        <w:gridCol w:w="9220"/>
      </w:tblGrid>
      <w:tr>
        <w:trPr/>
        <w:tc>
          <w:tcPr>
            <w:tcW w:w="404" w:type="dxa"/>
            <w:tcBorders/>
            <w:vAlign w:val="center"/>
          </w:tcPr>
          <w:p>
            <w:pPr>
              <w:pStyle w:val="TableContents"/>
              <w:bidi w:val="0"/>
              <w:spacing w:before="0" w:after="283"/>
              <w:jc w:val="left"/>
              <w:rPr/>
            </w:pPr>
            <w:r>
              <w:rPr/>
              <w:t> </w:t>
            </w:r>
          </w:p>
        </w:tc>
        <w:tc>
          <w:tcPr>
            <w:tcW w:w="581" w:type="dxa"/>
            <w:tcBorders/>
          </w:tcPr>
          <w:p>
            <w:pPr>
              <w:pStyle w:val="TableContents"/>
              <w:bidi w:val="0"/>
              <w:spacing w:before="0" w:after="283"/>
              <w:jc w:val="left"/>
              <w:rPr/>
            </w:pPr>
            <w:r>
              <w:rPr/>
              <w:t>11.02</w:t>
            </w:r>
          </w:p>
        </w:tc>
        <w:tc>
          <w:tcPr>
            <w:tcW w:w="922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Landlords Address for Notices / Delivery of Notices</w:t>
            </w:r>
            <w:r>
              <w:rPr>
                <w:rFonts w:ascii="Times New Roman" w:hAnsi="Times New Roman"/>
                <w:sz w:val="20"/>
              </w:rPr>
              <w:t xml:space="preserve">. Section 8.01(a) of Exhibit E to the Lease is amended to delete any prior addresses for notices to Landlord and to instead provide that Landlords address for notices or other communications under the Lease 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Chicago Kingsbury, LLC </w:t>
      </w:r>
    </w:p>
    <w:p>
      <w:pPr>
        <w:pStyle w:val="TextBody"/>
        <w:bidi w:val="0"/>
        <w:spacing w:before="0" w:after="0"/>
        <w:jc w:val="left"/>
        <w:rPr>
          <w:rFonts w:ascii="Times New Roman" w:hAnsi="Times New Roman"/>
          <w:sz w:val="20"/>
        </w:rPr>
      </w:pPr>
      <w:r>
        <w:rPr>
          <w:rFonts w:ascii="Times New Roman" w:hAnsi="Times New Roman"/>
          <w:sz w:val="20"/>
        </w:rPr>
        <w:t xml:space="preserve">c/o Sterling Bay Property Management, LLC </w:t>
      </w:r>
    </w:p>
    <w:p>
      <w:pPr>
        <w:pStyle w:val="TextBody"/>
        <w:bidi w:val="0"/>
        <w:spacing w:before="0" w:after="0"/>
        <w:jc w:val="left"/>
        <w:rPr>
          <w:rFonts w:ascii="Times New Roman" w:hAnsi="Times New Roman"/>
          <w:sz w:val="20"/>
        </w:rPr>
      </w:pPr>
      <w:r>
        <w:rPr>
          <w:rFonts w:ascii="Times New Roman" w:hAnsi="Times New Roman"/>
          <w:sz w:val="20"/>
        </w:rPr>
        <w:t xml:space="preserve">1330 West Fulton Street </w:t>
      </w:r>
    </w:p>
    <w:p>
      <w:pPr>
        <w:pStyle w:val="TextBody"/>
        <w:bidi w:val="0"/>
        <w:spacing w:before="0" w:after="0"/>
        <w:jc w:val="left"/>
        <w:rPr>
          <w:rFonts w:ascii="Times New Roman" w:hAnsi="Times New Roman"/>
          <w:sz w:val="20"/>
        </w:rPr>
      </w:pPr>
      <w:r>
        <w:rPr>
          <w:rFonts w:ascii="Times New Roman" w:hAnsi="Times New Roman"/>
          <w:sz w:val="20"/>
        </w:rPr>
        <w:t xml:space="preserve">Suite 800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60607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Sterling Bay, LLC </w:t>
      </w:r>
    </w:p>
    <w:p>
      <w:pPr>
        <w:pStyle w:val="TextBody"/>
        <w:bidi w:val="0"/>
        <w:spacing w:before="0" w:after="0"/>
        <w:jc w:val="left"/>
        <w:rPr>
          <w:rFonts w:ascii="Times New Roman" w:hAnsi="Times New Roman"/>
          <w:sz w:val="20"/>
        </w:rPr>
      </w:pPr>
      <w:r>
        <w:rPr>
          <w:rFonts w:ascii="Times New Roman" w:hAnsi="Times New Roman"/>
          <w:sz w:val="20"/>
        </w:rPr>
        <w:t xml:space="preserve">1330 W. Fulton Street </w:t>
      </w:r>
    </w:p>
    <w:p>
      <w:pPr>
        <w:pStyle w:val="TextBody"/>
        <w:bidi w:val="0"/>
        <w:spacing w:before="0" w:after="0"/>
        <w:jc w:val="left"/>
        <w:rPr>
          <w:rFonts w:ascii="Times New Roman" w:hAnsi="Times New Roman"/>
          <w:sz w:val="20"/>
        </w:rPr>
      </w:pPr>
      <w:r>
        <w:rPr>
          <w:rFonts w:ascii="Times New Roman" w:hAnsi="Times New Roman"/>
          <w:sz w:val="20"/>
        </w:rPr>
        <w:t xml:space="preserve">Suite 800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60607 </w:t>
      </w:r>
    </w:p>
    <w:p>
      <w:pPr>
        <w:pStyle w:val="TextBody"/>
        <w:bidi w:val="0"/>
        <w:spacing w:before="0" w:after="0"/>
        <w:jc w:val="left"/>
        <w:rPr>
          <w:rFonts w:ascii="Times New Roman" w:hAnsi="Times New Roman"/>
          <w:sz w:val="20"/>
        </w:rPr>
      </w:pPr>
      <w:r>
        <w:rPr>
          <w:rFonts w:ascii="Times New Roman" w:hAnsi="Times New Roman"/>
          <w:sz w:val="20"/>
        </w:rPr>
        <w:t xml:space="preserve">Attn: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79"/>
        <w:gridCol w:w="9221"/>
      </w:tblGrid>
      <w:tr>
        <w:trPr/>
        <w:tc>
          <w:tcPr>
            <w:tcW w:w="405" w:type="dxa"/>
            <w:tcBorders/>
            <w:vAlign w:val="center"/>
          </w:tcPr>
          <w:p>
            <w:pPr>
              <w:pStyle w:val="TableContents"/>
              <w:bidi w:val="0"/>
              <w:spacing w:before="0" w:after="283"/>
              <w:jc w:val="left"/>
              <w:rPr/>
            </w:pPr>
            <w:r>
              <w:rPr/>
              <w:t> </w:t>
            </w:r>
          </w:p>
        </w:tc>
        <w:tc>
          <w:tcPr>
            <w:tcW w:w="579" w:type="dxa"/>
            <w:tcBorders/>
          </w:tcPr>
          <w:p>
            <w:pPr>
              <w:pStyle w:val="TableContents"/>
              <w:bidi w:val="0"/>
              <w:spacing w:before="0" w:after="283"/>
              <w:jc w:val="left"/>
              <w:rPr/>
            </w:pPr>
            <w:r>
              <w:rPr/>
              <w:t>11.03</w:t>
            </w:r>
          </w:p>
        </w:tc>
        <w:tc>
          <w:tcPr>
            <w:tcW w:w="922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Insurance</w:t>
            </w:r>
            <w:r>
              <w:rPr>
                <w:rFonts w:ascii="Times New Roman" w:hAnsi="Times New Roman"/>
                <w:sz w:val="20"/>
              </w:rPr>
              <w:t xml:space="preserve">. The Lease, including, without limitation, Section 8.10 of Exhibit E to of the Lease, is hereby amended to provide that the following parties are the Additional Insureds: Landlord; Chicago Kingsbury Mezz, LLC; Sterling Bay, LLC; Sterling Bay Property Management, LLC, as Managing Agent, and their respective successors and/or assigns; Morgan Stanley Bank, N.A., ISAOA ATIMA and Morgan Stanley Mortgage Capital Holdings LLC, ISAOA ATIMA, and their respective successors and/or assigns.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91"/>
        <w:gridCol w:w="9208"/>
      </w:tblGrid>
      <w:tr>
        <w:trPr/>
        <w:tc>
          <w:tcPr>
            <w:tcW w:w="406" w:type="dxa"/>
            <w:tcBorders/>
            <w:vAlign w:val="center"/>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11.04</w:t>
            </w:r>
          </w:p>
        </w:tc>
        <w:tc>
          <w:tcPr>
            <w:tcW w:w="920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As of the date hereof, the following is the name and address of the Mortgagee entitled to notice as set forth in Section 9.2 of the Lease: </w:t>
            </w:r>
          </w:p>
        </w:tc>
      </w:tr>
    </w:tbl>
    <w:p>
      <w:pPr>
        <w:pStyle w:val="TextBody"/>
        <w:bidi w:val="0"/>
        <w:spacing w:before="120" w:after="0"/>
        <w:jc w:val="left"/>
        <w:rPr>
          <w:rFonts w:ascii="Times New Roman" w:hAnsi="Times New Roman"/>
          <w:sz w:val="20"/>
        </w:rPr>
      </w:pPr>
      <w:r>
        <w:rPr>
          <w:rFonts w:ascii="Times New Roman" w:hAnsi="Times New Roman"/>
          <w:sz w:val="20"/>
        </w:rPr>
        <w:t xml:space="preserve">Morgan Stanley Mortgage Capital Holdings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25th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Attention: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Paul Hastings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New York, New York 10166 </w:t>
      </w:r>
    </w:p>
    <w:p>
      <w:pPr>
        <w:pStyle w:val="TextBody"/>
        <w:bidi w:val="0"/>
        <w:spacing w:before="0" w:after="0"/>
        <w:jc w:val="left"/>
        <w:rPr>
          <w:rFonts w:ascii="Times New Roman" w:hAnsi="Times New Roman"/>
          <w:sz w:val="20"/>
        </w:rPr>
      </w:pPr>
      <w:r>
        <w:rPr>
          <w:rFonts w:ascii="Times New Roman" w:hAnsi="Times New Roman"/>
          <w:sz w:val="20"/>
        </w:rPr>
        <w:t xml:space="preserve">Attention: Eric F. Allendorf, Esq.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90"/>
        <w:gridCol w:w="9208"/>
      </w:tblGrid>
      <w:tr>
        <w:trPr/>
        <w:tc>
          <w:tcPr>
            <w:tcW w:w="407" w:type="dxa"/>
            <w:tcBorders/>
            <w:vAlign w:val="center"/>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11.05</w:t>
            </w:r>
          </w:p>
        </w:tc>
        <w:tc>
          <w:tcPr>
            <w:tcW w:w="92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the Lease as Article 36: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36. </w:t>
      </w:r>
      <w:r>
        <w:rPr>
          <w:rFonts w:ascii="Times New Roman" w:hAnsi="Times New Roman"/>
          <w:b/>
          <w:sz w:val="20"/>
          <w:u w:val="single"/>
        </w:rPr>
        <w:t>WM</w:t>
      </w:r>
      <w:r>
        <w:rPr>
          <w:rFonts w:ascii="Times New Roman" w:hAnsi="Times New Roman"/>
          <w:sz w:val="20"/>
        </w:rPr>
        <w:t>. Landlord and Tenant agree that all Rent payable by Tenant to Landlord shall qualify as rents from real property within the meaning of both Sections 512(b)(3) and 856(d) of the Internal Revenue Code of 1986, as amended (the Code) and the U.S. Department of Treasury Regulations promulgated thereunder (the </w:t>
      </w:r>
      <w:r>
        <w:rPr>
          <w:rFonts w:ascii="Times New Roman" w:hAnsi="Times New Roman"/>
          <w:b/>
          <w:sz w:val="20"/>
        </w:rPr>
        <w:t>Regulations</w:t>
      </w:r>
      <w:r>
        <w:rPr>
          <w:rFonts w:ascii="Times New Roman" w:hAnsi="Times New Roman"/>
          <w:sz w:val="20"/>
        </w:rPr>
        <w:t xml:space="preserve">). In the event that Landlord, in its sole and absolute discretion, determines that there is any risk that all or part of any Rent shall not qualify as rents from real property for the purposes of Sections 512(b)(3) or 856(d) of the Code and the Regulations promulgated thereunder, Tenant agrees (1) to cooperate with Landlord by entering into such amendment or amendments as Landlord deems necessary to qualify all Rents as rents from real property, and (2) to permit an assignment of this Lease; provided, however, that any adjustments required pursuant to this Section shall be made so as to produce the equivalent Rent (in economic terms) payable prior to such adjustment.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90"/>
        <w:gridCol w:w="9208"/>
      </w:tblGrid>
      <w:tr>
        <w:trPr/>
        <w:tc>
          <w:tcPr>
            <w:tcW w:w="407" w:type="dxa"/>
            <w:tcBorders/>
            <w:vAlign w:val="center"/>
          </w:tcPr>
          <w:p>
            <w:pPr>
              <w:pStyle w:val="TableContents"/>
              <w:bidi w:val="0"/>
              <w:spacing w:before="0" w:after="283"/>
              <w:jc w:val="left"/>
              <w:rPr/>
            </w:pPr>
            <w:r>
              <w:rPr/>
              <w:t> </w:t>
            </w:r>
          </w:p>
        </w:tc>
        <w:tc>
          <w:tcPr>
            <w:tcW w:w="590" w:type="dxa"/>
            <w:tcBorders/>
          </w:tcPr>
          <w:p>
            <w:pPr>
              <w:pStyle w:val="TableContents"/>
              <w:bidi w:val="0"/>
              <w:spacing w:before="0" w:after="283"/>
              <w:jc w:val="left"/>
              <w:rPr/>
            </w:pPr>
            <w:r>
              <w:rPr/>
              <w:t>11.06</w:t>
            </w:r>
          </w:p>
        </w:tc>
        <w:tc>
          <w:tcPr>
            <w:tcW w:w="92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is added to the Lease as Article 37: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 xml:space="preserve">37. </w:t>
      </w:r>
      <w:r>
        <w:rPr>
          <w:rFonts w:ascii="Times New Roman" w:hAnsi="Times New Roman"/>
          <w:b/>
          <w:sz w:val="20"/>
          <w:u w:val="single"/>
        </w:rPr>
        <w:t>ERISA</w:t>
      </w:r>
      <w:r>
        <w:rPr>
          <w:rFonts w:ascii="Times New Roman" w:hAnsi="Times New Roman"/>
          <w:sz w:val="20"/>
        </w:rPr>
        <w:t>. Tenant represents that (a) neither Tenant nor any entity controlling or controlled by Tenant owns a ten percent (10%) or more interest (within the meaning of Prohibited Transaction Class Exemption 84-14) in JPMorgan Chase Bank, N.A. (</w:t>
      </w:r>
      <w:r>
        <w:rPr>
          <w:rFonts w:ascii="Times New Roman" w:hAnsi="Times New Roman"/>
          <w:b/>
          <w:sz w:val="20"/>
        </w:rPr>
        <w:t>JPMorgan</w:t>
      </w:r>
      <w:r>
        <w:rPr>
          <w:rFonts w:ascii="Times New Roman" w:hAnsi="Times New Roman"/>
          <w:sz w:val="20"/>
        </w:rPr>
        <w:t xml:space="preserve">) or any of JPMorgans affiliates, and (b) neither JPMorgan, nor, to Tenants actual knowledge (after having used reasonable efforts to ascertain the accuracy of such information), any of its affiliates, owns a ten percent (10%) or more interest in Tenant or any entity controlling or controlled by Tenant.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80"/>
        <w:gridCol w:w="9221"/>
      </w:tblGrid>
      <w:tr>
        <w:trPr/>
        <w:tc>
          <w:tcPr>
            <w:tcW w:w="404" w:type="dxa"/>
            <w:tcBorders/>
            <w:vAlign w:val="center"/>
          </w:tcPr>
          <w:p>
            <w:pPr>
              <w:pStyle w:val="TableContents"/>
              <w:bidi w:val="0"/>
              <w:spacing w:before="0" w:after="283"/>
              <w:jc w:val="left"/>
              <w:rPr/>
            </w:pPr>
            <w:r>
              <w:rPr/>
              <w:t> </w:t>
            </w:r>
          </w:p>
        </w:tc>
        <w:tc>
          <w:tcPr>
            <w:tcW w:w="580" w:type="dxa"/>
            <w:tcBorders/>
          </w:tcPr>
          <w:p>
            <w:pPr>
              <w:pStyle w:val="TableContents"/>
              <w:bidi w:val="0"/>
              <w:spacing w:before="0" w:after="283"/>
              <w:jc w:val="left"/>
              <w:rPr/>
            </w:pPr>
            <w:r>
              <w:rPr/>
              <w:t>12.01</w:t>
            </w:r>
          </w:p>
        </w:tc>
        <w:tc>
          <w:tcPr>
            <w:tcW w:w="922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and the attached exhibits, which are hereby incorporated into and made a part of this Amendment, set forth the entire agreement between the parties with respect to the matters set forth herein. There have been no additional oral or written representations or agreements.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86"/>
        <w:gridCol w:w="9213"/>
      </w:tblGrid>
      <w:tr>
        <w:trPr/>
        <w:tc>
          <w:tcPr>
            <w:tcW w:w="406" w:type="dxa"/>
            <w:tcBorders/>
            <w:vAlign w:val="center"/>
          </w:tcPr>
          <w:p>
            <w:pPr>
              <w:pStyle w:val="TableContents"/>
              <w:bidi w:val="0"/>
              <w:spacing w:before="0" w:after="283"/>
              <w:jc w:val="left"/>
              <w:rPr/>
            </w:pPr>
            <w:r>
              <w:rPr/>
              <w:t> </w:t>
            </w:r>
          </w:p>
        </w:tc>
        <w:tc>
          <w:tcPr>
            <w:tcW w:w="586" w:type="dxa"/>
            <w:tcBorders/>
          </w:tcPr>
          <w:p>
            <w:pPr>
              <w:pStyle w:val="TableContents"/>
              <w:bidi w:val="0"/>
              <w:spacing w:before="0" w:after="283"/>
              <w:jc w:val="left"/>
              <w:rPr/>
            </w:pPr>
            <w:r>
              <w:rPr/>
              <w:t>12.02</w:t>
            </w:r>
          </w:p>
        </w:tc>
        <w:tc>
          <w:tcPr>
            <w:tcW w:w="921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herein modified or amended, the provisions, conditions and terms of the Lease shall remain unchanged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83"/>
        <w:gridCol w:w="9217"/>
      </w:tblGrid>
      <w:tr>
        <w:trPr/>
        <w:tc>
          <w:tcPr>
            <w:tcW w:w="405" w:type="dxa"/>
            <w:tcBorders/>
            <w:vAlign w:val="center"/>
          </w:tcPr>
          <w:p>
            <w:pPr>
              <w:pStyle w:val="TableContents"/>
              <w:bidi w:val="0"/>
              <w:spacing w:before="0" w:after="283"/>
              <w:jc w:val="left"/>
              <w:rPr/>
            </w:pPr>
            <w:r>
              <w:rPr/>
              <w:t> </w:t>
            </w:r>
          </w:p>
        </w:tc>
        <w:tc>
          <w:tcPr>
            <w:tcW w:w="583" w:type="dxa"/>
            <w:tcBorders/>
          </w:tcPr>
          <w:p>
            <w:pPr>
              <w:pStyle w:val="TableContents"/>
              <w:bidi w:val="0"/>
              <w:spacing w:before="0" w:after="283"/>
              <w:jc w:val="left"/>
              <w:rPr/>
            </w:pPr>
            <w:r>
              <w:rPr/>
              <w:t>12.03</w:t>
            </w:r>
          </w:p>
        </w:tc>
        <w:tc>
          <w:tcPr>
            <w:tcW w:w="921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inconsistency between the provisions of the Lease and this Amendment, the provisions of this Amendment shall govern and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78"/>
        <w:gridCol w:w="9222"/>
      </w:tblGrid>
      <w:tr>
        <w:trPr/>
        <w:tc>
          <w:tcPr>
            <w:tcW w:w="405" w:type="dxa"/>
            <w:tcBorders/>
            <w:vAlign w:val="center"/>
          </w:tcPr>
          <w:p>
            <w:pPr>
              <w:pStyle w:val="TableContents"/>
              <w:bidi w:val="0"/>
              <w:spacing w:before="0" w:after="283"/>
              <w:jc w:val="left"/>
              <w:rPr/>
            </w:pPr>
            <w:r>
              <w:rPr/>
              <w:t> </w:t>
            </w:r>
          </w:p>
        </w:tc>
        <w:tc>
          <w:tcPr>
            <w:tcW w:w="578" w:type="dxa"/>
            <w:tcBorders/>
          </w:tcPr>
          <w:p>
            <w:pPr>
              <w:pStyle w:val="TableContents"/>
              <w:bidi w:val="0"/>
              <w:spacing w:before="0" w:after="283"/>
              <w:jc w:val="left"/>
              <w:rPr/>
            </w:pPr>
            <w:r>
              <w:rPr/>
              <w:t>12.04</w:t>
            </w:r>
          </w:p>
        </w:tc>
        <w:tc>
          <w:tcPr>
            <w:tcW w:w="922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this Amendment by Landlord is not an offer to enter into this Amendment but rather is a solicitation for such an offer by Tenant. Landlord shall not be bound by this Amendment until Landlord has executed and delivered the same to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91"/>
        <w:gridCol w:w="9209"/>
      </w:tblGrid>
      <w:tr>
        <w:trPr/>
        <w:tc>
          <w:tcPr>
            <w:tcW w:w="405" w:type="dxa"/>
            <w:tcBorders/>
            <w:vAlign w:val="center"/>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12.05</w:t>
            </w:r>
          </w:p>
        </w:tc>
        <w:tc>
          <w:tcPr>
            <w:tcW w:w="920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capitalized terms used in this Amendment shall have the same definitions as set forth in the Lease to the extent that such capitalized terms are defined therein and not redefined in this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562"/>
        <w:gridCol w:w="9238"/>
      </w:tblGrid>
      <w:tr>
        <w:trPr/>
        <w:tc>
          <w:tcPr>
            <w:tcW w:w="405" w:type="dxa"/>
            <w:tcBorders/>
            <w:vAlign w:val="center"/>
          </w:tcPr>
          <w:p>
            <w:pPr>
              <w:pStyle w:val="TableContents"/>
              <w:bidi w:val="0"/>
              <w:spacing w:before="0" w:after="283"/>
              <w:jc w:val="left"/>
              <w:rPr/>
            </w:pPr>
            <w:r>
              <w:rPr/>
              <w:t> </w:t>
            </w:r>
          </w:p>
        </w:tc>
        <w:tc>
          <w:tcPr>
            <w:tcW w:w="562" w:type="dxa"/>
            <w:tcBorders/>
          </w:tcPr>
          <w:p>
            <w:pPr>
              <w:pStyle w:val="TableContents"/>
              <w:bidi w:val="0"/>
              <w:spacing w:before="0" w:after="283"/>
              <w:jc w:val="left"/>
              <w:rPr/>
            </w:pPr>
            <w:r>
              <w:rPr/>
              <w:t>12.06</w:t>
            </w:r>
          </w:p>
        </w:tc>
        <w:tc>
          <w:tcPr>
            <w:tcW w:w="9238" w:type="dxa"/>
            <w:tcBorders/>
          </w:tcPr>
          <w:p>
            <w:pPr>
              <w:pStyle w:val="TableContents"/>
              <w:bidi w:val="0"/>
              <w:spacing w:before="0" w:after="0"/>
              <w:jc w:val="left"/>
              <w:rPr>
                <w:rFonts w:ascii="Times New Roman" w:hAnsi="Times New Roman"/>
                <w:sz w:val="20"/>
              </w:rPr>
            </w:pPr>
            <w:r>
              <w:rPr>
                <w:rFonts w:ascii="Times New Roman" w:hAnsi="Times New Roman"/>
                <w:sz w:val="20"/>
              </w:rPr>
              <w:t>Tenant hereby represents to Landlord that Tenant has dealt with no broker in connection with this Amendment, other than CBRE, Inc. (</w:t>
            </w:r>
            <w:r>
              <w:rPr>
                <w:rFonts w:ascii="Times New Roman" w:hAnsi="Times New Roman"/>
                <w:b/>
                <w:sz w:val="20"/>
              </w:rPr>
              <w:t>Tenants Broker</w:t>
            </w:r>
            <w:r>
              <w:rPr>
                <w:rFonts w:ascii="Times New Roman" w:hAnsi="Times New Roman"/>
                <w:sz w:val="20"/>
              </w:rPr>
              <w:t xml:space="preserve">). Tenant agrees to indemnify and hold the Landlord Parties harmless from all claims of any other broker claiming to have represented Tenant in connection with this Amendment. Landlord hereby represents to Tenant that Landlord has dealt with no broker in connection with this Amendment. Landlord agrees to indemnify and hold the Tenant Parties harmless from all claims of any brokers claiming to have represented Landlord in connection with this Amendment. Landlord hereby agrees to pay all brokerage commissions or finders fees (if any) that may be due to the Tenants Broker in connection with this Amendment pursuant to its written agreement with such brokers.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71"/>
        <w:gridCol w:w="9229"/>
      </w:tblGrid>
      <w:tr>
        <w:trPr/>
        <w:tc>
          <w:tcPr>
            <w:tcW w:w="405" w:type="dxa"/>
            <w:tcBorders/>
            <w:vAlign w:val="center"/>
          </w:tcPr>
          <w:p>
            <w:pPr>
              <w:pStyle w:val="TableContents"/>
              <w:bidi w:val="0"/>
              <w:spacing w:before="0" w:after="283"/>
              <w:jc w:val="left"/>
              <w:rPr/>
            </w:pPr>
            <w:r>
              <w:rPr/>
              <w:t> </w:t>
            </w:r>
          </w:p>
        </w:tc>
        <w:tc>
          <w:tcPr>
            <w:tcW w:w="571" w:type="dxa"/>
            <w:tcBorders/>
          </w:tcPr>
          <w:p>
            <w:pPr>
              <w:pStyle w:val="TableContents"/>
              <w:bidi w:val="0"/>
              <w:spacing w:before="0" w:after="283"/>
              <w:jc w:val="left"/>
              <w:rPr/>
            </w:pPr>
            <w:r>
              <w:rPr/>
              <w:t>12.07</w:t>
            </w:r>
          </w:p>
        </w:tc>
        <w:tc>
          <w:tcPr>
            <w:tcW w:w="92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contained in this Amendment to any tenant or other occupant in the Building or to any agent, employee, subtenant or assignee of such tenant or occupant, and Tenant also shall cause the Tenant Parties (including, without limitation, its brokers) to comply with the restrictions set forth in this sentence. The terms and provisions of the preceding sentence shall survive the termination of the Lease (whether by lapse of time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77"/>
        <w:gridCol w:w="9225"/>
      </w:tblGrid>
      <w:tr>
        <w:trPr/>
        <w:tc>
          <w:tcPr>
            <w:tcW w:w="403" w:type="dxa"/>
            <w:tcBorders/>
            <w:vAlign w:val="center"/>
          </w:tcPr>
          <w:p>
            <w:pPr>
              <w:pStyle w:val="TableContents"/>
              <w:bidi w:val="0"/>
              <w:spacing w:before="0" w:after="283"/>
              <w:jc w:val="left"/>
              <w:rPr/>
            </w:pPr>
            <w:r>
              <w:rPr/>
              <w:t> </w:t>
            </w:r>
          </w:p>
        </w:tc>
        <w:tc>
          <w:tcPr>
            <w:tcW w:w="577" w:type="dxa"/>
            <w:tcBorders/>
          </w:tcPr>
          <w:p>
            <w:pPr>
              <w:pStyle w:val="TableContents"/>
              <w:bidi w:val="0"/>
              <w:spacing w:before="0" w:after="283"/>
              <w:jc w:val="left"/>
              <w:rPr/>
            </w:pPr>
            <w:r>
              <w:rPr/>
              <w:t>12.08</w:t>
            </w:r>
          </w:p>
        </w:tc>
        <w:tc>
          <w:tcPr>
            <w:tcW w:w="92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construed without regard to any presumption or other rule requiring construction against the party causing this Amendment to be drafted. This Amendment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91"/>
        <w:gridCol w:w="9209"/>
      </w:tblGrid>
      <w:tr>
        <w:trPr/>
        <w:tc>
          <w:tcPr>
            <w:tcW w:w="405" w:type="dxa"/>
            <w:tcBorders/>
            <w:vAlign w:val="center"/>
          </w:tcPr>
          <w:p>
            <w:pPr>
              <w:pStyle w:val="TableContents"/>
              <w:bidi w:val="0"/>
              <w:spacing w:before="0" w:after="283"/>
              <w:jc w:val="left"/>
              <w:rPr/>
            </w:pPr>
            <w:r>
              <w:rPr/>
              <w:t> </w:t>
            </w:r>
          </w:p>
        </w:tc>
        <w:tc>
          <w:tcPr>
            <w:tcW w:w="591" w:type="dxa"/>
            <w:tcBorders/>
          </w:tcPr>
          <w:p>
            <w:pPr>
              <w:pStyle w:val="TableContents"/>
              <w:bidi w:val="0"/>
              <w:spacing w:before="0" w:after="283"/>
              <w:jc w:val="left"/>
              <w:rPr/>
            </w:pPr>
            <w:r>
              <w:rPr/>
              <w:t>12.09</w:t>
            </w:r>
          </w:p>
        </w:tc>
        <w:tc>
          <w:tcPr>
            <w:tcW w:w="920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contains the following exhibits, which are incorporated herein by reference: </w:t>
            </w:r>
            <w:r>
              <w:rPr>
                <w:rFonts w:ascii="Times New Roman" w:hAnsi="Times New Roman"/>
                <w:b/>
                <w:sz w:val="20"/>
              </w:rPr>
              <w:t>Exhibit A</w:t>
            </w:r>
            <w:r>
              <w:rPr>
                <w:rFonts w:ascii="Times New Roman" w:hAnsi="Times New Roman"/>
                <w:sz w:val="20"/>
              </w:rPr>
              <w:t xml:space="preserve"> (Outline and Location of the Fourth Expansion Space), </w:t>
            </w:r>
            <w:r>
              <w:rPr>
                <w:rFonts w:ascii="Times New Roman" w:hAnsi="Times New Roman"/>
                <w:b/>
                <w:sz w:val="20"/>
              </w:rPr>
              <w:t>Exhibit C</w:t>
            </w:r>
            <w:r>
              <w:rPr>
                <w:rFonts w:ascii="Times New Roman" w:hAnsi="Times New Roman"/>
                <w:sz w:val="20"/>
              </w:rPr>
              <w:t xml:space="preserve"> (Fixed Rent Schedule) and </w:t>
            </w:r>
            <w:r>
              <w:rPr>
                <w:rFonts w:ascii="Times New Roman" w:hAnsi="Times New Roman"/>
                <w:b/>
                <w:sz w:val="20"/>
              </w:rPr>
              <w:t>Exhibit E-1</w:t>
            </w:r>
            <w:r>
              <w:rPr>
                <w:rFonts w:ascii="Times New Roman" w:hAnsi="Times New Roman"/>
                <w:sz w:val="20"/>
              </w:rPr>
              <w:t xml:space="preserve"> (First and Third Expansion Spaces).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[signatures are on following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Landlord and Tenant have executed this Amendment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CHICAGO KINGSBURY, LLC</w:t>
            </w:r>
            <w:r>
              <w:rPr/>
              <w:t>, a Delaware limited liability company</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Gloor</w:t>
            </w:r>
          </w:p>
        </w:tc>
      </w:tr>
      <w:tr>
        <w:trPr/>
        <w:tc>
          <w:tcPr>
            <w:tcW w:w="4082" w:type="dxa"/>
            <w:gridSpan w:val="3"/>
            <w:tcBorders/>
          </w:tcPr>
          <w:p>
            <w:pPr>
              <w:pStyle w:val="TableContents"/>
              <w:bidi w:val="0"/>
              <w:spacing w:before="0" w:after="283"/>
              <w:jc w:val="left"/>
              <w:rPr/>
            </w:pPr>
            <w:r>
              <w:rPr/>
              <w:t>Name: Andrew Gloor</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TEMPUS LABS, INC.</w:t>
            </w:r>
            <w:r>
              <w:rPr/>
              <w:t>, a Delaware corporation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Lefkofsky</w:t>
            </w:r>
          </w:p>
        </w:tc>
      </w:tr>
      <w:tr>
        <w:trPr/>
        <w:tc>
          <w:tcPr>
            <w:tcW w:w="4082" w:type="dxa"/>
            <w:gridSpan w:val="3"/>
            <w:tcBorders/>
          </w:tcPr>
          <w:p>
            <w:pPr>
              <w:pStyle w:val="TableContents"/>
              <w:bidi w:val="0"/>
              <w:spacing w:before="0" w:after="283"/>
              <w:jc w:val="left"/>
              <w:rPr/>
            </w:pPr>
            <w:r>
              <w:rPr/>
              <w:t>Name: Eric Lefkofsky</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OUTLINE AND LOCATION OF FOURTH EXPANSION SPACE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FIXED RENT SCHEDULE </w:t>
      </w:r>
    </w:p>
    <w:p>
      <w:pPr>
        <w:pStyle w:val="TextBody"/>
        <w:bidi w:val="0"/>
        <w:spacing w:before="240" w:after="0"/>
        <w:jc w:val="center"/>
        <w:rPr>
          <w:rFonts w:ascii="Times New Roman" w:hAnsi="Times New Roman"/>
          <w:sz w:val="20"/>
        </w:rPr>
      </w:pPr>
      <w:r>
        <w:rPr>
          <w:rFonts w:ascii="Times New Roman" w:hAnsi="Times New Roman"/>
          <w:sz w:val="20"/>
        </w:rPr>
        <w:t xml:space="preserve">(Original Premises and Fourth Expansion Space)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E-1 </w:t>
      </w:r>
    </w:p>
    <w:p>
      <w:pPr>
        <w:pStyle w:val="TextBody"/>
        <w:bidi w:val="0"/>
        <w:spacing w:before="240" w:after="0"/>
        <w:jc w:val="center"/>
        <w:rPr>
          <w:rFonts w:ascii="Times New Roman" w:hAnsi="Times New Roman"/>
          <w:b/>
          <w:sz w:val="20"/>
        </w:rPr>
      </w:pPr>
      <w:r>
        <w:rPr>
          <w:rFonts w:ascii="Times New Roman" w:hAnsi="Times New Roman"/>
          <w:b/>
          <w:sz w:val="20"/>
        </w:rPr>
        <w:t xml:space="preserve">FIRST AND THIRD EXPANSION SPACES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E-2 </w:t>
      </w:r>
    </w:p>
    <w:p>
      <w:pPr>
        <w:pStyle w:val="TextBody"/>
        <w:bidi w:val="0"/>
        <w:spacing w:before="240" w:after="0"/>
        <w:jc w:val="center"/>
        <w:rPr>
          <w:rFonts w:ascii="Times New Roman" w:hAnsi="Times New Roman"/>
          <w:b/>
          <w:sz w:val="20"/>
        </w:rPr>
      </w:pPr>
      <w:r>
        <w:rPr>
          <w:rFonts w:ascii="Times New Roman" w:hAnsi="Times New Roman"/>
          <w:b/>
          <w:sz w:val="20"/>
        </w:rPr>
        <w:t xml:space="preserve">NEW CORRIDOR WORK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THIRD AMENDMENT TO AGREEMENT OF LEASE </w:t>
      </w:r>
    </w:p>
    <w:p>
      <w:pPr>
        <w:pStyle w:val="TextBody"/>
        <w:bidi w:val="0"/>
        <w:spacing w:before="240" w:after="0"/>
        <w:jc w:val="left"/>
        <w:rPr>
          <w:rFonts w:ascii="Times New Roman" w:hAnsi="Times New Roman"/>
          <w:sz w:val="20"/>
        </w:rPr>
      </w:pPr>
      <w:r>
        <w:rPr>
          <w:rFonts w:ascii="Times New Roman" w:hAnsi="Times New Roman"/>
          <w:b/>
          <w:sz w:val="20"/>
        </w:rPr>
        <w:t>THIS THIRD AMENDMENT TO AGREEMENT OF LEASE</w:t>
      </w:r>
      <w:r>
        <w:rPr>
          <w:rFonts w:ascii="Times New Roman" w:hAnsi="Times New Roman"/>
          <w:sz w:val="20"/>
        </w:rPr>
        <w:t xml:space="preserve"> (this </w:t>
      </w:r>
      <w:r>
        <w:rPr>
          <w:rFonts w:ascii="Times New Roman" w:hAnsi="Times New Roman"/>
          <w:b/>
          <w:sz w:val="20"/>
        </w:rPr>
        <w:t>Amendment</w:t>
      </w:r>
      <w:r>
        <w:rPr>
          <w:rFonts w:ascii="Times New Roman" w:hAnsi="Times New Roman"/>
          <w:sz w:val="20"/>
        </w:rPr>
        <w:t>) is made and entered into as of December 26, 2018 (the </w:t>
      </w:r>
      <w:r>
        <w:rPr>
          <w:rFonts w:ascii="Times New Roman" w:hAnsi="Times New Roman"/>
          <w:b/>
          <w:sz w:val="20"/>
        </w:rPr>
        <w:t>Amendment Effective Date</w:t>
      </w:r>
      <w:r>
        <w:rPr>
          <w:rFonts w:ascii="Times New Roman" w:hAnsi="Times New Roman"/>
          <w:sz w:val="20"/>
        </w:rPr>
        <w:t xml:space="preserve">), by and between </w:t>
      </w:r>
      <w:r>
        <w:rPr>
          <w:rFonts w:ascii="Times New Roman" w:hAnsi="Times New Roman"/>
          <w:b/>
          <w:sz w:val="20"/>
        </w:rPr>
        <w:t>CHICAGO</w:t>
      </w:r>
      <w:r>
        <w:rPr>
          <w:rFonts w:ascii="Times New Roman" w:hAnsi="Times New Roman"/>
          <w:sz w:val="20"/>
        </w:rPr>
        <w:t> </w:t>
      </w:r>
      <w:r>
        <w:rPr>
          <w:rFonts w:ascii="Times New Roman" w:hAnsi="Times New Roman"/>
          <w:b/>
          <w:sz w:val="20"/>
        </w:rPr>
        <w:t>KINGSBURY, LLC, a Delaware limited liability company</w:t>
      </w:r>
      <w:r>
        <w:rPr>
          <w:rFonts w:ascii="Times New Roman" w:hAnsi="Times New Roman"/>
          <w:sz w:val="20"/>
        </w:rPr>
        <w:t xml:space="preserve">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TEMPUS LABS, INC., a Delaware corporation</w:t>
      </w:r>
      <w:r>
        <w:rPr>
          <w:rFonts w:ascii="Times New Roman" w:hAnsi="Times New Roman"/>
          <w:sz w:val="20"/>
        </w:rPr>
        <w:t xml:space="preserve">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Landlord (as successor in interest to EQC 600 West Chicago, LLC, a Delaware limited liability company) and Tenant are parties to that certain lease dated January 18, 2018, which lease has been previously amended by First Amendment to Agreement of Lease dated as of January 30, 2018 (the </w:t>
            </w:r>
            <w:r>
              <w:rPr>
                <w:rFonts w:ascii="Times New Roman" w:hAnsi="Times New Roman"/>
                <w:b/>
                <w:sz w:val="20"/>
              </w:rPr>
              <w:t>First Amendment</w:t>
            </w:r>
            <w:r>
              <w:rPr>
                <w:rFonts w:ascii="Times New Roman" w:hAnsi="Times New Roman"/>
                <w:sz w:val="20"/>
              </w:rPr>
              <w:t>) and by Second Amendment to Agreement of Lease dated as of July 30, 2018 (the </w:t>
            </w:r>
            <w:r>
              <w:rPr>
                <w:rFonts w:ascii="Times New Roman" w:hAnsi="Times New Roman"/>
                <w:b/>
                <w:sz w:val="20"/>
              </w:rPr>
              <w:t>Second Amendment</w:t>
            </w:r>
            <w:r>
              <w:rPr>
                <w:rFonts w:ascii="Times New Roman" w:hAnsi="Times New Roman"/>
                <w:sz w:val="20"/>
              </w:rPr>
              <w:t>) (collectively, the </w:t>
            </w:r>
            <w:r>
              <w:rPr>
                <w:rFonts w:ascii="Times New Roman" w:hAnsi="Times New Roman"/>
                <w:b/>
                <w:sz w:val="20"/>
              </w:rPr>
              <w:t>Lease</w:t>
            </w:r>
            <w:r>
              <w:rPr>
                <w:rFonts w:ascii="Times New Roman" w:hAnsi="Times New Roman"/>
                <w:sz w:val="20"/>
              </w:rPr>
              <w:t xml:space="preserve">). Pursuant to the Lease, Landlord has leased to Tenant space currently containing approximately </w:t>
            </w:r>
            <w:r>
              <w:rPr>
                <w:rFonts w:ascii="Times New Roman" w:hAnsi="Times New Roman"/>
                <w:b/>
                <w:sz w:val="20"/>
              </w:rPr>
              <w:t>79,611</w:t>
            </w:r>
            <w:r>
              <w:rPr>
                <w:rFonts w:ascii="Times New Roman" w:hAnsi="Times New Roman"/>
                <w:sz w:val="20"/>
              </w:rPr>
              <w:t xml:space="preserve"> Rentable Square Feet (the </w:t>
            </w:r>
            <w:r>
              <w:rPr>
                <w:rFonts w:ascii="Times New Roman" w:hAnsi="Times New Roman"/>
                <w:b/>
                <w:sz w:val="20"/>
              </w:rPr>
              <w:t>Existing Premises</w:t>
            </w:r>
            <w:r>
              <w:rPr>
                <w:rFonts w:ascii="Times New Roman" w:hAnsi="Times New Roman"/>
                <w:sz w:val="20"/>
              </w:rPr>
              <w:t>) on the fifth floor of the building located at 600 West Chicago Avenue, Chicago, Illinois (the </w:t>
            </w:r>
            <w:r>
              <w:rPr>
                <w:rFonts w:ascii="Times New Roman" w:hAnsi="Times New Roman"/>
                <w:b/>
                <w:sz w:val="20"/>
              </w:rPr>
              <w:t>Building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has requested that additional space containing approximately 3,780 Rentable Square Feet on the fifth floor of the Building shown on </w:t>
            </w:r>
            <w:r>
              <w:rPr>
                <w:rFonts w:ascii="Times New Roman" w:hAnsi="Times New Roman"/>
                <w:b/>
                <w:sz w:val="20"/>
              </w:rPr>
              <w:t>Exhibit E-1</w:t>
            </w:r>
            <w:r>
              <w:rPr>
                <w:rFonts w:ascii="Times New Roman" w:hAnsi="Times New Roman"/>
                <w:sz w:val="20"/>
              </w:rPr>
              <w:t xml:space="preserve"> attached hereto as the Fifth Expansion Space (the </w:t>
            </w:r>
            <w:r>
              <w:rPr>
                <w:rFonts w:ascii="Times New Roman" w:hAnsi="Times New Roman"/>
                <w:b/>
                <w:sz w:val="20"/>
              </w:rPr>
              <w:t>Fifth Expansion Space</w:t>
            </w:r>
            <w:r>
              <w:rPr>
                <w:rFonts w:ascii="Times New Roman" w:hAnsi="Times New Roman"/>
                <w:sz w:val="20"/>
              </w:rPr>
              <w:t xml:space="preserve">) be added to the Premises currently demised under the Lease and that the Lease be appropriately amended and Landlord is willing to do the same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has determined that the Third Expansion Space (as such term is defined in Section 6 of Exhibit E to the Lease) will be available for delivery to Tenant earlier than as set forth in the Lease and the parties will to appropriately amend the Lease on the following terms and conditions. </w:t>
            </w:r>
          </w:p>
        </w:tc>
      </w:tr>
    </w:tbl>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above recitals which by this reference are incorporated herein, the mutual covenants and conditions contained herein and other valuable consideration, the receipt and sufficiency of which are hereby acknowledged, Landlord and Tenant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Fifth Expansion Space and Effective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Effective on the later of (i) March 1, 2019 and (ii) the day on which possession of the Fifth Expansion Space (defined below) is delivered to Tenant (such later date is referred to as the </w:t>
            </w:r>
            <w:r>
              <w:rPr>
                <w:rFonts w:ascii="Times New Roman" w:hAnsi="Times New Roman"/>
                <w:b/>
                <w:sz w:val="20"/>
              </w:rPr>
              <w:t>Fifth Expansion Effective Date</w:t>
            </w:r>
            <w:r>
              <w:rPr>
                <w:rFonts w:ascii="Times New Roman" w:hAnsi="Times New Roman"/>
                <w:sz w:val="20"/>
              </w:rPr>
              <w:t xml:space="preserve">), the Premises, as defined in the Lease, is increased by the addition of the Fifth Expansion Space, and from and after the Fifth Expansion Effective Date, the Premises currently demised under the Lease and the Fifth Expansion Space, collectively, shall be deemed the Premises, as defined in the Lease. The Term for the Fifth Expansion Space shall commence on the Fifth Expansion Effective Date and end on the Expiration Date. The Fifth Expansion Space is subject to all the terms and conditions of the Lease except as expressly modified herein and except that Tenant shall not be entitled to receive any allowances, abatements or other financial concessions granted with respect to the Premises currently demised under the Lease unless such concessions are expressly provided for herein with respect to the Fifth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commence payment of Rent with respect to the Fifth Expansion Space on the date (the </w:t>
            </w:r>
            <w:r>
              <w:rPr>
                <w:rFonts w:ascii="Times New Roman" w:hAnsi="Times New Roman"/>
                <w:b/>
                <w:sz w:val="20"/>
              </w:rPr>
              <w:t>Fifth Expansion Rent Commencement Date</w:t>
            </w:r>
            <w:r>
              <w:rPr>
                <w:rFonts w:ascii="Times New Roman" w:hAnsi="Times New Roman"/>
                <w:sz w:val="20"/>
              </w:rPr>
              <w:t>) which is the earlier of (i) 90 days after the Fifth Expansion Effective Date (the </w:t>
            </w:r>
            <w:r>
              <w:rPr>
                <w:rFonts w:ascii="Times New Roman" w:hAnsi="Times New Roman"/>
                <w:b/>
                <w:sz w:val="20"/>
              </w:rPr>
              <w:t>Fifth Expansion Build Out Period</w:t>
            </w:r>
            <w:r>
              <w:rPr>
                <w:rFonts w:ascii="Times New Roman" w:hAnsi="Times New Roman"/>
                <w:sz w:val="20"/>
              </w:rPr>
              <w:t xml:space="preserve">) and (ii) the date on which Tenant commences its business operations in the Fifth Expansion Space. If Tenant commences its business operations in the Fifth Expansion Space prior to the last day of the Fifth Expansion Build Out Period, the period of time beginning on the date on which Tenant so commences its business operations in the Fifth Expansion Space and ending on the last day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1</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of the Fifth Expansion Build Out Period is referred to as the </w:t>
            </w:r>
            <w:r>
              <w:rPr>
                <w:b/>
              </w:rPr>
              <w:t>Fifth Expansion Beneficial Occupancy Period.</w:t>
            </w:r>
            <w:r>
              <w:rPr/>
              <w:t> The initial annual Fixed Rent rate per rentable square foot of the Fifth Expansion Space shall be the same as the Fixed Rent rate per rentable square foot of the Premises initially demised by the Lease on the Fifth Expansion Rent Commencement Date. The Fixed Rent rate for the Fifth Expansion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Fifth Expansion Space shall be the same. Commencing on the Fifth Expansion Rent Commencement Date, Tenants Proportionate Share shall be increased to reflect the inclusion of the Fifth Expansion Space in the Premises. The Fifth Expansion Space shall be delivered to Tenant in its </w:t>
            </w:r>
            <w:r>
              <w:rPr>
                <w:b/>
              </w:rPr>
              <w:t>as is</w:t>
            </w:r>
            <w:r>
              <w:rPr/>
              <w:t xml:space="preserve"> condition without any agreements, representations, understandings or obligations on the part of Landlord to perform any alterations, repairs or improvements. Any construction, alterations or improvements to the Fifth Expansion Space shall be performed by Tenant at its sole cost and expense and shall be governed in all respects by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improvement allowance (the </w:t>
            </w:r>
            <w:r>
              <w:rPr>
                <w:rFonts w:ascii="Times New Roman" w:hAnsi="Times New Roman"/>
                <w:b/>
                <w:sz w:val="20"/>
              </w:rPr>
              <w:t>Fifth Expansion Space Improvement Allowance</w:t>
            </w:r>
            <w:r>
              <w:rPr>
                <w:rFonts w:ascii="Times New Roman" w:hAnsi="Times New Roman"/>
                <w:sz w:val="20"/>
              </w:rPr>
              <w:t>) in an amount equal to $65.00 per rentable square foot of the Fifth Expansion Space. Such Fifth Expansion Space Improvement Allowance shall be applied toward the cost of the improvements to be performed by Tenant in the Fifth Expansion Space (the </w:t>
            </w:r>
            <w:r>
              <w:rPr>
                <w:rFonts w:ascii="Times New Roman" w:hAnsi="Times New Roman"/>
                <w:b/>
                <w:sz w:val="20"/>
              </w:rPr>
              <w:t>Fifth Expansion Space Improvements</w:t>
            </w:r>
            <w:r>
              <w:rPr>
                <w:rFonts w:ascii="Times New Roman" w:hAnsi="Times New Roman"/>
                <w:sz w:val="20"/>
              </w:rPr>
              <w:t xml:space="preserve">). The Fifth Expansion Space Improvements shall include the construction of a demising wall to demise the Fifth Expansion Space from the adjacent office space and Common Area and separation of utilities between the Fifth Expansion space and the adjacent office space and Common Area. The Fifth Expansion Space Improvement Allowance shall be disbursed in the same manner as described in, and subject to the same terms and conditions of, Sections 7(d), (e), (f) and (g) of the Work Letter attached to the Lease as Exhibit D, except that, for purposes of this Section 1.03, (i) all references to the following terms in Sections 7(d), (e), (f) and (g) of the Work Letter shall instead have the following meanings: (A) Tenants Work shall instead refer to the Fifth Expansion Space Improvements, and (B) Construction Allowance, Separation Work Reimbursement, Application Amount and Total Allowance shall instead refer to the Fifth Expansion Space Improvement Allowance, and (ii) Tenant may use any portion of the Fifth Expansion Space Improvement Allowance in excess of the costs for the Fifth Expansion Space Improvements on the First Expansion Space Improvements, Third Expansion Space Improvements and the Fourth Expansion Space Improvements in accordance with the provisions of the Lease for disbursements of the First Expansion Space Improvement Allowance, Third Expansion Space Improvement Allowance and the Fourth Expansion Space Improvement Allowance,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the Fixed Rent, Tenants Operating Payment and Tenants Tax Payment initially payable with respect to the Fifth Expansion Space (</w:t>
            </w:r>
            <w:r>
              <w:rPr>
                <w:rFonts w:ascii="Times New Roman" w:hAnsi="Times New Roman"/>
                <w:b/>
                <w:sz w:val="20"/>
              </w:rPr>
              <w:t>Fifth Expansion Space Rental Abatement</w:t>
            </w:r>
            <w:r>
              <w:rPr>
                <w:rFonts w:ascii="Times New Roman" w:hAnsi="Times New Roman"/>
                <w:sz w:val="20"/>
              </w:rPr>
              <w:t xml:space="preserve">) for 12 months. Such Fifth Expansion Space Rental Abatement shall be applied toward the first rent due with respect to the Fifth Expansion Space. Notwithstanding anything herein to the contrary, in no event shall Tenant be entitled to apply the Fifth Expansion Space Rental Abatement against the rent due in connection with the Fifth Expansion Space (A) unless and until Tenant shall have occupied and be operating its business in substantially all of the Fifth Expansion Space, and (B) if an Event of Default has occurred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shall endeavor to deliver possession of the Fifth Expansion Space to Tenant on the Fifth Expansion Effective Date. If Tenant takes possession of or enters the Fifth Expansion Space before the Fifth Expansion Rent Commencement Date, Tenant shall pay for all services requested by Tenant (e.g., freight elevator usage and utilities) and Tenant shall be subject to the terms and conditions of the Lease; provided, however, (i) except for the cost of such services requested by Tenant, Tenant shall not be required to pay Rent for any entry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2</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or possession before the Fifth Expansion Rent Commencement Date during which Tenant, with Landlords approval, has entered, or is in possession of, the Fifth Expansion Space for the sole purpose of performing improvements or installing furniture, equipment or other personal property, and (ii) during the Fifth Expansion Beneficial Occupancy Period, Tenant shall not be required to pay Rent but shall pay the cost of utilities and janitorial services for the Fifth Expansion Space and for any services specifically requested by Tenant. If Landlord fails to deliver possession of the Fifth Expansion Space to Tenant on the Fifth Expansion Effective Date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failure to deliver possession shall not affect either the validity of the Lease or the obligations of either Landlord or Tenant thereunder or be construed to extend the expiration of the Term either as to the Fifth Expansion Space or the balance of the Premises; provided, however, that under such circumstances, Landlord shall make reasonable efforts to obtain possession of the Fifth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determination of the Fifth Expansion Effective Date and the Fifth Expansion Rent Commencement Date, Landlord and Tenant shall promptly execute and deliver an amendment to the Lease reflecting the lease of the Fifth Expansion Space by Landlord to Tenant on the terms provided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First Expansion Space</w:t>
            </w:r>
            <w:r>
              <w:rPr>
                <w:rFonts w:ascii="Times New Roman" w:hAnsi="Times New Roman"/>
                <w:sz w:val="20"/>
              </w:rPr>
              <w:t>. Section 6.01(a) of Exhibit E to the Lease, as modified by Section 1.01(b) of the First Amendment, is hereby modified by replacing the date </w:t>
            </w:r>
            <w:r>
              <w:rPr>
                <w:rFonts w:ascii="Times New Roman" w:hAnsi="Times New Roman"/>
                <w:b/>
                <w:sz w:val="20"/>
              </w:rPr>
              <w:t>June</w:t>
            </w:r>
            <w:r>
              <w:rPr>
                <w:rFonts w:ascii="Times New Roman" w:hAnsi="Times New Roman"/>
                <w:sz w:val="20"/>
              </w:rPr>
              <w:t> </w:t>
            </w:r>
            <w:r>
              <w:rPr>
                <w:rFonts w:ascii="Times New Roman" w:hAnsi="Times New Roman"/>
                <w:b/>
                <w:sz w:val="20"/>
              </w:rPr>
              <w:t>1, 2019</w:t>
            </w:r>
            <w:r>
              <w:rPr>
                <w:rFonts w:ascii="Times New Roman" w:hAnsi="Times New Roman"/>
                <w:sz w:val="20"/>
              </w:rPr>
              <w:t xml:space="preserve"> in clause (i) therein with the date March 1, 2019.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Third Expansion Space</w:t>
            </w:r>
            <w:r>
              <w:rPr>
                <w:rFonts w:ascii="Times New Roman" w:hAnsi="Times New Roman"/>
                <w:sz w:val="20"/>
              </w:rPr>
              <w:t xml:space="preserve">. Section 6.03 (a) of Exhibit E to the Lease, as modified by Section 7.02 of the Second Amendment, is hereby deleted in its entirety and replaced as follows: </w:t>
            </w:r>
          </w:p>
        </w:tc>
      </w:tr>
    </w:tbl>
    <w:p>
      <w:pPr>
        <w:pStyle w:val="TextBody"/>
        <w:bidi w:val="0"/>
        <w:spacing w:before="120" w:after="0"/>
        <w:jc w:val="left"/>
        <w:rPr>
          <w:rFonts w:ascii="Times New Roman" w:hAnsi="Times New Roman"/>
          <w:sz w:val="20"/>
        </w:rPr>
      </w:pPr>
      <w:r>
        <w:rPr>
          <w:rFonts w:ascii="Times New Roman" w:hAnsi="Times New Roman"/>
          <w:sz w:val="20"/>
        </w:rPr>
        <w:t>(a) Effective on the later of (i) March 1, 2019 and (ii) the day on which possession of the Third Expansion Space (defined below) is delivered to Tenant (such later date is referred to as the </w:t>
      </w:r>
      <w:r>
        <w:rPr>
          <w:rFonts w:ascii="Times New Roman" w:hAnsi="Times New Roman"/>
          <w:b/>
          <w:sz w:val="20"/>
        </w:rPr>
        <w:t>Third Expansion Effective Date</w:t>
      </w:r>
      <w:r>
        <w:rPr>
          <w:rFonts w:ascii="Times New Roman" w:hAnsi="Times New Roman"/>
          <w:sz w:val="20"/>
        </w:rPr>
        <w:t xml:space="preserve">), the Premises, as initially defined in the Lease, shall be increased by the addition of a portion of the 5th floor of the Building consisting of 29,755 rentable square feet and depicted on </w:t>
      </w:r>
      <w:r>
        <w:rPr>
          <w:rFonts w:ascii="Times New Roman" w:hAnsi="Times New Roman"/>
          <w:b/>
          <w:sz w:val="20"/>
          <w:u w:val="single"/>
        </w:rPr>
        <w:t>Exhibit E-1</w:t>
      </w:r>
      <w:r>
        <w:rPr>
          <w:rFonts w:ascii="Times New Roman" w:hAnsi="Times New Roman"/>
          <w:sz w:val="20"/>
        </w:rPr>
        <w:t xml:space="preserve"> attached hereto (the </w:t>
      </w:r>
      <w:r>
        <w:rPr>
          <w:rFonts w:ascii="Times New Roman" w:hAnsi="Times New Roman"/>
          <w:b/>
          <w:sz w:val="20"/>
        </w:rPr>
        <w:t>Third Expansion Space</w:t>
      </w:r>
      <w:r>
        <w:rPr>
          <w:rFonts w:ascii="Times New Roman" w:hAnsi="Times New Roman"/>
          <w:sz w:val="20"/>
        </w:rPr>
        <w:t xml:space="preserve">) on the terms set forth herein. The rentable square footage of the Third Expansion Space set forth in this </w:t>
      </w:r>
      <w:r>
        <w:rPr>
          <w:rFonts w:ascii="Times New Roman" w:hAnsi="Times New Roman"/>
          <w:sz w:val="20"/>
          <w:u w:val="single"/>
        </w:rPr>
        <w:t>Section 6.03(a)</w:t>
      </w:r>
      <w:r>
        <w:rPr>
          <w:rFonts w:ascii="Times New Roman" w:hAnsi="Times New Roman"/>
          <w:sz w:val="20"/>
        </w:rPr>
        <w:t xml:space="preserve"> shall be stipulated as the rentable square footage of the Third Expansion Space. The Third Expansion Space shall be leased by Tenant subject to all the terms and conditions of the Lease except as expressly modified in this </w:t>
      </w:r>
      <w:r>
        <w:rPr>
          <w:rFonts w:ascii="Times New Roman" w:hAnsi="Times New Roman"/>
          <w:sz w:val="20"/>
          <w:u w:val="single"/>
        </w:rPr>
        <w:t>Section 6.03</w:t>
      </w:r>
      <w:r>
        <w:rPr>
          <w:rFonts w:ascii="Times New Roman" w:hAnsi="Times New Roman"/>
          <w:sz w:val="20"/>
        </w:rPr>
        <w:t xml:space="preserve"> and except that Tenant shall not be entitled to receive any allowances, abatements or other financial concessions granted with respect to the Premises initially demised by the Lease. Landlord and Tenant acknowledge that the Third Expansion Space is a portion of the Available ROFO Space as defined in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Exhibit E</w:t>
      </w:r>
      <w:r>
        <w:rPr>
          <w:rFonts w:ascii="Times New Roman" w:hAnsi="Times New Roman"/>
          <w:sz w:val="20"/>
        </w:rPr>
        <w:t xml:space="preserve"> and shall be added to the Premises pursuant to this </w:t>
      </w:r>
      <w:r>
        <w:rPr>
          <w:rFonts w:ascii="Times New Roman" w:hAnsi="Times New Roman"/>
          <w:sz w:val="20"/>
          <w:u w:val="single"/>
        </w:rPr>
        <w:t>Section 6.03</w:t>
      </w:r>
      <w:r>
        <w:rPr>
          <w:rFonts w:ascii="Times New Roman" w:hAnsi="Times New Roman"/>
          <w:sz w:val="20"/>
        </w:rPr>
        <w:t xml:space="preserve"> (including, without limitation, the non-prorated Third Expansion Space Rental Abatement [defined in </w:t>
      </w:r>
      <w:r>
        <w:rPr>
          <w:rFonts w:ascii="Times New Roman" w:hAnsi="Times New Roman"/>
          <w:sz w:val="20"/>
          <w:u w:val="single"/>
        </w:rPr>
        <w:t>Section 6.03(d)</w:t>
      </w:r>
      <w:r>
        <w:rPr>
          <w:rFonts w:ascii="Times New Roman" w:hAnsi="Times New Roman"/>
          <w:sz w:val="20"/>
        </w:rPr>
        <w:t xml:space="preserve"> below] and the non-prorated Third Expansion Space Improvement Allowance [defined in </w:t>
      </w:r>
      <w:r>
        <w:rPr>
          <w:rFonts w:ascii="Times New Roman" w:hAnsi="Times New Roman"/>
          <w:sz w:val="20"/>
          <w:u w:val="single"/>
        </w:rPr>
        <w:t>Section 6.03(c)</w:t>
      </w:r>
      <w:r>
        <w:rPr>
          <w:rFonts w:ascii="Times New Roman" w:hAnsi="Times New Roman"/>
          <w:sz w:val="20"/>
        </w:rPr>
        <w:t xml:space="preserve"> below]) and not as Offer Space under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Exhibit E</w:t>
      </w:r>
      <w:r>
        <w:rPr>
          <w:rFonts w:ascii="Times New Roman" w:hAnsi="Times New Roman"/>
          <w:sz w:val="20"/>
        </w:rPr>
        <w:t>. Following the Third Expansion Effective Date, the Available ROFO Space shall no longer include the Third Expansion Space. Landlord, at its expense, shall construct a corridor (the </w:t>
      </w:r>
      <w:r>
        <w:rPr>
          <w:rFonts w:ascii="Times New Roman" w:hAnsi="Times New Roman"/>
          <w:b/>
          <w:sz w:val="20"/>
        </w:rPr>
        <w:t>New Corridor</w:t>
      </w:r>
      <w:r>
        <w:rPr>
          <w:rFonts w:ascii="Times New Roman" w:hAnsi="Times New Roman"/>
          <w:sz w:val="20"/>
        </w:rPr>
        <w:t xml:space="preserve">) in certain space currently leased to Wrigley under the Wrigley Lease after Landlord regains legal possession of the portion of the space currently leased to Wrigley containing the New Corridor, which construction shall occur simultaneously with Tenants performance of the Third Expansion Space Improvements. In consideration of delivery of the Third Expansion Space prior to the date on which Landlord originally anticipated delivery, Tenant shall pay to Landlord, as Additional Rent under the Lease, and in addition to all other Rent due under the Lease for the same period, the sum of $203,912.50, payable in equal monthly installments of $67,970.83 each on March 1, 2019, April 1, 2019 and May 1, 2019.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3</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Wrigley Lease</w:t>
            </w:r>
            <w:r>
              <w:rPr>
                <w:rFonts w:ascii="Times New Roman" w:hAnsi="Times New Roman"/>
                <w:sz w:val="20"/>
              </w:rPr>
              <w:t xml:space="preserve">. Section 7.04 of the Second Amendment is hereby deleted in its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Common Area Restrooms</w:t>
            </w:r>
            <w:r>
              <w:rPr>
                <w:rFonts w:ascii="Times New Roman" w:hAnsi="Times New Roman"/>
                <w:sz w:val="20"/>
              </w:rPr>
              <w:t xml:space="preserve">. As described in Section 9 of the Second Amendment, as of the date of this Amendment, Landlord has completed the refurbishment of the Common Area restrooms depicted on Exhibit E-2 to the Second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Exhibit E-1</w:t>
            </w:r>
            <w:r>
              <w:rPr>
                <w:rFonts w:ascii="Times New Roman" w:hAnsi="Times New Roman"/>
                <w:sz w:val="20"/>
              </w:rPr>
              <w:t xml:space="preserve">. Exhibit E-1 attached to the Second Amendment as Exhibit E-1 is deleted in its entirety, and </w:t>
            </w:r>
            <w:r>
              <w:rPr>
                <w:rFonts w:ascii="Times New Roman" w:hAnsi="Times New Roman"/>
                <w:b/>
                <w:sz w:val="20"/>
              </w:rPr>
              <w:t>Exhibit E-1</w:t>
            </w:r>
            <w:r>
              <w:rPr>
                <w:rFonts w:ascii="Times New Roman" w:hAnsi="Times New Roman"/>
                <w:sz w:val="20"/>
              </w:rPr>
              <w:t xml:space="preserve"> attached to this Amendment is substituted in its place. </w:t>
            </w:r>
            <w:r>
              <w:rPr>
                <w:rFonts w:ascii="Times New Roman" w:hAnsi="Times New Roman"/>
                <w:b/>
                <w:sz w:val="20"/>
              </w:rPr>
              <w:t>Exhibit E-1</w:t>
            </w:r>
            <w:r>
              <w:rPr>
                <w:rFonts w:ascii="Times New Roman" w:hAnsi="Times New Roman"/>
                <w:sz w:val="20"/>
              </w:rPr>
              <w:t xml:space="preserve"> depicts the location of the First Expansion Space, the Third Expansion Space, the Fifth Expansion Space and the New Corridor on the fifth floor of the Building.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Scriveners Error</w:t>
            </w:r>
            <w:r>
              <w:rPr>
                <w:rFonts w:ascii="Times New Roman" w:hAnsi="Times New Roman"/>
                <w:sz w:val="20"/>
              </w:rPr>
              <w:t xml:space="preserve">. The phrase Commencement Effective Date in line one of Section 2 of the Second Amendment shall be deleted and replaced with the phrase Commencement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and the attached exhibits, if any, which are hereby incorporated into and made a part of this Amendment, set forth the entire agreement between the parties with respect to the matters set forth herein. There have been no additional oral or written representations or agreements.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herein modified or amended, the provisions, conditions and terms of the Lease shall remain unchanged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8.03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inconsistency between the provisions of the Lease and this Amendment, the provisions of this Amendment shall govern and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this Amendment by Landlord is not an offer to enter into this Amendment but rather is a solicitation for such an offer by Tenant. Landlord shall not be bound by this Amendment until Landlord has executed and delivered the same to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capitalized terms used in this Amendment shall have the same definitions as set forth in the Lease to the extent that such capitalized terms are defined therein and not redefined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hereby represents to Landlord that Tenant has dealt with no broker in connection with this Amendment, other than CBRE, Inc. (</w:t>
            </w:r>
            <w:r>
              <w:rPr>
                <w:rFonts w:ascii="Times New Roman" w:hAnsi="Times New Roman"/>
                <w:b/>
                <w:sz w:val="20"/>
              </w:rPr>
              <w:t>Tenants Broker</w:t>
            </w:r>
            <w:r>
              <w:rPr>
                <w:rFonts w:ascii="Times New Roman" w:hAnsi="Times New Roman"/>
                <w:sz w:val="20"/>
              </w:rPr>
              <w:t xml:space="preserve">). Tenant agrees to indemnify and hold the Landlord Parties harmless from all claims of any other broker claiming to have represented Tenant in connection with this Amendment. Landlord hereby represents to Tenant that Landlord has dealt with no broker in connection with this Amendment. Landlord agrees to indemnify and hold the Tenant Parties harmless from all claims of any brokers claiming to have represented Landlord in connection with this Amendment. Landlord hereby agrees to pay all brokerage commissions or finders fees (if any) that may be due to the Tenants Broker in connection with this Amendment pursuant to its written agreement with such broker.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8.07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4</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contained in this Amendment to any tenant or other occupant in the Building or to any agent, employee, subtenant or assignee of such tenant or occupant, and Tenant also shall cause the Tenant Parties (including, without limitation, its brokers) to comply with the restrictions set forth in this sentence. The terms and provisions of the preceding sentence shall survive the termination of the Lease (whether by lapse of time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8.08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This Amendment shall be construed without regard to any presumption or other rule requiring construction against the party causing this Amendment to be drafted. This Amendment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w:t>
            </w:r>
            <w:r>
              <w:rPr>
                <w:rFonts w:ascii="Times New Roman" w:hAnsi="Times New Roman"/>
                <w:b/>
                <w:sz w:val="20"/>
              </w:rPr>
              <w:t>electronic signature</w:t>
            </w:r>
            <w:r>
              <w:rPr>
                <w:rFonts w:ascii="Times New Roman" w:hAnsi="Times New Roman"/>
                <w:sz w:val="20"/>
              </w:rPr>
              <w:t xml:space="preserve"> shall include faxed versions of an original signature or electronically scanned and transmitted versions (e.g., via pdf) of an original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8.09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contains the following exhibit, which is incorporated herein by reference: </w:t>
            </w:r>
            <w:r>
              <w:rPr>
                <w:rFonts w:ascii="Times New Roman" w:hAnsi="Times New Roman"/>
                <w:b/>
                <w:sz w:val="20"/>
              </w:rPr>
              <w:t>Exhibit E-1</w:t>
            </w:r>
            <w:r>
              <w:rPr>
                <w:rFonts w:ascii="Times New Roman" w:hAnsi="Times New Roman"/>
                <w:sz w:val="20"/>
              </w:rPr>
              <w:t xml:space="preserve"> (Existing Premises, First, Third and Fifth Expansion Spaces).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[signatures are on following 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5</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Landlord and Tenant have executed this Amendment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CHICAGO KINGSBURY, LLC,</w:t>
            </w:r>
          </w:p>
        </w:tc>
      </w:tr>
      <w:tr>
        <w:trPr/>
        <w:tc>
          <w:tcPr>
            <w:tcW w:w="4082" w:type="dxa"/>
            <w:gridSpan w:val="3"/>
            <w:tcBorders/>
          </w:tcPr>
          <w:p>
            <w:pPr>
              <w:pStyle w:val="TableContents"/>
              <w:bidi w:val="0"/>
              <w:spacing w:before="0" w:after="283"/>
              <w:jc w:val="left"/>
              <w:rPr/>
            </w:pPr>
            <w:r>
              <w:rPr/>
              <w:t>a Delaware limited liability company</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Gloor</w:t>
            </w:r>
          </w:p>
        </w:tc>
      </w:tr>
      <w:tr>
        <w:trPr/>
        <w:tc>
          <w:tcPr>
            <w:tcW w:w="4082" w:type="dxa"/>
            <w:gridSpan w:val="3"/>
            <w:tcBorders/>
          </w:tcPr>
          <w:p>
            <w:pPr>
              <w:pStyle w:val="TableContents"/>
              <w:bidi w:val="0"/>
              <w:spacing w:before="0" w:after="283"/>
              <w:jc w:val="left"/>
              <w:rPr/>
            </w:pPr>
            <w:r>
              <w:rPr/>
              <w:t>Name: Andrew Gloor</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LABS, INC., a Delaware corporation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Rogers</w:t>
            </w:r>
          </w:p>
        </w:tc>
      </w:tr>
      <w:tr>
        <w:trPr/>
        <w:tc>
          <w:tcPr>
            <w:tcW w:w="4082" w:type="dxa"/>
            <w:gridSpan w:val="3"/>
            <w:tcBorders/>
          </w:tcPr>
          <w:p>
            <w:pPr>
              <w:pStyle w:val="TableContents"/>
              <w:bidi w:val="0"/>
              <w:spacing w:before="0" w:after="283"/>
              <w:jc w:val="left"/>
              <w:rPr/>
            </w:pPr>
            <w:r>
              <w:rPr/>
              <w:t>Name: Jim Rogers</w:t>
            </w:r>
          </w:p>
        </w:tc>
      </w:tr>
      <w:tr>
        <w:trPr/>
        <w:tc>
          <w:tcPr>
            <w:tcW w:w="4082" w:type="dxa"/>
            <w:gridSpan w:val="3"/>
            <w:tcBorders/>
          </w:tcPr>
          <w:p>
            <w:pPr>
              <w:pStyle w:val="TableContents"/>
              <w:bidi w:val="0"/>
              <w:spacing w:before="0" w:after="283"/>
              <w:jc w:val="left"/>
              <w:rPr/>
            </w:pPr>
            <w:r>
              <w:rPr/>
              <w:t>Title: Vice President, Finance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6</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E-1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EXISTING PREMISES; FIRST, THIRD AND FIFTH EXPANSION SPACES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102"/>
        <w:gridCol w:w="3572"/>
        <w:gridCol w:w="102"/>
        <w:gridCol w:w="2858"/>
      </w:tblGrid>
      <w:tr>
        <w:trPr/>
        <w:tc>
          <w:tcPr>
            <w:tcW w:w="357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FOURTH AMENDMENT TO AGREEMENT OF LEASE </w:t>
      </w:r>
    </w:p>
    <w:p>
      <w:pPr>
        <w:pStyle w:val="TextBody"/>
        <w:bidi w:val="0"/>
        <w:spacing w:before="240" w:after="0"/>
        <w:jc w:val="left"/>
        <w:rPr>
          <w:rFonts w:ascii="Times New Roman" w:hAnsi="Times New Roman"/>
          <w:sz w:val="20"/>
        </w:rPr>
      </w:pPr>
      <w:r>
        <w:rPr>
          <w:rFonts w:ascii="Times New Roman" w:hAnsi="Times New Roman"/>
          <w:b/>
          <w:sz w:val="20"/>
        </w:rPr>
        <w:t>THIS FOURTH AMENDMENT TO AGREEMENT OF LEASE</w:t>
      </w:r>
      <w:r>
        <w:rPr>
          <w:rFonts w:ascii="Times New Roman" w:hAnsi="Times New Roman"/>
          <w:sz w:val="20"/>
        </w:rPr>
        <w:t xml:space="preserve"> (the </w:t>
      </w:r>
      <w:r>
        <w:rPr>
          <w:rFonts w:ascii="Times New Roman" w:hAnsi="Times New Roman"/>
          <w:b/>
          <w:sz w:val="20"/>
        </w:rPr>
        <w:t>Amendment</w:t>
      </w:r>
      <w:r>
        <w:rPr>
          <w:rFonts w:ascii="Times New Roman" w:hAnsi="Times New Roman"/>
          <w:sz w:val="20"/>
        </w:rPr>
        <w:t>) is made and entered into as of April 23, 2019 (the </w:t>
      </w:r>
      <w:r>
        <w:rPr>
          <w:rFonts w:ascii="Times New Roman" w:hAnsi="Times New Roman"/>
          <w:b/>
          <w:sz w:val="20"/>
        </w:rPr>
        <w:t>Amendment Effective Date</w:t>
      </w:r>
      <w:r>
        <w:rPr>
          <w:rFonts w:ascii="Times New Roman" w:hAnsi="Times New Roman"/>
          <w:sz w:val="20"/>
        </w:rPr>
        <w:t xml:space="preserve">), by and between </w:t>
      </w:r>
      <w:r>
        <w:rPr>
          <w:rFonts w:ascii="Times New Roman" w:hAnsi="Times New Roman"/>
          <w:b/>
          <w:sz w:val="20"/>
        </w:rPr>
        <w:t>CHICAGO KINGSBURY, LLC</w:t>
      </w:r>
      <w:r>
        <w:rPr>
          <w:rFonts w:ascii="Times New Roman" w:hAnsi="Times New Roman"/>
          <w:sz w:val="20"/>
        </w:rPr>
        <w:t>, a Delaware limited liability company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TEMPUS LABS, INC.</w:t>
      </w:r>
      <w:r>
        <w:rPr>
          <w:rFonts w:ascii="Times New Roman" w:hAnsi="Times New Roman"/>
          <w:sz w:val="20"/>
        </w:rPr>
        <w:t>, a Delaware corporation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Landlord (as successor in interest to EQC 600 West Chicago, LLC, a Delaware limited liability company) and Tenant are parties to that certain lease dated January 18, 2018 (the </w:t>
            </w:r>
            <w:r>
              <w:rPr>
                <w:rFonts w:ascii="Times New Roman" w:hAnsi="Times New Roman"/>
                <w:b/>
                <w:sz w:val="20"/>
              </w:rPr>
              <w:t>Original Lease</w:t>
            </w:r>
            <w:r>
              <w:rPr>
                <w:rFonts w:ascii="Times New Roman" w:hAnsi="Times New Roman"/>
                <w:sz w:val="20"/>
              </w:rPr>
              <w:t>), which lease has been previously amended by First Amendment to Agreement of Lease dated as of January 30, 2018 (the </w:t>
            </w:r>
            <w:r>
              <w:rPr>
                <w:rFonts w:ascii="Times New Roman" w:hAnsi="Times New Roman"/>
                <w:b/>
                <w:sz w:val="20"/>
              </w:rPr>
              <w:t>First Amendment</w:t>
            </w:r>
            <w:r>
              <w:rPr>
                <w:rFonts w:ascii="Times New Roman" w:hAnsi="Times New Roman"/>
                <w:sz w:val="20"/>
              </w:rPr>
              <w:t>), by Second Amendment to Agreement of Lease dated as of July 30, 2018 (the </w:t>
            </w:r>
            <w:r>
              <w:rPr>
                <w:rFonts w:ascii="Times New Roman" w:hAnsi="Times New Roman"/>
                <w:b/>
                <w:sz w:val="20"/>
              </w:rPr>
              <w:t>Second Amendment</w:t>
            </w:r>
            <w:r>
              <w:rPr>
                <w:rFonts w:ascii="Times New Roman" w:hAnsi="Times New Roman"/>
                <w:sz w:val="20"/>
              </w:rPr>
              <w:t>), and by Third Amendment to Agreement of Lease (the </w:t>
            </w:r>
            <w:r>
              <w:rPr>
                <w:rFonts w:ascii="Times New Roman" w:hAnsi="Times New Roman"/>
                <w:b/>
                <w:sz w:val="20"/>
              </w:rPr>
              <w:t>Third Amendment</w:t>
            </w:r>
            <w:r>
              <w:rPr>
                <w:rFonts w:ascii="Times New Roman" w:hAnsi="Times New Roman"/>
                <w:sz w:val="20"/>
              </w:rPr>
              <w:t>) dated as of December 26, 2018 (collectively, the </w:t>
            </w:r>
            <w:r>
              <w:rPr>
                <w:rFonts w:ascii="Times New Roman" w:hAnsi="Times New Roman"/>
                <w:b/>
                <w:sz w:val="20"/>
              </w:rPr>
              <w:t>Lease</w:t>
            </w:r>
            <w:r>
              <w:rPr>
                <w:rFonts w:ascii="Times New Roman" w:hAnsi="Times New Roman"/>
                <w:sz w:val="20"/>
              </w:rPr>
              <w:t>). Pursuant to the Lease, Landlord has leased to Tenant space currently containing approximately 118,964 Rentable Square Feet (the </w:t>
            </w:r>
            <w:r>
              <w:rPr>
                <w:rFonts w:ascii="Times New Roman" w:hAnsi="Times New Roman"/>
                <w:b/>
                <w:sz w:val="20"/>
              </w:rPr>
              <w:t>Premises</w:t>
            </w:r>
            <w:r>
              <w:rPr>
                <w:rFonts w:ascii="Times New Roman" w:hAnsi="Times New Roman"/>
                <w:sz w:val="20"/>
              </w:rPr>
              <w:t>, which consists of the space demised in Section 2.1 of the Original Lease, the First Expansion Space and the Third Expansion Space demised in Section 6 of Exhibit G to the Original Lease (as amended), the Fourth Expansion Space demised in the Second Amendment and the Fifth Expansion Space demised in the Third Amendment) on the fifth floor of the building located at 600 West Chicago Avenue, Chicago, Illinois (the </w:t>
            </w:r>
            <w:r>
              <w:rPr>
                <w:rFonts w:ascii="Times New Roman" w:hAnsi="Times New Roman"/>
                <w:b/>
                <w:sz w:val="20"/>
              </w:rPr>
              <w:t>Building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has requested that additional space containing approximately 8,020 Rentable Square Feet on the fifth floor of the Building shown on </w:t>
            </w:r>
            <w:r>
              <w:rPr>
                <w:rFonts w:ascii="Times New Roman" w:hAnsi="Times New Roman"/>
                <w:b/>
                <w:sz w:val="20"/>
              </w:rPr>
              <w:t>Exhibit A</w:t>
            </w:r>
            <w:r>
              <w:rPr>
                <w:rFonts w:ascii="Times New Roman" w:hAnsi="Times New Roman"/>
                <w:sz w:val="20"/>
              </w:rPr>
              <w:t xml:space="preserve"> attached hereto as the </w:t>
            </w:r>
            <w:r>
              <w:rPr>
                <w:rFonts w:ascii="Times New Roman" w:hAnsi="Times New Roman"/>
                <w:b/>
                <w:sz w:val="20"/>
              </w:rPr>
              <w:t>Sixth Expansion Space</w:t>
            </w:r>
            <w:r>
              <w:rPr>
                <w:rFonts w:ascii="Times New Roman" w:hAnsi="Times New Roman"/>
                <w:sz w:val="20"/>
              </w:rPr>
              <w:t> (the </w:t>
            </w:r>
            <w:r>
              <w:rPr>
                <w:rFonts w:ascii="Times New Roman" w:hAnsi="Times New Roman"/>
                <w:b/>
                <w:sz w:val="20"/>
              </w:rPr>
              <w:t>Sixth Expansion Space</w:t>
            </w:r>
            <w:r>
              <w:rPr>
                <w:rFonts w:ascii="Times New Roman" w:hAnsi="Times New Roman"/>
                <w:sz w:val="20"/>
              </w:rPr>
              <w:t xml:space="preserve">) be added to the Premises currently demised under the Lease and that the Lease be appropriately amended and Landlord is willing to do the same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Tenant has requested that additional space containing approximately 27,622 Rentable Square Feet on the fifth floor of the Building shown on </w:t>
            </w:r>
            <w:r>
              <w:rPr>
                <w:rFonts w:ascii="Times New Roman" w:hAnsi="Times New Roman"/>
                <w:b/>
                <w:sz w:val="20"/>
              </w:rPr>
              <w:t>Exhibit B</w:t>
            </w:r>
            <w:r>
              <w:rPr>
                <w:rFonts w:ascii="Times New Roman" w:hAnsi="Times New Roman"/>
                <w:sz w:val="20"/>
              </w:rPr>
              <w:t xml:space="preserve"> attached hereto (the </w:t>
            </w:r>
            <w:r>
              <w:rPr>
                <w:rFonts w:ascii="Times New Roman" w:hAnsi="Times New Roman"/>
                <w:b/>
                <w:sz w:val="20"/>
              </w:rPr>
              <w:t>Seventh Expansion Space</w:t>
            </w:r>
            <w:r>
              <w:rPr>
                <w:rFonts w:ascii="Times New Roman" w:hAnsi="Times New Roman"/>
                <w:sz w:val="20"/>
              </w:rPr>
              <w:t xml:space="preserve">) be added to the Premises currently demised under the Lease and that the Lease be appropriately amended and Landlord is willing to do the same on the following terms and conditions. The Seventh Expansion Space consists of 3 spaces as shown on </w:t>
            </w:r>
            <w:r>
              <w:rPr>
                <w:rFonts w:ascii="Times New Roman" w:hAnsi="Times New Roman"/>
                <w:b/>
                <w:sz w:val="20"/>
              </w:rPr>
              <w:t>Exhibit B</w:t>
            </w:r>
            <w:r>
              <w:rPr>
                <w:rFonts w:ascii="Times New Roman" w:hAnsi="Times New Roman"/>
                <w:sz w:val="20"/>
              </w:rPr>
              <w:t>: </w:t>
            </w:r>
            <w:r>
              <w:rPr>
                <w:rFonts w:ascii="Times New Roman" w:hAnsi="Times New Roman"/>
                <w:b/>
                <w:sz w:val="20"/>
              </w:rPr>
              <w:t>P1</w:t>
            </w:r>
            <w:r>
              <w:rPr>
                <w:rFonts w:ascii="Times New Roman" w:hAnsi="Times New Roman"/>
                <w:sz w:val="20"/>
              </w:rPr>
              <w:t> consisting of approximately 11,089 Rentable Square Feet, </w:t>
            </w:r>
            <w:r>
              <w:rPr>
                <w:rFonts w:ascii="Times New Roman" w:hAnsi="Times New Roman"/>
                <w:b/>
                <w:sz w:val="20"/>
              </w:rPr>
              <w:t>P2</w:t>
            </w:r>
            <w:r>
              <w:rPr>
                <w:rFonts w:ascii="Times New Roman" w:hAnsi="Times New Roman"/>
                <w:sz w:val="20"/>
              </w:rPr>
              <w:t> consisting of approximately 8,261 Rentable Square Feet and </w:t>
            </w:r>
            <w:r>
              <w:rPr>
                <w:rFonts w:ascii="Times New Roman" w:hAnsi="Times New Roman"/>
                <w:b/>
                <w:sz w:val="20"/>
              </w:rPr>
              <w:t>P3</w:t>
            </w:r>
            <w:r>
              <w:rPr>
                <w:rFonts w:ascii="Times New Roman" w:hAnsi="Times New Roman"/>
                <w:sz w:val="20"/>
              </w:rPr>
              <w:t xml:space="preserve"> consisting of approximately 8,272 Rentable Square Feet.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constitutes Tenants notice that Tenant has elected that the maximum amount of rental abatement permitted under the Lease and this Amendment attributable to the First Expansion Space, Third Expansion Space, Fifth Expansion Space, Sixth Expansion Space and Seventh Expansion Space be converted to Application Amount, and the parties wish to set forth the revised rental abatement periods and the Application Amount resulting therefrom. </w:t>
            </w:r>
          </w:p>
        </w:tc>
      </w:tr>
    </w:tbl>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above recitals which by this reference are incorporated herein, the mutual covenants and conditions contained herein and other valuable consideration, the receipt and sufficiency of which are hereby acknowledged, Landlord and Tenant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Sixth Expansion Space and Effective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Effective as of March 1, 2019 (the </w:t>
            </w:r>
            <w:r>
              <w:rPr>
                <w:rFonts w:ascii="Times New Roman" w:hAnsi="Times New Roman"/>
                <w:b/>
                <w:sz w:val="20"/>
              </w:rPr>
              <w:t>Sixth Expansion Effective Date</w:t>
            </w:r>
            <w:r>
              <w:rPr>
                <w:rFonts w:ascii="Times New Roman" w:hAnsi="Times New Roman"/>
                <w:sz w:val="20"/>
              </w:rPr>
              <w:t xml:space="preserve">), the Premises, as defined in the Lease, is increased by the addition of the Sixth Expansion Space, and from and after the Sixth Expansion Effective Date, the Premises currently demised under the Lease and the Sixth Expansion Space, collectively, shall be deemed the Premises, as defined in the Lease. The Term for the Sixth Expansion Space shall commence on the Sixth Expansion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1</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Effective Date and end on the Expiration Date. The Sixth Expansion Space is subject to all the terms and conditions of the Lease except as expressly modified herein and except that Tenant shall not be entitled to receive any allowances, abatements or other financial concessions granted with respect to the Premises currently demised under the Lease unless such concessions are expressly provided for herein with respect to the Sixth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commence payment of Rent with respect to the Sixth Expansion Space on December 1, 2019 (the </w:t>
            </w:r>
            <w:r>
              <w:rPr>
                <w:rFonts w:ascii="Times New Roman" w:hAnsi="Times New Roman"/>
                <w:b/>
                <w:sz w:val="20"/>
              </w:rPr>
              <w:t>Sixth Expansion Rent Commencement Date</w:t>
            </w:r>
            <w:r>
              <w:rPr>
                <w:rFonts w:ascii="Times New Roman" w:hAnsi="Times New Roman"/>
                <w:sz w:val="20"/>
              </w:rPr>
              <w:t>) which is the date 275 days after the Sixth Expansion Effective Date (the </w:t>
            </w:r>
            <w:r>
              <w:rPr>
                <w:rFonts w:ascii="Times New Roman" w:hAnsi="Times New Roman"/>
                <w:b/>
                <w:sz w:val="20"/>
              </w:rPr>
              <w:t>Sixth Expansion Build Out Period</w:t>
            </w:r>
            <w:r>
              <w:rPr>
                <w:rFonts w:ascii="Times New Roman" w:hAnsi="Times New Roman"/>
                <w:sz w:val="20"/>
              </w:rPr>
              <w:t>). If Tenant commences its business operations in the Sixth Expansion Space prior to the last day of the Sixth Expansion Build Out Period, the period of time beginning on the date on which Tenant so commences its business operations in the Sixth Expansion Space and ending on the last day of the Sixth Expansion Build Out Period is referred to as the </w:t>
            </w:r>
            <w:r>
              <w:rPr>
                <w:rFonts w:ascii="Times New Roman" w:hAnsi="Times New Roman"/>
                <w:b/>
                <w:sz w:val="20"/>
              </w:rPr>
              <w:t>Sixth Expansion Beneficial Occupancy Period</w:t>
            </w:r>
            <w:r>
              <w:rPr>
                <w:rFonts w:ascii="Times New Roman" w:hAnsi="Times New Roman"/>
                <w:sz w:val="20"/>
              </w:rPr>
              <w:t xml:space="preserve">. The initial annual Fixed Rent rate per rentable square foot of the Sixth Expansion Space shall be the same as the Fixed Rent rate per rentable square foot of the Premises initially demised by the Lease on the Sixth Expansion Rent Commencement Date. The Fixed Rent rate for the Sixth Expansion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Sixth Expansion Space shall be the same. Commencing on the Sixth Expansion Rent Commencement Date, Tenants Proportionate Share shall be increased to reflect the inclusion of the Sixth Expansion Space in the Premises. The Sixth Expansion Space shall be delivered to Tenant in its as is condition without any agreements, representations, understandings or obligations on the part of Landlord to perform any alterations, repairs or improvements. Any construction, alterations or improvements to the Sixth Expansion Space shall be performed by Tenant at its sole cost and expense and shall be governed in all respects by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improvement allowance (the </w:t>
            </w:r>
            <w:r>
              <w:rPr>
                <w:rFonts w:ascii="Times New Roman" w:hAnsi="Times New Roman"/>
                <w:b/>
                <w:sz w:val="20"/>
              </w:rPr>
              <w:t>Sixth Expansion Space Improvement Allowance</w:t>
            </w:r>
            <w:r>
              <w:rPr>
                <w:rFonts w:ascii="Times New Roman" w:hAnsi="Times New Roman"/>
                <w:sz w:val="20"/>
              </w:rPr>
              <w:t>) in an amount equal to $65.00 per rentable square foot of the Sixth Expansion Space. Such Sixth Expansion Space Improvement Allowance shall be applied toward the cost of the improvements to be performed by Tenant in the Sixth Expansion Space (the </w:t>
            </w:r>
            <w:r>
              <w:rPr>
                <w:rFonts w:ascii="Times New Roman" w:hAnsi="Times New Roman"/>
                <w:b/>
                <w:sz w:val="20"/>
              </w:rPr>
              <w:t>Sixth Expansion Space Improvements</w:t>
            </w:r>
            <w:r>
              <w:rPr>
                <w:rFonts w:ascii="Times New Roman" w:hAnsi="Times New Roman"/>
                <w:sz w:val="20"/>
              </w:rPr>
              <w:t xml:space="preserve">) and/or the cost of the First Expansion Space Improvements, Third Expansion Space Improvements, Fifth Expansion Space Improvements and the Seventh Expansion Space Improvements in accordance with the provisions of the Lease for disbursements of the First Expansion Space Improvement Allowance, Third Expansion Space Improvement Allowance, Fifth Expansion Space Improvement Allowance and Seventh Expansion Space Improvement Allowance, respectively. The Sixth Expansion Space Improvement Allowance shall be disbursed in the same manner as described in, and subject to the same terms and conditions of, Sections 7(d), (e), (f) and (g) of the Work Letter attached to the Lease as </w:t>
            </w:r>
            <w:r>
              <w:rPr>
                <w:rFonts w:ascii="Times New Roman" w:hAnsi="Times New Roman"/>
                <w:b/>
                <w:sz w:val="20"/>
              </w:rPr>
              <w:t>Exhibit D</w:t>
            </w:r>
            <w:r>
              <w:rPr>
                <w:rFonts w:ascii="Times New Roman" w:hAnsi="Times New Roman"/>
                <w:sz w:val="20"/>
              </w:rPr>
              <w:t>, except that, for purposes of this Section 1.03, all references in Sections 7(d), (e), (f) and (g) of the Work Letter to (A) </w:t>
            </w:r>
            <w:r>
              <w:rPr>
                <w:rFonts w:ascii="Times New Roman" w:hAnsi="Times New Roman"/>
                <w:b/>
                <w:sz w:val="20"/>
              </w:rPr>
              <w:t>Tenants Work</w:t>
            </w:r>
            <w:r>
              <w:rPr>
                <w:rFonts w:ascii="Times New Roman" w:hAnsi="Times New Roman"/>
                <w:sz w:val="20"/>
              </w:rPr>
              <w:t> shall instead refer to the </w:t>
            </w:r>
            <w:r>
              <w:rPr>
                <w:rFonts w:ascii="Times New Roman" w:hAnsi="Times New Roman"/>
                <w:b/>
                <w:sz w:val="20"/>
              </w:rPr>
              <w:t>Sixth Expansion Space Improvements</w:t>
            </w:r>
            <w:r>
              <w:rPr>
                <w:rFonts w:ascii="Times New Roman" w:hAnsi="Times New Roman"/>
                <w:sz w:val="20"/>
              </w:rPr>
              <w:t>, (B) </w:t>
            </w:r>
            <w:r>
              <w:rPr>
                <w:rFonts w:ascii="Times New Roman" w:hAnsi="Times New Roman"/>
                <w:b/>
                <w:sz w:val="20"/>
              </w:rPr>
              <w:t>Construction Allowance</w:t>
            </w:r>
            <w:r>
              <w:rPr>
                <w:rFonts w:ascii="Times New Roman" w:hAnsi="Times New Roman"/>
                <w:sz w:val="20"/>
              </w:rPr>
              <w:t> shall instead refer to the </w:t>
            </w:r>
            <w:r>
              <w:rPr>
                <w:rFonts w:ascii="Times New Roman" w:hAnsi="Times New Roman"/>
                <w:b/>
                <w:sz w:val="20"/>
              </w:rPr>
              <w:t>Sixth Expansion Space Improvement Allowance</w:t>
            </w:r>
            <w:r>
              <w:rPr>
                <w:rFonts w:ascii="Times New Roman" w:hAnsi="Times New Roman"/>
                <w:sz w:val="20"/>
              </w:rPr>
              <w:t>, (C) </w:t>
            </w:r>
            <w:r>
              <w:rPr>
                <w:rFonts w:ascii="Times New Roman" w:hAnsi="Times New Roman"/>
                <w:b/>
                <w:sz w:val="20"/>
              </w:rPr>
              <w:t>Separation Work Reimbursement</w:t>
            </w:r>
            <w:r>
              <w:rPr>
                <w:rFonts w:ascii="Times New Roman" w:hAnsi="Times New Roman"/>
                <w:sz w:val="20"/>
              </w:rPr>
              <w:t>, shall be deleted, (D) </w:t>
            </w:r>
            <w:r>
              <w:rPr>
                <w:rFonts w:ascii="Times New Roman" w:hAnsi="Times New Roman"/>
                <w:b/>
                <w:sz w:val="20"/>
              </w:rPr>
              <w:t>Application Amount</w:t>
            </w:r>
            <w:r>
              <w:rPr>
                <w:rFonts w:ascii="Times New Roman" w:hAnsi="Times New Roman"/>
                <w:sz w:val="20"/>
              </w:rPr>
              <w:t xml:space="preserve"> shall instead refer to that portion of the Application Amount applicable to the Sixth Expansion Space as set forth on </w:t>
            </w:r>
            <w:r>
              <w:rPr>
                <w:rFonts w:ascii="Times New Roman" w:hAnsi="Times New Roman"/>
                <w:b/>
                <w:sz w:val="20"/>
              </w:rPr>
              <w:t>Exhibit C-4</w:t>
            </w:r>
            <w:r>
              <w:rPr>
                <w:rFonts w:ascii="Times New Roman" w:hAnsi="Times New Roman"/>
                <w:sz w:val="20"/>
              </w:rPr>
              <w:t xml:space="preserve"> attached hereto, and (E) </w:t>
            </w:r>
            <w:r>
              <w:rPr>
                <w:rFonts w:ascii="Times New Roman" w:hAnsi="Times New Roman"/>
                <w:b/>
                <w:sz w:val="20"/>
              </w:rPr>
              <w:t>Total Allowance</w:t>
            </w:r>
            <w:r>
              <w:rPr>
                <w:rFonts w:ascii="Times New Roman" w:hAnsi="Times New Roman"/>
                <w:sz w:val="20"/>
              </w:rPr>
              <w:t xml:space="preserve"> shall instead refer to the sum of (i) the Sixth Expansion Space Improvement Allowance plus (ii) that portion of the Application Amount applicable to the Sixth Expansion Space, all as set forth on </w:t>
            </w:r>
            <w:r>
              <w:rPr>
                <w:rFonts w:ascii="Times New Roman" w:hAnsi="Times New Roman"/>
                <w:b/>
                <w:sz w:val="20"/>
              </w:rPr>
              <w:t>Exhibit C-4</w:t>
            </w:r>
            <w:r>
              <w:rPr>
                <w:rFonts w:ascii="Times New Roman" w:hAnsi="Times New Roman"/>
                <w:sz w:val="20"/>
              </w:rPr>
              <w:t xml:space="preserve"> attached hereto. For the avoidance of doubt, there is no Separation Work and no Separation Work Reimbursement in connection with the Sixth Expansion Space. Notwithstanding anything contained in this Section 1.03, and regardless of the availability of the Sixth Expansion Space Improvement Allowance for the Sixth Expansion Space Improvements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2</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(because Tenant has chosen to apply the Sixth Expansion Space Improvement Allowance to other portions of the Premises), Tenant covenants and agrees that Tenant shall construct the Sixth Expansion Space Improvements such that the entirety of the Sixth Expansion Space is substantially similar in quality of finishes, materials and workmanship as the improvements in the balance of the Premises as of the date of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the Fixed Rent, Tenants Operating Payment and Tenants Tax Payment initially payable with respect to the Sixth Expansion Space (collectively, the </w:t>
            </w:r>
            <w:r>
              <w:rPr>
                <w:rFonts w:ascii="Times New Roman" w:hAnsi="Times New Roman"/>
                <w:b/>
                <w:sz w:val="20"/>
              </w:rPr>
              <w:t>Sixth Expansion Space Rental Abatement</w:t>
            </w:r>
            <w:r>
              <w:rPr>
                <w:rFonts w:ascii="Times New Roman" w:hAnsi="Times New Roman"/>
                <w:sz w:val="20"/>
              </w:rPr>
              <w:t xml:space="preserve">) as more particularly described on </w:t>
            </w:r>
            <w:r>
              <w:rPr>
                <w:rFonts w:ascii="Times New Roman" w:hAnsi="Times New Roman"/>
                <w:b/>
                <w:sz w:val="20"/>
              </w:rPr>
              <w:t>Exhibit C-3</w:t>
            </w:r>
            <w:r>
              <w:rPr>
                <w:rFonts w:ascii="Times New Roman" w:hAnsi="Times New Roman"/>
                <w:sz w:val="20"/>
              </w:rPr>
              <w:t xml:space="preserve"> attached hereto and made a part hereof. Such Sixth Expansion Space Rental Abatement shall be applied toward the first rent due with respect to the Sixth Expansion Space. Notwithstanding anything herein to the contrary, in no event shall Tenant be entitled to apply the Sixth Expansion Space Rental Abatement against the rent due in connection with the Sixth Expansion Space (A) unless and until Tenant shall have occupied and be operating its business in substantially all of the Sixth Expansion Space, and (B) if an Event of Default has occurred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takes possession of or enters the Sixth Expansion Space before the Sixth Expansion Rent Commencement Date, Tenant shall pay for all services requested by Tenant (e.g., freight elevator usage and utilities) and Tenant shall be subject to the terms and conditions of the Lease; provided, however, (i) except for the cost of such services requested by Tenant, Tenant shall not be required to pay Rent for any entry or possession before the Sixth Expansion Rent Commencement Date during which Tenant, with Landlords approval, has entered, or is in possession of, the Sixth Expansion Space for the sole purpose of performing improvements or installing furniture, equipment or other personal property, and (ii) during the Sixth Expansion Beneficial Occupancy Period, Tenant shall not be required to pay Rent but shall pay the cost of utilities and janitorial services for the Sixth Expansion Space and for any services specifically requested by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be entitled to receive $120,300.00 as Application Amount with respect to the Sixth Expansion Space, which amount shall be disbursed together with, and in accordance with the terms and conditions of disbursement of, the Sixth Expansion Space Improvement Allowance.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Seventh Expansion Space and Effective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Effective as of May 1, 2019 (the </w:t>
            </w:r>
            <w:r>
              <w:rPr>
                <w:rFonts w:ascii="Times New Roman" w:hAnsi="Times New Roman"/>
                <w:b/>
                <w:sz w:val="20"/>
              </w:rPr>
              <w:t>Seventh Expansion Effective Date</w:t>
            </w:r>
            <w:r>
              <w:rPr>
                <w:rFonts w:ascii="Times New Roman" w:hAnsi="Times New Roman"/>
                <w:sz w:val="20"/>
              </w:rPr>
              <w:t xml:space="preserve">), the Premises, as defined in the Lease, is increased by the addition of the Seventh Expansion Space, and from and after the Seventh Expansion Effective Date, the Premises currently demised under the Lease and the Seventh Expansion Space, collectively, shall be deemed the Premises, as defined in the Lease. The Term for the Seventh Expansion Space shall commence on the Seventh Expansion Effective Date and end on the Expiration Date. The Seventh Expansion Space is subject to all the terms and conditions of the Lease except as expressly modified herein and except that Tenant shall not be entitled to receive any allowances, abatements or other financial concessions granted with respect to the Premises currently demised under the Lease unless such concessions are expressly provided for herein with respect to the Seventh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commence payment of Rent with respect to the Seventh Expansion Space on the dates set forth as the respective Rent Commencement Dates of the Seventh Expansion Space (collectively, the </w:t>
            </w:r>
            <w:r>
              <w:rPr>
                <w:rFonts w:ascii="Times New Roman" w:hAnsi="Times New Roman"/>
                <w:b/>
                <w:sz w:val="20"/>
              </w:rPr>
              <w:t>Seventh Expansion Rent Commencement Date</w:t>
            </w:r>
            <w:r>
              <w:rPr>
                <w:rFonts w:ascii="Times New Roman" w:hAnsi="Times New Roman"/>
                <w:sz w:val="20"/>
              </w:rPr>
              <w:t xml:space="preserve">) as more particularly set forth on </w:t>
            </w:r>
            <w:r>
              <w:rPr>
                <w:rFonts w:ascii="Times New Roman" w:hAnsi="Times New Roman"/>
                <w:b/>
                <w:sz w:val="20"/>
              </w:rPr>
              <w:t>Exhibit C-1</w:t>
            </w:r>
            <w:r>
              <w:rPr>
                <w:rFonts w:ascii="Times New Roman" w:hAnsi="Times New Roman"/>
                <w:sz w:val="20"/>
              </w:rPr>
              <w:t xml:space="preserve"> attached hereto and made a part hereof. If Tenant commences its business operations in the P1, P2 or P3 portions of the Seventh Expansion Space prior to each respective Seventh Expansion Rent Commencement Date, the period of time beginning on the date on which Tenant so commences its business operations in the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3</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respective portion of the Seventh Expansion Space and ending on the last day of the P1 Build Out Period, P2 Build Out Period or P3 Build Out Period, as the case may be, is individually and collectively and referred to as the </w:t>
            </w:r>
            <w:r>
              <w:rPr>
                <w:b/>
              </w:rPr>
              <w:t>Seventh Expansion Beneficial Occupancy Period</w:t>
            </w:r>
            <w:r>
              <w:rPr/>
              <w:t xml:space="preserve">. The initial annual Fixed Rent rate per rentable square foot of the Seventh Expansion Space shall be the same as the Fixed Rent rate per rentable square foot of the Premises initially demised by the Lease on the respective Seventh Expansion Rent Commencement Date. The Fixed Rent rate for the Seventh Expansion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Seventh Expansion Space shall be the same. Commencing on each respective Seventh Expansion Rent Commencement Date, Tenants Proportionate Share shall be increased to reflect the inclusion of each respective portion of the Seventh Expansion Space in the Premises. The Seventh Expansion Space shall be delivered to Tenant in its as is condition without any agreements, representations, understandings or obligations on the part of Landlord to perform any alterations, repairs or improvements. Any construction, alterations or improvements to the Seventh Expansion Space shall be performed by Tenant at its sole cost and expense and shall be governed in all respects by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be entitled to receive an improvement allowance for each portion of the Seventh Expansion Space in the amounts set forth on </w:t>
            </w:r>
            <w:r>
              <w:rPr>
                <w:rFonts w:ascii="Times New Roman" w:hAnsi="Times New Roman"/>
                <w:b/>
                <w:sz w:val="20"/>
              </w:rPr>
              <w:t>Exhibit C-4</w:t>
            </w:r>
            <w:r>
              <w:rPr>
                <w:rFonts w:ascii="Times New Roman" w:hAnsi="Times New Roman"/>
                <w:sz w:val="20"/>
              </w:rPr>
              <w:t xml:space="preserve"> attached hereto and made a part hereof. Such allowances shall respectively be known as the </w:t>
            </w:r>
            <w:r>
              <w:rPr>
                <w:rFonts w:ascii="Times New Roman" w:hAnsi="Times New Roman"/>
                <w:b/>
                <w:sz w:val="20"/>
              </w:rPr>
              <w:t>P1 Improvement Allowance</w:t>
            </w:r>
            <w:r>
              <w:rPr>
                <w:rFonts w:ascii="Times New Roman" w:hAnsi="Times New Roman"/>
                <w:sz w:val="20"/>
              </w:rPr>
              <w:t>, the </w:t>
            </w:r>
            <w:r>
              <w:rPr>
                <w:rFonts w:ascii="Times New Roman" w:hAnsi="Times New Roman"/>
                <w:b/>
                <w:sz w:val="20"/>
              </w:rPr>
              <w:t>P2 Improvement Allowance</w:t>
            </w:r>
            <w:r>
              <w:rPr>
                <w:rFonts w:ascii="Times New Roman" w:hAnsi="Times New Roman"/>
                <w:sz w:val="20"/>
              </w:rPr>
              <w:t>, and the </w:t>
            </w:r>
            <w:r>
              <w:rPr>
                <w:rFonts w:ascii="Times New Roman" w:hAnsi="Times New Roman"/>
                <w:b/>
                <w:sz w:val="20"/>
              </w:rPr>
              <w:t>P3 Improvement Allowance</w:t>
            </w:r>
            <w:r>
              <w:rPr>
                <w:rFonts w:ascii="Times New Roman" w:hAnsi="Times New Roman"/>
                <w:sz w:val="20"/>
              </w:rPr>
              <w:t>. The P1 Improvement Allowance, P2 Improvement Allowance and P3 Improvement Allowance are collectively referred to as </w:t>
            </w:r>
            <w:r>
              <w:rPr>
                <w:rFonts w:ascii="Times New Roman" w:hAnsi="Times New Roman"/>
                <w:b/>
                <w:sz w:val="20"/>
              </w:rPr>
              <w:t>Seventh Expansion Space Improvement Allowance</w:t>
            </w:r>
            <w:r>
              <w:rPr>
                <w:rFonts w:ascii="Times New Roman" w:hAnsi="Times New Roman"/>
                <w:sz w:val="20"/>
              </w:rPr>
              <w:t>. Such Seventh Expansion Space Improvement Allowance shall be applied toward the cost of the improvements to be performed by Tenant in the Seventh Expansion Space (the </w:t>
            </w:r>
            <w:r>
              <w:rPr>
                <w:rFonts w:ascii="Times New Roman" w:hAnsi="Times New Roman"/>
                <w:b/>
                <w:sz w:val="20"/>
              </w:rPr>
              <w:t>Seventh Expansion Space Improvements</w:t>
            </w:r>
            <w:r>
              <w:rPr>
                <w:rFonts w:ascii="Times New Roman" w:hAnsi="Times New Roman"/>
                <w:sz w:val="20"/>
              </w:rPr>
              <w:t xml:space="preserve">) and/or the First Expansion Space Improvements. Third Expansion Space Improvements. Fifth Expansion Space Improvements and Sixth Expansion Space Improvements in accordance with the provisions of the Lease for disbursements of the First Expansion Space Improvement Allowance, Third Expansion Space Improvement Allowance, Fifth Expansion Space Improvement Allowance and Sixth Expansion Space Improvement Allowance, respectively. The Seventh Expansion Space Improvement Allowance shall be disbursed in the same manner as described in, and subject to the same terms and conditions of, Sections 7(d), (e), (1) and (g) of the Work Letter attached to the Lease as </w:t>
            </w:r>
            <w:r>
              <w:rPr>
                <w:rFonts w:ascii="Times New Roman" w:hAnsi="Times New Roman"/>
                <w:b/>
                <w:sz w:val="20"/>
              </w:rPr>
              <w:t>Exhibit D</w:t>
            </w:r>
            <w:r>
              <w:rPr>
                <w:rFonts w:ascii="Times New Roman" w:hAnsi="Times New Roman"/>
                <w:sz w:val="20"/>
              </w:rPr>
              <w:t>, except that, for purposes of this Section 2,03, all references in Sections 7(d), (e), (f) and (g) of the Work Letter to (A) </w:t>
            </w:r>
            <w:r>
              <w:rPr>
                <w:rFonts w:ascii="Times New Roman" w:hAnsi="Times New Roman"/>
                <w:b/>
                <w:sz w:val="20"/>
              </w:rPr>
              <w:t>Tenants Work</w:t>
            </w:r>
            <w:r>
              <w:rPr>
                <w:rFonts w:ascii="Times New Roman" w:hAnsi="Times New Roman"/>
                <w:sz w:val="20"/>
              </w:rPr>
              <w:t> shall instead refer to the </w:t>
            </w:r>
            <w:r>
              <w:rPr>
                <w:rFonts w:ascii="Times New Roman" w:hAnsi="Times New Roman"/>
                <w:b/>
                <w:sz w:val="20"/>
              </w:rPr>
              <w:t>Seventh Expansion Space Improvements</w:t>
            </w:r>
            <w:r>
              <w:rPr>
                <w:rFonts w:ascii="Times New Roman" w:hAnsi="Times New Roman"/>
                <w:sz w:val="20"/>
              </w:rPr>
              <w:t>, (B) </w:t>
            </w:r>
            <w:r>
              <w:rPr>
                <w:rFonts w:ascii="Times New Roman" w:hAnsi="Times New Roman"/>
                <w:b/>
                <w:sz w:val="20"/>
              </w:rPr>
              <w:t>Construction Allowance</w:t>
            </w:r>
            <w:r>
              <w:rPr>
                <w:rFonts w:ascii="Times New Roman" w:hAnsi="Times New Roman"/>
                <w:sz w:val="20"/>
              </w:rPr>
              <w:t> shall instead refer to the </w:t>
            </w:r>
            <w:r>
              <w:rPr>
                <w:rFonts w:ascii="Times New Roman" w:hAnsi="Times New Roman"/>
                <w:b/>
                <w:sz w:val="20"/>
              </w:rPr>
              <w:t>Seventh Expansion Space Improvement Allowance</w:t>
            </w:r>
            <w:r>
              <w:rPr>
                <w:rFonts w:ascii="Times New Roman" w:hAnsi="Times New Roman"/>
                <w:sz w:val="20"/>
              </w:rPr>
              <w:t>, (C) </w:t>
            </w:r>
            <w:r>
              <w:rPr>
                <w:rFonts w:ascii="Times New Roman" w:hAnsi="Times New Roman"/>
                <w:b/>
                <w:sz w:val="20"/>
              </w:rPr>
              <w:t>Separation Work Reimbursement</w:t>
            </w:r>
            <w:r>
              <w:rPr>
                <w:rFonts w:ascii="Times New Roman" w:hAnsi="Times New Roman"/>
                <w:sz w:val="20"/>
              </w:rPr>
              <w:t> shall be deleted, (D) </w:t>
            </w:r>
            <w:r>
              <w:rPr>
                <w:rFonts w:ascii="Times New Roman" w:hAnsi="Times New Roman"/>
                <w:b/>
                <w:sz w:val="20"/>
              </w:rPr>
              <w:t>Application Amount</w:t>
            </w:r>
            <w:r>
              <w:rPr>
                <w:rFonts w:ascii="Times New Roman" w:hAnsi="Times New Roman"/>
                <w:sz w:val="20"/>
              </w:rPr>
              <w:t xml:space="preserve"> shall instead refer to that portion of the Application Amount applicable to the Seventh Expansion Space as set forth on </w:t>
            </w:r>
            <w:r>
              <w:rPr>
                <w:rFonts w:ascii="Times New Roman" w:hAnsi="Times New Roman"/>
                <w:b/>
                <w:sz w:val="20"/>
              </w:rPr>
              <w:t>Exhibit C-4</w:t>
            </w:r>
            <w:r>
              <w:rPr>
                <w:rFonts w:ascii="Times New Roman" w:hAnsi="Times New Roman"/>
                <w:sz w:val="20"/>
              </w:rPr>
              <w:t xml:space="preserve"> attached hereto, and (E) </w:t>
            </w:r>
            <w:r>
              <w:rPr>
                <w:rFonts w:ascii="Times New Roman" w:hAnsi="Times New Roman"/>
                <w:b/>
                <w:sz w:val="20"/>
              </w:rPr>
              <w:t>Total Allowance</w:t>
            </w:r>
            <w:r>
              <w:rPr>
                <w:rFonts w:ascii="Times New Roman" w:hAnsi="Times New Roman"/>
                <w:sz w:val="20"/>
              </w:rPr>
              <w:t xml:space="preserve"> shall instead refer to the sum of (i) the Seventh Expansion Space Improvement Allowance plus (ii) that portion of the Application Amount applicable to the Seventh Expansion Space, all as set forth on </w:t>
            </w:r>
            <w:r>
              <w:rPr>
                <w:rFonts w:ascii="Times New Roman" w:hAnsi="Times New Roman"/>
                <w:b/>
                <w:sz w:val="20"/>
              </w:rPr>
              <w:t>Exhibit C-4</w:t>
            </w:r>
            <w:r>
              <w:rPr>
                <w:rFonts w:ascii="Times New Roman" w:hAnsi="Times New Roman"/>
                <w:sz w:val="20"/>
              </w:rPr>
              <w:t xml:space="preserve"> attached hereto. For the avoidance of doubt, there is no Separation Work and no Separation Work Reimbursement in connection with the Seventh Expansion Space. The Seventh Expansion Space Improvement Allowance shall be available to Tenant as of the Seventh Expansion Effective Date. Notwithstanding anything contained in this Section 2.03, and regardless of the availability of the Seventh Expansion Space Improvement Allowance for the Seventh Expansion Space Improvements (because Tenant has chosen to apply the Seventh Expansion Space Improvement Allowance to other portions of the Premises), Tenant covenants and agrees that Tenant shall construct the Seventh Expansion Space Improvements such that the entirety of the Seventh Expansion Space is substantially similar in quality of finishes, materials and workmanship as the improvements in the balance of the Premises as of the date of this Amendment.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4</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be entitled to receive an abatement of the Fixed Rent, Tenants Operating Payment and Tenants Tax Payment initially payable with respect to each portion of the Seventh Expansion Space for the respective periods set forth on </w:t>
            </w:r>
            <w:r>
              <w:rPr>
                <w:rFonts w:ascii="Times New Roman" w:hAnsi="Times New Roman"/>
                <w:b/>
                <w:sz w:val="20"/>
              </w:rPr>
              <w:t>Exhibit C-3</w:t>
            </w:r>
            <w:r>
              <w:rPr>
                <w:rFonts w:ascii="Times New Roman" w:hAnsi="Times New Roman"/>
                <w:sz w:val="20"/>
              </w:rPr>
              <w:t xml:space="preserve"> attached hereto and made a part hereof. The P1 Rental Abatement. P2 Rental Abatement and P3 Rental Abatement are collectively referred to herein as the </w:t>
            </w:r>
            <w:r>
              <w:rPr>
                <w:rFonts w:ascii="Times New Roman" w:hAnsi="Times New Roman"/>
                <w:b/>
                <w:sz w:val="20"/>
              </w:rPr>
              <w:t>Seventh Expansion Space Rental Abatement</w:t>
            </w:r>
            <w:r>
              <w:rPr>
                <w:rFonts w:ascii="Times New Roman" w:hAnsi="Times New Roman"/>
                <w:sz w:val="20"/>
              </w:rPr>
              <w:t xml:space="preserve">. Such Seventh Expansion Space Rental Abatement shall be applied toward the first rent due with respect to each respective portion of the Seventh Expansion Space. Notwithstanding anything herein to the contrary, in no event shall Tenant be entitled to apply the P1 Rental Abatement, the P2 Rental Abatement or the P3 Rental Abatement, as the case may be, against the rent due in connection with the P1, P2 or P3 portions of the Seventh Expansion Space, respectively, (A) unless and until Tenant shall have occupied and be operating its business in substantially all of the P1, P2 and P3 portions of the Seventh Expansion Space, respectively, and (B) if an Event of Default has occurred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2.05</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takes possession of or enters the P1, P2 or P3 portions of the Seventh Expansion Space before the respective Seventh Expansion Rent Commencement Date, Tenant shall pay for all services requested by Tenant (e.g., freight elevator usage and utilities) and Tenant shall be subject to the terms and conditions of the Lease; provided, however, (i) except for the cost of such services requested by Tenant, Tenant shall not be required to pay Rent for any entry or possession before the respective Seventh Expansion Rent Commencement Date during which Tenant has entered, or is in possession of, the P1, P2 or P3 portions of the Seventh Expansion Space for the sole purpose of performing improvements in accordance with the terms of the Lease or installing furniture, equipment or other personal property, and (ii) during each respective Seventh Expansion Beneficial Occupancy Period, Tenant shall not be required to pay Rent but shall pay the cost of utilities and janitorial services for the respective portion of the Seventh Expansion Space and for any services specifically requested by Tenant. If Landlord fails to deliver possession of any portion of the Seventh Expansion Space to Tenant on the Seventh Expansion Effective Date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failure to deliver possession shall not affect either the validity of the Lease or the obligations of either Landlord or Tenant thereunder or be construed to extend the expiration of the Term either as to the Seventh Expansion Space or the balance of the Premises; provided, however, that under such circumstances, Landlord shall make reasonable efforts to obtain possession of the respective portion of the Seventh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be entitled to receive the respective amounts set forth on </w:t>
            </w:r>
            <w:r>
              <w:rPr>
                <w:rFonts w:ascii="Times New Roman" w:hAnsi="Times New Roman"/>
                <w:b/>
                <w:sz w:val="20"/>
              </w:rPr>
              <w:t>Exhibit C-4</w:t>
            </w:r>
            <w:r>
              <w:rPr>
                <w:rFonts w:ascii="Times New Roman" w:hAnsi="Times New Roman"/>
                <w:sz w:val="20"/>
              </w:rPr>
              <w:t xml:space="preserve"> attached hereto and made a part hereof as Application Amount with respect to the Seventh Expansion Space, which amounts shall be disbursed together with, and in accordance with the terms and conditions of disbursement of, the P1 Improvement Allowance, the P2 Improvement Allowance and the P3 Improvement Allowance,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Build Out Periods</w:t>
            </w:r>
            <w:r>
              <w:rPr>
                <w:rFonts w:ascii="Times New Roman" w:hAnsi="Times New Roman"/>
                <w:b/>
                <w:sz w:val="20"/>
              </w:rPr>
              <w:t>.</w:t>
            </w:r>
            <w:r>
              <w:rPr>
                <w:rFonts w:ascii="Times New Roman" w:hAnsi="Times New Roman"/>
                <w:sz w:val="20"/>
              </w:rPr>
              <w:t xml:space="preserve"> Notwithstanding anything to the contrary contained in the Lease, including, without limitation, Sections 6.01(b) and 6.03(b) of the Exhibit E to the Original Lease and Section 1.02 of the Third Amendment, Landlord and Tenant have agreed to adjust the First Expansion Build Out Period, the Third Expansion Build Out Period and the Fifth Expansion Build Out Period, and thus the corresponding First Expansion Rent Commencement Date, Third Expansion Rent Commencement Date and Fifth Expansion Rent Commencement Date, shall be fixed at the dates set forth on </w:t>
            </w:r>
            <w:r>
              <w:rPr>
                <w:rFonts w:ascii="Times New Roman" w:hAnsi="Times New Roman"/>
                <w:b/>
                <w:sz w:val="20"/>
              </w:rPr>
              <w:t>Exhibit C-1</w:t>
            </w:r>
            <w:r>
              <w:rPr>
                <w:rFonts w:ascii="Times New Roman" w:hAnsi="Times New Roman"/>
                <w:sz w:val="20"/>
              </w:rPr>
              <w:t xml:space="preserve"> attached hereto and made a part hereof,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5</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Rental Abatement and Application Amount</w:t>
            </w:r>
            <w:r>
              <w:rPr>
                <w:rFonts w:ascii="Times New Roman" w:hAnsi="Times New Roman"/>
                <w:b/>
                <w:sz w:val="20"/>
              </w:rPr>
              <w:t xml:space="preserve">. </w:t>
            </w:r>
            <w:r>
              <w:rPr>
                <w:rFonts w:ascii="Times New Roman" w:hAnsi="Times New Roman"/>
                <w:sz w:val="20"/>
              </w:rPr>
              <w:t xml:space="preserve">Based on Tenants election to convert the maximum amount of the First Expansion Space Rental Abatement, the Third Expansion Space Rental Abatement and the Fifth Expansion Space Rental Abatement to Application Amount, notwithstanding anything to the contrary contained in the Lease, including, without limitation, Sections 6.01(d) and 6.03(d) of the Exhibit E to the Original Lease and Section 1.04 of the Third Amendment, Tenant shall be entitled to receive the rental abatements and Application Amounts with respect to the First Expansion Space, the Third Expansion Space and the Fifth Expansion Space all as set forth on </w:t>
            </w:r>
            <w:r>
              <w:rPr>
                <w:rFonts w:ascii="Times New Roman" w:hAnsi="Times New Roman"/>
                <w:b/>
                <w:sz w:val="20"/>
              </w:rPr>
              <w:t>Exhibits C-3</w:t>
            </w:r>
            <w:r>
              <w:rPr>
                <w:rFonts w:ascii="Times New Roman" w:hAnsi="Times New Roman"/>
                <w:sz w:val="20"/>
              </w:rPr>
              <w:t xml:space="preserve"> and </w:t>
            </w:r>
            <w:r>
              <w:rPr>
                <w:rFonts w:ascii="Times New Roman" w:hAnsi="Times New Roman"/>
                <w:b/>
                <w:sz w:val="20"/>
              </w:rPr>
              <w:t>C-4</w:t>
            </w:r>
            <w:r>
              <w:rPr>
                <w:rFonts w:ascii="Times New Roman" w:hAnsi="Times New Roman"/>
                <w:sz w:val="20"/>
              </w:rPr>
              <w:t xml:space="preserve"> attached hereto and made a part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Early Termination Payment. As of the Seventh Expansion Effective Date, the Early Termination Payment is estimated to be $7,416,677.00, subject to recalculation after determination of the actual amount of Tenants Operating Payments and Tenants Tax Payments included in the rental abatements granted with respect to each portion of the Premises. For the avoidance of doubt, Tenants valid exercise of the Termination Option terminates the Lease with respect to the entire Premises effective as of the Early Termination Date set forth in Section 3.01 of </w:t>
            </w:r>
            <w:r>
              <w:rPr>
                <w:rFonts w:ascii="Times New Roman" w:hAnsi="Times New Roman"/>
                <w:b/>
                <w:sz w:val="20"/>
              </w:rPr>
              <w:t>Exhibit E</w:t>
            </w:r>
            <w:r>
              <w:rPr>
                <w:rFonts w:ascii="Times New Roman" w:hAnsi="Times New Roman"/>
                <w:sz w:val="20"/>
              </w:rPr>
              <w:t xml:space="preserve"> to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Dates. Landlord and Tenant acknowledge that the First Expansion Effective Date, Third Expansion Effective Date and Fifth Expansion Effective Date are all March 1, 2019. For convenience, attached as </w:t>
            </w:r>
            <w:r>
              <w:rPr>
                <w:rFonts w:ascii="Times New Roman" w:hAnsi="Times New Roman"/>
                <w:b/>
                <w:sz w:val="20"/>
              </w:rPr>
              <w:t>Exhibit C-2</w:t>
            </w:r>
            <w:r>
              <w:rPr>
                <w:rFonts w:ascii="Times New Roman" w:hAnsi="Times New Roman"/>
                <w:sz w:val="20"/>
              </w:rPr>
              <w:t xml:space="preserve"> hereto, is a table with the aggregate Fixed Rent for the entire Premises, as well as other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and the attached exhibits, if any, which are hereby incorporated into and made a part of this Amendment, set forth the entire agreement between the parties with respect to the matters set forth herein. There have been no additional oral or written representations or agreements.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herein modified or amended, the provisions, conditions and terms of the Lease shall remain unchanged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7.03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inconsistency between the provisions of the Lease and this Amendment, the provisions of this Amendment shall govern and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this Amendment by Landlord is not an offer to enter into this Amendment but rather is a solicitation for such an offer by Tenant. Landlord shall not be bound by this Amendment until Landlord has executed and delivered the same to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capitalized terms used in this Amendment shall have the same definitions as set forth in the Lease to the extent that such capitalized terms are defined therein and not redefined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hereby represents to Landlord that Tenant has dealt with no broker in connection with this Amendment, other than CBRE, Inc. (</w:t>
            </w:r>
            <w:r>
              <w:rPr>
                <w:rFonts w:ascii="Times New Roman" w:hAnsi="Times New Roman"/>
                <w:b/>
                <w:sz w:val="20"/>
              </w:rPr>
              <w:t>Tenants Broker</w:t>
            </w:r>
            <w:r>
              <w:rPr>
                <w:rFonts w:ascii="Times New Roman" w:hAnsi="Times New Roman"/>
                <w:sz w:val="20"/>
              </w:rPr>
              <w:t xml:space="preserve">). Tenant agrees to indemnify and hold the Landlord Parties harmless from all claims of any other broker claiming to have represented Tenant in connection with this Amendment. Landlord hereby represents to Tenant that Landlord has dealt with no broker in connection with this Amendment. Landlord agrees to indemnify and hold the Tenant Parties harmless from all claims of any brokers claiming to have represented Landlord in connection with this Amendment. Landlord hereby agrees to pay all brokerage commissions or finders fees (if any) that may be due to the Tenants Broker in connection with this Amendment pursuant to its written agreement with such broker.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6</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contained in this Amendment to any tenant or other occupant in the Building or to any agent, employee, subtenant or assignee of such tenant or occupant, and Tenant also shall cause the Tenant Parties (including, without limitation, its brokers) to comply with the restrictions set forth in this sentence. The terms and provisions of the preceding sentence shall survive the termination of the Lease (whether by lapse of time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7.08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construed without regard to any presumption or other rule requiring construction against the party causing this Amendment to be drafted. This Amendment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7.09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contains the following exhibits, which are incorporated herein by reference: </w:t>
            </w:r>
            <w:r>
              <w:rPr>
                <w:rFonts w:ascii="Times New Roman" w:hAnsi="Times New Roman"/>
                <w:b/>
                <w:sz w:val="20"/>
              </w:rPr>
              <w:t>Exhibit A</w:t>
            </w:r>
            <w:r>
              <w:rPr>
                <w:rFonts w:ascii="Times New Roman" w:hAnsi="Times New Roman"/>
                <w:sz w:val="20"/>
              </w:rPr>
              <w:t xml:space="preserve"> (Sixth Expansion Space), </w:t>
            </w:r>
            <w:r>
              <w:rPr>
                <w:rFonts w:ascii="Times New Roman" w:hAnsi="Times New Roman"/>
                <w:b/>
                <w:sz w:val="20"/>
              </w:rPr>
              <w:t>Exhibit B</w:t>
            </w:r>
            <w:r>
              <w:rPr>
                <w:rFonts w:ascii="Times New Roman" w:hAnsi="Times New Roman"/>
                <w:sz w:val="20"/>
              </w:rPr>
              <w:t xml:space="preserve"> (Seventh Expansion Space), </w:t>
            </w:r>
            <w:r>
              <w:rPr>
                <w:rFonts w:ascii="Times New Roman" w:hAnsi="Times New Roman"/>
                <w:b/>
                <w:sz w:val="20"/>
              </w:rPr>
              <w:t>Exhibit C-1</w:t>
            </w:r>
            <w:r>
              <w:rPr>
                <w:rFonts w:ascii="Times New Roman" w:hAnsi="Times New Roman"/>
                <w:sz w:val="20"/>
              </w:rPr>
              <w:t xml:space="preserve"> (Aggregate Terms- Premises and Dates), </w:t>
            </w:r>
            <w:r>
              <w:rPr>
                <w:rFonts w:ascii="Times New Roman" w:hAnsi="Times New Roman"/>
                <w:b/>
                <w:sz w:val="20"/>
              </w:rPr>
              <w:t>Exhibit C-2</w:t>
            </w:r>
            <w:r>
              <w:rPr>
                <w:rFonts w:ascii="Times New Roman" w:hAnsi="Times New Roman"/>
                <w:sz w:val="20"/>
              </w:rPr>
              <w:t xml:space="preserve"> (Aggregate Terms  Fixed Rent), </w:t>
            </w:r>
            <w:r>
              <w:rPr>
                <w:rFonts w:ascii="Times New Roman" w:hAnsi="Times New Roman"/>
                <w:b/>
                <w:sz w:val="20"/>
              </w:rPr>
              <w:t>Exhibit C-3</w:t>
            </w:r>
            <w:r>
              <w:rPr>
                <w:rFonts w:ascii="Times New Roman" w:hAnsi="Times New Roman"/>
                <w:sz w:val="20"/>
              </w:rPr>
              <w:t xml:space="preserve"> (Aggregate Terms  Rental Abatement Periods), </w:t>
            </w:r>
            <w:r>
              <w:rPr>
                <w:rFonts w:ascii="Times New Roman" w:hAnsi="Times New Roman"/>
                <w:b/>
                <w:sz w:val="20"/>
              </w:rPr>
              <w:t>Exhibit C-4</w:t>
            </w:r>
            <w:r>
              <w:rPr>
                <w:rFonts w:ascii="Times New Roman" w:hAnsi="Times New Roman"/>
                <w:sz w:val="20"/>
              </w:rPr>
              <w:t xml:space="preserve"> (Aggregate Terms  Improvement Allowance and Application Amounts), and </w:t>
            </w:r>
            <w:r>
              <w:rPr>
                <w:rFonts w:ascii="Times New Roman" w:hAnsi="Times New Roman"/>
                <w:b/>
                <w:sz w:val="20"/>
              </w:rPr>
              <w:t>Exhibit C-5</w:t>
            </w:r>
            <w:r>
              <w:rPr>
                <w:rFonts w:ascii="Times New Roman" w:hAnsi="Times New Roman"/>
                <w:sz w:val="20"/>
              </w:rPr>
              <w:t xml:space="preserve"> (Aggregate Terms Tenants Proportionate Share).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[signatures are on following 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7</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Landlord and Tenant have executed this Amendment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CHICAGO KINGSBURY, LLC,</w:t>
            </w:r>
          </w:p>
        </w:tc>
      </w:tr>
      <w:tr>
        <w:trPr/>
        <w:tc>
          <w:tcPr>
            <w:tcW w:w="4082" w:type="dxa"/>
            <w:gridSpan w:val="3"/>
            <w:tcBorders/>
          </w:tcPr>
          <w:p>
            <w:pPr>
              <w:pStyle w:val="TableContents"/>
              <w:bidi w:val="0"/>
              <w:spacing w:before="0" w:after="283"/>
              <w:jc w:val="left"/>
              <w:rPr/>
            </w:pPr>
            <w:r>
              <w:rPr/>
              <w:t>a Delaware limited liability company</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Gloor</w:t>
            </w:r>
          </w:p>
        </w:tc>
      </w:tr>
      <w:tr>
        <w:trPr/>
        <w:tc>
          <w:tcPr>
            <w:tcW w:w="4082" w:type="dxa"/>
            <w:gridSpan w:val="3"/>
            <w:tcBorders/>
          </w:tcPr>
          <w:p>
            <w:pPr>
              <w:pStyle w:val="TableContents"/>
              <w:bidi w:val="0"/>
              <w:spacing w:before="0" w:after="283"/>
              <w:jc w:val="left"/>
              <w:rPr/>
            </w:pPr>
            <w:r>
              <w:rPr/>
              <w:t>Name: Andrew Gloor</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LABS,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Rogers</w:t>
            </w:r>
          </w:p>
        </w:tc>
      </w:tr>
      <w:tr>
        <w:trPr/>
        <w:tc>
          <w:tcPr>
            <w:tcW w:w="4082" w:type="dxa"/>
            <w:gridSpan w:val="3"/>
            <w:tcBorders/>
          </w:tcPr>
          <w:p>
            <w:pPr>
              <w:pStyle w:val="TableContents"/>
              <w:bidi w:val="0"/>
              <w:spacing w:before="0" w:after="283"/>
              <w:jc w:val="left"/>
              <w:rPr/>
            </w:pPr>
            <w:r>
              <w:rPr/>
              <w:t>Name: Jim Rogers</w:t>
            </w:r>
          </w:p>
        </w:tc>
      </w:tr>
      <w:tr>
        <w:trPr/>
        <w:tc>
          <w:tcPr>
            <w:tcW w:w="4082" w:type="dxa"/>
            <w:gridSpan w:val="3"/>
            <w:tcBorders/>
          </w:tcPr>
          <w:p>
            <w:pPr>
              <w:pStyle w:val="TableContents"/>
              <w:bidi w:val="0"/>
              <w:spacing w:before="0" w:after="283"/>
              <w:jc w:val="left"/>
              <w:rPr/>
            </w:pPr>
            <w:r>
              <w:rPr/>
              <w:t>Title: Director of Finance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8</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SIXTH EXPANSION SPACE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SEVENTH EXPANSION SPACE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PREMISES AND DATES </w:t>
      </w:r>
    </w:p>
    <w:p>
      <w:pPr>
        <w:pStyle w:val="TextBody"/>
        <w:bidi w:val="0"/>
        <w:spacing w:before="120" w:after="0"/>
        <w:jc w:val="left"/>
        <w:rPr>
          <w:rFonts w:ascii="Times New Roman" w:hAnsi="Times New Roman"/>
          <w:sz w:val="20"/>
        </w:rPr>
      </w:pPr>
      <w:r>
        <w:rPr>
          <w:rFonts w:ascii="Times New Roman" w:hAnsi="Times New Roman"/>
          <w:sz w:val="20"/>
        </w:rPr>
        <w:t xml:space="preserve">Portions of the Premises and Dates: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8"/>
        <w:gridCol w:w="144"/>
        <w:gridCol w:w="60"/>
        <w:gridCol w:w="803"/>
        <w:gridCol w:w="60"/>
        <w:gridCol w:w="144"/>
        <w:gridCol w:w="60"/>
        <w:gridCol w:w="1465"/>
        <w:gridCol w:w="60"/>
        <w:gridCol w:w="144"/>
        <w:gridCol w:w="60"/>
        <w:gridCol w:w="804"/>
        <w:gridCol w:w="60"/>
        <w:gridCol w:w="143"/>
        <w:gridCol w:w="185"/>
        <w:gridCol w:w="1589"/>
        <w:gridCol w:w="66"/>
      </w:tblGrid>
      <w:tr>
        <w:trPr/>
        <w:tc>
          <w:tcPr>
            <w:tcW w:w="435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Space</w:t>
            </w:r>
          </w:p>
        </w:tc>
        <w:tc>
          <w:tcPr>
            <w:tcW w:w="144"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RSF</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Expansion</w:t>
              <w:br/>
              <w:t>Effective Date</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Last Day of</w:t>
              <w:br/>
              <w:t>Build Out</w:t>
              <w:br/>
              <w:t>Period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Rent</w:t>
              <w:br/>
              <w:t>Commencement</w:t>
              <w:br/>
              <w:t>Date</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Original Premises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79,241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Not applicable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5/31/2018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6/1/2018</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Fourth Expansion Space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370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4/20/2018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5/31/2018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6/1/2018</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Expansion Space</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5,818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3/1/2019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5/31/2019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6/1/2019</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Fifth Expansion Space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3,780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3/1/2019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5/31/2019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6/1/2019</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Expansion Space</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29,755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3/1/2019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8/31/2019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9/1/2019</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Sixth Expansion Space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8,020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3/1/2019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11/30/2019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12/1/2019</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P-1</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11,089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5/1/2019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4/30/2020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5/1/2020</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Seventh Expansion Space P-2</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8,261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5/1/2019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10/31/2020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11/1/2020</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P-3</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8,272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5/1/2019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4/30/2021</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5/1/2021</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154,606</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589"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C-1</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FIXED RENT </w:t>
      </w:r>
    </w:p>
    <w:p>
      <w:pPr>
        <w:pStyle w:val="TextBody"/>
        <w:bidi w:val="0"/>
        <w:spacing w:before="120" w:after="0"/>
        <w:jc w:val="left"/>
        <w:rPr>
          <w:rFonts w:ascii="Times New Roman" w:hAnsi="Times New Roman"/>
          <w:sz w:val="20"/>
        </w:rPr>
      </w:pPr>
      <w:r>
        <w:rPr>
          <w:rFonts w:ascii="Times New Roman" w:hAnsi="Times New Roman"/>
          <w:sz w:val="20"/>
        </w:rPr>
        <w:t xml:space="preserve">Fixed Rent: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24"/>
        <w:gridCol w:w="270"/>
        <w:gridCol w:w="140"/>
        <w:gridCol w:w="1355"/>
        <w:gridCol w:w="60"/>
        <w:gridCol w:w="270"/>
        <w:gridCol w:w="171"/>
        <w:gridCol w:w="1409"/>
        <w:gridCol w:w="60"/>
        <w:gridCol w:w="270"/>
        <w:gridCol w:w="271"/>
        <w:gridCol w:w="1142"/>
        <w:gridCol w:w="63"/>
      </w:tblGrid>
      <w:tr>
        <w:trPr/>
        <w:tc>
          <w:tcPr>
            <w:tcW w:w="4724"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270" w:type="dxa"/>
            <w:tcBorders/>
            <w:vAlign w:val="bottom"/>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Annual Rate of</w:t>
              <w:br/>
              <w:t>Fixed Rent</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Monthly Fixed</w:t>
              <w:br/>
              <w:t>Rent</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Rental Rate</w:t>
              <w:br/>
              <w:t>Per Rentable</w:t>
              <w:br/>
              <w:t>Square Foot</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6/1/2018-5/31/20191</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1,831,053.00</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152,587.75</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23.00</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6/1/2019-8131/20192</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2,103,548.28</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175,295.69</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23.58</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9/1/2019-11/30/20193</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2,805,171.12</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233,764.26</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23.58</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12/1/2019-4/30120204</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2,994,282.72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249,523.56</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23.58</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5/1/2020-5/31/20205</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3,255,761.40</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271,313.45</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23.58</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6/1/2020-10/31/2020</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3,337,224.36</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278,102.03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24,17</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11/1/20204/30/20216</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3,536,892.84</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294,741.07</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24.17</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5/1/2021-5/31/20217</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3,736,827.00</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311,402.25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24.17</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6/1/2021-5/31/2022</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3,829,590.60</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319,132.55</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24.77</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6/1/2022-5/31/2023</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3,925,446.36</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327,120.53</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25.39</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6/1/2023-5/31/2024</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4,022,848.08</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335,237.34</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26.02</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6/1/2024-5/31/2025</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4,123,342.08</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343,611.84</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26.67</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6/1/2025-5/31/2026</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4,226,928.00</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352,244.00</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27.34</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6/1/2026-5/31/2027</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4,332,060.12</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361,005.01</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28.02</w:t>
            </w:r>
          </w:p>
        </w:tc>
        <w:tc>
          <w:tcPr>
            <w:tcW w:w="63"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6/1/2027-5/31/2028</w:t>
            </w:r>
          </w:p>
        </w:tc>
        <w:tc>
          <w:tcPr>
            <w:tcW w:w="2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55" w:type="dxa"/>
            <w:tcBorders/>
            <w:shd w:fill="CCEEFF" w:val="clear"/>
            <w:vAlign w:val="bottom"/>
          </w:tcPr>
          <w:p>
            <w:pPr>
              <w:pStyle w:val="TableContents"/>
              <w:bidi w:val="0"/>
              <w:spacing w:before="0" w:after="283"/>
              <w:jc w:val="right"/>
              <w:rPr/>
            </w:pPr>
            <w:r>
              <w:rPr/>
              <w:t>4,440,284.28</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370,023.69</w:t>
            </w:r>
          </w:p>
        </w:tc>
        <w:tc>
          <w:tcPr>
            <w:tcW w:w="60"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28.72</w:t>
            </w:r>
          </w:p>
        </w:tc>
        <w:tc>
          <w:tcPr>
            <w:tcW w:w="63"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6/1/2028-5/31/2029</w:t>
            </w:r>
          </w:p>
        </w:tc>
        <w:tc>
          <w:tcPr>
            <w:tcW w:w="2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55" w:type="dxa"/>
            <w:tcBorders/>
            <w:vAlign w:val="bottom"/>
          </w:tcPr>
          <w:p>
            <w:pPr>
              <w:pStyle w:val="TableContents"/>
              <w:bidi w:val="0"/>
              <w:spacing w:before="0" w:after="283"/>
              <w:jc w:val="right"/>
              <w:rPr/>
            </w:pPr>
            <w:r>
              <w:rPr/>
              <w:t>4,551,600.60</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379,300.05</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142" w:type="dxa"/>
            <w:tcBorders/>
            <w:vAlign w:val="bottom"/>
          </w:tcPr>
          <w:p>
            <w:pPr>
              <w:pStyle w:val="TableContents"/>
              <w:bidi w:val="0"/>
              <w:spacing w:before="0" w:after="283"/>
              <w:jc w:val="right"/>
              <w:rPr/>
            </w:pPr>
            <w:r>
              <w:rPr/>
              <w:t>29.44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79,611 Rentable Square Feet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89,209 Rentable Square Feet (including the First Expansion Space and the Fifth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118,964 Rentable Square Feet (including the Third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126,984 Rentable Square Feet (including the Sixth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138,073 Rentable Square Feet (including the P1 portion of the Seventh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146,334 Rentable Square Feet (including the P2 portion of the Seventh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154,606 Rentable Square Feet (including the P3 portion of the Seventh Expansion Space)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C-2</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RENTAL ABATEMENT PERIODS </w:t>
      </w:r>
    </w:p>
    <w:p>
      <w:pPr>
        <w:pStyle w:val="TextBody"/>
        <w:bidi w:val="0"/>
        <w:spacing w:before="120" w:after="0"/>
        <w:jc w:val="left"/>
        <w:rPr>
          <w:rFonts w:ascii="Times New Roman" w:hAnsi="Times New Roman"/>
          <w:sz w:val="20"/>
        </w:rPr>
      </w:pPr>
      <w:r>
        <w:rPr>
          <w:rFonts w:ascii="Times New Roman" w:hAnsi="Times New Roman"/>
          <w:sz w:val="20"/>
        </w:rPr>
        <w:t xml:space="preserve">Rental Abatement Periods: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42"/>
        <w:gridCol w:w="1347"/>
        <w:gridCol w:w="2176"/>
        <w:gridCol w:w="1201"/>
        <w:gridCol w:w="60"/>
        <w:gridCol w:w="1347"/>
        <w:gridCol w:w="60"/>
        <w:gridCol w:w="2109"/>
        <w:gridCol w:w="63"/>
      </w:tblGrid>
      <w:tr>
        <w:trPr/>
        <w:tc>
          <w:tcPr>
            <w:tcW w:w="1842" w:type="dxa"/>
            <w:tcBorders/>
            <w:vAlign w:val="center"/>
          </w:tcPr>
          <w:p>
            <w:pPr>
              <w:pStyle w:val="TableContents"/>
              <w:bidi w:val="0"/>
              <w:spacing w:before="0" w:after="283"/>
              <w:jc w:val="left"/>
              <w:rPr>
                <w:sz w:val="4"/>
                <w:szCs w:val="4"/>
              </w:rPr>
            </w:pPr>
            <w:r>
              <w:rPr>
                <w:sz w:val="4"/>
                <w:szCs w:val="4"/>
              </w:rPr>
            </w:r>
          </w:p>
        </w:tc>
        <w:tc>
          <w:tcPr>
            <w:tcW w:w="1347"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Space</w:t>
            </w:r>
          </w:p>
        </w:tc>
        <w:tc>
          <w:tcPr>
            <w:tcW w:w="1347" w:type="dxa"/>
            <w:tcBorders/>
            <w:vAlign w:val="bottom"/>
          </w:tcPr>
          <w:p>
            <w:pPr>
              <w:pStyle w:val="TableContents"/>
              <w:bidi w:val="0"/>
              <w:spacing w:before="0" w:after="283"/>
              <w:jc w:val="left"/>
              <w:rPr/>
            </w:pPr>
            <w:r>
              <w:rPr/>
              <w:t>  </w:t>
            </w:r>
          </w:p>
        </w:tc>
        <w:tc>
          <w:tcPr>
            <w:tcW w:w="33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Fixed Rent Rental Abatement Period</w:t>
            </w:r>
          </w:p>
        </w:tc>
        <w:tc>
          <w:tcPr>
            <w:tcW w:w="6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left"/>
              <w:rPr/>
            </w:pPr>
            <w:r>
              <w:rPr/>
              <w:t>  </w:t>
            </w:r>
          </w:p>
        </w:tc>
        <w:tc>
          <w:tcPr>
            <w:tcW w:w="2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Tenants Operating Payment</w:t>
              <w:br/>
              <w:t>and Tenants Tax Payment</w:t>
              <w:br/>
              <w:t>Rental Abatement Period</w:t>
            </w:r>
          </w:p>
        </w:tc>
        <w:tc>
          <w:tcPr>
            <w:tcW w:w="63" w:type="dxa"/>
            <w:tcBorders/>
            <w:vAlign w:val="bottom"/>
          </w:tcPr>
          <w:p>
            <w:pPr>
              <w:pStyle w:val="TableContents"/>
              <w:bidi w:val="0"/>
              <w:spacing w:before="0" w:after="283"/>
              <w:jc w:val="left"/>
              <w:rPr/>
            </w:pPr>
            <w:r>
              <w:rPr/>
              <w:t> </w:t>
            </w:r>
          </w:p>
        </w:tc>
      </w:tr>
      <w:tr>
        <w:trPr/>
        <w:tc>
          <w:tcPr>
            <w:tcW w:w="1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Original Premises</w:t>
            </w:r>
          </w:p>
        </w:tc>
        <w:tc>
          <w:tcPr>
            <w:tcW w:w="134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6/1/2018-5/31/2019</w:t>
            </w:r>
          </w:p>
        </w:tc>
        <w:tc>
          <w:tcPr>
            <w:tcW w:w="6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9" w:type="dxa"/>
            <w:tcBorders/>
            <w:shd w:fill="CCEEFF" w:val="clear"/>
            <w:vAlign w:val="bottom"/>
          </w:tcPr>
          <w:p>
            <w:pPr>
              <w:pStyle w:val="TableContents"/>
              <w:bidi w:val="0"/>
              <w:spacing w:before="0" w:after="283"/>
              <w:jc w:val="right"/>
              <w:rPr/>
            </w:pPr>
            <w:r>
              <w:rPr/>
              <w:t>6/1/2018-5/31/2019</w:t>
            </w:r>
          </w:p>
        </w:tc>
        <w:tc>
          <w:tcPr>
            <w:tcW w:w="63" w:type="dxa"/>
            <w:tcBorders/>
            <w:shd w:fill="CCEEFF" w:val="clear"/>
            <w:vAlign w:val="bottom"/>
          </w:tcPr>
          <w:p>
            <w:pPr>
              <w:pStyle w:val="TableContents"/>
              <w:bidi w:val="0"/>
              <w:spacing w:before="0" w:after="283"/>
              <w:jc w:val="left"/>
              <w:rPr/>
            </w:pPr>
            <w:r>
              <w:rPr/>
              <w:t> </w:t>
            </w:r>
          </w:p>
        </w:tc>
      </w:tr>
      <w:tr>
        <w:trPr/>
        <w:tc>
          <w:tcPr>
            <w:tcW w:w="1842" w:type="dxa"/>
            <w:tcBorders/>
          </w:tcPr>
          <w:p>
            <w:pPr>
              <w:pStyle w:val="TableContents"/>
              <w:bidi w:val="0"/>
              <w:spacing w:before="0" w:after="0"/>
              <w:jc w:val="left"/>
              <w:rPr>
                <w:rFonts w:ascii="Times New Roman" w:hAnsi="Times New Roman"/>
                <w:sz w:val="20"/>
              </w:rPr>
            </w:pPr>
            <w:r>
              <w:rPr>
                <w:rFonts w:ascii="Times New Roman" w:hAnsi="Times New Roman"/>
                <w:sz w:val="20"/>
              </w:rPr>
              <w:t>Fourth Expansion Space</w:t>
            </w:r>
          </w:p>
        </w:tc>
        <w:tc>
          <w:tcPr>
            <w:tcW w:w="134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6/1/2018-5/31/2019</w:t>
            </w:r>
          </w:p>
        </w:tc>
        <w:tc>
          <w:tcPr>
            <w:tcW w:w="6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right"/>
              <w:rPr/>
            </w:pPr>
            <w:r>
              <w:rPr/>
              <w:t>6/1/2018-5/31/2019</w:t>
            </w:r>
          </w:p>
        </w:tc>
        <w:tc>
          <w:tcPr>
            <w:tcW w:w="63" w:type="dxa"/>
            <w:tcBorders/>
            <w:vAlign w:val="bottom"/>
          </w:tcPr>
          <w:p>
            <w:pPr>
              <w:pStyle w:val="TableContents"/>
              <w:bidi w:val="0"/>
              <w:spacing w:before="0" w:after="283"/>
              <w:jc w:val="left"/>
              <w:rPr/>
            </w:pPr>
            <w:r>
              <w:rPr/>
              <w:t> </w:t>
            </w:r>
          </w:p>
        </w:tc>
      </w:tr>
      <w:tr>
        <w:trPr/>
        <w:tc>
          <w:tcPr>
            <w:tcW w:w="1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Expansion Space</w:t>
            </w:r>
          </w:p>
        </w:tc>
        <w:tc>
          <w:tcPr>
            <w:tcW w:w="134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6/1/2019 -8/31/2019, plus an abatement of $</w:t>
              <w:br/>
              <w:t> </w:t>
            </w:r>
          </w:p>
        </w:tc>
        <w:tc>
          <w:tcPr>
            <w:tcW w:w="1201" w:type="dxa"/>
            <w:tcBorders/>
            <w:shd w:fill="CCEEFF" w:val="clear"/>
            <w:vAlign w:val="bottom"/>
          </w:tcPr>
          <w:p>
            <w:pPr>
              <w:pStyle w:val="TableContents"/>
              <w:bidi w:val="0"/>
              <w:spacing w:before="0" w:after="283"/>
              <w:jc w:val="right"/>
              <w:rPr/>
            </w:pPr>
            <w:r>
              <w:rPr/>
              <w:t>7,039.78 applied against</w:t>
              <w:br/>
              <w:t>Fixed Rent for the Month of 9/1/2019-9/30/2019</w:t>
            </w:r>
          </w:p>
        </w:tc>
        <w:tc>
          <w:tcPr>
            <w:tcW w:w="60" w:type="dxa"/>
            <w:tcBorders/>
            <w:shd w:fill="CCEEFF" w:val="clear"/>
            <w:vAlign w:val="bottom"/>
          </w:tcPr>
          <w:p>
            <w:pPr>
              <w:pStyle w:val="TableContents"/>
              <w:bidi w:val="0"/>
              <w:spacing w:before="0" w:after="283"/>
              <w:jc w:val="left"/>
              <w:rPr/>
            </w:pPr>
            <w:r>
              <w:rPr/>
              <w:t> </w:t>
            </w:r>
            <w:r>
              <w:rPr/>
              <w:br/>
              <w:t> </w:t>
            </w:r>
          </w:p>
        </w:tc>
        <w:tc>
          <w:tcPr>
            <w:tcW w:w="1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9" w:type="dxa"/>
            <w:tcBorders/>
            <w:shd w:fill="CCEEFF" w:val="clear"/>
            <w:vAlign w:val="bottom"/>
          </w:tcPr>
          <w:p>
            <w:pPr>
              <w:pStyle w:val="TableContents"/>
              <w:bidi w:val="0"/>
              <w:spacing w:before="0" w:after="283"/>
              <w:jc w:val="right"/>
              <w:rPr/>
            </w:pPr>
            <w:r>
              <w:rPr/>
              <w:t>6/1/2019-4/30/2020</w:t>
            </w:r>
          </w:p>
        </w:tc>
        <w:tc>
          <w:tcPr>
            <w:tcW w:w="63" w:type="dxa"/>
            <w:tcBorders/>
            <w:shd w:fill="CCEEFF" w:val="clear"/>
            <w:vAlign w:val="bottom"/>
          </w:tcPr>
          <w:p>
            <w:pPr>
              <w:pStyle w:val="TableContents"/>
              <w:bidi w:val="0"/>
              <w:spacing w:before="0" w:after="283"/>
              <w:jc w:val="left"/>
              <w:rPr/>
            </w:pPr>
            <w:r>
              <w:rPr/>
              <w:t> </w:t>
            </w:r>
          </w:p>
        </w:tc>
      </w:tr>
      <w:tr>
        <w:trPr/>
        <w:tc>
          <w:tcPr>
            <w:tcW w:w="1842" w:type="dxa"/>
            <w:tcBorders/>
          </w:tcPr>
          <w:p>
            <w:pPr>
              <w:pStyle w:val="TableContents"/>
              <w:bidi w:val="0"/>
              <w:spacing w:before="0" w:after="0"/>
              <w:jc w:val="left"/>
              <w:rPr>
                <w:rFonts w:ascii="Times New Roman" w:hAnsi="Times New Roman"/>
                <w:sz w:val="20"/>
              </w:rPr>
            </w:pPr>
            <w:r>
              <w:rPr>
                <w:rFonts w:ascii="Times New Roman" w:hAnsi="Times New Roman"/>
                <w:sz w:val="20"/>
              </w:rPr>
              <w:t>Fifth Expansion Space</w:t>
            </w:r>
          </w:p>
        </w:tc>
        <w:tc>
          <w:tcPr>
            <w:tcW w:w="134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6/1/2019-9/31/2019 plus an abatement of $</w:t>
              <w:br/>
              <w:t> </w:t>
            </w:r>
          </w:p>
        </w:tc>
        <w:tc>
          <w:tcPr>
            <w:tcW w:w="1201" w:type="dxa"/>
            <w:tcBorders/>
            <w:vAlign w:val="bottom"/>
          </w:tcPr>
          <w:p>
            <w:pPr>
              <w:pStyle w:val="TableContents"/>
              <w:bidi w:val="0"/>
              <w:spacing w:before="0" w:after="283"/>
              <w:jc w:val="right"/>
              <w:rPr/>
            </w:pPr>
            <w:r>
              <w:rPr/>
              <w:t>4,573.80 applied against Fixed</w:t>
              <w:br/>
              <w:t>Rent for the Month of 10/1/2019-10/31/2019</w:t>
            </w:r>
          </w:p>
        </w:tc>
        <w:tc>
          <w:tcPr>
            <w:tcW w:w="60" w:type="dxa"/>
            <w:tcBorders/>
            <w:vAlign w:val="bottom"/>
          </w:tcPr>
          <w:p>
            <w:pPr>
              <w:pStyle w:val="TableContents"/>
              <w:bidi w:val="0"/>
              <w:spacing w:before="0" w:after="283"/>
              <w:jc w:val="left"/>
              <w:rPr/>
            </w:pPr>
            <w:r>
              <w:rPr/>
              <w:t> </w:t>
            </w:r>
            <w:r>
              <w:rPr/>
              <w:br/>
              <w:t> </w:t>
            </w:r>
          </w:p>
        </w:tc>
        <w:tc>
          <w:tcPr>
            <w:tcW w:w="13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right"/>
              <w:rPr/>
            </w:pPr>
            <w:r>
              <w:rPr/>
              <w:t>6/1/2019-5/31/2020</w:t>
            </w:r>
          </w:p>
        </w:tc>
        <w:tc>
          <w:tcPr>
            <w:tcW w:w="63" w:type="dxa"/>
            <w:tcBorders/>
            <w:vAlign w:val="bottom"/>
          </w:tcPr>
          <w:p>
            <w:pPr>
              <w:pStyle w:val="TableContents"/>
              <w:bidi w:val="0"/>
              <w:spacing w:before="0" w:after="283"/>
              <w:jc w:val="left"/>
              <w:rPr/>
            </w:pPr>
            <w:r>
              <w:rPr/>
              <w:t> </w:t>
            </w:r>
          </w:p>
        </w:tc>
      </w:tr>
      <w:tr>
        <w:trPr/>
        <w:tc>
          <w:tcPr>
            <w:tcW w:w="1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Expansion Space</w:t>
            </w:r>
          </w:p>
        </w:tc>
        <w:tc>
          <w:tcPr>
            <w:tcW w:w="134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9/1/2019-12/31/2019, plus an abatement of $</w:t>
              <w:br/>
              <w:t> </w:t>
            </w:r>
          </w:p>
        </w:tc>
        <w:tc>
          <w:tcPr>
            <w:tcW w:w="1201" w:type="dxa"/>
            <w:tcBorders/>
            <w:shd w:fill="CCEEFF" w:val="clear"/>
            <w:vAlign w:val="bottom"/>
          </w:tcPr>
          <w:p>
            <w:pPr>
              <w:pStyle w:val="TableContents"/>
              <w:bidi w:val="0"/>
              <w:spacing w:before="0" w:after="283"/>
              <w:jc w:val="right"/>
              <w:rPr/>
            </w:pPr>
            <w:r>
              <w:rPr/>
              <w:t>32,432.95 applied against the</w:t>
              <w:br/>
              <w:t>Fixed Rent for the Month of 1/1/2020-1/31/2020</w:t>
            </w:r>
          </w:p>
        </w:tc>
        <w:tc>
          <w:tcPr>
            <w:tcW w:w="60" w:type="dxa"/>
            <w:tcBorders/>
            <w:shd w:fill="CCEEFF" w:val="clear"/>
            <w:vAlign w:val="bottom"/>
          </w:tcPr>
          <w:p>
            <w:pPr>
              <w:pStyle w:val="TableContents"/>
              <w:bidi w:val="0"/>
              <w:spacing w:before="0" w:after="283"/>
              <w:jc w:val="left"/>
              <w:rPr/>
            </w:pPr>
            <w:r>
              <w:rPr/>
              <w:t> </w:t>
            </w:r>
            <w:r>
              <w:rPr/>
              <w:br/>
              <w:t> </w:t>
            </w:r>
          </w:p>
        </w:tc>
        <w:tc>
          <w:tcPr>
            <w:tcW w:w="1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9" w:type="dxa"/>
            <w:tcBorders/>
            <w:shd w:fill="CCEEFF" w:val="clear"/>
            <w:vAlign w:val="bottom"/>
          </w:tcPr>
          <w:p>
            <w:pPr>
              <w:pStyle w:val="TableContents"/>
              <w:bidi w:val="0"/>
              <w:spacing w:before="0" w:after="283"/>
              <w:jc w:val="right"/>
              <w:rPr/>
            </w:pPr>
            <w:r>
              <w:rPr/>
              <w:t>9/1/2019-8/31/2020</w:t>
            </w:r>
          </w:p>
        </w:tc>
        <w:tc>
          <w:tcPr>
            <w:tcW w:w="63" w:type="dxa"/>
            <w:tcBorders/>
            <w:shd w:fill="CCEEFF" w:val="clear"/>
            <w:vAlign w:val="bottom"/>
          </w:tcPr>
          <w:p>
            <w:pPr>
              <w:pStyle w:val="TableContents"/>
              <w:bidi w:val="0"/>
              <w:spacing w:before="0" w:after="283"/>
              <w:jc w:val="left"/>
              <w:rPr/>
            </w:pPr>
            <w:r>
              <w:rPr/>
              <w:t> </w:t>
            </w:r>
          </w:p>
        </w:tc>
      </w:tr>
      <w:tr>
        <w:trPr/>
        <w:tc>
          <w:tcPr>
            <w:tcW w:w="1842" w:type="dxa"/>
            <w:tcBorders/>
          </w:tcPr>
          <w:p>
            <w:pPr>
              <w:pStyle w:val="TableContents"/>
              <w:bidi w:val="0"/>
              <w:spacing w:before="0" w:after="0"/>
              <w:jc w:val="left"/>
              <w:rPr>
                <w:rFonts w:ascii="Times New Roman" w:hAnsi="Times New Roman"/>
                <w:sz w:val="20"/>
              </w:rPr>
            </w:pPr>
            <w:r>
              <w:rPr>
                <w:rFonts w:ascii="Times New Roman" w:hAnsi="Times New Roman"/>
                <w:sz w:val="20"/>
              </w:rPr>
              <w:t>Sixth Expansion Space</w:t>
            </w:r>
          </w:p>
        </w:tc>
        <w:tc>
          <w:tcPr>
            <w:tcW w:w="134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12/1/2019-3/31/2020, plus an abatement of $</w:t>
              <w:br/>
              <w:t> </w:t>
            </w:r>
          </w:p>
        </w:tc>
        <w:tc>
          <w:tcPr>
            <w:tcW w:w="1201" w:type="dxa"/>
            <w:tcBorders/>
            <w:vAlign w:val="bottom"/>
          </w:tcPr>
          <w:p>
            <w:pPr>
              <w:pStyle w:val="TableContents"/>
              <w:bidi w:val="0"/>
              <w:spacing w:before="0" w:after="283"/>
              <w:jc w:val="right"/>
              <w:rPr/>
            </w:pPr>
            <w:r>
              <w:rPr/>
              <w:t>7,779.40 applied against the</w:t>
              <w:br/>
              <w:t>Fixed Rent for the Month of 4/1/2020-4/30/2020</w:t>
            </w:r>
          </w:p>
        </w:tc>
        <w:tc>
          <w:tcPr>
            <w:tcW w:w="60" w:type="dxa"/>
            <w:tcBorders/>
            <w:vAlign w:val="bottom"/>
          </w:tcPr>
          <w:p>
            <w:pPr>
              <w:pStyle w:val="TableContents"/>
              <w:bidi w:val="0"/>
              <w:spacing w:before="0" w:after="283"/>
              <w:jc w:val="left"/>
              <w:rPr/>
            </w:pPr>
            <w:r>
              <w:rPr/>
              <w:t> </w:t>
            </w:r>
            <w:r>
              <w:rPr/>
              <w:br/>
              <w:t> </w:t>
            </w:r>
          </w:p>
        </w:tc>
        <w:tc>
          <w:tcPr>
            <w:tcW w:w="13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right"/>
              <w:rPr/>
            </w:pPr>
            <w:r>
              <w:rPr/>
              <w:t>12/1/2019-11/30/2020</w:t>
            </w:r>
          </w:p>
        </w:tc>
        <w:tc>
          <w:tcPr>
            <w:tcW w:w="63" w:type="dxa"/>
            <w:tcBorders/>
            <w:vAlign w:val="bottom"/>
          </w:tcPr>
          <w:p>
            <w:pPr>
              <w:pStyle w:val="TableContents"/>
              <w:bidi w:val="0"/>
              <w:spacing w:before="0" w:after="283"/>
              <w:jc w:val="left"/>
              <w:rPr/>
            </w:pPr>
            <w:r>
              <w:rPr/>
              <w:t> </w:t>
            </w:r>
          </w:p>
        </w:tc>
      </w:tr>
      <w:tr>
        <w:trPr/>
        <w:tc>
          <w:tcPr>
            <w:tcW w:w="1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P-1</w:t>
            </w:r>
          </w:p>
        </w:tc>
        <w:tc>
          <w:tcPr>
            <w:tcW w:w="134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5/1/2020-8/31/2020, plus an abatement of $</w:t>
              <w:br/>
              <w:t> </w:t>
            </w:r>
          </w:p>
        </w:tc>
        <w:tc>
          <w:tcPr>
            <w:tcW w:w="1201" w:type="dxa"/>
            <w:tcBorders/>
            <w:shd w:fill="CCEEFF" w:val="clear"/>
            <w:vAlign w:val="bottom"/>
          </w:tcPr>
          <w:p>
            <w:pPr>
              <w:pStyle w:val="TableContents"/>
              <w:bidi w:val="0"/>
              <w:spacing w:before="0" w:after="283"/>
              <w:jc w:val="right"/>
              <w:rPr/>
            </w:pPr>
            <w:r>
              <w:rPr/>
              <w:t>10,312.77 applied against</w:t>
              <w:br/>
              <w:t>Fixed Rent for the Month of 9/1/2020-9/30/2020</w:t>
            </w:r>
          </w:p>
        </w:tc>
        <w:tc>
          <w:tcPr>
            <w:tcW w:w="60" w:type="dxa"/>
            <w:tcBorders/>
            <w:shd w:fill="CCEEFF" w:val="clear"/>
            <w:vAlign w:val="bottom"/>
          </w:tcPr>
          <w:p>
            <w:pPr>
              <w:pStyle w:val="TableContents"/>
              <w:bidi w:val="0"/>
              <w:spacing w:before="0" w:after="283"/>
              <w:jc w:val="left"/>
              <w:rPr/>
            </w:pPr>
            <w:r>
              <w:rPr/>
              <w:t> </w:t>
            </w:r>
            <w:r>
              <w:rPr/>
              <w:br/>
              <w:t> </w:t>
            </w:r>
          </w:p>
        </w:tc>
        <w:tc>
          <w:tcPr>
            <w:tcW w:w="1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9" w:type="dxa"/>
            <w:tcBorders/>
            <w:shd w:fill="CCEEFF" w:val="clear"/>
            <w:vAlign w:val="bottom"/>
          </w:tcPr>
          <w:p>
            <w:pPr>
              <w:pStyle w:val="TableContents"/>
              <w:bidi w:val="0"/>
              <w:spacing w:before="0" w:after="283"/>
              <w:jc w:val="right"/>
              <w:rPr/>
            </w:pPr>
            <w:r>
              <w:rPr/>
              <w:t>5/1/2020-4/30/2021</w:t>
            </w:r>
          </w:p>
        </w:tc>
        <w:tc>
          <w:tcPr>
            <w:tcW w:w="63" w:type="dxa"/>
            <w:tcBorders/>
            <w:shd w:fill="CCEEFF" w:val="clear"/>
            <w:vAlign w:val="bottom"/>
          </w:tcPr>
          <w:p>
            <w:pPr>
              <w:pStyle w:val="TableContents"/>
              <w:bidi w:val="0"/>
              <w:spacing w:before="0" w:after="283"/>
              <w:jc w:val="left"/>
              <w:rPr/>
            </w:pPr>
            <w:r>
              <w:rPr/>
              <w:t> </w:t>
            </w:r>
          </w:p>
        </w:tc>
      </w:tr>
      <w:tr>
        <w:trPr/>
        <w:tc>
          <w:tcPr>
            <w:tcW w:w="1842" w:type="dxa"/>
            <w:tcBorders/>
          </w:tcPr>
          <w:p>
            <w:pPr>
              <w:pStyle w:val="TableContents"/>
              <w:bidi w:val="0"/>
              <w:spacing w:before="0" w:after="0"/>
              <w:jc w:val="left"/>
              <w:rPr>
                <w:rFonts w:ascii="Times New Roman" w:hAnsi="Times New Roman"/>
                <w:sz w:val="20"/>
              </w:rPr>
            </w:pPr>
            <w:r>
              <w:rPr>
                <w:rFonts w:ascii="Times New Roman" w:hAnsi="Times New Roman"/>
                <w:sz w:val="20"/>
              </w:rPr>
              <w:t>Seventh Expansion Space P-2</w:t>
            </w:r>
          </w:p>
        </w:tc>
        <w:tc>
          <w:tcPr>
            <w:tcW w:w="1347"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pPr>
            <w:r>
              <w:rPr/>
              <w:t>11/1/2020-12/31/2020, plus an abatement of $</w:t>
              <w:br/>
              <w:t> </w:t>
            </w:r>
          </w:p>
        </w:tc>
        <w:tc>
          <w:tcPr>
            <w:tcW w:w="1201" w:type="dxa"/>
            <w:tcBorders/>
            <w:vAlign w:val="bottom"/>
          </w:tcPr>
          <w:p>
            <w:pPr>
              <w:pStyle w:val="TableContents"/>
              <w:bidi w:val="0"/>
              <w:spacing w:before="0" w:after="283"/>
              <w:jc w:val="right"/>
              <w:rPr/>
            </w:pPr>
            <w:r>
              <w:rPr/>
              <w:t>6,443.58 applied against the</w:t>
              <w:br/>
              <w:t>Fixed Rent for the Month of 1/1/2021-1/31/2021</w:t>
            </w:r>
          </w:p>
        </w:tc>
        <w:tc>
          <w:tcPr>
            <w:tcW w:w="60" w:type="dxa"/>
            <w:tcBorders/>
            <w:vAlign w:val="bottom"/>
          </w:tcPr>
          <w:p>
            <w:pPr>
              <w:pStyle w:val="TableContents"/>
              <w:bidi w:val="0"/>
              <w:spacing w:before="0" w:after="283"/>
              <w:jc w:val="left"/>
              <w:rPr/>
            </w:pPr>
            <w:r>
              <w:rPr/>
              <w:t> </w:t>
            </w:r>
            <w:r>
              <w:rPr/>
              <w:br/>
              <w:t> </w:t>
            </w:r>
          </w:p>
        </w:tc>
        <w:tc>
          <w:tcPr>
            <w:tcW w:w="13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9" w:type="dxa"/>
            <w:tcBorders/>
            <w:vAlign w:val="bottom"/>
          </w:tcPr>
          <w:p>
            <w:pPr>
              <w:pStyle w:val="TableContents"/>
              <w:bidi w:val="0"/>
              <w:spacing w:before="0" w:after="283"/>
              <w:jc w:val="right"/>
              <w:rPr/>
            </w:pPr>
            <w:r>
              <w:rPr/>
              <w:t>11/1/2020-8/31/2021</w:t>
            </w:r>
          </w:p>
        </w:tc>
        <w:tc>
          <w:tcPr>
            <w:tcW w:w="63" w:type="dxa"/>
            <w:tcBorders/>
            <w:vAlign w:val="bottom"/>
          </w:tcPr>
          <w:p>
            <w:pPr>
              <w:pStyle w:val="TableContents"/>
              <w:bidi w:val="0"/>
              <w:spacing w:before="0" w:after="283"/>
              <w:jc w:val="left"/>
              <w:rPr/>
            </w:pPr>
            <w:r>
              <w:rPr/>
              <w:t> </w:t>
            </w:r>
          </w:p>
        </w:tc>
      </w:tr>
      <w:tr>
        <w:trPr/>
        <w:tc>
          <w:tcPr>
            <w:tcW w:w="1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P-3</w:t>
            </w:r>
          </w:p>
        </w:tc>
        <w:tc>
          <w:tcPr>
            <w:tcW w:w="1347" w:type="dxa"/>
            <w:tcBorders/>
            <w:shd w:fill="CCEEFF" w:val="clear"/>
            <w:vAlign w:val="bottom"/>
          </w:tcPr>
          <w:p>
            <w:pPr>
              <w:pStyle w:val="TableContents"/>
              <w:bidi w:val="0"/>
              <w:spacing w:before="0" w:after="283"/>
              <w:jc w:val="left"/>
              <w:rPr/>
            </w:pPr>
            <w:r>
              <w:rPr/>
              <w:t>  </w:t>
            </w:r>
          </w:p>
        </w:tc>
        <w:tc>
          <w:tcPr>
            <w:tcW w:w="2176" w:type="dxa"/>
            <w:tcBorders/>
            <w:shd w:fill="CCEEFF" w:val="clear"/>
            <w:vAlign w:val="bottom"/>
          </w:tcPr>
          <w:p>
            <w:pPr>
              <w:pStyle w:val="TableContents"/>
              <w:bidi w:val="0"/>
              <w:spacing w:before="0" w:after="283"/>
              <w:jc w:val="left"/>
              <w:rPr/>
            </w:pPr>
            <w:r>
              <w:rPr/>
              <w:t>An abatement of $</w:t>
              <w:br/>
              <w:t> </w:t>
            </w:r>
          </w:p>
        </w:tc>
        <w:tc>
          <w:tcPr>
            <w:tcW w:w="1201" w:type="dxa"/>
            <w:tcBorders/>
            <w:shd w:fill="CCEEFF" w:val="clear"/>
            <w:vAlign w:val="bottom"/>
          </w:tcPr>
          <w:p>
            <w:pPr>
              <w:pStyle w:val="TableContents"/>
              <w:bidi w:val="0"/>
              <w:spacing w:before="0" w:after="283"/>
              <w:jc w:val="right"/>
              <w:rPr/>
            </w:pPr>
            <w:r>
              <w:rPr/>
              <w:t>4,797.76 applied against the Fixed Rent for the Month</w:t>
              <w:br/>
              <w:t>of 5/1/2021- 5/31/2021</w:t>
            </w:r>
          </w:p>
        </w:tc>
        <w:tc>
          <w:tcPr>
            <w:tcW w:w="60" w:type="dxa"/>
            <w:tcBorders/>
            <w:shd w:fill="CCEEFF" w:val="clear"/>
            <w:vAlign w:val="bottom"/>
          </w:tcPr>
          <w:p>
            <w:pPr>
              <w:pStyle w:val="TableContents"/>
              <w:bidi w:val="0"/>
              <w:spacing w:before="0" w:after="283"/>
              <w:jc w:val="left"/>
              <w:rPr/>
            </w:pPr>
            <w:r>
              <w:rPr/>
              <w:t> </w:t>
            </w:r>
            <w:r>
              <w:rPr/>
              <w:br/>
              <w:t> </w:t>
            </w:r>
          </w:p>
        </w:tc>
        <w:tc>
          <w:tcPr>
            <w:tcW w:w="13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9" w:type="dxa"/>
            <w:tcBorders/>
            <w:shd w:fill="CCEEFF" w:val="clear"/>
            <w:vAlign w:val="bottom"/>
          </w:tcPr>
          <w:p>
            <w:pPr>
              <w:pStyle w:val="TableContents"/>
              <w:bidi w:val="0"/>
              <w:spacing w:before="0" w:after="283"/>
              <w:jc w:val="right"/>
              <w:rPr/>
            </w:pPr>
            <w:r>
              <w:rPr/>
              <w:t>5/1/2021-12/31/2021</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C-3</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C-4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IMPROVEMENT ALLOWANCES AND APPLICATION AMOUNTS </w:t>
      </w:r>
    </w:p>
    <w:p>
      <w:pPr>
        <w:pStyle w:val="TextBody"/>
        <w:bidi w:val="0"/>
        <w:spacing w:before="240" w:after="0"/>
        <w:jc w:val="left"/>
        <w:rPr>
          <w:rFonts w:ascii="Times New Roman" w:hAnsi="Times New Roman"/>
          <w:sz w:val="20"/>
        </w:rPr>
      </w:pPr>
      <w:r>
        <w:rPr>
          <w:rFonts w:ascii="Times New Roman" w:hAnsi="Times New Roman"/>
          <w:sz w:val="20"/>
        </w:rPr>
        <w:t xml:space="preserve">Improvement Allowances and Application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1"/>
        <w:gridCol w:w="239"/>
        <w:gridCol w:w="140"/>
        <w:gridCol w:w="1288"/>
        <w:gridCol w:w="60"/>
        <w:gridCol w:w="239"/>
        <w:gridCol w:w="209"/>
        <w:gridCol w:w="1915"/>
        <w:gridCol w:w="60"/>
        <w:gridCol w:w="239"/>
        <w:gridCol w:w="207"/>
        <w:gridCol w:w="1893"/>
        <w:gridCol w:w="65"/>
      </w:tblGrid>
      <w:tr>
        <w:trPr/>
        <w:tc>
          <w:tcPr>
            <w:tcW w:w="3651"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Space</w:t>
            </w:r>
          </w:p>
        </w:tc>
        <w:tc>
          <w:tcPr>
            <w:tcW w:w="239"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Improvement</w:t>
              <w:br/>
              <w:t>Allowance</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Application Amount</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(Improvement</w:t>
              <w:br/>
              <w:t>Allowance Plus</w:t>
              <w:br/>
              <w:t>Application</w:t>
              <w:br/>
              <w:t>Amount)</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Original Premises</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center"/>
              <w:rPr/>
            </w:pPr>
            <w:r>
              <w:rPr/>
              <w:t> </w:t>
            </w:r>
          </w:p>
        </w:tc>
        <w:tc>
          <w:tcPr>
            <w:tcW w:w="6110" w:type="dxa"/>
            <w:gridSpan w:val="9"/>
            <w:tcBorders/>
            <w:shd w:fill="CCEEFF" w:val="clear"/>
            <w:vAlign w:val="bottom"/>
          </w:tcPr>
          <w:p>
            <w:pPr>
              <w:pStyle w:val="TableContents"/>
              <w:bidi w:val="0"/>
              <w:spacing w:before="0" w:after="283"/>
              <w:jc w:val="center"/>
              <w:rPr/>
            </w:pPr>
            <w:r>
              <w:rPr/>
              <w:t>See #1 below</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Fourth Expansion Space</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center"/>
              <w:rPr/>
            </w:pPr>
            <w:r>
              <w:rPr/>
              <w:t> </w:t>
            </w:r>
          </w:p>
        </w:tc>
        <w:tc>
          <w:tcPr>
            <w:tcW w:w="6110" w:type="dxa"/>
            <w:gridSpan w:val="9"/>
            <w:tcBorders/>
            <w:vAlign w:val="bottom"/>
          </w:tcPr>
          <w:p>
            <w:pPr>
              <w:pStyle w:val="TableContents"/>
              <w:bidi w:val="0"/>
              <w:spacing w:before="0" w:after="283"/>
              <w:jc w:val="center"/>
              <w:rPr/>
            </w:pPr>
            <w:r>
              <w:rPr/>
              <w:t>See #1 below</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Expansion Space</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346,636.44</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87,270.00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433,906.44</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Fifth Expansion Space</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245,700.00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56,700.00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3" w:type="dxa"/>
            <w:tcBorders/>
            <w:vAlign w:val="bottom"/>
          </w:tcPr>
          <w:p>
            <w:pPr>
              <w:pStyle w:val="TableContents"/>
              <w:bidi w:val="0"/>
              <w:spacing w:before="0" w:after="283"/>
              <w:jc w:val="right"/>
              <w:rPr/>
            </w:pPr>
            <w:r>
              <w:rPr/>
              <w:t>302,400.00</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Expansion Space</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1,934,075.00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446,325.00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2,380,400.00</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Sixth Expansion Space</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521,300.00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120,300.00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3" w:type="dxa"/>
            <w:tcBorders/>
            <w:vAlign w:val="bottom"/>
          </w:tcPr>
          <w:p>
            <w:pPr>
              <w:pStyle w:val="TableContents"/>
              <w:bidi w:val="0"/>
              <w:spacing w:before="0" w:after="283"/>
              <w:jc w:val="right"/>
              <w:rPr/>
            </w:pPr>
            <w:r>
              <w:rPr/>
              <w:t>641,600.00</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P-1</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720,785.00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166,335.00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887,120.00</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Seventh Expansion Space P-2</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454,355.00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123,915.00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3" w:type="dxa"/>
            <w:tcBorders/>
            <w:vAlign w:val="bottom"/>
          </w:tcPr>
          <w:p>
            <w:pPr>
              <w:pStyle w:val="TableContents"/>
              <w:bidi w:val="0"/>
              <w:spacing w:before="0" w:after="283"/>
              <w:jc w:val="right"/>
              <w:rPr/>
            </w:pPr>
            <w:r>
              <w:rPr/>
              <w:t>578,270.00</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P-3</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413,600.00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124,080.00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537,680.00</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TOTALS</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88" w:type="dxa"/>
            <w:tcBorders/>
            <w:vAlign w:val="bottom"/>
          </w:tcPr>
          <w:p>
            <w:pPr>
              <w:pStyle w:val="TableContents"/>
              <w:bidi w:val="0"/>
              <w:spacing w:before="0" w:after="283"/>
              <w:jc w:val="right"/>
              <w:rPr>
                <w:b/>
              </w:rPr>
            </w:pPr>
            <w:r>
              <w:rPr>
                <w:b/>
              </w:rPr>
              <w:t>4,636,451.44</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915" w:type="dxa"/>
            <w:tcBorders/>
            <w:vAlign w:val="bottom"/>
          </w:tcPr>
          <w:p>
            <w:pPr>
              <w:pStyle w:val="TableContents"/>
              <w:bidi w:val="0"/>
              <w:spacing w:before="0" w:after="283"/>
              <w:jc w:val="right"/>
              <w:rPr>
                <w:b/>
              </w:rPr>
            </w:pPr>
            <w:r>
              <w:rPr>
                <w:b/>
              </w:rPr>
              <w:t>1,124,925.00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b/>
              </w:rPr>
            </w:pPr>
            <w:r>
              <w:rPr>
                <w:b/>
              </w:rPr>
              <w:t>$</w:t>
            </w:r>
          </w:p>
        </w:tc>
        <w:tc>
          <w:tcPr>
            <w:tcW w:w="1893" w:type="dxa"/>
            <w:tcBorders/>
            <w:vAlign w:val="bottom"/>
          </w:tcPr>
          <w:p>
            <w:pPr>
              <w:pStyle w:val="TableContents"/>
              <w:bidi w:val="0"/>
              <w:spacing w:before="0" w:after="283"/>
              <w:jc w:val="right"/>
              <w:rPr>
                <w:b/>
              </w:rPr>
            </w:pPr>
            <w:r>
              <w:rPr>
                <w:b/>
              </w:rPr>
              <w:t>5,761,376.44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has disbursed to Tenant the entire Construction Allowance (as defined in Section 7(a) of Exhibit D to the Original Lease) with respect to both the space demised in Section 2.1 of the Original Lease and the Fourth Expansion Space.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C-4</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C-5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TERMSTENANTS PROPORTIONATE SHARE </w:t>
      </w:r>
    </w:p>
    <w:p>
      <w:pPr>
        <w:pStyle w:val="TextBody"/>
        <w:bidi w:val="0"/>
        <w:spacing w:before="240" w:after="0"/>
        <w:jc w:val="left"/>
        <w:rPr>
          <w:rFonts w:ascii="Times New Roman" w:hAnsi="Times New Roman"/>
          <w:sz w:val="20"/>
        </w:rPr>
      </w:pPr>
      <w:r>
        <w:rPr>
          <w:rFonts w:ascii="Times New Roman" w:hAnsi="Times New Roman"/>
          <w:sz w:val="20"/>
        </w:rPr>
        <w:t xml:space="preserve">Tenants Proportionate Share: </w:t>
      </w:r>
    </w:p>
    <w:p>
      <w:pPr>
        <w:pStyle w:val="TextBody"/>
        <w:bidi w:val="0"/>
        <w:spacing w:before="240" w:after="0"/>
        <w:jc w:val="left"/>
        <w:rPr>
          <w:rFonts w:ascii="Times New Roman" w:hAnsi="Times New Roman"/>
          <w:sz w:val="20"/>
        </w:rPr>
      </w:pPr>
      <w:r>
        <w:rPr>
          <w:rFonts w:ascii="Times New Roman" w:hAnsi="Times New Roman"/>
          <w:sz w:val="20"/>
        </w:rPr>
        <w:t xml:space="preserve">Tenants Proportionate Share shall be the following percentages for the following time periods: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5"/>
        <w:gridCol w:w="792"/>
        <w:gridCol w:w="146"/>
        <w:gridCol w:w="1965"/>
        <w:gridCol w:w="277"/>
      </w:tblGrid>
      <w:tr>
        <w:trPr/>
        <w:tc>
          <w:tcPr>
            <w:tcW w:w="7025" w:type="dxa"/>
            <w:tcBorders/>
            <w:vAlign w:val="center"/>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0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792" w:type="dxa"/>
            <w:tcBorders/>
            <w:vAlign w:val="bottom"/>
          </w:tcPr>
          <w:p>
            <w:pPr>
              <w:pStyle w:val="TableContents"/>
              <w:bidi w:val="0"/>
              <w:spacing w:before="0" w:after="283"/>
              <w:jc w:val="left"/>
              <w:rPr/>
            </w:pPr>
            <w:r>
              <w:rPr/>
              <w:t>  </w:t>
            </w:r>
          </w:p>
        </w:tc>
        <w:tc>
          <w:tcPr>
            <w:tcW w:w="2111" w:type="dxa"/>
            <w:gridSpan w:val="2"/>
            <w:tcBorders>
              <w:bottom w:val="single" w:sz="8" w:space="0" w:color="000000"/>
            </w:tcBorders>
            <w:tcMar>
              <w:bottom w:w="28" w:type="dxa"/>
            </w:tcMar>
            <w:vAlign w:val="bottom"/>
          </w:tcPr>
          <w:p>
            <w:pPr>
              <w:pStyle w:val="TableContents"/>
              <w:bidi w:val="0"/>
              <w:spacing w:before="0" w:after="283"/>
              <w:jc w:val="center"/>
              <w:rPr/>
            </w:pPr>
            <w:r>
              <w:rPr>
                <w:b/>
              </w:rPr>
              <w:t>Tenants</w:t>
            </w:r>
            <w:r>
              <w:rPr/>
              <w:br/>
            </w:r>
            <w:r>
              <w:rPr>
                <w:b/>
              </w:rPr>
              <w:t>Proportionate Share</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6/1/2018-5/31/2019</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6.6615</w:t>
            </w:r>
          </w:p>
        </w:tc>
        <w:tc>
          <w:tcPr>
            <w:tcW w:w="277"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sz w:val="20"/>
              </w:rPr>
            </w:pPr>
            <w:r>
              <w:rPr>
                <w:rFonts w:ascii="Times New Roman" w:hAnsi="Times New Roman"/>
                <w:sz w:val="20"/>
              </w:rPr>
              <w:t>6/1/2019-8/31/2019</w:t>
            </w:r>
          </w:p>
        </w:tc>
        <w:tc>
          <w:tcPr>
            <w:tcW w:w="7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7.4646</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9/1/2019-11/30/2019</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9.9543</w:t>
            </w:r>
          </w:p>
        </w:tc>
        <w:tc>
          <w:tcPr>
            <w:tcW w:w="277"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sz w:val="20"/>
              </w:rPr>
            </w:pPr>
            <w:r>
              <w:rPr>
                <w:rFonts w:ascii="Times New Roman" w:hAnsi="Times New Roman"/>
                <w:sz w:val="20"/>
              </w:rPr>
              <w:t>12/1/2019-4/30/2020</w:t>
            </w:r>
          </w:p>
        </w:tc>
        <w:tc>
          <w:tcPr>
            <w:tcW w:w="7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10.6254</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5/1/2020-10/31/2020</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11.5708</w:t>
            </w:r>
          </w:p>
        </w:tc>
        <w:tc>
          <w:tcPr>
            <w:tcW w:w="277"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sz w:val="20"/>
              </w:rPr>
            </w:pPr>
            <w:r>
              <w:rPr>
                <w:rFonts w:ascii="Times New Roman" w:hAnsi="Times New Roman"/>
                <w:sz w:val="20"/>
              </w:rPr>
              <w:t>11/1/2020-4/30/2020</w:t>
            </w:r>
          </w:p>
        </w:tc>
        <w:tc>
          <w:tcPr>
            <w:tcW w:w="7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12.2620</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5/1/2021-5/31/2029</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12.9542</w:t>
            </w:r>
          </w:p>
        </w:tc>
        <w:tc>
          <w:tcPr>
            <w:tcW w:w="2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C-5</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FIFTH AMENDMENT TO AGREEMENT OF LEASE </w:t>
      </w:r>
    </w:p>
    <w:p>
      <w:pPr>
        <w:pStyle w:val="TextBody"/>
        <w:bidi w:val="0"/>
        <w:spacing w:before="240" w:after="0"/>
        <w:jc w:val="left"/>
        <w:rPr>
          <w:rFonts w:ascii="Times New Roman" w:hAnsi="Times New Roman"/>
          <w:sz w:val="20"/>
        </w:rPr>
      </w:pPr>
      <w:r>
        <w:rPr>
          <w:rFonts w:ascii="Times New Roman" w:hAnsi="Times New Roman"/>
          <w:b/>
          <w:sz w:val="20"/>
        </w:rPr>
        <w:t>THIS FIFTH AMENDMENT TO AGREEMENT OF LEASE</w:t>
      </w:r>
      <w:r>
        <w:rPr>
          <w:rFonts w:ascii="Times New Roman" w:hAnsi="Times New Roman"/>
          <w:sz w:val="20"/>
        </w:rPr>
        <w:t xml:space="preserve"> (the </w:t>
      </w:r>
      <w:r>
        <w:rPr>
          <w:rFonts w:ascii="Times New Roman" w:hAnsi="Times New Roman"/>
          <w:b/>
          <w:sz w:val="20"/>
        </w:rPr>
        <w:t>Amendment</w:t>
      </w:r>
      <w:r>
        <w:rPr>
          <w:rFonts w:ascii="Times New Roman" w:hAnsi="Times New Roman"/>
          <w:sz w:val="20"/>
        </w:rPr>
        <w:t xml:space="preserve">) is made and entered into as of </w:t>
      </w:r>
      <w:r>
        <w:rPr>
          <w:rFonts w:ascii="Times New Roman" w:hAnsi="Times New Roman"/>
          <w:sz w:val="20"/>
          <w:u w:val="single"/>
        </w:rPr>
        <w:t>    May 8    </w:t>
      </w:r>
      <w:r>
        <w:rPr>
          <w:rFonts w:ascii="Times New Roman" w:hAnsi="Times New Roman"/>
          <w:sz w:val="20"/>
        </w:rPr>
        <w:t>, 2020 (the </w:t>
      </w:r>
      <w:r>
        <w:rPr>
          <w:rFonts w:ascii="Times New Roman" w:hAnsi="Times New Roman"/>
          <w:b/>
          <w:sz w:val="20"/>
        </w:rPr>
        <w:t>Amendment Effective Date</w:t>
      </w:r>
      <w:r>
        <w:rPr>
          <w:rFonts w:ascii="Times New Roman" w:hAnsi="Times New Roman"/>
          <w:sz w:val="20"/>
        </w:rPr>
        <w:t xml:space="preserve">), by and between </w:t>
      </w:r>
      <w:r>
        <w:rPr>
          <w:rFonts w:ascii="Times New Roman" w:hAnsi="Times New Roman"/>
          <w:b/>
          <w:sz w:val="20"/>
        </w:rPr>
        <w:t>CHICAGO KINGSBURY, LLC</w:t>
      </w:r>
      <w:r>
        <w:rPr>
          <w:rFonts w:ascii="Times New Roman" w:hAnsi="Times New Roman"/>
          <w:sz w:val="20"/>
        </w:rPr>
        <w:t>, a Delaware limited liability company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TEMPUS LABS, INC.</w:t>
      </w:r>
      <w:r>
        <w:rPr>
          <w:rFonts w:ascii="Times New Roman" w:hAnsi="Times New Roman"/>
          <w:sz w:val="20"/>
        </w:rPr>
        <w:t>, a Delaware corporation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Landlord (as successor in interest to EQC 600 West Chicago, LLC, a Delaware limited liability company) and Tenant are parties to that certain lease dated January 18, 2018 (the </w:t>
            </w:r>
            <w:r>
              <w:rPr>
                <w:rFonts w:ascii="Times New Roman" w:hAnsi="Times New Roman"/>
                <w:b/>
                <w:sz w:val="20"/>
              </w:rPr>
              <w:t>Original Lease</w:t>
            </w:r>
            <w:r>
              <w:rPr>
                <w:rFonts w:ascii="Times New Roman" w:hAnsi="Times New Roman"/>
                <w:sz w:val="20"/>
              </w:rPr>
              <w:t>), which lease has been previously amended by First Amendment to Agreement of Lease dated as of January 30, 2018 (the </w:t>
            </w:r>
            <w:r>
              <w:rPr>
                <w:rFonts w:ascii="Times New Roman" w:hAnsi="Times New Roman"/>
                <w:b/>
                <w:sz w:val="20"/>
              </w:rPr>
              <w:t>First Amendment</w:t>
            </w:r>
            <w:r>
              <w:rPr>
                <w:rFonts w:ascii="Times New Roman" w:hAnsi="Times New Roman"/>
                <w:sz w:val="20"/>
              </w:rPr>
              <w:t>), by Second Amendment to Agreement of Lease dated as of July 30, 2018 (the </w:t>
            </w:r>
            <w:r>
              <w:rPr>
                <w:rFonts w:ascii="Times New Roman" w:hAnsi="Times New Roman"/>
                <w:b/>
                <w:sz w:val="20"/>
              </w:rPr>
              <w:t>Second Amendment</w:t>
            </w:r>
            <w:r>
              <w:rPr>
                <w:rFonts w:ascii="Times New Roman" w:hAnsi="Times New Roman"/>
                <w:sz w:val="20"/>
              </w:rPr>
              <w:t>), by Third Amendment to Agreement of Lease dated as of December 26, 2018 (the </w:t>
            </w:r>
            <w:r>
              <w:rPr>
                <w:rFonts w:ascii="Times New Roman" w:hAnsi="Times New Roman"/>
                <w:b/>
                <w:sz w:val="20"/>
              </w:rPr>
              <w:t>Third Amendment</w:t>
            </w:r>
            <w:r>
              <w:rPr>
                <w:rFonts w:ascii="Times New Roman" w:hAnsi="Times New Roman"/>
                <w:sz w:val="20"/>
              </w:rPr>
              <w:t>) and by Fourth Amendment to Agreement of Lease dated as of April 23, 2019 (the </w:t>
            </w:r>
            <w:r>
              <w:rPr>
                <w:rFonts w:ascii="Times New Roman" w:hAnsi="Times New Roman"/>
                <w:b/>
                <w:sz w:val="20"/>
              </w:rPr>
              <w:t>Fourth Amendment</w:t>
            </w:r>
            <w:r>
              <w:rPr>
                <w:rFonts w:ascii="Times New Roman" w:hAnsi="Times New Roman"/>
                <w:sz w:val="20"/>
              </w:rPr>
              <w:t>) (collectively, the </w:t>
            </w:r>
            <w:r>
              <w:rPr>
                <w:rFonts w:ascii="Times New Roman" w:hAnsi="Times New Roman"/>
                <w:b/>
                <w:sz w:val="20"/>
              </w:rPr>
              <w:t>Lease</w:t>
            </w:r>
            <w:r>
              <w:rPr>
                <w:rFonts w:ascii="Times New Roman" w:hAnsi="Times New Roman"/>
                <w:sz w:val="20"/>
              </w:rPr>
              <w:t>). Pursuant to the Lease, Landlord has leased to Tenant space currently containing approximately 154,606 Rentable Square Feet on the 5th floor of the Building located at 600 West Chicago Avenue, Chicago, Illinois (the </w:t>
            </w:r>
            <w:r>
              <w:rPr>
                <w:rFonts w:ascii="Times New Roman" w:hAnsi="Times New Roman"/>
                <w:b/>
                <w:sz w:val="20"/>
              </w:rPr>
              <w:t>Building</w:t>
            </w:r>
            <w:r>
              <w:rPr>
                <w:rFonts w:ascii="Times New Roman" w:hAnsi="Times New Roman"/>
                <w:sz w:val="20"/>
              </w:rPr>
              <w:t>) which consists of the space demised in Section 2.1 of the Original Lease, the First Expansion Space and the Third Expansion Space demised in Section 6 of Exhibit G to the Original Lease (as amended), the Fourth Expansion Space demised in the Second Amendment, the Fifth Expansion Space demised in the Third Amendment and the Sixth Expansion Space and Seventh Expansion Space demised in the Fourth Amendment (the </w:t>
            </w:r>
            <w:r>
              <w:rPr>
                <w:rFonts w:ascii="Times New Roman" w:hAnsi="Times New Roman"/>
                <w:b/>
                <w:sz w:val="20"/>
              </w:rPr>
              <w:t>Premises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has requested that additional space containing approximately 13,129 Rentable Square Feet on the seventh floor of the Building shown on </w:t>
            </w:r>
            <w:r>
              <w:rPr>
                <w:rFonts w:ascii="Times New Roman" w:hAnsi="Times New Roman"/>
                <w:b/>
                <w:sz w:val="20"/>
              </w:rPr>
              <w:t>Exhibit A</w:t>
            </w:r>
            <w:r>
              <w:rPr>
                <w:rFonts w:ascii="Times New Roman" w:hAnsi="Times New Roman"/>
                <w:sz w:val="20"/>
              </w:rPr>
              <w:t xml:space="preserve"> attached hereto as the Eighth Expansion Space (the </w:t>
            </w:r>
            <w:r>
              <w:rPr>
                <w:rFonts w:ascii="Times New Roman" w:hAnsi="Times New Roman"/>
                <w:b/>
                <w:sz w:val="20"/>
              </w:rPr>
              <w:t>Eighth Expansion Space</w:t>
            </w:r>
            <w:r>
              <w:rPr>
                <w:rFonts w:ascii="Times New Roman" w:hAnsi="Times New Roman"/>
                <w:sz w:val="20"/>
              </w:rPr>
              <w:t xml:space="preserve">) be added to the Premises currently demised under the Lease and that the Lease be appropriately amended and Landlord is willing to do the same on the following terms and conditions. </w:t>
            </w:r>
          </w:p>
        </w:tc>
      </w:tr>
    </w:tbl>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above recitals which by this reference are incorporated herein, the mutual covenants and conditions contained herein and other valuable consideration, the receipt and sufficiency of which are hereby acknowledged, Landlord and Tenant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 xml:space="preserve">Eighth Expansion Space and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Effective on the Amendment Effective Date (the </w:t>
            </w:r>
            <w:r>
              <w:rPr>
                <w:rFonts w:ascii="Times New Roman" w:hAnsi="Times New Roman"/>
                <w:b/>
                <w:sz w:val="20"/>
              </w:rPr>
              <w:t>Eighth Expansion Effective Date</w:t>
            </w:r>
            <w:r>
              <w:rPr>
                <w:rFonts w:ascii="Times New Roman" w:hAnsi="Times New Roman"/>
                <w:sz w:val="20"/>
              </w:rPr>
              <w:t xml:space="preserve">), the Premises, as defined in the Lease, is increased by the addition of the Eighth Expansion Space, and from and after the Eighth Expansion Effective Date, the Premises currently demised under the Lease and the Eighth Expansion Space, collectively, shall be deemed the Premises, as defined in the Lease. The Term for the Eighth Expansion Space shall commence on the Eighth Expansion Effective Date and end on the Expiration Date. The Eighth Expansion Space is subject to all the terms and conditions of the Lease except as expressly modified herein and except that Tenant shall not be entitled to receive any allowances, abatements or other financial concessions granted with respect to the Premises currently demised under the Lease unless such concessions are expressly provided for herein with respect to the Eighth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commence payment of Rent with respect to the Eighth Expansion Space on December 1, 2020 (the </w:t>
            </w:r>
            <w:r>
              <w:rPr>
                <w:rFonts w:ascii="Times New Roman" w:hAnsi="Times New Roman"/>
                <w:b/>
                <w:sz w:val="20"/>
              </w:rPr>
              <w:t>Eighth Expansion Rent Commencement Date</w:t>
            </w:r>
            <w:r>
              <w:rPr>
                <w:rFonts w:ascii="Times New Roman" w:hAnsi="Times New Roman"/>
                <w:sz w:val="20"/>
              </w:rPr>
              <w:t>). The period of time commencing on the Eighth Expansion Effective Date and continuing until the date immediately preceding the Eighth Expansion Rent Commencement Date is referred to herein as the </w:t>
            </w:r>
            <w:r>
              <w:rPr>
                <w:rFonts w:ascii="Times New Roman" w:hAnsi="Times New Roman"/>
                <w:b/>
                <w:sz w:val="20"/>
              </w:rPr>
              <w:t>Eighth Expansion Build Out Period</w:t>
            </w:r>
            <w:r>
              <w:rPr>
                <w:rFonts w:ascii="Times New Roman" w:hAnsi="Times New Roman"/>
                <w:sz w:val="20"/>
              </w:rPr>
              <w:t xml:space="preserve">. If Tenant commences its business operations in the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283"/>
              <w:jc w:val="center"/>
              <w:rPr/>
            </w:pPr>
            <w:r>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Eighth Expansion Space prior to the last day of the Eighth Expansion Build Out Period, the period of time beginning on the date on which Tenant so commences its business operations in the Eighth Expansion Space and ending on the last day of the Eighth Expansion Build Out Period is referred to as the </w:t>
            </w:r>
            <w:r>
              <w:rPr>
                <w:b/>
              </w:rPr>
              <w:t>Eighth Expansion Beneficial Occupancy Period</w:t>
            </w:r>
            <w:r>
              <w:rPr/>
              <w:t xml:space="preserve">. The initial annual Fixed Rent rate per rentable square foot of the Eighth Expansion Space shall be the same as the Fixed Rent rate per rentable square foot of the Premises initially demised by the Lease on the Eighth Expansion Rent Commencement Date. The Fixed Rent rate for the Eighth Expansion Space shall increase at 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Eighth Expansion Space shall be the same. Commencing on the Eighth Expansion Rent Commencement Date, Tenants Proportionate Share shall be increased to reflect the inclusion of the Eighth Expansion Space in the Premises. The Eighth Expansion Space shall be delivered to Tenant in its as is condition without any agreements, representations, understandings or obligations on the part of Landlord to perform any alterations, repairs or improvements. Any construction, alterations or improvements to the Eighth Expansion Space shall be performed by Tenant at its sole cost and expense and shall be governed in all respects by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improvement allowance (the </w:t>
            </w:r>
            <w:r>
              <w:rPr>
                <w:rFonts w:ascii="Times New Roman" w:hAnsi="Times New Roman"/>
                <w:b/>
                <w:sz w:val="20"/>
              </w:rPr>
              <w:t>Eighth Expansion Space Improvement Allowance</w:t>
            </w:r>
            <w:r>
              <w:rPr>
                <w:rFonts w:ascii="Times New Roman" w:hAnsi="Times New Roman"/>
                <w:sz w:val="20"/>
              </w:rPr>
              <w:t>) in an amount equal to $50.00 per rentable square foot of the Eighth Expansion Space. Such Eighth Expansion Space Improvement Allowance shall be applied toward the cost of the improvements to be performed by Tenant in the Eighth Expansion Space (the </w:t>
            </w:r>
            <w:r>
              <w:rPr>
                <w:rFonts w:ascii="Times New Roman" w:hAnsi="Times New Roman"/>
                <w:b/>
                <w:sz w:val="20"/>
              </w:rPr>
              <w:t>Eighth Expansion Space Improvements</w:t>
            </w:r>
            <w:r>
              <w:rPr>
                <w:rFonts w:ascii="Times New Roman" w:hAnsi="Times New Roman"/>
                <w:sz w:val="20"/>
              </w:rPr>
              <w:t xml:space="preserve">). The Eighth Expansion Space Improvements shall include the construction of a demising wall to demise the Eighth Expansion Space from the adjacent office space and Common Area and separation of utilities between the Eighth Expansion space and the adjacent office space and Common Area. The Eighth Expansion Space Improvement Allowance shall be disbursed in the same manner as described in, and subject to the same terms and conditions of, Sections 7(d), (e), (f) and (g) of the Work Letter attached to the Lease as Exhibit D, except that, for purposes of this Section 1.03, all references to the following terms in Sections 7(d), (e), (f) and (g) of the Work Letter shall instead have the following meanings: (A) Tenants Work shall instead refer to the Eighth Expansion Space Improvements, and (B) Construction Allowance, Separation Work Reimbursement, Application Amount and Total Allowance shall instead refer to the Eighth Expansion Space Improvement Allowance.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Landlord acknowledges and agrees that Section 7(h) of Exhibit D to the Lease shall remain in effect with respect to the Eighth Expansion Space Improvement Allowance such that, if (1) the Eighth Expansion Space Improvements have been completed and (2) all costs related thereto have been paid in full, and less than the entire Eighth Expansion Space Improvement Allowance was used (and the portion not used shall be called the </w:t>
            </w:r>
            <w:r>
              <w:rPr>
                <w:rFonts w:ascii="Times New Roman" w:hAnsi="Times New Roman"/>
                <w:b/>
                <w:sz w:val="20"/>
              </w:rPr>
              <w:t>Eighth Expansion Space Unused Allowance</w:t>
            </w:r>
            <w:r>
              <w:rPr>
                <w:rFonts w:ascii="Times New Roman" w:hAnsi="Times New Roman"/>
                <w:sz w:val="20"/>
              </w:rPr>
              <w:t xml:space="preserve">), then provided Tenant is not then in default under the Lease, Tenant may request that Landlord apply a portion of the Eighth Expansion Space Unused Allowance not to exceed $164,112.50, or 25% of the Eighth Expansion Space Improvement Allowance, against the then next due installments of Fixed Rent, Tenants Operating Payment and Tenants Tax Payment payable with respect to the Eighth Expansion Space. Notwithstanding anything herein to the contrary, Landlord shall not be obligated to allow the Eighth Expansion Space Unused Allowance to be applied against any portion of the rent for the Eighth Expansion Space during the continuance of an uncured default under the Lease and Landlords obligation to allow such application shall only resume when and if such default is cured.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283"/>
              <w:jc w:val="center"/>
              <w:rPr/>
            </w:pPr>
            <w:r>
              <w:rPr/>
              <w:t>2</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50% of the Fixed Rent, Tenants Operating Payment and Tenants Tax Payment initially payable with respect to the Eighth Expansion Space (</w:t>
            </w:r>
            <w:r>
              <w:rPr>
                <w:rFonts w:ascii="Times New Roman" w:hAnsi="Times New Roman"/>
                <w:b/>
                <w:sz w:val="20"/>
              </w:rPr>
              <w:t>Eighth Expansion Space Rental Abatement</w:t>
            </w:r>
            <w:r>
              <w:rPr>
                <w:rFonts w:ascii="Times New Roman" w:hAnsi="Times New Roman"/>
                <w:sz w:val="20"/>
              </w:rPr>
              <w:t xml:space="preserve">) for 36 months. Such Eighth Expansion Space Rental Abatement shall be applied toward the first rent due with respect to the Eighth Expansion Space. Notwithstanding anything herein to the contrary, in no event shall Tenant be entitled to apply the Eighth Expansion Space Rental Abatement against the rent due in connection with the Eighth Expansion Space (A) unless and until Tenant shall have occupied and be operating its business in substantially all of the Eighth Expansion Space, and (B) if an Event of Default has occurred and is continuing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1.06</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Tenant takes possession of or enters the Eighth Expansion Space before the Eighth Expansion Rent Commencement Date, Tenant shall pay for all services requested by Tenant (e.g., freight elevator usage and utilities) and Tenant shall be subject to the terms and conditions of the Lease; provided, however, (i) except for the cost of such services requested by Tenant, Tenant shall not be required to pay Rent for any entry or possession before the Eighth Expansion Rent Commencement Date during which Tenant, with Landlords approval, has entered, or is in possession of, the Eighth Expansion Space for the sole purpose of performing improvements or installing furniture, equipment or other personal property, and (ii) during the Eighth Expansion Beneficial Occupancy Period, Tenant shall not be required to pay Rent but shall pay the cost of utilities and janitorial services for the Eighth Expansion Space and for any services specifically requested by Tenant. If Landlord fails to deliver possession of the Eighth Expansion Space to Tenant on the Eighth Expansion Effective Date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failure to deliver possession shall not affect either the validity of the Lease or the obligations of either Landlord or Tenant thereunder or be construed to extend the expiration of the Term either as to the Eighth Expansion Space or the balance of the Premises; provided, however, that under such circumstances, Landlord shall make reasonable efforts to obtain possession of the Eighth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Early Termination Payment</w:t>
            </w:r>
            <w:r>
              <w:rPr>
                <w:rFonts w:ascii="Times New Roman" w:hAnsi="Times New Roman"/>
                <w:b/>
                <w:sz w:val="20"/>
              </w:rPr>
              <w:t>.</w:t>
            </w:r>
            <w:r>
              <w:rPr>
                <w:rFonts w:ascii="Times New Roman" w:hAnsi="Times New Roman"/>
                <w:sz w:val="20"/>
              </w:rPr>
              <w:t xml:space="preserve"> As of the Eighth Expansion Effective Date, the Early Termination Payment is estimated to be $8,117,397.00, subject to recalculation after determination of the actual amount of Tenants Operating Payments and Tenants Tax Payments included in the rental abatements granted with respect to each portion of the Premises. The parties acknowledge and agree that, for purposes of calculating the portion of the Early Termination Payment attributable to the Eighth Expansion Space, only $40.00 per rentable square foot of the Eighth Expansion Space Improvement Allowance shall be included in such calculation. For the avoidance of doubt, Tenants valid exercise of the Termination Option terminates the Lease with respect to the entire Premises effective as of the Early Termination Date set forth in Section 3.01 of Exhibit E to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Aggregate Terms</w:t>
            </w:r>
            <w:r>
              <w:rPr>
                <w:rFonts w:ascii="Times New Roman" w:hAnsi="Times New Roman"/>
                <w:b/>
                <w:sz w:val="20"/>
              </w:rPr>
              <w:t>.</w:t>
            </w:r>
            <w:r>
              <w:rPr>
                <w:rFonts w:ascii="Times New Roman" w:hAnsi="Times New Roman"/>
                <w:sz w:val="20"/>
              </w:rPr>
              <w:t xml:space="preserve"> For convenience, attached are the following exhibits setting forth certain aggregate terms relating to the Premises: (i) attached as </w:t>
            </w:r>
            <w:r>
              <w:rPr>
                <w:rFonts w:ascii="Times New Roman" w:hAnsi="Times New Roman"/>
                <w:b/>
                <w:sz w:val="20"/>
              </w:rPr>
              <w:t>Exhibit A-1</w:t>
            </w:r>
            <w:r>
              <w:rPr>
                <w:rFonts w:ascii="Times New Roman" w:hAnsi="Times New Roman"/>
                <w:sz w:val="20"/>
              </w:rPr>
              <w:t xml:space="preserve"> is a depiction of the Premises (other than the Eighth Expansion Space) (and </w:t>
            </w:r>
            <w:r>
              <w:rPr>
                <w:rFonts w:ascii="Times New Roman" w:hAnsi="Times New Roman"/>
                <w:b/>
                <w:sz w:val="20"/>
              </w:rPr>
              <w:t>Exhibit A</w:t>
            </w:r>
            <w:r>
              <w:rPr>
                <w:rFonts w:ascii="Times New Roman" w:hAnsi="Times New Roman"/>
                <w:sz w:val="20"/>
              </w:rPr>
              <w:t xml:space="preserve"> and </w:t>
            </w:r>
            <w:r>
              <w:rPr>
                <w:rFonts w:ascii="Times New Roman" w:hAnsi="Times New Roman"/>
                <w:b/>
                <w:sz w:val="20"/>
              </w:rPr>
              <w:t>Exhibit A-1</w:t>
            </w:r>
            <w:r>
              <w:rPr>
                <w:rFonts w:ascii="Times New Roman" w:hAnsi="Times New Roman"/>
                <w:sz w:val="20"/>
              </w:rPr>
              <w:t xml:space="preserve"> together depict the entire Premises as of the Effective Date), (i) attached as </w:t>
            </w:r>
            <w:r>
              <w:rPr>
                <w:rFonts w:ascii="Times New Roman" w:hAnsi="Times New Roman"/>
                <w:b/>
                <w:sz w:val="20"/>
              </w:rPr>
              <w:t>Exhibit C-1</w:t>
            </w:r>
            <w:r>
              <w:rPr>
                <w:rFonts w:ascii="Times New Roman" w:hAnsi="Times New Roman"/>
                <w:sz w:val="20"/>
              </w:rPr>
              <w:t xml:space="preserve"> is a table with the aggregate Premises, rent commencement dates, as well as other terms for the entire Premises, (ii) attached as </w:t>
            </w:r>
            <w:r>
              <w:rPr>
                <w:rFonts w:ascii="Times New Roman" w:hAnsi="Times New Roman"/>
                <w:b/>
                <w:sz w:val="20"/>
              </w:rPr>
              <w:t>Exhibit C-2</w:t>
            </w:r>
            <w:r>
              <w:rPr>
                <w:rFonts w:ascii="Times New Roman" w:hAnsi="Times New Roman"/>
                <w:sz w:val="20"/>
              </w:rPr>
              <w:t xml:space="preserve"> is a table with the aggregate Fixed Rent for the entire Premises, (iii) attached as </w:t>
            </w:r>
            <w:r>
              <w:rPr>
                <w:rFonts w:ascii="Times New Roman" w:hAnsi="Times New Roman"/>
                <w:b/>
                <w:sz w:val="20"/>
              </w:rPr>
              <w:t>Exhibit C-3</w:t>
            </w:r>
            <w:r>
              <w:rPr>
                <w:rFonts w:ascii="Times New Roman" w:hAnsi="Times New Roman"/>
                <w:sz w:val="20"/>
              </w:rPr>
              <w:t xml:space="preserve"> is a table with the aggregate rental abatements and rental abatement periods for the entire Premises, (iv) attached as </w:t>
            </w:r>
            <w:r>
              <w:rPr>
                <w:rFonts w:ascii="Times New Roman" w:hAnsi="Times New Roman"/>
                <w:b/>
                <w:sz w:val="20"/>
              </w:rPr>
              <w:t>Exhibit C-4</w:t>
            </w:r>
            <w:r>
              <w:rPr>
                <w:rFonts w:ascii="Times New Roman" w:hAnsi="Times New Roman"/>
                <w:sz w:val="20"/>
              </w:rPr>
              <w:t xml:space="preserve"> hereto is a table with the aggregate Improvement Allowances and Application Amounts for the Premises (other than the Eighth Expansion Space), and (v) attached as </w:t>
            </w:r>
            <w:r>
              <w:rPr>
                <w:rFonts w:ascii="Times New Roman" w:hAnsi="Times New Roman"/>
                <w:b/>
                <w:sz w:val="20"/>
              </w:rPr>
              <w:t>Exhibit C-5</w:t>
            </w:r>
            <w:r>
              <w:rPr>
                <w:rFonts w:ascii="Times New Roman" w:hAnsi="Times New Roman"/>
                <w:sz w:val="20"/>
              </w:rPr>
              <w:t xml:space="preserve">, is a table with the aggregate Tenants Proportionate Share for the entire Premises.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283"/>
              <w:jc w:val="center"/>
              <w:rPr/>
            </w:pPr>
            <w:r>
              <w:rPr/>
              <w:t>3</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b/>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and the attached exhibits, if any, which are hereby incorporated into and made a part of this Amendment, set forth the entire agreement between the parties with respect to the matters set forth herein. There have been no additional oral or written representations or agreements.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herein modified or amended, the provisions, conditions and terms of the Lease shall remain unchanged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4.03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inconsistency between the provisions of the Lease and this Amendment, the provisions of this Amendment shall govern and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this Amendment by Landlord is not an offer to enter into this Amendment but rather is a solicitation for such an offer by Tenant. Landlord shall not be bound by this Amendment until Landlord has executed and delivered the same to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capitalized terms used in this Amendment shall have the same definitions as set forth in the Lease to the extent that such capitalized terms are defined therein and not redefined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hereby represents to Landlord that Tenant has dealt with no broker in connection with this Amendment other than CBRE, Inc. (</w:t>
            </w:r>
            <w:r>
              <w:rPr>
                <w:rFonts w:ascii="Times New Roman" w:hAnsi="Times New Roman"/>
                <w:b/>
                <w:sz w:val="20"/>
              </w:rPr>
              <w:t>Tenants Broker</w:t>
            </w:r>
            <w:r>
              <w:rPr>
                <w:rFonts w:ascii="Times New Roman" w:hAnsi="Times New Roman"/>
                <w:sz w:val="20"/>
              </w:rPr>
              <w:t xml:space="preserve">). Tenant agrees to indemnify and hold the Landlord Parties harmless from all claims of any other broker claiming to have represented Tenant in connection with this Amendment. Landlord hereby represents to Tenant that Landlord has dealt with no broker in connection with this Amendment. Landlord agrees to indemnify and hold the Tenant Parties harmless from all claims of any brokers claiming to have represented Landlord in connection with this Amendment. Landlord hereby agrees to pay all brokerage commissions or finders fees (if any) that may be due to the Tenants Broker in connection with this Amendment pursuant to its written agreement with such broker.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4.07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contained in this Amendment to any tenant or other occupant in the Building or to any agent, employee, subtenant or assignee of such tenant or occupant, and Tenant also shall cause the Tenant Parties (including, without limitation, its brokers) to comply with the restrictions set forth in this sentence. The terms and provisions of the preceding sentence shall survive the termination of the Lease (whether by lapse of time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4.08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construed without regard to any presumption or other rule requiring construction against the party causing this Amendment to be drafted. This Amendment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283"/>
              <w:jc w:val="center"/>
              <w:rPr/>
            </w:pPr>
            <w:r>
              <w:rPr/>
              <w:t>4</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4.09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contains the following exhibits, which are incorporated herein by reference: </w:t>
            </w:r>
            <w:r>
              <w:rPr>
                <w:rFonts w:ascii="Times New Roman" w:hAnsi="Times New Roman"/>
                <w:b/>
                <w:sz w:val="20"/>
              </w:rPr>
              <w:t>Exhibit A</w:t>
            </w:r>
            <w:r>
              <w:rPr>
                <w:rFonts w:ascii="Times New Roman" w:hAnsi="Times New Roman"/>
                <w:sz w:val="20"/>
              </w:rPr>
              <w:t xml:space="preserve"> (Eighth Expansion Space), </w:t>
            </w:r>
            <w:r>
              <w:rPr>
                <w:rFonts w:ascii="Times New Roman" w:hAnsi="Times New Roman"/>
                <w:b/>
                <w:sz w:val="20"/>
              </w:rPr>
              <w:t>Exhibit A-1</w:t>
            </w:r>
            <w:r>
              <w:rPr>
                <w:rFonts w:ascii="Times New Roman" w:hAnsi="Times New Roman"/>
                <w:sz w:val="20"/>
              </w:rPr>
              <w:t xml:space="preserve"> (Remainder of Premises), </w:t>
            </w:r>
            <w:r>
              <w:rPr>
                <w:rFonts w:ascii="Times New Roman" w:hAnsi="Times New Roman"/>
                <w:b/>
                <w:sz w:val="20"/>
              </w:rPr>
              <w:t>Exhibit C-1</w:t>
            </w:r>
            <w:r>
              <w:rPr>
                <w:rFonts w:ascii="Times New Roman" w:hAnsi="Times New Roman"/>
                <w:sz w:val="20"/>
              </w:rPr>
              <w:t xml:space="preserve"> (Aggregate Terms- Premises and Dates), </w:t>
            </w:r>
            <w:r>
              <w:rPr>
                <w:rFonts w:ascii="Times New Roman" w:hAnsi="Times New Roman"/>
                <w:b/>
                <w:sz w:val="20"/>
              </w:rPr>
              <w:t>Exhibit C-2</w:t>
            </w:r>
            <w:r>
              <w:rPr>
                <w:rFonts w:ascii="Times New Roman" w:hAnsi="Times New Roman"/>
                <w:sz w:val="20"/>
              </w:rPr>
              <w:t xml:space="preserve"> (Aggregate Terms  Fixed Rent), </w:t>
            </w:r>
            <w:r>
              <w:rPr>
                <w:rFonts w:ascii="Times New Roman" w:hAnsi="Times New Roman"/>
                <w:b/>
                <w:sz w:val="20"/>
              </w:rPr>
              <w:t>Exhibit C-3</w:t>
            </w:r>
            <w:r>
              <w:rPr>
                <w:rFonts w:ascii="Times New Roman" w:hAnsi="Times New Roman"/>
                <w:sz w:val="20"/>
              </w:rPr>
              <w:t xml:space="preserve"> (Aggregate Terms  Rental Abatement Periods), </w:t>
            </w:r>
            <w:r>
              <w:rPr>
                <w:rFonts w:ascii="Times New Roman" w:hAnsi="Times New Roman"/>
                <w:b/>
                <w:sz w:val="20"/>
              </w:rPr>
              <w:t>Exhibit C-4</w:t>
            </w:r>
            <w:r>
              <w:rPr>
                <w:rFonts w:ascii="Times New Roman" w:hAnsi="Times New Roman"/>
                <w:sz w:val="20"/>
              </w:rPr>
              <w:t xml:space="preserve"> (Aggregate Terms  Improvement Allowance and Application Amounts), and </w:t>
            </w:r>
            <w:r>
              <w:rPr>
                <w:rFonts w:ascii="Times New Roman" w:hAnsi="Times New Roman"/>
                <w:b/>
                <w:sz w:val="20"/>
              </w:rPr>
              <w:t>Exhibit C-5</w:t>
            </w:r>
            <w:r>
              <w:rPr>
                <w:rFonts w:ascii="Times New Roman" w:hAnsi="Times New Roman"/>
                <w:sz w:val="20"/>
              </w:rPr>
              <w:t xml:space="preserve"> (Aggregate Terms  Tenants Proportionate Share).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[signatures are on following 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283"/>
              <w:jc w:val="center"/>
              <w:rPr/>
            </w:pPr>
            <w:r>
              <w:rPr/>
              <w:t>5</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Landlord and Tenant have executed this Amendment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CHICAGO KINGSBURY, LLC,</w:t>
            </w:r>
          </w:p>
        </w:tc>
      </w:tr>
      <w:tr>
        <w:trPr/>
        <w:tc>
          <w:tcPr>
            <w:tcW w:w="4082" w:type="dxa"/>
            <w:gridSpan w:val="3"/>
            <w:tcBorders/>
          </w:tcPr>
          <w:p>
            <w:pPr>
              <w:pStyle w:val="TableContents"/>
              <w:bidi w:val="0"/>
              <w:spacing w:before="0" w:after="283"/>
              <w:jc w:val="left"/>
              <w:rPr/>
            </w:pPr>
            <w:r>
              <w:rPr/>
              <w:t>a Delaware limited liability company</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Andy Gloor</w:t>
            </w:r>
          </w:p>
        </w:tc>
      </w:tr>
      <w:tr>
        <w:trPr/>
        <w:tc>
          <w:tcPr>
            <w:tcW w:w="4082" w:type="dxa"/>
            <w:gridSpan w:val="3"/>
            <w:tcBorders/>
          </w:tcPr>
          <w:p>
            <w:pPr>
              <w:pStyle w:val="TableContents"/>
              <w:bidi w:val="0"/>
              <w:spacing w:before="0" w:after="283"/>
              <w:jc w:val="left"/>
              <w:rPr/>
            </w:pPr>
            <w:r>
              <w:rPr/>
              <w:t>Name: Andrew Gloor</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LABS,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Vanessa Rollings</w:t>
            </w:r>
          </w:p>
        </w:tc>
      </w:tr>
      <w:tr>
        <w:trPr/>
        <w:tc>
          <w:tcPr>
            <w:tcW w:w="4082" w:type="dxa"/>
            <w:gridSpan w:val="3"/>
            <w:tcBorders/>
          </w:tcPr>
          <w:p>
            <w:pPr>
              <w:pStyle w:val="TableContents"/>
              <w:bidi w:val="0"/>
              <w:spacing w:before="0" w:after="283"/>
              <w:jc w:val="left"/>
              <w:rPr/>
            </w:pPr>
            <w:r>
              <w:rPr/>
              <w:t>Name: Vanessa Rollings</w:t>
            </w:r>
          </w:p>
        </w:tc>
      </w:tr>
      <w:tr>
        <w:trPr/>
        <w:tc>
          <w:tcPr>
            <w:tcW w:w="4082" w:type="dxa"/>
            <w:gridSpan w:val="3"/>
            <w:tcBorders/>
          </w:tcPr>
          <w:p>
            <w:pPr>
              <w:pStyle w:val="TableContents"/>
              <w:bidi w:val="0"/>
              <w:spacing w:before="0" w:after="283"/>
              <w:jc w:val="left"/>
              <w:rPr/>
            </w:pPr>
            <w:r>
              <w:rPr/>
              <w:t>Title: CFO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6</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EIGHTH EXPANSION SPACE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102"/>
        <w:gridCol w:w="3572"/>
        <w:gridCol w:w="102"/>
        <w:gridCol w:w="2858"/>
      </w:tblGrid>
      <w:tr>
        <w:trPr/>
        <w:tc>
          <w:tcPr>
            <w:tcW w:w="357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REMAINDER OF PREMISES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102"/>
        <w:gridCol w:w="3572"/>
        <w:gridCol w:w="102"/>
        <w:gridCol w:w="2858"/>
      </w:tblGrid>
      <w:tr>
        <w:trPr/>
        <w:tc>
          <w:tcPr>
            <w:tcW w:w="357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PREMISES AND DATES </w:t>
      </w:r>
    </w:p>
    <w:p>
      <w:pPr>
        <w:pStyle w:val="TextBody"/>
        <w:bidi w:val="0"/>
        <w:spacing w:before="240" w:after="0"/>
        <w:jc w:val="left"/>
        <w:rPr>
          <w:rFonts w:ascii="Times New Roman" w:hAnsi="Times New Roman"/>
          <w:sz w:val="20"/>
        </w:rPr>
      </w:pPr>
      <w:r>
        <w:rPr>
          <w:rFonts w:ascii="Times New Roman" w:hAnsi="Times New Roman"/>
          <w:sz w:val="20"/>
        </w:rPr>
        <w:t xml:space="preserve">Portions of the Premises and Dates: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8"/>
        <w:gridCol w:w="144"/>
        <w:gridCol w:w="60"/>
        <w:gridCol w:w="803"/>
        <w:gridCol w:w="60"/>
        <w:gridCol w:w="144"/>
        <w:gridCol w:w="60"/>
        <w:gridCol w:w="1465"/>
        <w:gridCol w:w="60"/>
        <w:gridCol w:w="144"/>
        <w:gridCol w:w="60"/>
        <w:gridCol w:w="804"/>
        <w:gridCol w:w="60"/>
        <w:gridCol w:w="143"/>
        <w:gridCol w:w="185"/>
        <w:gridCol w:w="1589"/>
        <w:gridCol w:w="66"/>
      </w:tblGrid>
      <w:tr>
        <w:trPr/>
        <w:tc>
          <w:tcPr>
            <w:tcW w:w="4358"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Space</w:t>
            </w:r>
          </w:p>
        </w:tc>
        <w:tc>
          <w:tcPr>
            <w:tcW w:w="144"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RSF</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Expansion</w:t>
              <w:br/>
              <w:t>Effective Date</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Last Day of</w:t>
              <w:br/>
              <w:t>Build Out</w:t>
              <w:br/>
              <w:t>Period</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Rent</w:t>
              <w:br/>
              <w:t>Commencement</w:t>
              <w:br/>
              <w:t>Date</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Original Premises</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79,241</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Not applicable</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5/31/2018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6/1/2018</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Fourth Expansion Space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370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4/20/2018</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5/31/2018</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6/1/2018</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Expansion Space</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5,818</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3/1/2019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5/31/2019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6/1/2019</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Fifth Expansion Space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3,780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3/1/2019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5/31/2019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6/1/2019</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Expansion Space</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29,755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3/1/2019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8/31/2019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9/1/2019</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Sixth Expansion Space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8,020</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3/1/2019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11/30/2019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12/1/2019</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P-1</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11,089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5/1/2019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4/30/2020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5/1/2020</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Seventh Expansion Space P-2</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8,261</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5/1/2019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10/31/2020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11/1/2020</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P-3</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8,272</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5" w:type="dxa"/>
            <w:tcBorders/>
            <w:shd w:fill="CCEEFF" w:val="clear"/>
            <w:vAlign w:val="bottom"/>
          </w:tcPr>
          <w:p>
            <w:pPr>
              <w:pStyle w:val="TableContents"/>
              <w:bidi w:val="0"/>
              <w:spacing w:before="0" w:after="283"/>
              <w:jc w:val="right"/>
              <w:rPr/>
            </w:pPr>
            <w:r>
              <w:rPr/>
              <w:t>5/1/2019</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4/30/2021</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89" w:type="dxa"/>
            <w:tcBorders/>
            <w:shd w:fill="CCEEFF" w:val="clear"/>
            <w:vAlign w:val="bottom"/>
          </w:tcPr>
          <w:p>
            <w:pPr>
              <w:pStyle w:val="TableContents"/>
              <w:bidi w:val="0"/>
              <w:spacing w:before="0" w:after="283"/>
              <w:jc w:val="right"/>
              <w:rPr/>
            </w:pPr>
            <w:r>
              <w:rPr/>
              <w:t>5/1/2021</w:t>
            </w:r>
          </w:p>
        </w:tc>
        <w:tc>
          <w:tcPr>
            <w:tcW w:w="66" w:type="dxa"/>
            <w:tcBorders/>
            <w:shd w:fill="CCEEFF" w:val="clear"/>
            <w:vAlign w:val="bottom"/>
          </w:tcPr>
          <w:p>
            <w:pPr>
              <w:pStyle w:val="TableContents"/>
              <w:bidi w:val="0"/>
              <w:spacing w:before="0" w:after="283"/>
              <w:jc w:val="left"/>
              <w:rPr/>
            </w:pPr>
            <w:r>
              <w:rPr/>
              <w:t> </w:t>
            </w:r>
          </w:p>
        </w:tc>
      </w:tr>
      <w:tr>
        <w:trPr/>
        <w:tc>
          <w:tcPr>
            <w:tcW w:w="4358" w:type="dxa"/>
            <w:tcBorders/>
          </w:tcPr>
          <w:p>
            <w:pPr>
              <w:pStyle w:val="TableContents"/>
              <w:bidi w:val="0"/>
              <w:spacing w:before="0" w:after="0"/>
              <w:jc w:val="left"/>
              <w:rPr>
                <w:rFonts w:ascii="Times New Roman" w:hAnsi="Times New Roman"/>
                <w:sz w:val="20"/>
              </w:rPr>
            </w:pPr>
            <w:r>
              <w:rPr>
                <w:rFonts w:ascii="Times New Roman" w:hAnsi="Times New Roman"/>
                <w:sz w:val="20"/>
              </w:rPr>
              <w:t>Eighth Expansion Space</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13,129</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tcBorders/>
            <w:vAlign w:val="bottom"/>
          </w:tcPr>
          <w:p>
            <w:pPr>
              <w:pStyle w:val="TableContents"/>
              <w:bidi w:val="0"/>
              <w:spacing w:before="0" w:after="283"/>
              <w:jc w:val="right"/>
              <w:rPr/>
            </w:pPr>
            <w:r>
              <w:rPr/>
              <w:t>Eighth</w:t>
              <w:br/>
              <w:t>Expansion</w:t>
              <w:br/>
              <w:t>Effective Date</w:t>
            </w:r>
          </w:p>
        </w:tc>
        <w:tc>
          <w:tcPr>
            <w:tcW w:w="60" w:type="dxa"/>
            <w:tcBorders/>
            <w:vAlign w:val="bottom"/>
          </w:tcPr>
          <w:p>
            <w:pPr>
              <w:pStyle w:val="TableContents"/>
              <w:bidi w:val="0"/>
              <w:spacing w:before="0" w:after="283"/>
              <w:jc w:val="left"/>
              <w:rPr/>
            </w:pPr>
            <w:r>
              <w:rPr/>
              <w:t> </w:t>
            </w:r>
            <w:r>
              <w:rPr/>
              <w:br/>
              <w:t> </w:t>
              <w:br/>
              <w:t> </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11/30/2020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89" w:type="dxa"/>
            <w:tcBorders/>
            <w:vAlign w:val="bottom"/>
          </w:tcPr>
          <w:p>
            <w:pPr>
              <w:pStyle w:val="TableContents"/>
              <w:bidi w:val="0"/>
              <w:spacing w:before="0" w:after="283"/>
              <w:jc w:val="right"/>
              <w:rPr/>
            </w:pPr>
            <w:r>
              <w:rPr/>
              <w:t>12/1/2020</w:t>
            </w:r>
          </w:p>
        </w:tc>
        <w:tc>
          <w:tcPr>
            <w:tcW w:w="66" w:type="dxa"/>
            <w:tcBorders/>
            <w:vAlign w:val="bottom"/>
          </w:tcPr>
          <w:p>
            <w:pPr>
              <w:pStyle w:val="TableContents"/>
              <w:bidi w:val="0"/>
              <w:spacing w:before="0" w:after="283"/>
              <w:jc w:val="left"/>
              <w:rPr/>
            </w:pPr>
            <w:r>
              <w:rPr/>
              <w:t> </w:t>
            </w:r>
          </w:p>
        </w:tc>
      </w:tr>
      <w:tr>
        <w:trPr/>
        <w:tc>
          <w:tcPr>
            <w:tcW w:w="43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167,735</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58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C-1</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FIXED RENT </w:t>
      </w:r>
    </w:p>
    <w:p>
      <w:pPr>
        <w:pStyle w:val="TextBody"/>
        <w:bidi w:val="0"/>
        <w:spacing w:before="240" w:after="0"/>
        <w:jc w:val="left"/>
        <w:rPr>
          <w:rFonts w:ascii="Times New Roman" w:hAnsi="Times New Roman"/>
          <w:sz w:val="20"/>
        </w:rPr>
      </w:pPr>
      <w:r>
        <w:rPr>
          <w:rFonts w:ascii="Times New Roman" w:hAnsi="Times New Roman"/>
          <w:sz w:val="20"/>
        </w:rPr>
        <w:t xml:space="preserve">Fixed Rent: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55"/>
        <w:gridCol w:w="277"/>
        <w:gridCol w:w="140"/>
        <w:gridCol w:w="1371"/>
        <w:gridCol w:w="60"/>
        <w:gridCol w:w="277"/>
        <w:gridCol w:w="171"/>
        <w:gridCol w:w="1425"/>
        <w:gridCol w:w="60"/>
        <w:gridCol w:w="277"/>
        <w:gridCol w:w="273"/>
        <w:gridCol w:w="1156"/>
        <w:gridCol w:w="63"/>
      </w:tblGrid>
      <w:tr>
        <w:trPr/>
        <w:tc>
          <w:tcPr>
            <w:tcW w:w="4655"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277" w:type="dxa"/>
            <w:tcBorders/>
            <w:vAlign w:val="bottom"/>
          </w:tcPr>
          <w:p>
            <w:pPr>
              <w:pStyle w:val="TableContents"/>
              <w:bidi w:val="0"/>
              <w:spacing w:before="0" w:after="283"/>
              <w:jc w:val="left"/>
              <w:rPr/>
            </w:pPr>
            <w:r>
              <w:rPr/>
              <w:t>  </w:t>
            </w:r>
          </w:p>
        </w:tc>
        <w:tc>
          <w:tcPr>
            <w:tcW w:w="1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Annual Rate of</w:t>
              <w:br/>
              <w:t>Fixed Rent</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Monthly Fixed</w:t>
              <w:br/>
              <w:t>Rent</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Rental Rate</w:t>
              <w:br/>
              <w:t>Per Rentable</w:t>
              <w:br/>
              <w:t>Square Foot</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6/1/2018-5/31/20191</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1,831,053.00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152,587.75</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23.00</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6/1/2019-8/31/20192</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2,103,548.28</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175,295.69</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23.58</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9/1/2019-11/30/20193</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2,805,171.12</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233,764.26</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23.58</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12/1/2019-4/30/20204</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2,994,282.72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249,523.56</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23.58</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5/1/2020-5/31/20205</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3,255,761.40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271,313.45</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23.58</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6/1/2020-10/31/2020</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3,337,224.36</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278,102.03</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24.17</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11/1/2020-11/30/20206</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3,536,892.84</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294,741.07</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24.17</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12/1 /2020-4/30/20217</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3,854,220.72</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321,185.06</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24.17</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5/1/2021-5/31/20218</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4,054,155.00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337,846.25</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24.17</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6/1/2021-5/31/2022</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4,154,796.00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346,233.00</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24.77</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6/1/2022-5/31/2023</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4,258,791.60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354,899.30</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25.39</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6/1/2023-5/31/2024</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4,364,464.68</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363,705.39</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26.02</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6/1/2024-5/31/2025</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4,473,492.48</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372,791.04</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26.67</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6/1/2025-5/31/2026</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4,585,874.88</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382,156.24</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27.34</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6/1/2026-5/31/2027</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4,699,934.76</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391,661.23</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28.02</w:t>
            </w:r>
          </w:p>
        </w:tc>
        <w:tc>
          <w:tcPr>
            <w:tcW w:w="63" w:type="dxa"/>
            <w:tcBorders/>
            <w:shd w:fill="CCEEFF" w:val="clear"/>
            <w:vAlign w:val="bottom"/>
          </w:tcPr>
          <w:p>
            <w:pPr>
              <w:pStyle w:val="TableContents"/>
              <w:bidi w:val="0"/>
              <w:spacing w:before="0" w:after="283"/>
              <w:jc w:val="left"/>
              <w:rPr/>
            </w:pPr>
            <w:r>
              <w:rPr/>
              <w:t> </w:t>
            </w:r>
          </w:p>
        </w:tc>
      </w:tr>
      <w:tr>
        <w:trPr/>
        <w:tc>
          <w:tcPr>
            <w:tcW w:w="4655" w:type="dxa"/>
            <w:tcBorders/>
          </w:tcPr>
          <w:p>
            <w:pPr>
              <w:pStyle w:val="TableContents"/>
              <w:bidi w:val="0"/>
              <w:spacing w:before="0" w:after="0"/>
              <w:jc w:val="left"/>
              <w:rPr>
                <w:rFonts w:ascii="Times New Roman" w:hAnsi="Times New Roman"/>
                <w:sz w:val="20"/>
              </w:rPr>
            </w:pPr>
            <w:r>
              <w:rPr>
                <w:rFonts w:ascii="Times New Roman" w:hAnsi="Times New Roman"/>
                <w:sz w:val="20"/>
              </w:rPr>
              <w:t>6/1/2027-5/31/2028</w:t>
            </w:r>
          </w:p>
        </w:tc>
        <w:tc>
          <w:tcPr>
            <w:tcW w:w="2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1" w:type="dxa"/>
            <w:tcBorders/>
            <w:vAlign w:val="bottom"/>
          </w:tcPr>
          <w:p>
            <w:pPr>
              <w:pStyle w:val="TableContents"/>
              <w:bidi w:val="0"/>
              <w:spacing w:before="0" w:after="283"/>
              <w:jc w:val="right"/>
              <w:rPr/>
            </w:pPr>
            <w:r>
              <w:rPr/>
              <w:t>4,817,349.24</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401,445.77</w:t>
            </w:r>
          </w:p>
        </w:tc>
        <w:tc>
          <w:tcPr>
            <w:tcW w:w="60"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28.72</w:t>
            </w:r>
          </w:p>
        </w:tc>
        <w:tc>
          <w:tcPr>
            <w:tcW w:w="63" w:type="dxa"/>
            <w:tcBorders/>
            <w:vAlign w:val="bottom"/>
          </w:tcPr>
          <w:p>
            <w:pPr>
              <w:pStyle w:val="TableContents"/>
              <w:bidi w:val="0"/>
              <w:spacing w:before="0" w:after="283"/>
              <w:jc w:val="left"/>
              <w:rPr/>
            </w:pPr>
            <w:r>
              <w:rPr/>
              <w:t> </w:t>
            </w:r>
          </w:p>
        </w:tc>
      </w:tr>
      <w:tr>
        <w:trPr/>
        <w:tc>
          <w:tcPr>
            <w:tcW w:w="4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6/1/2028-5/31/2029</w:t>
            </w:r>
          </w:p>
        </w:tc>
        <w:tc>
          <w:tcPr>
            <w:tcW w:w="2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4,938,118.44</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411,509.87</w:t>
            </w:r>
          </w:p>
        </w:tc>
        <w:tc>
          <w:tcPr>
            <w:tcW w:w="60"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29.44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79,611 Rentable Square Feet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89,209 Rentable Square Feet (including the First Expansion Space and the Fifth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118,964 Rentable Square Feet (including the Third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126,984 Rentable Square Feet (including the Sixth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138,073 Rentable Square Feet (including the P1 portion of the Seventh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146,334 Rentable Square Feet (including the P2 portion of the Seventh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159,463 Rentable Square Feet (including the Eighth Expansion Space)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Premises consisting of 167,735 Rentable Square Feet (including the P3 portion of the Seventh Expansion Space)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C-2</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C-3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RENTAL ABATEMENT PERIODS </w:t>
      </w:r>
    </w:p>
    <w:p>
      <w:pPr>
        <w:pStyle w:val="TextBody"/>
        <w:bidi w:val="0"/>
        <w:spacing w:before="240" w:after="0"/>
        <w:jc w:val="left"/>
        <w:rPr>
          <w:rFonts w:ascii="Times New Roman" w:hAnsi="Times New Roman"/>
          <w:sz w:val="20"/>
        </w:rPr>
      </w:pPr>
      <w:r>
        <w:rPr>
          <w:rFonts w:ascii="Times New Roman" w:hAnsi="Times New Roman"/>
          <w:sz w:val="20"/>
        </w:rPr>
        <w:t xml:space="preserve">Rental Abatement Periods: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06"/>
        <w:gridCol w:w="1239"/>
        <w:gridCol w:w="2172"/>
        <w:gridCol w:w="1257"/>
        <w:gridCol w:w="60"/>
        <w:gridCol w:w="1239"/>
        <w:gridCol w:w="60"/>
        <w:gridCol w:w="2108"/>
        <w:gridCol w:w="64"/>
      </w:tblGrid>
      <w:tr>
        <w:trPr/>
        <w:tc>
          <w:tcPr>
            <w:tcW w:w="2006" w:type="dxa"/>
            <w:tcBorders/>
            <w:vAlign w:val="center"/>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0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Space</w:t>
            </w:r>
          </w:p>
        </w:tc>
        <w:tc>
          <w:tcPr>
            <w:tcW w:w="1239" w:type="dxa"/>
            <w:tcBorders/>
            <w:vAlign w:val="bottom"/>
          </w:tcPr>
          <w:p>
            <w:pPr>
              <w:pStyle w:val="TableContents"/>
              <w:bidi w:val="0"/>
              <w:spacing w:before="0" w:after="283"/>
              <w:jc w:val="left"/>
              <w:rPr/>
            </w:pPr>
            <w:r>
              <w:rPr/>
              <w:t>  </w:t>
            </w:r>
          </w:p>
        </w:tc>
        <w:tc>
          <w:tcPr>
            <w:tcW w:w="3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Fixed Rent Rental Abatement Period</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left"/>
              <w:rPr/>
            </w:pPr>
            <w:r>
              <w:rPr/>
              <w:t>  </w:t>
            </w:r>
          </w:p>
        </w:tc>
        <w:tc>
          <w:tcPr>
            <w:tcW w:w="2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Tenants Operating Payment</w:t>
              <w:br/>
              <w:t>and Tenants Tax Payment</w:t>
              <w:br/>
              <w:t>Rental Abatement Period</w:t>
            </w:r>
          </w:p>
        </w:tc>
        <w:tc>
          <w:tcPr>
            <w:tcW w:w="64" w:type="dxa"/>
            <w:tcBorders/>
            <w:vAlign w:val="bottom"/>
          </w:tcPr>
          <w:p>
            <w:pPr>
              <w:pStyle w:val="TableContents"/>
              <w:bidi w:val="0"/>
              <w:spacing w:before="0" w:after="283"/>
              <w:jc w:val="left"/>
              <w:rPr/>
            </w:pPr>
            <w:r>
              <w:rPr/>
              <w:t> </w:t>
            </w:r>
          </w:p>
        </w:tc>
      </w:tr>
      <w:tr>
        <w:trPr/>
        <w:tc>
          <w:tcPr>
            <w:tcW w:w="2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Original Premises</w:t>
            </w:r>
          </w:p>
        </w:tc>
        <w:tc>
          <w:tcPr>
            <w:tcW w:w="1239" w:type="dxa"/>
            <w:tcBorders/>
            <w:shd w:fill="CCEEFF" w:val="clear"/>
            <w:vAlign w:val="bottom"/>
          </w:tcPr>
          <w:p>
            <w:pPr>
              <w:pStyle w:val="TableContents"/>
              <w:bidi w:val="0"/>
              <w:spacing w:before="0" w:after="283"/>
              <w:jc w:val="left"/>
              <w:rPr/>
            </w:pPr>
            <w:r>
              <w:rPr/>
              <w:t>  </w:t>
            </w:r>
          </w:p>
        </w:tc>
        <w:tc>
          <w:tcPr>
            <w:tcW w:w="2172"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6/1/2018-5/31/2019</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8" w:type="dxa"/>
            <w:tcBorders/>
            <w:shd w:fill="CCEEFF" w:val="clear"/>
            <w:vAlign w:val="bottom"/>
          </w:tcPr>
          <w:p>
            <w:pPr>
              <w:pStyle w:val="TableContents"/>
              <w:bidi w:val="0"/>
              <w:spacing w:before="0" w:after="283"/>
              <w:jc w:val="right"/>
              <w:rPr/>
            </w:pPr>
            <w:r>
              <w:rPr/>
              <w:t>6/1/2018-5/31/2019</w:t>
            </w:r>
          </w:p>
        </w:tc>
        <w:tc>
          <w:tcPr>
            <w:tcW w:w="64" w:type="dxa"/>
            <w:tcBorders/>
            <w:shd w:fill="CCEEFF" w:val="clear"/>
            <w:vAlign w:val="bottom"/>
          </w:tcPr>
          <w:p>
            <w:pPr>
              <w:pStyle w:val="TableContents"/>
              <w:bidi w:val="0"/>
              <w:spacing w:before="0" w:after="283"/>
              <w:jc w:val="left"/>
              <w:rPr/>
            </w:pPr>
            <w:r>
              <w:rPr/>
              <w:t> </w:t>
            </w:r>
          </w:p>
        </w:tc>
      </w:tr>
      <w:tr>
        <w:trPr/>
        <w:tc>
          <w:tcPr>
            <w:tcW w:w="2006" w:type="dxa"/>
            <w:tcBorders/>
          </w:tcPr>
          <w:p>
            <w:pPr>
              <w:pStyle w:val="TableContents"/>
              <w:bidi w:val="0"/>
              <w:spacing w:before="0" w:after="0"/>
              <w:jc w:val="left"/>
              <w:rPr>
                <w:rFonts w:ascii="Times New Roman" w:hAnsi="Times New Roman"/>
                <w:sz w:val="20"/>
              </w:rPr>
            </w:pPr>
            <w:r>
              <w:rPr>
                <w:rFonts w:ascii="Times New Roman" w:hAnsi="Times New Roman"/>
                <w:sz w:val="20"/>
              </w:rPr>
              <w:t>Fourth Expansion Space</w:t>
            </w:r>
          </w:p>
        </w:tc>
        <w:tc>
          <w:tcPr>
            <w:tcW w:w="1239" w:type="dxa"/>
            <w:tcBorders/>
            <w:vAlign w:val="bottom"/>
          </w:tcPr>
          <w:p>
            <w:pPr>
              <w:pStyle w:val="TableContents"/>
              <w:bidi w:val="0"/>
              <w:spacing w:before="0" w:after="283"/>
              <w:jc w:val="left"/>
              <w:rPr/>
            </w:pPr>
            <w:r>
              <w:rPr/>
              <w:t>  </w:t>
            </w:r>
          </w:p>
        </w:tc>
        <w:tc>
          <w:tcPr>
            <w:tcW w:w="2172"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6/1/2018-5/31/2019</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8" w:type="dxa"/>
            <w:tcBorders/>
            <w:vAlign w:val="bottom"/>
          </w:tcPr>
          <w:p>
            <w:pPr>
              <w:pStyle w:val="TableContents"/>
              <w:bidi w:val="0"/>
              <w:spacing w:before="0" w:after="283"/>
              <w:jc w:val="right"/>
              <w:rPr/>
            </w:pPr>
            <w:r>
              <w:rPr/>
              <w:t>6/1/2018-5/31/2019</w:t>
            </w:r>
          </w:p>
        </w:tc>
        <w:tc>
          <w:tcPr>
            <w:tcW w:w="64" w:type="dxa"/>
            <w:tcBorders/>
            <w:vAlign w:val="bottom"/>
          </w:tcPr>
          <w:p>
            <w:pPr>
              <w:pStyle w:val="TableContents"/>
              <w:bidi w:val="0"/>
              <w:spacing w:before="0" w:after="283"/>
              <w:jc w:val="left"/>
              <w:rPr/>
            </w:pPr>
            <w:r>
              <w:rPr/>
              <w:t> </w:t>
            </w:r>
          </w:p>
        </w:tc>
      </w:tr>
      <w:tr>
        <w:trPr/>
        <w:tc>
          <w:tcPr>
            <w:tcW w:w="2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Expansion Space</w:t>
            </w:r>
          </w:p>
        </w:tc>
        <w:tc>
          <w:tcPr>
            <w:tcW w:w="1239" w:type="dxa"/>
            <w:tcBorders/>
            <w:shd w:fill="CCEEFF" w:val="clear"/>
            <w:vAlign w:val="bottom"/>
          </w:tcPr>
          <w:p>
            <w:pPr>
              <w:pStyle w:val="TableContents"/>
              <w:bidi w:val="0"/>
              <w:spacing w:before="0" w:after="283"/>
              <w:jc w:val="left"/>
              <w:rPr/>
            </w:pPr>
            <w:r>
              <w:rPr/>
              <w:t>  </w:t>
            </w:r>
          </w:p>
        </w:tc>
        <w:tc>
          <w:tcPr>
            <w:tcW w:w="2172" w:type="dxa"/>
            <w:tcBorders/>
            <w:shd w:fill="CCEEFF" w:val="clear"/>
            <w:vAlign w:val="bottom"/>
          </w:tcPr>
          <w:p>
            <w:pPr>
              <w:pStyle w:val="TableContents"/>
              <w:bidi w:val="0"/>
              <w:spacing w:before="0" w:after="283"/>
              <w:jc w:val="left"/>
              <w:rPr/>
            </w:pPr>
            <w:r>
              <w:rPr/>
              <w:t>6/1/2019 -8/31/2019, plus an abatement of $</w:t>
              <w:br/>
              <w:t> </w:t>
            </w:r>
          </w:p>
        </w:tc>
        <w:tc>
          <w:tcPr>
            <w:tcW w:w="1257" w:type="dxa"/>
            <w:tcBorders/>
            <w:shd w:fill="CCEEFF" w:val="clear"/>
            <w:vAlign w:val="bottom"/>
          </w:tcPr>
          <w:p>
            <w:pPr>
              <w:pStyle w:val="TableContents"/>
              <w:bidi w:val="0"/>
              <w:spacing w:before="0" w:after="283"/>
              <w:jc w:val="right"/>
              <w:rPr/>
            </w:pPr>
            <w:r>
              <w:rPr/>
              <w:t>7,039.78 applied against</w:t>
              <w:br/>
              <w:t>Fixed Rent for the Month of 9/1/2019-9/30/2019</w:t>
            </w:r>
          </w:p>
        </w:tc>
        <w:tc>
          <w:tcPr>
            <w:tcW w:w="60" w:type="dxa"/>
            <w:tcBorders/>
            <w:shd w:fill="CCEEFF" w:val="clear"/>
            <w:vAlign w:val="bottom"/>
          </w:tcPr>
          <w:p>
            <w:pPr>
              <w:pStyle w:val="TableContents"/>
              <w:bidi w:val="0"/>
              <w:spacing w:before="0" w:after="283"/>
              <w:jc w:val="left"/>
              <w:rPr/>
            </w:pPr>
            <w:r>
              <w:rPr/>
              <w:t> </w:t>
            </w:r>
            <w:r>
              <w:rPr/>
              <w:br/>
              <w:t> </w:t>
            </w:r>
          </w:p>
        </w:tc>
        <w:tc>
          <w:tcPr>
            <w:tcW w:w="1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8" w:type="dxa"/>
            <w:tcBorders/>
            <w:shd w:fill="CCEEFF" w:val="clear"/>
            <w:vAlign w:val="bottom"/>
          </w:tcPr>
          <w:p>
            <w:pPr>
              <w:pStyle w:val="TableContents"/>
              <w:bidi w:val="0"/>
              <w:spacing w:before="0" w:after="283"/>
              <w:jc w:val="right"/>
              <w:rPr/>
            </w:pPr>
            <w:r>
              <w:rPr/>
              <w:t>6/1/2019-4/30/2020</w:t>
            </w:r>
          </w:p>
        </w:tc>
        <w:tc>
          <w:tcPr>
            <w:tcW w:w="64" w:type="dxa"/>
            <w:tcBorders/>
            <w:shd w:fill="CCEEFF" w:val="clear"/>
            <w:vAlign w:val="bottom"/>
          </w:tcPr>
          <w:p>
            <w:pPr>
              <w:pStyle w:val="TableContents"/>
              <w:bidi w:val="0"/>
              <w:spacing w:before="0" w:after="283"/>
              <w:jc w:val="left"/>
              <w:rPr/>
            </w:pPr>
            <w:r>
              <w:rPr/>
              <w:t> </w:t>
            </w:r>
          </w:p>
        </w:tc>
      </w:tr>
      <w:tr>
        <w:trPr/>
        <w:tc>
          <w:tcPr>
            <w:tcW w:w="2006" w:type="dxa"/>
            <w:tcBorders/>
          </w:tcPr>
          <w:p>
            <w:pPr>
              <w:pStyle w:val="TableContents"/>
              <w:bidi w:val="0"/>
              <w:spacing w:before="0" w:after="0"/>
              <w:jc w:val="left"/>
              <w:rPr>
                <w:rFonts w:ascii="Times New Roman" w:hAnsi="Times New Roman"/>
                <w:sz w:val="20"/>
              </w:rPr>
            </w:pPr>
            <w:r>
              <w:rPr>
                <w:rFonts w:ascii="Times New Roman" w:hAnsi="Times New Roman"/>
                <w:sz w:val="20"/>
              </w:rPr>
              <w:t>Fifth Expansion Space</w:t>
            </w:r>
          </w:p>
        </w:tc>
        <w:tc>
          <w:tcPr>
            <w:tcW w:w="1239" w:type="dxa"/>
            <w:tcBorders/>
            <w:vAlign w:val="bottom"/>
          </w:tcPr>
          <w:p>
            <w:pPr>
              <w:pStyle w:val="TableContents"/>
              <w:bidi w:val="0"/>
              <w:spacing w:before="0" w:after="283"/>
              <w:jc w:val="left"/>
              <w:rPr/>
            </w:pPr>
            <w:r>
              <w:rPr/>
              <w:t>  </w:t>
            </w:r>
          </w:p>
        </w:tc>
        <w:tc>
          <w:tcPr>
            <w:tcW w:w="2172" w:type="dxa"/>
            <w:tcBorders/>
            <w:vAlign w:val="bottom"/>
          </w:tcPr>
          <w:p>
            <w:pPr>
              <w:pStyle w:val="TableContents"/>
              <w:bidi w:val="0"/>
              <w:spacing w:before="0" w:after="283"/>
              <w:jc w:val="left"/>
              <w:rPr/>
            </w:pPr>
            <w:r>
              <w:rPr/>
              <w:t>6/1/2019-9/31/2019 plus an abatement of $</w:t>
              <w:br/>
              <w:t> </w:t>
            </w:r>
          </w:p>
        </w:tc>
        <w:tc>
          <w:tcPr>
            <w:tcW w:w="1257" w:type="dxa"/>
            <w:tcBorders/>
            <w:vAlign w:val="bottom"/>
          </w:tcPr>
          <w:p>
            <w:pPr>
              <w:pStyle w:val="TableContents"/>
              <w:bidi w:val="0"/>
              <w:spacing w:before="0" w:after="283"/>
              <w:jc w:val="right"/>
              <w:rPr/>
            </w:pPr>
            <w:r>
              <w:rPr/>
              <w:t>4,573.80 applied against</w:t>
              <w:br/>
              <w:t>Fixed Rent for the Month of 10/1/2019-10/31/2019</w:t>
            </w:r>
          </w:p>
        </w:tc>
        <w:tc>
          <w:tcPr>
            <w:tcW w:w="60" w:type="dxa"/>
            <w:tcBorders/>
            <w:vAlign w:val="bottom"/>
          </w:tcPr>
          <w:p>
            <w:pPr>
              <w:pStyle w:val="TableContents"/>
              <w:bidi w:val="0"/>
              <w:spacing w:before="0" w:after="283"/>
              <w:jc w:val="left"/>
              <w:rPr/>
            </w:pPr>
            <w:r>
              <w:rPr/>
              <w:t> </w:t>
            </w:r>
            <w:r>
              <w:rPr/>
              <w:br/>
              <w:t> </w:t>
            </w:r>
          </w:p>
        </w:tc>
        <w:tc>
          <w:tcPr>
            <w:tcW w:w="1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8" w:type="dxa"/>
            <w:tcBorders/>
            <w:vAlign w:val="bottom"/>
          </w:tcPr>
          <w:p>
            <w:pPr>
              <w:pStyle w:val="TableContents"/>
              <w:bidi w:val="0"/>
              <w:spacing w:before="0" w:after="283"/>
              <w:jc w:val="right"/>
              <w:rPr/>
            </w:pPr>
            <w:r>
              <w:rPr/>
              <w:t>6/1/2019-5/31/2020</w:t>
            </w:r>
          </w:p>
        </w:tc>
        <w:tc>
          <w:tcPr>
            <w:tcW w:w="64" w:type="dxa"/>
            <w:tcBorders/>
            <w:vAlign w:val="bottom"/>
          </w:tcPr>
          <w:p>
            <w:pPr>
              <w:pStyle w:val="TableContents"/>
              <w:bidi w:val="0"/>
              <w:spacing w:before="0" w:after="283"/>
              <w:jc w:val="left"/>
              <w:rPr/>
            </w:pPr>
            <w:r>
              <w:rPr/>
              <w:t> </w:t>
            </w:r>
          </w:p>
        </w:tc>
      </w:tr>
      <w:tr>
        <w:trPr/>
        <w:tc>
          <w:tcPr>
            <w:tcW w:w="2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Expansion Space</w:t>
            </w:r>
          </w:p>
        </w:tc>
        <w:tc>
          <w:tcPr>
            <w:tcW w:w="1239" w:type="dxa"/>
            <w:tcBorders/>
            <w:shd w:fill="CCEEFF" w:val="clear"/>
            <w:vAlign w:val="bottom"/>
          </w:tcPr>
          <w:p>
            <w:pPr>
              <w:pStyle w:val="TableContents"/>
              <w:bidi w:val="0"/>
              <w:spacing w:before="0" w:after="283"/>
              <w:jc w:val="left"/>
              <w:rPr/>
            </w:pPr>
            <w:r>
              <w:rPr/>
              <w:t>  </w:t>
            </w:r>
          </w:p>
        </w:tc>
        <w:tc>
          <w:tcPr>
            <w:tcW w:w="2172" w:type="dxa"/>
            <w:tcBorders/>
            <w:shd w:fill="CCEEFF" w:val="clear"/>
            <w:vAlign w:val="bottom"/>
          </w:tcPr>
          <w:p>
            <w:pPr>
              <w:pStyle w:val="TableContents"/>
              <w:bidi w:val="0"/>
              <w:spacing w:before="0" w:after="283"/>
              <w:jc w:val="left"/>
              <w:rPr/>
            </w:pPr>
            <w:r>
              <w:rPr/>
              <w:t>9/1/2019-12/31/2019, plus an abatement of $</w:t>
              <w:br/>
              <w:t> </w:t>
            </w:r>
          </w:p>
        </w:tc>
        <w:tc>
          <w:tcPr>
            <w:tcW w:w="1257" w:type="dxa"/>
            <w:tcBorders/>
            <w:shd w:fill="CCEEFF" w:val="clear"/>
            <w:vAlign w:val="bottom"/>
          </w:tcPr>
          <w:p>
            <w:pPr>
              <w:pStyle w:val="TableContents"/>
              <w:bidi w:val="0"/>
              <w:spacing w:before="0" w:after="283"/>
              <w:jc w:val="right"/>
              <w:rPr/>
            </w:pPr>
            <w:r>
              <w:rPr/>
              <w:t>32,432.95 applied against</w:t>
              <w:br/>
              <w:t>the Fixed Rent for the Month of 1/1/2020-1/31/2020</w:t>
            </w:r>
          </w:p>
        </w:tc>
        <w:tc>
          <w:tcPr>
            <w:tcW w:w="60" w:type="dxa"/>
            <w:tcBorders/>
            <w:shd w:fill="CCEEFF" w:val="clear"/>
            <w:vAlign w:val="bottom"/>
          </w:tcPr>
          <w:p>
            <w:pPr>
              <w:pStyle w:val="TableContents"/>
              <w:bidi w:val="0"/>
              <w:spacing w:before="0" w:after="283"/>
              <w:jc w:val="left"/>
              <w:rPr/>
            </w:pPr>
            <w:r>
              <w:rPr/>
              <w:t> </w:t>
            </w:r>
            <w:r>
              <w:rPr/>
              <w:br/>
              <w:t> </w:t>
            </w:r>
          </w:p>
        </w:tc>
        <w:tc>
          <w:tcPr>
            <w:tcW w:w="1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8" w:type="dxa"/>
            <w:tcBorders/>
            <w:shd w:fill="CCEEFF" w:val="clear"/>
            <w:vAlign w:val="bottom"/>
          </w:tcPr>
          <w:p>
            <w:pPr>
              <w:pStyle w:val="TableContents"/>
              <w:bidi w:val="0"/>
              <w:spacing w:before="0" w:after="283"/>
              <w:jc w:val="right"/>
              <w:rPr/>
            </w:pPr>
            <w:r>
              <w:rPr/>
              <w:t>9/1/2019-8/31/2020</w:t>
            </w:r>
          </w:p>
        </w:tc>
        <w:tc>
          <w:tcPr>
            <w:tcW w:w="64" w:type="dxa"/>
            <w:tcBorders/>
            <w:shd w:fill="CCEEFF" w:val="clear"/>
            <w:vAlign w:val="bottom"/>
          </w:tcPr>
          <w:p>
            <w:pPr>
              <w:pStyle w:val="TableContents"/>
              <w:bidi w:val="0"/>
              <w:spacing w:before="0" w:after="283"/>
              <w:jc w:val="left"/>
              <w:rPr/>
            </w:pPr>
            <w:r>
              <w:rPr/>
              <w:t> </w:t>
            </w:r>
          </w:p>
        </w:tc>
      </w:tr>
      <w:tr>
        <w:trPr/>
        <w:tc>
          <w:tcPr>
            <w:tcW w:w="2006" w:type="dxa"/>
            <w:tcBorders/>
          </w:tcPr>
          <w:p>
            <w:pPr>
              <w:pStyle w:val="TableContents"/>
              <w:bidi w:val="0"/>
              <w:spacing w:before="0" w:after="0"/>
              <w:jc w:val="left"/>
              <w:rPr>
                <w:rFonts w:ascii="Times New Roman" w:hAnsi="Times New Roman"/>
                <w:sz w:val="20"/>
              </w:rPr>
            </w:pPr>
            <w:r>
              <w:rPr>
                <w:rFonts w:ascii="Times New Roman" w:hAnsi="Times New Roman"/>
                <w:sz w:val="20"/>
              </w:rPr>
              <w:t>Sixth Expansion Space</w:t>
            </w:r>
          </w:p>
        </w:tc>
        <w:tc>
          <w:tcPr>
            <w:tcW w:w="1239" w:type="dxa"/>
            <w:tcBorders/>
            <w:vAlign w:val="bottom"/>
          </w:tcPr>
          <w:p>
            <w:pPr>
              <w:pStyle w:val="TableContents"/>
              <w:bidi w:val="0"/>
              <w:spacing w:before="0" w:after="283"/>
              <w:jc w:val="left"/>
              <w:rPr/>
            </w:pPr>
            <w:r>
              <w:rPr/>
              <w:t>  </w:t>
            </w:r>
          </w:p>
        </w:tc>
        <w:tc>
          <w:tcPr>
            <w:tcW w:w="2172" w:type="dxa"/>
            <w:tcBorders/>
            <w:vAlign w:val="bottom"/>
          </w:tcPr>
          <w:p>
            <w:pPr>
              <w:pStyle w:val="TableContents"/>
              <w:bidi w:val="0"/>
              <w:spacing w:before="0" w:after="283"/>
              <w:jc w:val="left"/>
              <w:rPr/>
            </w:pPr>
            <w:r>
              <w:rPr/>
              <w:t>12/1/2019-3/31/2020, plus an abatement of $</w:t>
              <w:br/>
              <w:t> </w:t>
            </w:r>
          </w:p>
        </w:tc>
        <w:tc>
          <w:tcPr>
            <w:tcW w:w="1257" w:type="dxa"/>
            <w:tcBorders/>
            <w:vAlign w:val="bottom"/>
          </w:tcPr>
          <w:p>
            <w:pPr>
              <w:pStyle w:val="TableContents"/>
              <w:bidi w:val="0"/>
              <w:spacing w:before="0" w:after="283"/>
              <w:jc w:val="right"/>
              <w:rPr/>
            </w:pPr>
            <w:r>
              <w:rPr/>
              <w:t>7,779.40 applied against</w:t>
              <w:br/>
              <w:t>the Fixed Rent for the Month of 4/1/2020-4/30/2020</w:t>
            </w:r>
          </w:p>
        </w:tc>
        <w:tc>
          <w:tcPr>
            <w:tcW w:w="60" w:type="dxa"/>
            <w:tcBorders/>
            <w:vAlign w:val="bottom"/>
          </w:tcPr>
          <w:p>
            <w:pPr>
              <w:pStyle w:val="TableContents"/>
              <w:bidi w:val="0"/>
              <w:spacing w:before="0" w:after="283"/>
              <w:jc w:val="left"/>
              <w:rPr/>
            </w:pPr>
            <w:r>
              <w:rPr/>
              <w:t> </w:t>
            </w:r>
            <w:r>
              <w:rPr/>
              <w:br/>
              <w:t> </w:t>
            </w:r>
          </w:p>
        </w:tc>
        <w:tc>
          <w:tcPr>
            <w:tcW w:w="1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8" w:type="dxa"/>
            <w:tcBorders/>
            <w:vAlign w:val="bottom"/>
          </w:tcPr>
          <w:p>
            <w:pPr>
              <w:pStyle w:val="TableContents"/>
              <w:bidi w:val="0"/>
              <w:spacing w:before="0" w:after="283"/>
              <w:jc w:val="right"/>
              <w:rPr/>
            </w:pPr>
            <w:r>
              <w:rPr/>
              <w:t>12/1/2019-11/30/2020</w:t>
            </w:r>
          </w:p>
        </w:tc>
        <w:tc>
          <w:tcPr>
            <w:tcW w:w="64" w:type="dxa"/>
            <w:tcBorders/>
            <w:vAlign w:val="bottom"/>
          </w:tcPr>
          <w:p>
            <w:pPr>
              <w:pStyle w:val="TableContents"/>
              <w:bidi w:val="0"/>
              <w:spacing w:before="0" w:after="283"/>
              <w:jc w:val="left"/>
              <w:rPr/>
            </w:pPr>
            <w:r>
              <w:rPr/>
              <w:t> </w:t>
            </w:r>
          </w:p>
        </w:tc>
      </w:tr>
      <w:tr>
        <w:trPr/>
        <w:tc>
          <w:tcPr>
            <w:tcW w:w="2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P-1</w:t>
            </w:r>
          </w:p>
        </w:tc>
        <w:tc>
          <w:tcPr>
            <w:tcW w:w="1239" w:type="dxa"/>
            <w:tcBorders/>
            <w:shd w:fill="CCEEFF" w:val="clear"/>
            <w:vAlign w:val="bottom"/>
          </w:tcPr>
          <w:p>
            <w:pPr>
              <w:pStyle w:val="TableContents"/>
              <w:bidi w:val="0"/>
              <w:spacing w:before="0" w:after="283"/>
              <w:jc w:val="left"/>
              <w:rPr/>
            </w:pPr>
            <w:r>
              <w:rPr/>
              <w:t>  </w:t>
            </w:r>
          </w:p>
        </w:tc>
        <w:tc>
          <w:tcPr>
            <w:tcW w:w="2172" w:type="dxa"/>
            <w:tcBorders/>
            <w:shd w:fill="CCEEFF" w:val="clear"/>
            <w:vAlign w:val="bottom"/>
          </w:tcPr>
          <w:p>
            <w:pPr>
              <w:pStyle w:val="TableContents"/>
              <w:bidi w:val="0"/>
              <w:spacing w:before="0" w:after="283"/>
              <w:jc w:val="left"/>
              <w:rPr/>
            </w:pPr>
            <w:r>
              <w:rPr/>
              <w:t>5/1/2020-8/31/2020, plus an abatement of $</w:t>
              <w:br/>
              <w:t> </w:t>
            </w:r>
          </w:p>
        </w:tc>
        <w:tc>
          <w:tcPr>
            <w:tcW w:w="1257" w:type="dxa"/>
            <w:tcBorders/>
            <w:shd w:fill="CCEEFF" w:val="clear"/>
            <w:vAlign w:val="bottom"/>
          </w:tcPr>
          <w:p>
            <w:pPr>
              <w:pStyle w:val="TableContents"/>
              <w:bidi w:val="0"/>
              <w:spacing w:before="0" w:after="283"/>
              <w:jc w:val="right"/>
              <w:rPr/>
            </w:pPr>
            <w:r>
              <w:rPr/>
              <w:t>10,312.77 applied against</w:t>
              <w:br/>
              <w:t>Fixed Rent for the Month of 9/1/2020-9/30/2020</w:t>
            </w:r>
          </w:p>
        </w:tc>
        <w:tc>
          <w:tcPr>
            <w:tcW w:w="60" w:type="dxa"/>
            <w:tcBorders/>
            <w:shd w:fill="CCEEFF" w:val="clear"/>
            <w:vAlign w:val="bottom"/>
          </w:tcPr>
          <w:p>
            <w:pPr>
              <w:pStyle w:val="TableContents"/>
              <w:bidi w:val="0"/>
              <w:spacing w:before="0" w:after="283"/>
              <w:jc w:val="left"/>
              <w:rPr/>
            </w:pPr>
            <w:r>
              <w:rPr/>
              <w:t> </w:t>
            </w:r>
            <w:r>
              <w:rPr/>
              <w:br/>
              <w:t> </w:t>
            </w:r>
          </w:p>
        </w:tc>
        <w:tc>
          <w:tcPr>
            <w:tcW w:w="1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8" w:type="dxa"/>
            <w:tcBorders/>
            <w:shd w:fill="CCEEFF" w:val="clear"/>
            <w:vAlign w:val="bottom"/>
          </w:tcPr>
          <w:p>
            <w:pPr>
              <w:pStyle w:val="TableContents"/>
              <w:bidi w:val="0"/>
              <w:spacing w:before="0" w:after="283"/>
              <w:jc w:val="right"/>
              <w:rPr/>
            </w:pPr>
            <w:r>
              <w:rPr/>
              <w:t>5/1/2020-4/30/2021</w:t>
            </w:r>
          </w:p>
        </w:tc>
        <w:tc>
          <w:tcPr>
            <w:tcW w:w="64" w:type="dxa"/>
            <w:tcBorders/>
            <w:shd w:fill="CCEEFF" w:val="clear"/>
            <w:vAlign w:val="bottom"/>
          </w:tcPr>
          <w:p>
            <w:pPr>
              <w:pStyle w:val="TableContents"/>
              <w:bidi w:val="0"/>
              <w:spacing w:before="0" w:after="283"/>
              <w:jc w:val="left"/>
              <w:rPr/>
            </w:pPr>
            <w:r>
              <w:rPr/>
              <w:t> </w:t>
            </w:r>
          </w:p>
        </w:tc>
      </w:tr>
      <w:tr>
        <w:trPr/>
        <w:tc>
          <w:tcPr>
            <w:tcW w:w="2006" w:type="dxa"/>
            <w:tcBorders/>
          </w:tcPr>
          <w:p>
            <w:pPr>
              <w:pStyle w:val="TableContents"/>
              <w:bidi w:val="0"/>
              <w:spacing w:before="0" w:after="0"/>
              <w:jc w:val="left"/>
              <w:rPr>
                <w:rFonts w:ascii="Times New Roman" w:hAnsi="Times New Roman"/>
                <w:sz w:val="20"/>
              </w:rPr>
            </w:pPr>
            <w:r>
              <w:rPr>
                <w:rFonts w:ascii="Times New Roman" w:hAnsi="Times New Roman"/>
                <w:sz w:val="20"/>
              </w:rPr>
              <w:t>Seventh Expansion Space P-2</w:t>
            </w:r>
          </w:p>
        </w:tc>
        <w:tc>
          <w:tcPr>
            <w:tcW w:w="1239" w:type="dxa"/>
            <w:tcBorders/>
            <w:vAlign w:val="bottom"/>
          </w:tcPr>
          <w:p>
            <w:pPr>
              <w:pStyle w:val="TableContents"/>
              <w:bidi w:val="0"/>
              <w:spacing w:before="0" w:after="283"/>
              <w:jc w:val="left"/>
              <w:rPr/>
            </w:pPr>
            <w:r>
              <w:rPr/>
              <w:t>  </w:t>
            </w:r>
          </w:p>
        </w:tc>
        <w:tc>
          <w:tcPr>
            <w:tcW w:w="2172" w:type="dxa"/>
            <w:tcBorders/>
            <w:vAlign w:val="bottom"/>
          </w:tcPr>
          <w:p>
            <w:pPr>
              <w:pStyle w:val="TableContents"/>
              <w:bidi w:val="0"/>
              <w:spacing w:before="0" w:after="283"/>
              <w:jc w:val="left"/>
              <w:rPr/>
            </w:pPr>
            <w:r>
              <w:rPr/>
              <w:t>11/1/2020-12/31/2020, plus an abatement of $</w:t>
              <w:br/>
              <w:t> </w:t>
            </w:r>
          </w:p>
        </w:tc>
        <w:tc>
          <w:tcPr>
            <w:tcW w:w="1257" w:type="dxa"/>
            <w:tcBorders/>
            <w:vAlign w:val="bottom"/>
          </w:tcPr>
          <w:p>
            <w:pPr>
              <w:pStyle w:val="TableContents"/>
              <w:bidi w:val="0"/>
              <w:spacing w:before="0" w:after="283"/>
              <w:jc w:val="right"/>
              <w:rPr/>
            </w:pPr>
            <w:r>
              <w:rPr/>
              <w:t>6,443.58 applied against</w:t>
              <w:br/>
              <w:t>the Fixed Rent for the Month of 1/1/2021-1/31/2021</w:t>
            </w:r>
          </w:p>
        </w:tc>
        <w:tc>
          <w:tcPr>
            <w:tcW w:w="60" w:type="dxa"/>
            <w:tcBorders/>
            <w:vAlign w:val="bottom"/>
          </w:tcPr>
          <w:p>
            <w:pPr>
              <w:pStyle w:val="TableContents"/>
              <w:bidi w:val="0"/>
              <w:spacing w:before="0" w:after="283"/>
              <w:jc w:val="left"/>
              <w:rPr/>
            </w:pPr>
            <w:r>
              <w:rPr/>
              <w:t> </w:t>
            </w:r>
            <w:r>
              <w:rPr/>
              <w:br/>
              <w:t> </w:t>
            </w:r>
          </w:p>
        </w:tc>
        <w:tc>
          <w:tcPr>
            <w:tcW w:w="1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8" w:type="dxa"/>
            <w:tcBorders/>
            <w:vAlign w:val="bottom"/>
          </w:tcPr>
          <w:p>
            <w:pPr>
              <w:pStyle w:val="TableContents"/>
              <w:bidi w:val="0"/>
              <w:spacing w:before="0" w:after="283"/>
              <w:jc w:val="right"/>
              <w:rPr/>
            </w:pPr>
            <w:r>
              <w:rPr/>
              <w:t>11/1/2020-8/31/2021</w:t>
            </w:r>
          </w:p>
        </w:tc>
        <w:tc>
          <w:tcPr>
            <w:tcW w:w="64" w:type="dxa"/>
            <w:tcBorders/>
            <w:vAlign w:val="bottom"/>
          </w:tcPr>
          <w:p>
            <w:pPr>
              <w:pStyle w:val="TableContents"/>
              <w:bidi w:val="0"/>
              <w:spacing w:before="0" w:after="283"/>
              <w:jc w:val="left"/>
              <w:rPr/>
            </w:pPr>
            <w:r>
              <w:rPr/>
              <w:t> </w:t>
            </w:r>
          </w:p>
        </w:tc>
      </w:tr>
      <w:tr>
        <w:trPr/>
        <w:tc>
          <w:tcPr>
            <w:tcW w:w="20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P-3</w:t>
            </w:r>
          </w:p>
        </w:tc>
        <w:tc>
          <w:tcPr>
            <w:tcW w:w="1239" w:type="dxa"/>
            <w:tcBorders/>
            <w:shd w:fill="CCEEFF" w:val="clear"/>
            <w:vAlign w:val="bottom"/>
          </w:tcPr>
          <w:p>
            <w:pPr>
              <w:pStyle w:val="TableContents"/>
              <w:bidi w:val="0"/>
              <w:spacing w:before="0" w:after="283"/>
              <w:jc w:val="left"/>
              <w:rPr/>
            </w:pPr>
            <w:r>
              <w:rPr/>
              <w:t>  </w:t>
            </w:r>
          </w:p>
        </w:tc>
        <w:tc>
          <w:tcPr>
            <w:tcW w:w="2172" w:type="dxa"/>
            <w:tcBorders/>
            <w:shd w:fill="CCEEFF" w:val="clear"/>
            <w:vAlign w:val="bottom"/>
          </w:tcPr>
          <w:p>
            <w:pPr>
              <w:pStyle w:val="TableContents"/>
              <w:bidi w:val="0"/>
              <w:spacing w:before="0" w:after="283"/>
              <w:jc w:val="left"/>
              <w:rPr/>
            </w:pPr>
            <w:r>
              <w:rPr/>
              <w:t>An abatement of $</w:t>
              <w:br/>
              <w:t> </w:t>
            </w:r>
          </w:p>
        </w:tc>
        <w:tc>
          <w:tcPr>
            <w:tcW w:w="1257" w:type="dxa"/>
            <w:tcBorders/>
            <w:shd w:fill="CCEEFF" w:val="clear"/>
            <w:vAlign w:val="bottom"/>
          </w:tcPr>
          <w:p>
            <w:pPr>
              <w:pStyle w:val="TableContents"/>
              <w:bidi w:val="0"/>
              <w:spacing w:before="0" w:after="283"/>
              <w:jc w:val="right"/>
              <w:rPr/>
            </w:pPr>
            <w:r>
              <w:rPr/>
              <w:t>4,797.76 applied against the Fixed Rent for the</w:t>
              <w:br/>
              <w:t>Month of 5/1/2021- 5/31/2021</w:t>
            </w:r>
          </w:p>
        </w:tc>
        <w:tc>
          <w:tcPr>
            <w:tcW w:w="60" w:type="dxa"/>
            <w:tcBorders/>
            <w:shd w:fill="CCEEFF" w:val="clear"/>
            <w:vAlign w:val="bottom"/>
          </w:tcPr>
          <w:p>
            <w:pPr>
              <w:pStyle w:val="TableContents"/>
              <w:bidi w:val="0"/>
              <w:spacing w:before="0" w:after="283"/>
              <w:jc w:val="left"/>
              <w:rPr/>
            </w:pPr>
            <w:r>
              <w:rPr/>
              <w:t> </w:t>
            </w:r>
            <w:r>
              <w:rPr/>
              <w:br/>
              <w:t> </w:t>
            </w:r>
          </w:p>
        </w:tc>
        <w:tc>
          <w:tcPr>
            <w:tcW w:w="12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8" w:type="dxa"/>
            <w:tcBorders/>
            <w:shd w:fill="CCEEFF" w:val="clear"/>
            <w:vAlign w:val="bottom"/>
          </w:tcPr>
          <w:p>
            <w:pPr>
              <w:pStyle w:val="TableContents"/>
              <w:bidi w:val="0"/>
              <w:spacing w:before="0" w:after="283"/>
              <w:jc w:val="right"/>
              <w:rPr/>
            </w:pPr>
            <w:r>
              <w:rPr/>
              <w:t>5/1/2021-12/31/2021</w:t>
            </w:r>
          </w:p>
        </w:tc>
        <w:tc>
          <w:tcPr>
            <w:tcW w:w="64" w:type="dxa"/>
            <w:tcBorders/>
            <w:shd w:fill="CCEEFF" w:val="clear"/>
            <w:vAlign w:val="bottom"/>
          </w:tcPr>
          <w:p>
            <w:pPr>
              <w:pStyle w:val="TableContents"/>
              <w:bidi w:val="0"/>
              <w:spacing w:before="0" w:after="283"/>
              <w:jc w:val="left"/>
              <w:rPr/>
            </w:pPr>
            <w:r>
              <w:rPr/>
              <w:t> </w:t>
            </w:r>
          </w:p>
        </w:tc>
      </w:tr>
      <w:tr>
        <w:trPr/>
        <w:tc>
          <w:tcPr>
            <w:tcW w:w="2006" w:type="dxa"/>
            <w:tcBorders/>
          </w:tcPr>
          <w:p>
            <w:pPr>
              <w:pStyle w:val="TableContents"/>
              <w:bidi w:val="0"/>
              <w:spacing w:before="0" w:after="0"/>
              <w:jc w:val="left"/>
              <w:rPr>
                <w:rFonts w:ascii="Times New Roman" w:hAnsi="Times New Roman"/>
                <w:sz w:val="20"/>
              </w:rPr>
            </w:pPr>
            <w:r>
              <w:rPr>
                <w:rFonts w:ascii="Times New Roman" w:hAnsi="Times New Roman"/>
                <w:sz w:val="20"/>
              </w:rPr>
              <w:t>Eighth Expansion Space</w:t>
            </w:r>
          </w:p>
        </w:tc>
        <w:tc>
          <w:tcPr>
            <w:tcW w:w="1239" w:type="dxa"/>
            <w:tcBorders/>
            <w:vAlign w:val="bottom"/>
          </w:tcPr>
          <w:p>
            <w:pPr>
              <w:pStyle w:val="TableContents"/>
              <w:bidi w:val="0"/>
              <w:spacing w:before="0" w:after="283"/>
              <w:jc w:val="left"/>
              <w:rPr/>
            </w:pPr>
            <w:r>
              <w:rPr/>
              <w:t>  </w:t>
            </w:r>
          </w:p>
        </w:tc>
        <w:tc>
          <w:tcPr>
            <w:tcW w:w="2172"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An abatement of 50% of Fixed Rent for the period from 12/1/2020 </w:t>
              <w:br/>
              <w:t>11/30/2023</w:t>
            </w:r>
          </w:p>
        </w:tc>
        <w:tc>
          <w:tcPr>
            <w:tcW w:w="60" w:type="dxa"/>
            <w:tcBorders/>
            <w:vAlign w:val="bottom"/>
          </w:tcPr>
          <w:p>
            <w:pPr>
              <w:pStyle w:val="TableContents"/>
              <w:bidi w:val="0"/>
              <w:spacing w:before="0" w:after="283"/>
              <w:jc w:val="left"/>
              <w:rPr/>
            </w:pPr>
            <w:r>
              <w:rPr/>
              <w:t> </w:t>
            </w:r>
            <w:r>
              <w:rPr/>
              <w:br/>
              <w:t> </w:t>
            </w:r>
          </w:p>
        </w:tc>
        <w:tc>
          <w:tcPr>
            <w:tcW w:w="12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r>
              <w:rPr/>
              <w:br/>
            </w:r>
          </w:p>
        </w:tc>
        <w:tc>
          <w:tcPr>
            <w:tcW w:w="2108" w:type="dxa"/>
            <w:tcBorders/>
            <w:vAlign w:val="bottom"/>
          </w:tcPr>
          <w:p>
            <w:pPr>
              <w:pStyle w:val="TableContents"/>
              <w:bidi w:val="0"/>
              <w:spacing w:before="0" w:after="283"/>
              <w:jc w:val="right"/>
              <w:rPr/>
            </w:pPr>
            <w:r>
              <w:rPr/>
              <w:t>An abatement of 50%</w:t>
              <w:br/>
              <w:t>for the period</w:t>
              <w:br/>
              <w:t>12/1/2020 </w:t>
              <w:br/>
              <w:t>11/30/2023</w:t>
            </w:r>
          </w:p>
        </w:tc>
        <w:tc>
          <w:tcPr>
            <w:tcW w:w="64" w:type="dxa"/>
            <w:tcBorders/>
            <w:vAlign w:val="bottom"/>
          </w:tcPr>
          <w:p>
            <w:pPr>
              <w:pStyle w:val="TableContents"/>
              <w:bidi w:val="0"/>
              <w:spacing w:before="0" w:after="283"/>
              <w:jc w:val="left"/>
              <w:rPr/>
            </w:pPr>
            <w:r>
              <w:rPr/>
              <w:t> </w:t>
            </w:r>
            <w:r>
              <w:rPr/>
              <w:br/>
              <w:t> </w:t>
              <w:br/>
              <w:t> </w:t>
              <w:b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C-3</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C-4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IMPROVEMENT ALLOWANCES AND APPLICATION AMOUNTS </w:t>
      </w:r>
    </w:p>
    <w:p>
      <w:pPr>
        <w:pStyle w:val="TextBody"/>
        <w:bidi w:val="0"/>
        <w:spacing w:before="240" w:after="0"/>
        <w:jc w:val="left"/>
        <w:rPr>
          <w:rFonts w:ascii="Times New Roman" w:hAnsi="Times New Roman"/>
          <w:sz w:val="20"/>
        </w:rPr>
      </w:pPr>
      <w:r>
        <w:rPr>
          <w:rFonts w:ascii="Times New Roman" w:hAnsi="Times New Roman"/>
          <w:sz w:val="20"/>
        </w:rPr>
        <w:t xml:space="preserve">Improvement Allowances and Application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1"/>
        <w:gridCol w:w="239"/>
        <w:gridCol w:w="140"/>
        <w:gridCol w:w="1288"/>
        <w:gridCol w:w="60"/>
        <w:gridCol w:w="239"/>
        <w:gridCol w:w="209"/>
        <w:gridCol w:w="1915"/>
        <w:gridCol w:w="60"/>
        <w:gridCol w:w="239"/>
        <w:gridCol w:w="207"/>
        <w:gridCol w:w="1893"/>
        <w:gridCol w:w="65"/>
      </w:tblGrid>
      <w:tr>
        <w:trPr/>
        <w:tc>
          <w:tcPr>
            <w:tcW w:w="3651"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Space</w:t>
            </w:r>
          </w:p>
        </w:tc>
        <w:tc>
          <w:tcPr>
            <w:tcW w:w="239"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Improvement</w:t>
              <w:br/>
              <w:t>Allowance</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Application Amount</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(Improvement</w:t>
              <w:br/>
              <w:t>Allowance Plus</w:t>
              <w:br/>
              <w:t>Application</w:t>
              <w:br/>
              <w:t>Amount)</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Original Premises</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center"/>
              <w:rPr/>
            </w:pPr>
            <w:r>
              <w:rPr/>
              <w:t> </w:t>
            </w:r>
          </w:p>
        </w:tc>
        <w:tc>
          <w:tcPr>
            <w:tcW w:w="6110" w:type="dxa"/>
            <w:gridSpan w:val="9"/>
            <w:tcBorders/>
            <w:shd w:fill="CCEEFF" w:val="clear"/>
            <w:vAlign w:val="bottom"/>
          </w:tcPr>
          <w:p>
            <w:pPr>
              <w:pStyle w:val="TableContents"/>
              <w:bidi w:val="0"/>
              <w:spacing w:before="0" w:after="283"/>
              <w:jc w:val="center"/>
              <w:rPr/>
            </w:pPr>
            <w:r>
              <w:rPr/>
              <w:t>See #1 below</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Fourth Expansion Space</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center"/>
              <w:rPr/>
            </w:pPr>
            <w:r>
              <w:rPr/>
              <w:t> </w:t>
            </w:r>
          </w:p>
        </w:tc>
        <w:tc>
          <w:tcPr>
            <w:tcW w:w="6110" w:type="dxa"/>
            <w:gridSpan w:val="9"/>
            <w:tcBorders/>
            <w:vAlign w:val="bottom"/>
          </w:tcPr>
          <w:p>
            <w:pPr>
              <w:pStyle w:val="TableContents"/>
              <w:bidi w:val="0"/>
              <w:spacing w:before="0" w:after="283"/>
              <w:jc w:val="center"/>
              <w:rPr/>
            </w:pPr>
            <w:r>
              <w:rPr/>
              <w:t>See #1 below</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Expansion Space</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346,636.44</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87,270.00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433,906.44</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Fifth Expansion Space</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245,700.00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56,700.00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3" w:type="dxa"/>
            <w:tcBorders/>
            <w:vAlign w:val="bottom"/>
          </w:tcPr>
          <w:p>
            <w:pPr>
              <w:pStyle w:val="TableContents"/>
              <w:bidi w:val="0"/>
              <w:spacing w:before="0" w:after="283"/>
              <w:jc w:val="right"/>
              <w:rPr/>
            </w:pPr>
            <w:r>
              <w:rPr/>
              <w:t>302,400.00</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Expansion Space</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1,934,075.00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446,325.00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2,380,400.00</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Sixth Expansion Space</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521,300.00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120,300.00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3" w:type="dxa"/>
            <w:tcBorders/>
            <w:vAlign w:val="bottom"/>
          </w:tcPr>
          <w:p>
            <w:pPr>
              <w:pStyle w:val="TableContents"/>
              <w:bidi w:val="0"/>
              <w:spacing w:before="0" w:after="283"/>
              <w:jc w:val="right"/>
              <w:rPr/>
            </w:pPr>
            <w:r>
              <w:rPr/>
              <w:t>641,600.00</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P-1</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720,785.00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166,335.00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887,120.00</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Seventh Expansion Space P-2</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454,355.00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915" w:type="dxa"/>
            <w:tcBorders/>
            <w:vAlign w:val="bottom"/>
          </w:tcPr>
          <w:p>
            <w:pPr>
              <w:pStyle w:val="TableContents"/>
              <w:bidi w:val="0"/>
              <w:spacing w:before="0" w:after="283"/>
              <w:jc w:val="right"/>
              <w:rPr/>
            </w:pPr>
            <w:r>
              <w:rPr/>
              <w:t>123,915.00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893" w:type="dxa"/>
            <w:tcBorders/>
            <w:vAlign w:val="bottom"/>
          </w:tcPr>
          <w:p>
            <w:pPr>
              <w:pStyle w:val="TableContents"/>
              <w:bidi w:val="0"/>
              <w:spacing w:before="0" w:after="283"/>
              <w:jc w:val="right"/>
              <w:rPr/>
            </w:pPr>
            <w:r>
              <w:rPr/>
              <w:t>578,270.00</w:t>
            </w:r>
          </w:p>
        </w:tc>
        <w:tc>
          <w:tcPr>
            <w:tcW w:w="65"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Expansion Space P-3</w:t>
            </w:r>
          </w:p>
        </w:tc>
        <w:tc>
          <w:tcPr>
            <w:tcW w:w="2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413,600.00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1915" w:type="dxa"/>
            <w:tcBorders/>
            <w:shd w:fill="CCEEFF" w:val="clear"/>
            <w:vAlign w:val="bottom"/>
          </w:tcPr>
          <w:p>
            <w:pPr>
              <w:pStyle w:val="TableContents"/>
              <w:bidi w:val="0"/>
              <w:spacing w:before="0" w:after="283"/>
              <w:jc w:val="right"/>
              <w:rPr/>
            </w:pPr>
            <w:r>
              <w:rPr/>
              <w:t>124,080.00</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1893" w:type="dxa"/>
            <w:tcBorders/>
            <w:shd w:fill="CCEEFF" w:val="clear"/>
            <w:vAlign w:val="bottom"/>
          </w:tcPr>
          <w:p>
            <w:pPr>
              <w:pStyle w:val="TableContents"/>
              <w:bidi w:val="0"/>
              <w:spacing w:before="0" w:after="283"/>
              <w:jc w:val="right"/>
              <w:rPr/>
            </w:pPr>
            <w:r>
              <w:rPr/>
              <w:t>537,680.00</w:t>
            </w:r>
          </w:p>
        </w:tc>
        <w:tc>
          <w:tcPr>
            <w:tcW w:w="65"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TOTALS</w:t>
            </w:r>
          </w:p>
        </w:tc>
        <w:tc>
          <w:tcPr>
            <w:tcW w:w="2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88" w:type="dxa"/>
            <w:tcBorders/>
            <w:vAlign w:val="bottom"/>
          </w:tcPr>
          <w:p>
            <w:pPr>
              <w:pStyle w:val="TableContents"/>
              <w:bidi w:val="0"/>
              <w:spacing w:before="0" w:after="283"/>
              <w:jc w:val="right"/>
              <w:rPr>
                <w:b/>
              </w:rPr>
            </w:pPr>
            <w:r>
              <w:rPr>
                <w:b/>
              </w:rPr>
              <w:t>4,636,451.44</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915" w:type="dxa"/>
            <w:tcBorders/>
            <w:vAlign w:val="bottom"/>
          </w:tcPr>
          <w:p>
            <w:pPr>
              <w:pStyle w:val="TableContents"/>
              <w:bidi w:val="0"/>
              <w:spacing w:before="0" w:after="283"/>
              <w:jc w:val="right"/>
              <w:rPr>
                <w:b/>
              </w:rPr>
            </w:pPr>
            <w:r>
              <w:rPr>
                <w:b/>
              </w:rPr>
              <w:t>1,124,925.00</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b/>
              </w:rPr>
            </w:pPr>
            <w:r>
              <w:rPr>
                <w:b/>
              </w:rPr>
              <w:t>$</w:t>
            </w:r>
          </w:p>
        </w:tc>
        <w:tc>
          <w:tcPr>
            <w:tcW w:w="1893" w:type="dxa"/>
            <w:tcBorders/>
            <w:vAlign w:val="bottom"/>
          </w:tcPr>
          <w:p>
            <w:pPr>
              <w:pStyle w:val="TableContents"/>
              <w:bidi w:val="0"/>
              <w:spacing w:before="0" w:after="283"/>
              <w:jc w:val="right"/>
              <w:rPr>
                <w:b/>
              </w:rPr>
            </w:pPr>
            <w:r>
              <w:rPr>
                <w:b/>
              </w:rPr>
              <w:t>5,761,376.44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Landlord has disbursed to Tenant the entire Construction Allowance (as defined in Section 7(a) of Exhibit D to the Original Lease) with respect to both the space demised in Section 2.1 of the Original Lease and the Fourth Expansion Space.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C-4</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C-5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TERMSTENANTS PROPORTIONATE SHARE </w:t>
      </w:r>
    </w:p>
    <w:p>
      <w:pPr>
        <w:pStyle w:val="TextBody"/>
        <w:bidi w:val="0"/>
        <w:spacing w:before="240" w:after="0"/>
        <w:jc w:val="left"/>
        <w:rPr>
          <w:rFonts w:ascii="Times New Roman" w:hAnsi="Times New Roman"/>
          <w:sz w:val="20"/>
        </w:rPr>
      </w:pPr>
      <w:r>
        <w:rPr>
          <w:rFonts w:ascii="Times New Roman" w:hAnsi="Times New Roman"/>
          <w:sz w:val="20"/>
        </w:rPr>
        <w:t xml:space="preserve">Tenants Proportionate Share: </w:t>
      </w:r>
    </w:p>
    <w:p>
      <w:pPr>
        <w:pStyle w:val="TextBody"/>
        <w:bidi w:val="0"/>
        <w:spacing w:before="240" w:after="0"/>
        <w:jc w:val="left"/>
        <w:rPr>
          <w:rFonts w:ascii="Times New Roman" w:hAnsi="Times New Roman"/>
          <w:sz w:val="20"/>
        </w:rPr>
      </w:pPr>
      <w:r>
        <w:rPr>
          <w:rFonts w:ascii="Times New Roman" w:hAnsi="Times New Roman"/>
          <w:sz w:val="20"/>
        </w:rPr>
        <w:t xml:space="preserve">Tenants Proportionate Share shall be the following percentages for the following time periods: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25"/>
        <w:gridCol w:w="792"/>
        <w:gridCol w:w="146"/>
        <w:gridCol w:w="1965"/>
        <w:gridCol w:w="277"/>
      </w:tblGrid>
      <w:tr>
        <w:trPr/>
        <w:tc>
          <w:tcPr>
            <w:tcW w:w="7025" w:type="dxa"/>
            <w:tcBorders/>
            <w:vAlign w:val="center"/>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702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792" w:type="dxa"/>
            <w:tcBorders/>
            <w:vAlign w:val="bottom"/>
          </w:tcPr>
          <w:p>
            <w:pPr>
              <w:pStyle w:val="TableContents"/>
              <w:bidi w:val="0"/>
              <w:spacing w:before="0" w:after="283"/>
              <w:jc w:val="left"/>
              <w:rPr/>
            </w:pPr>
            <w:r>
              <w:rPr/>
              <w:t>  </w:t>
            </w:r>
          </w:p>
        </w:tc>
        <w:tc>
          <w:tcPr>
            <w:tcW w:w="21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Tenants</w:t>
              <w:br/>
              <w:t>Proportionate Share</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6/1/2018-5/31/2019</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6.6615</w:t>
            </w:r>
          </w:p>
        </w:tc>
        <w:tc>
          <w:tcPr>
            <w:tcW w:w="277"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sz w:val="20"/>
              </w:rPr>
            </w:pPr>
            <w:r>
              <w:rPr>
                <w:rFonts w:ascii="Times New Roman" w:hAnsi="Times New Roman"/>
                <w:sz w:val="20"/>
              </w:rPr>
              <w:t>6/1/2019-8/31/2019</w:t>
            </w:r>
          </w:p>
        </w:tc>
        <w:tc>
          <w:tcPr>
            <w:tcW w:w="7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7.4646</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9/1/2019-11/30/2019</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9.9543</w:t>
            </w:r>
          </w:p>
        </w:tc>
        <w:tc>
          <w:tcPr>
            <w:tcW w:w="277"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sz w:val="20"/>
              </w:rPr>
            </w:pPr>
            <w:r>
              <w:rPr>
                <w:rFonts w:ascii="Times New Roman" w:hAnsi="Times New Roman"/>
                <w:sz w:val="20"/>
              </w:rPr>
              <w:t>12/1/2019-4/30/2020</w:t>
            </w:r>
          </w:p>
        </w:tc>
        <w:tc>
          <w:tcPr>
            <w:tcW w:w="7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10.6254</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5/1/2020-10/31/2020</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11.5708</w:t>
            </w:r>
          </w:p>
        </w:tc>
        <w:tc>
          <w:tcPr>
            <w:tcW w:w="277"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sz w:val="20"/>
              </w:rPr>
            </w:pPr>
            <w:r>
              <w:rPr>
                <w:rFonts w:ascii="Times New Roman" w:hAnsi="Times New Roman"/>
                <w:sz w:val="20"/>
              </w:rPr>
              <w:t>11/1/2020-11/30/2020</w:t>
            </w:r>
          </w:p>
        </w:tc>
        <w:tc>
          <w:tcPr>
            <w:tcW w:w="7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12.2620</w:t>
            </w:r>
          </w:p>
        </w:tc>
        <w:tc>
          <w:tcPr>
            <w:tcW w:w="277" w:type="dxa"/>
            <w:tcBorders/>
            <w:vAlign w:val="bottom"/>
          </w:tcPr>
          <w:p>
            <w:pPr>
              <w:pStyle w:val="TableContents"/>
              <w:bidi w:val="0"/>
              <w:spacing w:before="0" w:after="283"/>
              <w:jc w:val="left"/>
              <w:rPr/>
            </w:pPr>
            <w:r>
              <w:rPr/>
              <w:t>% </w:t>
            </w:r>
          </w:p>
        </w:tc>
      </w:tr>
      <w:tr>
        <w:trPr/>
        <w:tc>
          <w:tcPr>
            <w:tcW w:w="70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12/1/2020-4/30/2021</w:t>
            </w:r>
          </w:p>
        </w:tc>
        <w:tc>
          <w:tcPr>
            <w:tcW w:w="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65" w:type="dxa"/>
            <w:tcBorders/>
            <w:shd w:fill="CCEEFF" w:val="clear"/>
            <w:vAlign w:val="bottom"/>
          </w:tcPr>
          <w:p>
            <w:pPr>
              <w:pStyle w:val="TableContents"/>
              <w:bidi w:val="0"/>
              <w:spacing w:before="0" w:after="283"/>
              <w:jc w:val="right"/>
              <w:rPr/>
            </w:pPr>
            <w:r>
              <w:rPr/>
              <w:t>13.3606</w:t>
            </w:r>
          </w:p>
        </w:tc>
        <w:tc>
          <w:tcPr>
            <w:tcW w:w="277" w:type="dxa"/>
            <w:tcBorders/>
            <w:shd w:fill="CCEEFF" w:val="clear"/>
            <w:vAlign w:val="bottom"/>
          </w:tcPr>
          <w:p>
            <w:pPr>
              <w:pStyle w:val="TableContents"/>
              <w:bidi w:val="0"/>
              <w:spacing w:before="0" w:after="283"/>
              <w:jc w:val="left"/>
              <w:rPr/>
            </w:pPr>
            <w:r>
              <w:rPr/>
              <w:t>% </w:t>
            </w:r>
          </w:p>
        </w:tc>
      </w:tr>
      <w:tr>
        <w:trPr/>
        <w:tc>
          <w:tcPr>
            <w:tcW w:w="7025" w:type="dxa"/>
            <w:tcBorders/>
          </w:tcPr>
          <w:p>
            <w:pPr>
              <w:pStyle w:val="TableContents"/>
              <w:bidi w:val="0"/>
              <w:spacing w:before="0" w:after="0"/>
              <w:jc w:val="left"/>
              <w:rPr>
                <w:rFonts w:ascii="Times New Roman" w:hAnsi="Times New Roman"/>
                <w:sz w:val="20"/>
              </w:rPr>
            </w:pPr>
            <w:r>
              <w:rPr>
                <w:rFonts w:ascii="Times New Roman" w:hAnsi="Times New Roman"/>
                <w:sz w:val="20"/>
              </w:rPr>
              <w:t>5/1/2021-5/31/2029</w:t>
            </w:r>
          </w:p>
        </w:tc>
        <w:tc>
          <w:tcPr>
            <w:tcW w:w="7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5" w:type="dxa"/>
            <w:tcBorders/>
            <w:vAlign w:val="bottom"/>
          </w:tcPr>
          <w:p>
            <w:pPr>
              <w:pStyle w:val="TableContents"/>
              <w:bidi w:val="0"/>
              <w:spacing w:before="0" w:after="283"/>
              <w:jc w:val="right"/>
              <w:rPr/>
            </w:pPr>
            <w:r>
              <w:rPr/>
              <w:t>14.0528</w:t>
            </w:r>
          </w:p>
        </w:tc>
        <w:tc>
          <w:tcPr>
            <w:tcW w:w="27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3"/>
        <w:gridCol w:w="101"/>
        <w:gridCol w:w="2858"/>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3"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C-5</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SIXTH AMENDMENT TO AGREEMENT OF LEASE </w:t>
      </w:r>
    </w:p>
    <w:p>
      <w:pPr>
        <w:pStyle w:val="TextBody"/>
        <w:bidi w:val="0"/>
        <w:spacing w:before="240" w:after="0"/>
        <w:jc w:val="left"/>
        <w:rPr>
          <w:rFonts w:ascii="Times New Roman" w:hAnsi="Times New Roman"/>
          <w:sz w:val="20"/>
        </w:rPr>
      </w:pPr>
      <w:r>
        <w:rPr>
          <w:rFonts w:ascii="Times New Roman" w:hAnsi="Times New Roman"/>
          <w:b/>
          <w:sz w:val="20"/>
        </w:rPr>
        <w:t>THIS SIXTH AMENDMENT TO AGREEMENT OF LEASE</w:t>
      </w:r>
      <w:r>
        <w:rPr>
          <w:rFonts w:ascii="Times New Roman" w:hAnsi="Times New Roman"/>
          <w:sz w:val="20"/>
        </w:rPr>
        <w:t xml:space="preserve"> (this </w:t>
      </w:r>
      <w:r>
        <w:rPr>
          <w:rFonts w:ascii="Times New Roman" w:hAnsi="Times New Roman"/>
          <w:b/>
          <w:sz w:val="20"/>
        </w:rPr>
        <w:t>Amendment</w:t>
      </w:r>
      <w:r>
        <w:rPr>
          <w:rFonts w:ascii="Times New Roman" w:hAnsi="Times New Roman"/>
          <w:sz w:val="20"/>
        </w:rPr>
        <w:t>) is made and entered into as of May 4, 2021 (the </w:t>
      </w:r>
      <w:r>
        <w:rPr>
          <w:rFonts w:ascii="Times New Roman" w:hAnsi="Times New Roman"/>
          <w:b/>
          <w:sz w:val="20"/>
        </w:rPr>
        <w:t>Amendment Effective Date</w:t>
      </w:r>
      <w:r>
        <w:rPr>
          <w:rFonts w:ascii="Times New Roman" w:hAnsi="Times New Roman"/>
          <w:sz w:val="20"/>
        </w:rPr>
        <w:t xml:space="preserve">), by and between </w:t>
      </w:r>
      <w:r>
        <w:rPr>
          <w:rFonts w:ascii="Times New Roman" w:hAnsi="Times New Roman"/>
          <w:b/>
          <w:sz w:val="20"/>
        </w:rPr>
        <w:t>CHICAGO</w:t>
      </w:r>
      <w:r>
        <w:rPr>
          <w:rFonts w:ascii="Times New Roman" w:hAnsi="Times New Roman"/>
          <w:sz w:val="20"/>
        </w:rPr>
        <w:t> </w:t>
      </w:r>
      <w:r>
        <w:rPr>
          <w:rFonts w:ascii="Times New Roman" w:hAnsi="Times New Roman"/>
          <w:b/>
          <w:sz w:val="20"/>
        </w:rPr>
        <w:t>KINGSBURY, LLC, a Delaware limited liability company</w:t>
      </w:r>
      <w:r>
        <w:rPr>
          <w:rFonts w:ascii="Times New Roman" w:hAnsi="Times New Roman"/>
          <w:sz w:val="20"/>
        </w:rPr>
        <w:t xml:space="preserve"> (</w:t>
      </w:r>
      <w:r>
        <w:rPr>
          <w:rFonts w:ascii="Times New Roman" w:hAnsi="Times New Roman"/>
          <w:b/>
          <w:sz w:val="20"/>
        </w:rPr>
        <w:t>Landlord</w:t>
      </w:r>
      <w:r>
        <w:rPr>
          <w:rFonts w:ascii="Times New Roman" w:hAnsi="Times New Roman"/>
          <w:sz w:val="20"/>
        </w:rPr>
        <w:t xml:space="preserve">) and </w:t>
      </w:r>
      <w:r>
        <w:rPr>
          <w:rFonts w:ascii="Times New Roman" w:hAnsi="Times New Roman"/>
          <w:b/>
          <w:sz w:val="20"/>
        </w:rPr>
        <w:t>TEMPUS LABS, INC., a Delaware corporation</w:t>
      </w:r>
      <w:r>
        <w:rPr>
          <w:rFonts w:ascii="Times New Roman" w:hAnsi="Times New Roman"/>
          <w:sz w:val="20"/>
        </w:rPr>
        <w:t xml:space="preserve"> (</w:t>
      </w:r>
      <w:r>
        <w:rPr>
          <w:rFonts w:ascii="Times New Roman" w:hAnsi="Times New Roman"/>
          <w:b/>
          <w:sz w:val="20"/>
        </w:rPr>
        <w:t>Tenant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Landlord (as successor in interest to EQC 600 West Chicago, LLC, a Delaware limited liability company) and Tenant are parties to that certain lease dated January 18, 2018 (the </w:t>
            </w:r>
            <w:r>
              <w:rPr>
                <w:rFonts w:ascii="Times New Roman" w:hAnsi="Times New Roman"/>
                <w:b/>
                <w:sz w:val="20"/>
              </w:rPr>
              <w:t>Original Lease</w:t>
            </w:r>
            <w:r>
              <w:rPr>
                <w:rFonts w:ascii="Times New Roman" w:hAnsi="Times New Roman"/>
                <w:sz w:val="20"/>
              </w:rPr>
              <w:t>), which lease has been previously amended by First Amendment to Agreement of Lease dated as of January 30, 2018 (the </w:t>
            </w:r>
            <w:r>
              <w:rPr>
                <w:rFonts w:ascii="Times New Roman" w:hAnsi="Times New Roman"/>
                <w:b/>
                <w:sz w:val="20"/>
              </w:rPr>
              <w:t>First Amendment</w:t>
            </w:r>
            <w:r>
              <w:rPr>
                <w:rFonts w:ascii="Times New Roman" w:hAnsi="Times New Roman"/>
                <w:sz w:val="20"/>
              </w:rPr>
              <w:t>), by Second Amendment to Agreement of Lease dated as of July 30, 2018 (the </w:t>
            </w:r>
            <w:r>
              <w:rPr>
                <w:rFonts w:ascii="Times New Roman" w:hAnsi="Times New Roman"/>
                <w:b/>
                <w:sz w:val="20"/>
              </w:rPr>
              <w:t>Second Amendment</w:t>
            </w:r>
            <w:r>
              <w:rPr>
                <w:rFonts w:ascii="Times New Roman" w:hAnsi="Times New Roman"/>
                <w:sz w:val="20"/>
              </w:rPr>
              <w:t>), by Third Amendment to Agreement of Lease dated as of December 26, 2018 (the </w:t>
            </w:r>
            <w:r>
              <w:rPr>
                <w:rFonts w:ascii="Times New Roman" w:hAnsi="Times New Roman"/>
                <w:b/>
                <w:sz w:val="20"/>
              </w:rPr>
              <w:t>Third Amendment</w:t>
            </w:r>
            <w:r>
              <w:rPr>
                <w:rFonts w:ascii="Times New Roman" w:hAnsi="Times New Roman"/>
                <w:sz w:val="20"/>
              </w:rPr>
              <w:t>), by Fourth Amendment to Agreement of Lease dated as of April 23, 2019 (the </w:t>
            </w:r>
            <w:r>
              <w:rPr>
                <w:rFonts w:ascii="Times New Roman" w:hAnsi="Times New Roman"/>
                <w:b/>
                <w:sz w:val="20"/>
              </w:rPr>
              <w:t>Fourth Amendment</w:t>
            </w:r>
            <w:r>
              <w:rPr>
                <w:rFonts w:ascii="Times New Roman" w:hAnsi="Times New Roman"/>
                <w:sz w:val="20"/>
              </w:rPr>
              <w:t>) and by Fifth Amendment to Agreement of Lease dated as of May 8, 2020 (the </w:t>
            </w:r>
            <w:r>
              <w:rPr>
                <w:rFonts w:ascii="Times New Roman" w:hAnsi="Times New Roman"/>
                <w:b/>
                <w:sz w:val="20"/>
              </w:rPr>
              <w:t>Fifth Amendment</w:t>
            </w:r>
            <w:r>
              <w:rPr>
                <w:rFonts w:ascii="Times New Roman" w:hAnsi="Times New Roman"/>
                <w:sz w:val="20"/>
              </w:rPr>
              <w:t>) (collectively, the </w:t>
            </w:r>
            <w:r>
              <w:rPr>
                <w:rFonts w:ascii="Times New Roman" w:hAnsi="Times New Roman"/>
                <w:b/>
                <w:sz w:val="20"/>
              </w:rPr>
              <w:t>Lease</w:t>
            </w:r>
            <w:r>
              <w:rPr>
                <w:rFonts w:ascii="Times New Roman" w:hAnsi="Times New Roman"/>
                <w:sz w:val="20"/>
              </w:rPr>
              <w:t>). Pursuant to the Lease, Landlord has leased to Tenant space currently containing approximately 167,735 Rentable Square Feet on the 5th and 7th floors of the Building located at 600 West Chicago Avenue, Chicago, Illinois (the </w:t>
            </w:r>
            <w:r>
              <w:rPr>
                <w:rFonts w:ascii="Times New Roman" w:hAnsi="Times New Roman"/>
                <w:b/>
                <w:sz w:val="20"/>
              </w:rPr>
              <w:t>Building</w:t>
            </w:r>
            <w:r>
              <w:rPr>
                <w:rFonts w:ascii="Times New Roman" w:hAnsi="Times New Roman"/>
                <w:sz w:val="20"/>
              </w:rPr>
              <w:t>) which consists of the space demised in Section 2.1 of the Original Lease, the First Expansion Space and the Third Expansion Space demised in Section 6 of Exhibit G to the Original Lease (as amended), the Fourth Expansion Space demised in the Second Amendment, the Fifth Expansion Space demised in the Third Amendment, the Sixth Expansion Space and Seventh Expansion Space demised in the Fourth Amendment and the Eighth Expansion Space demised in the Fifth Amendment (the </w:t>
            </w:r>
            <w:r>
              <w:rPr>
                <w:rFonts w:ascii="Times New Roman" w:hAnsi="Times New Roman"/>
                <w:b/>
                <w:sz w:val="20"/>
              </w:rPr>
              <w:t>Premises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has requested that additional space containing approximately 12,303 Rentable Square Feet on the 2nd floor of the Building shown on </w:t>
            </w:r>
            <w:r>
              <w:rPr>
                <w:rFonts w:ascii="Times New Roman" w:hAnsi="Times New Roman"/>
                <w:b/>
                <w:sz w:val="20"/>
              </w:rPr>
              <w:t>Exhibit A</w:t>
            </w:r>
            <w:r>
              <w:rPr>
                <w:rFonts w:ascii="Times New Roman" w:hAnsi="Times New Roman"/>
                <w:sz w:val="20"/>
              </w:rPr>
              <w:t xml:space="preserve"> attached hereto as the Ninth Expansion Space (the </w:t>
            </w:r>
            <w:r>
              <w:rPr>
                <w:rFonts w:ascii="Times New Roman" w:hAnsi="Times New Roman"/>
                <w:b/>
                <w:sz w:val="20"/>
              </w:rPr>
              <w:t>Ninth Expansion Space</w:t>
            </w:r>
            <w:r>
              <w:rPr>
                <w:rFonts w:ascii="Times New Roman" w:hAnsi="Times New Roman"/>
                <w:sz w:val="20"/>
              </w:rPr>
              <w:t xml:space="preserve">) be added to the Premises currently demised under the Lease and that the Lease be appropriately amended and Landlord is willing to do the same on the following terms and conditions. </w:t>
            </w:r>
          </w:p>
        </w:tc>
      </w:tr>
    </w:tbl>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above recitals which by this reference are incorporated herein, the mutual covenants and conditions contained herein and other valuable consideration, the receipt and sufficiency of which are hereby acknowledged, Landlord and Tenant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Ninth Expansion Space and Effective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Effective on July 1, 2021 (the </w:t>
            </w:r>
            <w:r>
              <w:rPr>
                <w:rFonts w:ascii="Times New Roman" w:hAnsi="Times New Roman"/>
                <w:b/>
                <w:sz w:val="20"/>
              </w:rPr>
              <w:t>Ninth Expansion Effective Date</w:t>
            </w:r>
            <w:r>
              <w:rPr>
                <w:rFonts w:ascii="Times New Roman" w:hAnsi="Times New Roman"/>
                <w:sz w:val="20"/>
              </w:rPr>
              <w:t xml:space="preserve">), the Premises, as defined in the Lease, is increased by the addition of the Ninth Expansion Space, and from and after the Ninth Expansion Effective Date, the Premises currently demised under the Lease and the Ninth Expansion Space, collectively, shall be deemed the Premises, as defined in the Lease. The Term for the Ninth Expansion Space shall commence on the Ninth Expansion Effective Date and end on the Expiration Date. The Ninth Expansion Space is subject to all the terms and conditions of the Lease except as expressly modified herein and except that Tenant shall not be entitled to receive any allowances, abatements or other financial concessions granted with respect to the Premises currently demised under the Lease unless such concessions are expressly provided for herein with respect to the Ninth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Tenant shall commence payment of Rent with respect to the Ninth Expansion Space on the Ninth Expansion Effective Date, subject to Section 1.03 below. The initial annual Fixed Rent rate per rentable square foot of the Ninth Expansion Space shall be the same as the Fixed Rent rate per rentable square foot of the Premises initially demised by the Lease on the Ninth Expansion Effective Date. The Fixed Rent rate for the Ninth Expansion Space shall increase at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1</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such times and in such amounts as the Fixed Rent rate for the initial Premises increases, it being the intent of Landlord and Tenant that the Fixed Rent rate per rentable square foot of the Premises initially demised by the Lease and the Fixed Rent rate per rentable square foot of the Ninth Expansion Space shall be the same. Commencing on the Ninth Expansion Effective Date, Tenants Proportionate Share shall be increased to reflect the inclusion of the Ninth Expansion Space in the Premises and shall equal 15.0647%. The Ninth Expansion Space shall be delivered to Tenant in its as is condition without any agreements, representations, understandings or obligations on the part of Landlord to perform any alterations, repairs or improvements. Any construction, alterations or improvements to the Ninth Expansion Space shall be performed by Tenant at its sole cost and expense and shall be governed in all respects by the terms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shall be entitled to receive an abatement of 100% of the Fixed Rent, Tenants Operating Payment and Tenants Tax Payment initially payable with respect to the Ninth Expansion Space (</w:t>
            </w:r>
            <w:r>
              <w:rPr>
                <w:rFonts w:ascii="Times New Roman" w:hAnsi="Times New Roman"/>
                <w:b/>
                <w:sz w:val="20"/>
              </w:rPr>
              <w:t>Ninth Expansion Space First Rental Abatement</w:t>
            </w:r>
            <w:r>
              <w:rPr>
                <w:rFonts w:ascii="Times New Roman" w:hAnsi="Times New Roman"/>
                <w:sz w:val="20"/>
              </w:rPr>
              <w:t xml:space="preserve">) for 6 consecutive months commencing on the Ninth Expansion Effective Date. Such Ninth Expansion Space First Rental Abatement shall be applied toward the first rent due with respect to the Ninth Expansion Space. Notwithstanding anything herein to the contrary, in no event shall Tenant be entitled to apply the Ninth Expansion Space First Rental Abatement against the rent due in connection with the Ninth Expansion Space if an Event of Default has occurred and is continuing under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In addition to the Ninth Expansion Space First Rental Abatement, Tenant shall be entitled to receive an abatement of 50% of the Fixed Rent, Tenants Operating Payment and Tenants Tax Payment initially payable with respect to the Ninth Expansion Space (</w:t>
            </w:r>
            <w:r>
              <w:rPr>
                <w:rFonts w:ascii="Times New Roman" w:hAnsi="Times New Roman"/>
                <w:b/>
                <w:sz w:val="20"/>
              </w:rPr>
              <w:t>Ninth Expansion Space Second Rental Abatement</w:t>
            </w:r>
            <w:r>
              <w:rPr>
                <w:rFonts w:ascii="Times New Roman" w:hAnsi="Times New Roman"/>
                <w:sz w:val="20"/>
              </w:rPr>
              <w:t>) for 42 consecutive months commencing on March 1, 2024 (</w:t>
            </w:r>
            <w:r>
              <w:rPr>
                <w:rFonts w:ascii="Times New Roman" w:hAnsi="Times New Roman"/>
                <w:b/>
                <w:sz w:val="20"/>
              </w:rPr>
              <w:t>Ninth Expansion Space Second Rental Abatement Period</w:t>
            </w:r>
            <w:r>
              <w:rPr>
                <w:rFonts w:ascii="Times New Roman" w:hAnsi="Times New Roman"/>
                <w:sz w:val="20"/>
              </w:rPr>
              <w:t xml:space="preserve">). Such Ninth Expansion Space Second Rental Abatement shall be applied toward the first rent due with respect to the Ninth Expansion Space commencing on March 1, 2024. Notwithstanding anything herein to the contrary, in no event shall Tenant be entitled to apply the Ninth Expansion Space Second Rental Abatement against the rent due in connection with the Ninth Expansion Space if an Event of Default has occurred and is continuing under the Lease, provided if such Event of Default is cured, then Tenant shall again be entitled to apply the Ninth Expansion Space Second Rental Abatement against the rent due in connection with the Ninth Expansion Space and the Ninth Expansion Space Second Rental Abatement Period shall be extended by the period of time that the Ninth Expansion Space Second Rental Abatement was suspended such that Tenant receives the full benefit of the Ninth Expansion Space Second Rental Abatement for the equivalent of the full Ninth Expansion Space Second Rental Abatement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Landlord fails to deliver possession of the Ninth Expansion Space to Tenant on the Ninth Expansion Effective Date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failure to deliver possession shall not affect either the validity of the Lease or the obligations of either Landlord or Tenant thereunder or be construed to extend the expiration of the Term either as to the Ninth Expansion Space or the balance of the Premises; provided, however, that under such circumstances, Landlord shall make reasonable efforts to obtain possession of the Ninth Expansion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Tenant acknowledges that the Ninth Expansion Space was previously leased by Uptake Technologies, Inc. (</w:t>
            </w:r>
            <w:r>
              <w:rPr>
                <w:rFonts w:ascii="Times New Roman" w:hAnsi="Times New Roman"/>
                <w:b/>
                <w:sz w:val="20"/>
              </w:rPr>
              <w:t>Uptake</w:t>
            </w:r>
            <w:r>
              <w:rPr>
                <w:rFonts w:ascii="Times New Roman" w:hAnsi="Times New Roman"/>
                <w:sz w:val="20"/>
              </w:rPr>
              <w:t xml:space="preserve">), pursuant to a lease with Landlord, which lease terminated as to the Ninth Expansion Space on the day prior to the Ninth Expansion Effective Date. Uptake has agreed with Landlord to leave all furniture, fixtures and equipment, including, without limitation, teledata cabling and phone systems, except for the items listed on </w:t>
            </w:r>
            <w:r>
              <w:rPr>
                <w:rFonts w:ascii="Times New Roman" w:hAnsi="Times New Roman"/>
                <w:b/>
                <w:sz w:val="20"/>
              </w:rPr>
              <w:t>Exhibit B</w:t>
            </w:r>
            <w:r>
              <w:rPr>
                <w:rFonts w:ascii="Times New Roman" w:hAnsi="Times New Roman"/>
                <w:sz w:val="20"/>
              </w:rPr>
              <w:t xml:space="preserve"> attached hereto (</w:t>
            </w:r>
            <w:r>
              <w:rPr>
                <w:rFonts w:ascii="Times New Roman" w:hAnsi="Times New Roman"/>
                <w:b/>
                <w:sz w:val="20"/>
              </w:rPr>
              <w:t>Uptakes Removal FF&amp;E</w:t>
            </w:r>
            <w:r>
              <w:rPr>
                <w:rFonts w:ascii="Times New Roman" w:hAnsi="Times New Roman"/>
                <w:sz w:val="20"/>
              </w:rPr>
              <w:t>; all such furniture, fixtures and equipment other than Uptakes Removal FF&amp;E is referred to as </w:t>
            </w:r>
            <w:r>
              <w:rPr>
                <w:rFonts w:ascii="Times New Roman" w:hAnsi="Times New Roman"/>
                <w:b/>
                <w:sz w:val="20"/>
              </w:rPr>
              <w:t>Uptakes FF&amp;E</w:t>
            </w:r>
            <w:r>
              <w:rPr>
                <w:rFonts w:ascii="Times New Roman" w:hAnsi="Times New Roman"/>
                <w:sz w:val="20"/>
              </w:rPr>
              <w:t xml:space="preserve">) located in the Ninth Expansion Space as of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2</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the day prior to the Ninth Expansion Effective Date and Tenant agrees to accept Uptakes FF&amp;E that is located in the Ninth Expansion Space on the Ninth Expansion Effective Date. Landlord makes no representation or warranty as to the condition, quantity, type or usefulness of Uptakes FF&amp;E and Tenant acknowledges that Landlord shall not have any obligation to inspect the Ninth Expansion Space regarding the condition, quantity, type or usefulness of Uptakes FF&amp;E. Tenant will cause Uptake to convey Uptakes FF&amp;E to Tenant by bill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Early Termination Payment</w:t>
            </w:r>
            <w:r>
              <w:rPr>
                <w:rFonts w:ascii="Times New Roman" w:hAnsi="Times New Roman"/>
                <w:sz w:val="20"/>
              </w:rPr>
              <w:t xml:space="preserve">. As of the Ninth Expansion Effective Date, the Early Termination Payment is estimated to be $8,786,354.00, subject to recalculation after determination of the actual amount of Tenants Operating Payments and Tenants Tax Payments included in the rental abatements granted with respect to each portion of the Premises. For the avoidance of doubt, Tenants valid exercise of the Termination Option terminates the Lease with respect to the entire Premises effective as of the Early Termination Date set forth in Section 3.01 of </w:t>
            </w:r>
            <w:r>
              <w:rPr>
                <w:rFonts w:ascii="Times New Roman" w:hAnsi="Times New Roman"/>
                <w:b/>
                <w:sz w:val="20"/>
              </w:rPr>
              <w:t>Exhibit E</w:t>
            </w:r>
            <w:r>
              <w:rPr>
                <w:rFonts w:ascii="Times New Roman" w:hAnsi="Times New Roman"/>
                <w:sz w:val="20"/>
              </w:rPr>
              <w:t xml:space="preserve"> to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Aggregate Terms</w:t>
            </w:r>
            <w:r>
              <w:rPr>
                <w:rFonts w:ascii="Times New Roman" w:hAnsi="Times New Roman"/>
                <w:sz w:val="20"/>
              </w:rPr>
              <w:t xml:space="preserve">. For convenience, attached are the following exhibits setting forth certain aggregate terms relating to the Premises: (i) attached as </w:t>
            </w:r>
            <w:r>
              <w:rPr>
                <w:rFonts w:ascii="Times New Roman" w:hAnsi="Times New Roman"/>
                <w:b/>
                <w:sz w:val="20"/>
              </w:rPr>
              <w:t>Exhibit A-1</w:t>
            </w:r>
            <w:r>
              <w:rPr>
                <w:rFonts w:ascii="Times New Roman" w:hAnsi="Times New Roman"/>
                <w:sz w:val="20"/>
              </w:rPr>
              <w:t xml:space="preserve"> is a depiction of the Premises (other than the Ninth Expansion Space) (and </w:t>
            </w:r>
            <w:r>
              <w:rPr>
                <w:rFonts w:ascii="Times New Roman" w:hAnsi="Times New Roman"/>
                <w:b/>
                <w:sz w:val="20"/>
              </w:rPr>
              <w:t>Exhibit A</w:t>
            </w:r>
            <w:r>
              <w:rPr>
                <w:rFonts w:ascii="Times New Roman" w:hAnsi="Times New Roman"/>
                <w:sz w:val="20"/>
              </w:rPr>
              <w:t xml:space="preserve"> and </w:t>
            </w:r>
            <w:r>
              <w:rPr>
                <w:rFonts w:ascii="Times New Roman" w:hAnsi="Times New Roman"/>
                <w:b/>
                <w:sz w:val="20"/>
              </w:rPr>
              <w:t>Exhibit A-1</w:t>
            </w:r>
            <w:r>
              <w:rPr>
                <w:rFonts w:ascii="Times New Roman" w:hAnsi="Times New Roman"/>
                <w:sz w:val="20"/>
              </w:rPr>
              <w:t xml:space="preserve"> together depict the entire Premises as of the Ninth Expansion Effective Date), and (ii) attached as </w:t>
            </w:r>
            <w:r>
              <w:rPr>
                <w:rFonts w:ascii="Times New Roman" w:hAnsi="Times New Roman"/>
                <w:b/>
                <w:sz w:val="20"/>
              </w:rPr>
              <w:t>Exhibit C-2</w:t>
            </w:r>
            <w:r>
              <w:rPr>
                <w:rFonts w:ascii="Times New Roman" w:hAnsi="Times New Roman"/>
                <w:sz w:val="20"/>
              </w:rPr>
              <w:t xml:space="preserve"> is a table with the aggregate Fixed Rent for the entire Premises commencing on the Ninth Expansion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Parking Spaces</w:t>
            </w:r>
            <w:r>
              <w:rPr>
                <w:rFonts w:ascii="Times New Roman" w:hAnsi="Times New Roman"/>
                <w:sz w:val="20"/>
              </w:rPr>
              <w:t xml:space="preserve">. Effective on the Ninth Expansion Effective Date, Landlord shall license to Tenant an additional 5 Reserved Parking Spaces, for a total of 8 Reserved Parking Spaces. Such additional 5 Reserved Parking Spaces shall be located on Level P-4 of the 900 Parking Garage and shall in all other respects be subject to the terms of Section 10.7, as amended, of the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Miscellaneous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and the attached exhibits, if any, which are hereby incorporated into and made a part of this Amendment, set forth the entire agreement between the parties with respect to the matters set forth herein. There have been no additional oral or written representations or agreements.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5.02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herein modified or amended, the provisions, conditions and terms of the Lease shall remain unchanged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5.03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inconsistency between the provisions of the Lease and this Amendment, the provisions of this Amendment shall govern and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of this Amendment by Landlord is not an offer to enter into this Amendment but rather is a solicitation for such an offer by Tenant. Landlord shall not be bound by this Amendment until Landlord has executed and delivered the same to Tenant.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capitalized terms used in this Amendment shall have the same definitions as set forth in the Lease to the extent that such capitalized terms are defined therein and not redefined in this Amendment.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3</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Tenant hereby represents to Landlord that Tenant has dealt with no broker in connection with this Amendment other than CBRE, Inc. (</w:t>
            </w:r>
            <w:r>
              <w:rPr>
                <w:rFonts w:ascii="Times New Roman" w:hAnsi="Times New Roman"/>
                <w:b/>
                <w:sz w:val="20"/>
              </w:rPr>
              <w:t>Tenants Broker</w:t>
            </w:r>
            <w:r>
              <w:rPr>
                <w:rFonts w:ascii="Times New Roman" w:hAnsi="Times New Roman"/>
                <w:sz w:val="20"/>
              </w:rPr>
              <w:t xml:space="preserve">). Tenant agrees to indemnify and hold the Landlord Parties harmless from all claims of any other brokers claiming to have represented Tenant in connection with this Amendment. Landlord hereby represents to Tenant that Landlord has dealt with no broker in connection with this Amendment. Landlord agrees to indemnify and hold the Tenant Parties harmless from all claims of any brokers claiming to have represented Landlord in connection with this Amendment. Landlord hereby agrees to pay all brokerage commissions or finders fees (if any) that may be due to the Tenants Broker in connection with this Amendment pursuant to its written agreement with such broker.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contained in this Amendment to any tenant or other occupant in the Building or to any agent, employee, subtenant or assignee of such tenant or occupant, and Tenant also shall cause the Tenant Parties (including, without limitation, its brokers) to comply with the restrictions set forth in this sentence. The terms and provisions of the preceding sentence shall survive the termination of the Lease (whether by lapse of time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5.08</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shall be construed without regard to any presumption or other rule requiring construction against the party causing this Amendment to be drafted. This Amendment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5.09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contains the following exhibits, which are incorporated herein by reference: </w:t>
            </w:r>
            <w:r>
              <w:rPr>
                <w:rFonts w:ascii="Times New Roman" w:hAnsi="Times New Roman"/>
                <w:b/>
                <w:sz w:val="20"/>
              </w:rPr>
              <w:t>Exhibit A</w:t>
            </w:r>
            <w:r>
              <w:rPr>
                <w:rFonts w:ascii="Times New Roman" w:hAnsi="Times New Roman"/>
                <w:sz w:val="20"/>
              </w:rPr>
              <w:t xml:space="preserve"> (Ninth Expansion Space), </w:t>
            </w:r>
            <w:r>
              <w:rPr>
                <w:rFonts w:ascii="Times New Roman" w:hAnsi="Times New Roman"/>
                <w:b/>
                <w:sz w:val="20"/>
              </w:rPr>
              <w:t>Exhibit A-1</w:t>
            </w:r>
            <w:r>
              <w:rPr>
                <w:rFonts w:ascii="Times New Roman" w:hAnsi="Times New Roman"/>
                <w:sz w:val="20"/>
              </w:rPr>
              <w:t xml:space="preserve"> (Remainder of Premises), </w:t>
            </w:r>
            <w:r>
              <w:rPr>
                <w:rFonts w:ascii="Times New Roman" w:hAnsi="Times New Roman"/>
                <w:b/>
                <w:sz w:val="20"/>
              </w:rPr>
              <w:t>Exhibit B</w:t>
            </w:r>
            <w:r>
              <w:rPr>
                <w:rFonts w:ascii="Times New Roman" w:hAnsi="Times New Roman"/>
                <w:sz w:val="20"/>
              </w:rPr>
              <w:t xml:space="preserve"> (Uptakes Removal FF&amp;E) and </w:t>
            </w:r>
            <w:r>
              <w:rPr>
                <w:rFonts w:ascii="Times New Roman" w:hAnsi="Times New Roman"/>
                <w:b/>
                <w:sz w:val="20"/>
              </w:rPr>
              <w:t>Exhibit C-2</w:t>
            </w:r>
            <w:r>
              <w:rPr>
                <w:rFonts w:ascii="Times New Roman" w:hAnsi="Times New Roman"/>
                <w:sz w:val="20"/>
              </w:rPr>
              <w:t xml:space="preserve"> (Aggregate Terms  Fixed Rent).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[signatures are on following 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4</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Landlord and Tenant have executed this Amendment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LANDLORD: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CHICAGO KINGSBURY, LLC,</w:t>
            </w:r>
          </w:p>
        </w:tc>
      </w:tr>
      <w:tr>
        <w:trPr/>
        <w:tc>
          <w:tcPr>
            <w:tcW w:w="4082" w:type="dxa"/>
            <w:gridSpan w:val="3"/>
            <w:tcBorders/>
          </w:tcPr>
          <w:p>
            <w:pPr>
              <w:pStyle w:val="TableContents"/>
              <w:bidi w:val="0"/>
              <w:spacing w:before="0" w:after="283"/>
              <w:jc w:val="left"/>
              <w:rPr/>
            </w:pPr>
            <w:r>
              <w:rPr/>
              <w:t>a Delaware limited liability company</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Gloor</w:t>
            </w:r>
          </w:p>
        </w:tc>
      </w:tr>
      <w:tr>
        <w:trPr/>
        <w:tc>
          <w:tcPr>
            <w:tcW w:w="4082" w:type="dxa"/>
            <w:gridSpan w:val="3"/>
            <w:tcBorders/>
          </w:tcPr>
          <w:p>
            <w:pPr>
              <w:pStyle w:val="TableContents"/>
              <w:bidi w:val="0"/>
              <w:spacing w:before="0" w:after="283"/>
              <w:jc w:val="left"/>
              <w:rPr/>
            </w:pPr>
            <w:r>
              <w:rPr/>
              <w:t>Name: Andrew Gloor</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TENANT: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TEMPUS LABS, INC.</w:t>
            </w:r>
            <w:r>
              <w:rPr/>
              <w:t>,</w:t>
            </w:r>
          </w:p>
        </w:tc>
      </w:tr>
      <w:tr>
        <w:trPr/>
        <w:tc>
          <w:tcPr>
            <w:tcW w:w="4082" w:type="dxa"/>
            <w:gridSpan w:val="3"/>
            <w:tcBorders/>
          </w:tcPr>
          <w:p>
            <w:pPr>
              <w:pStyle w:val="TableContents"/>
              <w:bidi w:val="0"/>
              <w:spacing w:before="0" w:after="283"/>
              <w:jc w:val="left"/>
              <w:rPr/>
            </w:pPr>
            <w:r>
              <w:rPr/>
              <w:t xml:space="preserve">a Delaware </w:t>
            </w:r>
            <w:r>
              <w:rPr>
                <w:b/>
              </w:rPr>
              <w:t>corporation</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Rogers</w:t>
            </w:r>
          </w:p>
        </w:tc>
      </w:tr>
      <w:tr>
        <w:trPr/>
        <w:tc>
          <w:tcPr>
            <w:tcW w:w="4082" w:type="dxa"/>
            <w:gridSpan w:val="3"/>
            <w:tcBorders/>
          </w:tcPr>
          <w:p>
            <w:pPr>
              <w:pStyle w:val="TableContents"/>
              <w:bidi w:val="0"/>
              <w:spacing w:before="0" w:after="283"/>
              <w:jc w:val="left"/>
              <w:rPr/>
            </w:pPr>
            <w:r>
              <w:rPr/>
              <w:t>Name: Jim Rogers</w:t>
            </w:r>
          </w:p>
        </w:tc>
      </w:tr>
      <w:tr>
        <w:trPr/>
        <w:tc>
          <w:tcPr>
            <w:tcW w:w="4082" w:type="dxa"/>
            <w:gridSpan w:val="3"/>
            <w:tcBorders/>
          </w:tcPr>
          <w:p>
            <w:pPr>
              <w:pStyle w:val="TableContents"/>
              <w:bidi w:val="0"/>
              <w:spacing w:before="0" w:after="283"/>
              <w:jc w:val="left"/>
              <w:rPr/>
            </w:pPr>
            <w:r>
              <w:rPr/>
              <w:t>Title: Vice President, Finance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2"/>
        <w:gridCol w:w="3572"/>
        <w:gridCol w:w="102"/>
        <w:gridCol w:w="2857"/>
      </w:tblGrid>
      <w:tr>
        <w:trPr/>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283"/>
              <w:jc w:val="center"/>
              <w:rPr/>
            </w:pPr>
            <w:r>
              <w:rPr/>
              <w:t>5</w:t>
            </w:r>
          </w:p>
        </w:tc>
        <w:tc>
          <w:tcPr>
            <w:tcW w:w="102" w:type="dxa"/>
            <w:tcBorders/>
            <w:vAlign w:val="bottom"/>
          </w:tcPr>
          <w:p>
            <w:pPr>
              <w:pStyle w:val="TableContents"/>
              <w:bidi w:val="0"/>
              <w:spacing w:before="0" w:after="283"/>
              <w:jc w:val="left"/>
              <w:rPr/>
            </w:pPr>
            <w:r>
              <w:rPr/>
              <w:t> </w:t>
            </w:r>
          </w:p>
        </w:tc>
        <w:tc>
          <w:tcPr>
            <w:tcW w:w="2857"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NINTH EXPANSION SPACE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REMAINDER OF PREMISES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UPTAKES REMOVAL FF&amp;E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Ping pong tables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Uptake signage (i.e., all signs with the word Uptake or Uptakes logo) </w:t>
            </w:r>
          </w:p>
        </w:tc>
      </w:tr>
    </w:tbl>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Audio system and equipment in podcast room and in A/V travel case immediately outside of podcast room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Piano </w:t>
            </w:r>
          </w:p>
        </w:tc>
      </w:tr>
    </w:tbl>
    <w:tbl>
      <w:tblPr>
        <w:tblW w:w="5000" w:type="pct"/>
        <w:jc w:val="left"/>
        <w:tblInd w:w="0" w:type="dxa"/>
        <w:tblLayout w:type="fixed"/>
        <w:tblCellMar>
          <w:top w:w="0" w:type="dxa"/>
          <w:left w:w="0" w:type="dxa"/>
          <w:bottom w:w="0" w:type="dxa"/>
          <w:right w:w="0" w:type="dxa"/>
        </w:tblCellMar>
      </w:tblPr>
      <w:tblGrid>
        <w:gridCol w:w="408"/>
        <w:gridCol w:w="507"/>
        <w:gridCol w:w="9290"/>
      </w:tblGrid>
      <w:tr>
        <w:trPr/>
        <w:tc>
          <w:tcPr>
            <w:tcW w:w="408"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Uptakes video games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Sectional Couch in southeast corner, if any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2"/>
        <w:gridCol w:w="101"/>
        <w:gridCol w:w="2859"/>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B</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AGGREGATE TERMS  FIXED RENT </w:t>
      </w:r>
    </w:p>
    <w:p>
      <w:pPr>
        <w:pStyle w:val="TextBody"/>
        <w:bidi w:val="0"/>
        <w:spacing w:before="240" w:after="0"/>
        <w:jc w:val="left"/>
        <w:rPr>
          <w:rFonts w:ascii="Times New Roman" w:hAnsi="Times New Roman"/>
          <w:sz w:val="20"/>
        </w:rPr>
      </w:pPr>
      <w:r>
        <w:rPr>
          <w:rFonts w:ascii="Times New Roman" w:hAnsi="Times New Roman"/>
          <w:sz w:val="20"/>
        </w:rPr>
        <w:t xml:space="preserve">Fixed Rent: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46"/>
        <w:gridCol w:w="286"/>
        <w:gridCol w:w="140"/>
        <w:gridCol w:w="1437"/>
        <w:gridCol w:w="60"/>
        <w:gridCol w:w="286"/>
        <w:gridCol w:w="140"/>
        <w:gridCol w:w="1170"/>
        <w:gridCol w:w="60"/>
        <w:gridCol w:w="286"/>
        <w:gridCol w:w="273"/>
        <w:gridCol w:w="1157"/>
        <w:gridCol w:w="64"/>
      </w:tblGrid>
      <w:tr>
        <w:trPr/>
        <w:tc>
          <w:tcPr>
            <w:tcW w:w="4846"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286" w:type="dxa"/>
            <w:tcBorders/>
            <w:vAlign w:val="bottom"/>
          </w:tcPr>
          <w:p>
            <w:pPr>
              <w:pStyle w:val="TableContents"/>
              <w:bidi w:val="0"/>
              <w:spacing w:before="0" w:after="283"/>
              <w:jc w:val="left"/>
              <w:rPr/>
            </w:pPr>
            <w:r>
              <w:rPr/>
              <w:t>  </w:t>
            </w:r>
          </w:p>
        </w:tc>
        <w:tc>
          <w:tcPr>
            <w:tcW w:w="1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Annual Rate of</w:t>
              <w:br/>
              <w:t>Fixed Rent</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Monthly</w:t>
            </w:r>
            <w:r>
              <w:rPr/>
              <w:br/>
            </w:r>
            <w:r>
              <w:rPr>
                <w:b/>
              </w:rPr>
              <w:t>Fixed Rent</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Rental Rate</w:t>
              <w:br/>
              <w:t>Per Rentable</w:t>
              <w:br/>
              <w:t>Square Foot</w:t>
            </w:r>
          </w:p>
        </w:tc>
        <w:tc>
          <w:tcPr>
            <w:tcW w:w="64" w:type="dxa"/>
            <w:tcBorders/>
            <w:vAlign w:val="bottom"/>
          </w:tcPr>
          <w:p>
            <w:pPr>
              <w:pStyle w:val="TableContents"/>
              <w:bidi w:val="0"/>
              <w:spacing w:before="0" w:after="283"/>
              <w:jc w:val="left"/>
              <w:rPr/>
            </w:pPr>
            <w:r>
              <w:rPr/>
              <w:t> </w:t>
            </w:r>
          </w:p>
        </w:tc>
      </w:tr>
      <w:tr>
        <w:trPr/>
        <w:tc>
          <w:tcPr>
            <w:tcW w:w="4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7/1/2021-5/31/2022</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4,459,541.28</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371,628.44</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24.77</w:t>
            </w:r>
          </w:p>
        </w:tc>
        <w:tc>
          <w:tcPr>
            <w:tcW w:w="64" w:type="dxa"/>
            <w:tcBorders/>
            <w:shd w:fill="CCEEFF" w:val="clear"/>
            <w:vAlign w:val="bottom"/>
          </w:tcPr>
          <w:p>
            <w:pPr>
              <w:pStyle w:val="TableContents"/>
              <w:bidi w:val="0"/>
              <w:spacing w:before="0" w:after="283"/>
              <w:jc w:val="left"/>
              <w:rPr/>
            </w:pPr>
            <w:r>
              <w:rPr/>
              <w:t> </w:t>
            </w:r>
          </w:p>
        </w:tc>
      </w:tr>
      <w:tr>
        <w:trPr/>
        <w:tc>
          <w:tcPr>
            <w:tcW w:w="4846" w:type="dxa"/>
            <w:tcBorders/>
          </w:tcPr>
          <w:p>
            <w:pPr>
              <w:pStyle w:val="TableContents"/>
              <w:bidi w:val="0"/>
              <w:spacing w:before="0" w:after="0"/>
              <w:jc w:val="left"/>
              <w:rPr>
                <w:rFonts w:ascii="Times New Roman" w:hAnsi="Times New Roman"/>
                <w:sz w:val="20"/>
              </w:rPr>
            </w:pPr>
            <w:r>
              <w:rPr>
                <w:rFonts w:ascii="Times New Roman" w:hAnsi="Times New Roman"/>
                <w:sz w:val="20"/>
              </w:rPr>
              <w:t>6/1/2022-5/31/2023</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4,571,164.80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380,930.40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25.39</w:t>
            </w:r>
          </w:p>
        </w:tc>
        <w:tc>
          <w:tcPr>
            <w:tcW w:w="64" w:type="dxa"/>
            <w:tcBorders/>
            <w:vAlign w:val="bottom"/>
          </w:tcPr>
          <w:p>
            <w:pPr>
              <w:pStyle w:val="TableContents"/>
              <w:bidi w:val="0"/>
              <w:spacing w:before="0" w:after="283"/>
              <w:jc w:val="left"/>
              <w:rPr/>
            </w:pPr>
            <w:r>
              <w:rPr/>
              <w:t> </w:t>
            </w:r>
          </w:p>
        </w:tc>
      </w:tr>
      <w:tr>
        <w:trPr/>
        <w:tc>
          <w:tcPr>
            <w:tcW w:w="4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6/1/2023-5/31/2024</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4,684,588.80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390,382.40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26.02</w:t>
            </w:r>
          </w:p>
        </w:tc>
        <w:tc>
          <w:tcPr>
            <w:tcW w:w="64" w:type="dxa"/>
            <w:tcBorders/>
            <w:shd w:fill="CCEEFF" w:val="clear"/>
            <w:vAlign w:val="bottom"/>
          </w:tcPr>
          <w:p>
            <w:pPr>
              <w:pStyle w:val="TableContents"/>
              <w:bidi w:val="0"/>
              <w:spacing w:before="0" w:after="283"/>
              <w:jc w:val="left"/>
              <w:rPr/>
            </w:pPr>
            <w:r>
              <w:rPr/>
              <w:t> </w:t>
            </w:r>
          </w:p>
        </w:tc>
      </w:tr>
      <w:tr>
        <w:trPr/>
        <w:tc>
          <w:tcPr>
            <w:tcW w:w="4846" w:type="dxa"/>
            <w:tcBorders/>
          </w:tcPr>
          <w:p>
            <w:pPr>
              <w:pStyle w:val="TableContents"/>
              <w:bidi w:val="0"/>
              <w:spacing w:before="0" w:after="0"/>
              <w:jc w:val="left"/>
              <w:rPr>
                <w:rFonts w:ascii="Times New Roman" w:hAnsi="Times New Roman"/>
                <w:sz w:val="20"/>
              </w:rPr>
            </w:pPr>
            <w:r>
              <w:rPr>
                <w:rFonts w:ascii="Times New Roman" w:hAnsi="Times New Roman"/>
                <w:sz w:val="20"/>
              </w:rPr>
              <w:t>6/1/2024-5/31/2025</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4,801,613.52</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400,134.46</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26.67</w:t>
            </w:r>
          </w:p>
        </w:tc>
        <w:tc>
          <w:tcPr>
            <w:tcW w:w="64" w:type="dxa"/>
            <w:tcBorders/>
            <w:vAlign w:val="bottom"/>
          </w:tcPr>
          <w:p>
            <w:pPr>
              <w:pStyle w:val="TableContents"/>
              <w:bidi w:val="0"/>
              <w:spacing w:before="0" w:after="283"/>
              <w:jc w:val="left"/>
              <w:rPr/>
            </w:pPr>
            <w:r>
              <w:rPr/>
              <w:t> </w:t>
            </w:r>
          </w:p>
        </w:tc>
      </w:tr>
      <w:tr>
        <w:trPr/>
        <w:tc>
          <w:tcPr>
            <w:tcW w:w="4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6/1/2025-5/31/2026</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4,922,238.96</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410,186.58</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27.34</w:t>
            </w:r>
          </w:p>
        </w:tc>
        <w:tc>
          <w:tcPr>
            <w:tcW w:w="64" w:type="dxa"/>
            <w:tcBorders/>
            <w:shd w:fill="CCEEFF" w:val="clear"/>
            <w:vAlign w:val="bottom"/>
          </w:tcPr>
          <w:p>
            <w:pPr>
              <w:pStyle w:val="TableContents"/>
              <w:bidi w:val="0"/>
              <w:spacing w:before="0" w:after="283"/>
              <w:jc w:val="left"/>
              <w:rPr/>
            </w:pPr>
            <w:r>
              <w:rPr/>
              <w:t> </w:t>
            </w:r>
          </w:p>
        </w:tc>
      </w:tr>
      <w:tr>
        <w:trPr/>
        <w:tc>
          <w:tcPr>
            <w:tcW w:w="4846" w:type="dxa"/>
            <w:tcBorders/>
          </w:tcPr>
          <w:p>
            <w:pPr>
              <w:pStyle w:val="TableContents"/>
              <w:bidi w:val="0"/>
              <w:spacing w:before="0" w:after="0"/>
              <w:jc w:val="left"/>
              <w:rPr>
                <w:rFonts w:ascii="Times New Roman" w:hAnsi="Times New Roman"/>
                <w:sz w:val="20"/>
              </w:rPr>
            </w:pPr>
            <w:r>
              <w:rPr>
                <w:rFonts w:ascii="Times New Roman" w:hAnsi="Times New Roman"/>
                <w:sz w:val="20"/>
              </w:rPr>
              <w:t>6/1/2026-5/31/2027</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5,044,664.76</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420,388.73</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28.02</w:t>
            </w:r>
          </w:p>
        </w:tc>
        <w:tc>
          <w:tcPr>
            <w:tcW w:w="64" w:type="dxa"/>
            <w:tcBorders/>
            <w:vAlign w:val="bottom"/>
          </w:tcPr>
          <w:p>
            <w:pPr>
              <w:pStyle w:val="TableContents"/>
              <w:bidi w:val="0"/>
              <w:spacing w:before="0" w:after="283"/>
              <w:jc w:val="left"/>
              <w:rPr/>
            </w:pPr>
            <w:r>
              <w:rPr/>
              <w:t> </w:t>
            </w:r>
          </w:p>
        </w:tc>
      </w:tr>
      <w:tr>
        <w:trPr/>
        <w:tc>
          <w:tcPr>
            <w:tcW w:w="4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6/1/2027-5/31/2028</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5,170,691.40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0" w:type="dxa"/>
            <w:tcBorders/>
            <w:shd w:fill="CCEEFF" w:val="clear"/>
            <w:vAlign w:val="bottom"/>
          </w:tcPr>
          <w:p>
            <w:pPr>
              <w:pStyle w:val="TableContents"/>
              <w:bidi w:val="0"/>
              <w:spacing w:before="0" w:after="283"/>
              <w:jc w:val="right"/>
              <w:rPr/>
            </w:pPr>
            <w:r>
              <w:rPr/>
              <w:t>430,890.95</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28.72</w:t>
            </w:r>
          </w:p>
        </w:tc>
        <w:tc>
          <w:tcPr>
            <w:tcW w:w="64" w:type="dxa"/>
            <w:tcBorders/>
            <w:shd w:fill="CCEEFF" w:val="clear"/>
            <w:vAlign w:val="bottom"/>
          </w:tcPr>
          <w:p>
            <w:pPr>
              <w:pStyle w:val="TableContents"/>
              <w:bidi w:val="0"/>
              <w:spacing w:before="0" w:after="283"/>
              <w:jc w:val="left"/>
              <w:rPr/>
            </w:pPr>
            <w:r>
              <w:rPr/>
              <w:t> </w:t>
            </w:r>
          </w:p>
        </w:tc>
      </w:tr>
      <w:tr>
        <w:trPr/>
        <w:tc>
          <w:tcPr>
            <w:tcW w:w="4846" w:type="dxa"/>
            <w:tcBorders/>
          </w:tcPr>
          <w:p>
            <w:pPr>
              <w:pStyle w:val="TableContents"/>
              <w:bidi w:val="0"/>
              <w:spacing w:before="0" w:after="0"/>
              <w:jc w:val="left"/>
              <w:rPr>
                <w:rFonts w:ascii="Times New Roman" w:hAnsi="Times New Roman"/>
                <w:sz w:val="20"/>
              </w:rPr>
            </w:pPr>
            <w:r>
              <w:rPr>
                <w:rFonts w:ascii="Times New Roman" w:hAnsi="Times New Roman"/>
                <w:sz w:val="20"/>
              </w:rPr>
              <w:t>6/1/2028-5/31/2029</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5,300,318.76</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0" w:type="dxa"/>
            <w:tcBorders/>
            <w:vAlign w:val="bottom"/>
          </w:tcPr>
          <w:p>
            <w:pPr>
              <w:pStyle w:val="TableContents"/>
              <w:bidi w:val="0"/>
              <w:spacing w:before="0" w:after="283"/>
              <w:jc w:val="right"/>
              <w:rPr/>
            </w:pPr>
            <w:r>
              <w:rPr/>
              <w:t>441,693.23</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29.44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101"/>
        <w:gridCol w:w="3572"/>
        <w:gridCol w:w="101"/>
        <w:gridCol w:w="2859"/>
      </w:tblGrid>
      <w:tr>
        <w:trPr/>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572"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Exhibit C-2</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1</w:t>
            </w:r>
          </w:p>
        </w:tc>
        <w:tc>
          <w:tcPr>
            <w:tcW w:w="10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46" w:name="filename8.htm"/>
      <w:bookmarkStart w:id="47" w:name="ksfilename8"/>
      <w:bookmarkEnd w:id="46"/>
      <w:bookmarkEnd w:id="47"/>
      <w:r>
        <w:rPr>
          <w:rFonts w:ascii="Times New Roman" w:hAnsi="Times New Roman"/>
          <w:b/>
          <w:sz w:val="20"/>
        </w:rPr>
        <w:t xml:space="preserve">Exhibit 21.1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Subsidiaries of Tempus Labs,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1"/>
        <w:gridCol w:w="121"/>
        <w:gridCol w:w="4853"/>
      </w:tblGrid>
      <w:tr>
        <w:trPr/>
        <w:tc>
          <w:tcPr>
            <w:tcW w:w="523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3" w:type="dxa"/>
            <w:tcBorders/>
            <w:vAlign w:val="center"/>
          </w:tcPr>
          <w:p>
            <w:pPr>
              <w:pStyle w:val="TableContents"/>
              <w:bidi w:val="0"/>
              <w:spacing w:before="0" w:after="283"/>
              <w:jc w:val="left"/>
              <w:rPr>
                <w:sz w:val="4"/>
                <w:szCs w:val="4"/>
              </w:rPr>
            </w:pPr>
            <w:r>
              <w:rPr>
                <w:sz w:val="4"/>
                <w:szCs w:val="4"/>
              </w:rPr>
            </w:r>
          </w:p>
        </w:tc>
      </w:tr>
      <w:tr>
        <w:trPr/>
        <w:tc>
          <w:tcPr>
            <w:tcW w:w="523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Subsidiary</w:t>
            </w:r>
          </w:p>
        </w:tc>
        <w:tc>
          <w:tcPr>
            <w:tcW w:w="121" w:type="dxa"/>
            <w:tcBorders/>
            <w:vAlign w:val="bottom"/>
          </w:tcPr>
          <w:p>
            <w:pPr>
              <w:pStyle w:val="TableContents"/>
              <w:bidi w:val="0"/>
              <w:spacing w:before="0" w:after="283"/>
              <w:jc w:val="left"/>
              <w:rPr/>
            </w:pPr>
            <w:r>
              <w:rPr/>
              <w:t>  </w:t>
            </w:r>
          </w:p>
        </w:tc>
        <w:tc>
          <w:tcPr>
            <w:tcW w:w="485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 of Organization</w:t>
            </w:r>
          </w:p>
        </w:tc>
      </w:tr>
      <w:tr>
        <w:trPr/>
        <w:tc>
          <w:tcPr>
            <w:tcW w:w="5231" w:type="dxa"/>
            <w:tcBorders/>
          </w:tcPr>
          <w:p>
            <w:pPr>
              <w:pStyle w:val="TableContents"/>
              <w:bidi w:val="0"/>
              <w:spacing w:before="0" w:after="283"/>
              <w:jc w:val="left"/>
              <w:rPr/>
            </w:pPr>
            <w:r>
              <w:rPr/>
              <w:t>AKESOgen, Inc.</w:t>
            </w:r>
          </w:p>
        </w:tc>
        <w:tc>
          <w:tcPr>
            <w:tcW w:w="121" w:type="dxa"/>
            <w:tcBorders/>
            <w:vAlign w:val="bottom"/>
          </w:tcPr>
          <w:p>
            <w:pPr>
              <w:pStyle w:val="TableContents"/>
              <w:bidi w:val="0"/>
              <w:spacing w:before="0" w:after="283"/>
              <w:jc w:val="left"/>
              <w:rPr/>
            </w:pPr>
            <w:r>
              <w:rPr/>
              <w:t>  </w:t>
            </w:r>
          </w:p>
        </w:tc>
        <w:tc>
          <w:tcPr>
            <w:tcW w:w="4853" w:type="dxa"/>
            <w:tcBorders/>
          </w:tcPr>
          <w:p>
            <w:pPr>
              <w:pStyle w:val="TableContents"/>
              <w:bidi w:val="0"/>
              <w:spacing w:before="0" w:after="283"/>
              <w:jc w:val="left"/>
              <w:rPr/>
            </w:pPr>
            <w:r>
              <w:rPr/>
              <w:t>United States (Delaware)</w:t>
            </w:r>
          </w:p>
        </w:tc>
      </w:tr>
      <w:tr>
        <w:trPr/>
        <w:tc>
          <w:tcPr>
            <w:tcW w:w="5231" w:type="dxa"/>
            <w:tcBorders/>
          </w:tcPr>
          <w:p>
            <w:pPr>
              <w:pStyle w:val="TableContents"/>
              <w:bidi w:val="0"/>
              <w:spacing w:before="0" w:after="283"/>
              <w:jc w:val="left"/>
              <w:rPr/>
            </w:pPr>
            <w:r>
              <w:rPr/>
              <w:t>Tempus Labs Singapore PTE. LTD</w:t>
            </w:r>
          </w:p>
        </w:tc>
        <w:tc>
          <w:tcPr>
            <w:tcW w:w="121" w:type="dxa"/>
            <w:tcBorders/>
            <w:vAlign w:val="bottom"/>
          </w:tcPr>
          <w:p>
            <w:pPr>
              <w:pStyle w:val="TableContents"/>
              <w:bidi w:val="0"/>
              <w:spacing w:before="0" w:after="283"/>
              <w:jc w:val="left"/>
              <w:rPr/>
            </w:pPr>
            <w:r>
              <w:rPr/>
              <w:t>  </w:t>
            </w:r>
          </w:p>
        </w:tc>
        <w:tc>
          <w:tcPr>
            <w:tcW w:w="4853" w:type="dxa"/>
            <w:tcBorders/>
          </w:tcPr>
          <w:p>
            <w:pPr>
              <w:pStyle w:val="TableContents"/>
              <w:bidi w:val="0"/>
              <w:spacing w:before="0" w:after="283"/>
              <w:jc w:val="left"/>
              <w:rPr/>
            </w:pPr>
            <w:r>
              <w:rPr/>
              <w:t>Singapore</w:t>
            </w:r>
          </w:p>
        </w:tc>
      </w:tr>
      <w:tr>
        <w:trPr/>
        <w:tc>
          <w:tcPr>
            <w:tcW w:w="5231" w:type="dxa"/>
            <w:tcBorders/>
          </w:tcPr>
          <w:p>
            <w:pPr>
              <w:pStyle w:val="TableContents"/>
              <w:bidi w:val="0"/>
              <w:spacing w:before="0" w:after="283"/>
              <w:jc w:val="left"/>
              <w:rPr/>
            </w:pPr>
            <w:r>
              <w:rPr/>
              <w:t>Tempus Labs Spain, SL</w:t>
            </w:r>
          </w:p>
        </w:tc>
        <w:tc>
          <w:tcPr>
            <w:tcW w:w="121" w:type="dxa"/>
            <w:tcBorders/>
            <w:vAlign w:val="bottom"/>
          </w:tcPr>
          <w:p>
            <w:pPr>
              <w:pStyle w:val="TableContents"/>
              <w:bidi w:val="0"/>
              <w:spacing w:before="0" w:after="283"/>
              <w:jc w:val="left"/>
              <w:rPr/>
            </w:pPr>
            <w:r>
              <w:rPr/>
              <w:t>  </w:t>
            </w:r>
          </w:p>
        </w:tc>
        <w:tc>
          <w:tcPr>
            <w:tcW w:w="4853" w:type="dxa"/>
            <w:tcBorders/>
          </w:tcPr>
          <w:p>
            <w:pPr>
              <w:pStyle w:val="TableContents"/>
              <w:bidi w:val="0"/>
              <w:spacing w:before="0" w:after="283"/>
              <w:jc w:val="left"/>
              <w:rPr/>
            </w:pPr>
            <w:r>
              <w:rPr/>
              <w:t>Spain</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Bodoni MT">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5.jpeg"/><Relationship Id="rId18" Type="http://schemas.openxmlformats.org/officeDocument/2006/relationships/image" Target="media/image13.jpeg"/><Relationship Id="rId19" Type="http://schemas.openxmlformats.org/officeDocument/2006/relationships/image" Target="media/image4.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30" Type="http://schemas.openxmlformats.org/officeDocument/2006/relationships/image" Target="media/image24.jpeg"/><Relationship Id="rId31" Type="http://schemas.openxmlformats.org/officeDocument/2006/relationships/image" Target="media/image25.jpeg"/><Relationship Id="rId32" Type="http://schemas.openxmlformats.org/officeDocument/2006/relationships/image" Target="media/image26.jpe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7.jpeg"/><Relationship Id="rId39" Type="http://schemas.openxmlformats.org/officeDocument/2006/relationships/image" Target="media/image8.jpeg"/><Relationship Id="rId40" Type="http://schemas.openxmlformats.org/officeDocument/2006/relationships/image" Target="media/image9.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1.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627</Pages>
  <Words>324845</Words>
  <Characters>1696452</Characters>
  <CharactersWithSpaces>2030521</CharactersWithSpaces>
  <Paragraphs>23586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EX-21.1</dc:title>
</cp:coreProperties>
</file>