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699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69977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815"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Leonsis Theodore</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TEMPUS AI,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600 WEST CHICAGO AVENUE, SUITE 510</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60654</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Tempus AI,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1180" w:type="dxa"/>
            <w:vAlign w:val="bottom"/>
            <w:tcBorders>
              <w:top w:val="single" w:sz="8" w:color="0000EE"/>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ind w:left="400"/>
              <w:spacing w:after="0" w:line="85" w:lineRule="exact"/>
              <w:rPr>
                <w:sz w:val="20"/>
                <w:szCs w:val="20"/>
                <w:color w:val="auto"/>
              </w:rPr>
            </w:pPr>
            <w:r>
              <w:rPr>
                <w:rFonts w:ascii="Arial" w:cs="Arial" w:eastAsia="Arial" w:hAnsi="Arial"/>
                <w:sz w:val="9"/>
                <w:szCs w:val="9"/>
                <w:color w:val="auto"/>
              </w:rPr>
              <w:t>Director</w:t>
            </w:r>
          </w:p>
        </w:tc>
        <w:tc>
          <w:tcPr>
            <w:tcW w:w="1460" w:type="dxa"/>
            <w:vAlign w:val="bottom"/>
          </w:tcPr>
          <w:p>
            <w:pPr>
              <w:ind w:left="320"/>
              <w:spacing w:after="0" w:line="85" w:lineRule="exact"/>
              <w:rPr>
                <w:sz w:val="20"/>
                <w:szCs w:val="20"/>
                <w:color w:val="auto"/>
              </w:rPr>
            </w:pPr>
            <w:r>
              <w:rPr>
                <w:rFonts w:ascii="Arial" w:cs="Arial" w:eastAsia="Arial" w:hAnsi="Arial"/>
                <w:sz w:val="9"/>
                <w:szCs w:val="9"/>
                <w:color w:val="auto"/>
              </w:rPr>
              <w:t>10% Owner</w:t>
            </w: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1"/>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06/13/2024</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81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4"/>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jc w:val="center"/>
              <w:ind w:left="693"/>
              <w:spacing w:after="0"/>
              <w:rPr>
                <w:sz w:val="20"/>
                <w:szCs w:val="20"/>
                <w:color w:val="auto"/>
              </w:rPr>
            </w:pPr>
            <w:r>
              <w:rPr>
                <w:rFonts w:ascii="Times New Roman" w:cs="Times New Roman" w:eastAsia="Times New Roman" w:hAnsi="Times New Roman"/>
                <w:sz w:val="16"/>
                <w:szCs w:val="16"/>
                <w:color w:val="0000FF"/>
              </w:rPr>
              <w:t>06/13/2024</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2"/>
              <w:spacing w:after="0"/>
              <w:rPr>
                <w:sz w:val="20"/>
                <w:szCs w:val="20"/>
                <w:color w:val="auto"/>
              </w:rPr>
            </w:pPr>
            <w:r>
              <w:rPr>
                <w:rFonts w:ascii="Times New Roman" w:cs="Times New Roman" w:eastAsia="Times New Roman" w:hAnsi="Times New Roman"/>
                <w:sz w:val="13"/>
                <w:szCs w:val="13"/>
                <w:color w:val="0000FF"/>
                <w:w w:val="84"/>
              </w:rPr>
              <w:t>A</w:t>
            </w:r>
          </w:p>
        </w:tc>
        <w:tc>
          <w:tcPr>
            <w:tcW w:w="1100" w:type="dxa"/>
            <w:vAlign w:val="bottom"/>
            <w:tcBorders>
              <w:bottom w:val="single" w:sz="8" w:color="2C2C2C"/>
            </w:tcBorders>
            <w:gridSpan w:val="2"/>
          </w:tcPr>
          <w:p>
            <w:pPr>
              <w:jc w:val="center"/>
              <w:ind w:right="41"/>
              <w:spacing w:after="0"/>
              <w:rPr>
                <w:sz w:val="20"/>
                <w:szCs w:val="20"/>
                <w:color w:val="auto"/>
              </w:rPr>
            </w:pPr>
            <w:r>
              <w:rPr>
                <w:rFonts w:ascii="Times New Roman" w:cs="Times New Roman" w:eastAsia="Times New Roman" w:hAnsi="Times New Roman"/>
                <w:sz w:val="16"/>
                <w:szCs w:val="16"/>
                <w:color w:val="0000FF"/>
                <w:w w:val="93"/>
              </w:rPr>
              <w:t>13,514</w:t>
            </w:r>
            <w:r>
              <w:rPr>
                <w:rFonts w:ascii="Times New Roman" w:cs="Times New Roman" w:eastAsia="Times New Roman" w:hAnsi="Times New Roman"/>
                <w:sz w:val="20"/>
                <w:szCs w:val="20"/>
                <w:color w:val="008000"/>
                <w:w w:val="93"/>
                <w:vertAlign w:val="superscript"/>
              </w:rPr>
              <w:t>(1)</w:t>
            </w:r>
          </w:p>
        </w:tc>
        <w:tc>
          <w:tcPr>
            <w:tcW w:w="2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520" w:type="dxa"/>
            <w:vAlign w:val="bottom"/>
            <w:tcBorders>
              <w:bottom w:val="single" w:sz="8" w:color="2C2C2C"/>
            </w:tcBorders>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13,514</w:t>
            </w: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06/17/2024</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jc w:val="center"/>
              <w:ind w:right="202"/>
              <w:spacing w:after="0"/>
              <w:rPr>
                <w:sz w:val="20"/>
                <w:szCs w:val="20"/>
                <w:color w:val="auto"/>
              </w:rPr>
            </w:pPr>
            <w:r>
              <w:rPr>
                <w:rFonts w:ascii="Times New Roman" w:cs="Times New Roman" w:eastAsia="Times New Roman" w:hAnsi="Times New Roman"/>
                <w:sz w:val="13"/>
                <w:szCs w:val="13"/>
                <w:color w:val="0000FF"/>
                <w:w w:val="91"/>
              </w:rPr>
              <w:t>C</w:t>
            </w:r>
          </w:p>
        </w:tc>
        <w:tc>
          <w:tcPr>
            <w:tcW w:w="110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rPr>
              <w:t>3,263,060</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53"/>
              <w:spacing w:after="0"/>
              <w:rPr>
                <w:sz w:val="20"/>
                <w:szCs w:val="20"/>
                <w:color w:val="auto"/>
              </w:rPr>
            </w:pPr>
            <w:r>
              <w:rPr>
                <w:rFonts w:ascii="Times New Roman" w:cs="Times New Roman" w:eastAsia="Times New Roman" w:hAnsi="Times New Roman"/>
                <w:sz w:val="10"/>
                <w:szCs w:val="10"/>
                <w:color w:val="008000"/>
              </w:rPr>
              <w:t>(2)</w:t>
            </w:r>
          </w:p>
        </w:tc>
        <w:tc>
          <w:tcPr>
            <w:tcW w:w="152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3,263,060</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Revolution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06/17/2024</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jc w:val="center"/>
              <w:ind w:right="202"/>
              <w:spacing w:after="0"/>
              <w:rPr>
                <w:sz w:val="20"/>
                <w:szCs w:val="20"/>
                <w:color w:val="auto"/>
              </w:rPr>
            </w:pPr>
            <w:r>
              <w:rPr>
                <w:rFonts w:ascii="Times New Roman" w:cs="Times New Roman" w:eastAsia="Times New Roman" w:hAnsi="Times New Roman"/>
                <w:sz w:val="25"/>
                <w:szCs w:val="25"/>
                <w:color w:val="0000FF"/>
                <w:w w:val="84"/>
                <w:vertAlign w:val="subscript"/>
              </w:rPr>
              <w:t>A</w:t>
            </w:r>
            <w:r>
              <w:rPr>
                <w:rFonts w:ascii="Times New Roman" w:cs="Times New Roman" w:eastAsia="Times New Roman" w:hAnsi="Times New Roman"/>
                <w:sz w:val="10"/>
                <w:szCs w:val="10"/>
                <w:color w:val="008000"/>
                <w:w w:val="84"/>
              </w:rPr>
              <w:t>(4)</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397,888</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53"/>
              <w:spacing w:after="0"/>
              <w:rPr>
                <w:sz w:val="20"/>
                <w:szCs w:val="20"/>
                <w:color w:val="auto"/>
              </w:rPr>
            </w:pPr>
            <w:r>
              <w:rPr>
                <w:rFonts w:ascii="Times New Roman" w:cs="Times New Roman" w:eastAsia="Times New Roman" w:hAnsi="Times New Roman"/>
                <w:sz w:val="10"/>
                <w:szCs w:val="10"/>
                <w:color w:val="008000"/>
              </w:rPr>
              <w:t>(4)</w:t>
            </w:r>
          </w:p>
        </w:tc>
        <w:tc>
          <w:tcPr>
            <w:tcW w:w="152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3,660,948</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Revolution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20" w:type="dxa"/>
            <w:vAlign w:val="bottom"/>
            <w:gridSpan w:val="12"/>
          </w:tcPr>
          <w:p>
            <w:pPr>
              <w:jc w:val="right"/>
              <w:ind w:right="28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80" w:type="dxa"/>
            <w:vAlign w:val="bottom"/>
            <w:tcBorders>
              <w:right w:val="single" w:sz="8" w:color="2C2C2C"/>
            </w:tcBorders>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gridSpan w:val="2"/>
            <w:vMerge w:val="continue"/>
          </w:tcPr>
          <w:p>
            <w:pPr>
              <w:spacing w:after="0"/>
              <w:rPr>
                <w:sz w:val="6"/>
                <w:szCs w:val="6"/>
                <w:color w:val="auto"/>
              </w:rPr>
            </w:pPr>
          </w:p>
        </w:tc>
        <w:tc>
          <w:tcPr>
            <w:tcW w:w="72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1,397,057</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Revolution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06/17/2024</w:t>
            </w: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43"/>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3"/>
              <w:spacing w:after="0" w:line="101" w:lineRule="exact"/>
              <w:rPr>
                <w:sz w:val="20"/>
                <w:szCs w:val="20"/>
                <w:color w:val="auto"/>
              </w:rPr>
            </w:pPr>
            <w:r>
              <w:rPr>
                <w:rFonts w:ascii="Times New Roman" w:cs="Times New Roman" w:eastAsia="Times New Roman" w:hAnsi="Times New Roman"/>
                <w:sz w:val="11"/>
                <w:szCs w:val="11"/>
                <w:color w:val="0000FF"/>
              </w:rPr>
              <w:t>1,397,057</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740" w:type="dxa"/>
            <w:vAlign w:val="bottom"/>
            <w:gridSpan w:val="2"/>
            <w:vMerge w:val="restart"/>
          </w:tcPr>
          <w:p>
            <w:pPr>
              <w:jc w:val="right"/>
              <w:ind w:right="284"/>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52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6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2"/>
                <w:szCs w:val="2"/>
                <w:color w:val="0000FF"/>
              </w:rPr>
              <w:t>Growth III,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ind w:left="101"/>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gridSpan w:val="2"/>
            <w:vMerge w:val="continue"/>
          </w:tcPr>
          <w:p>
            <w:pPr>
              <w:spacing w:after="0"/>
              <w:rPr>
                <w:sz w:val="6"/>
                <w:szCs w:val="6"/>
                <w:color w:val="auto"/>
              </w:rPr>
            </w:pPr>
          </w:p>
        </w:tc>
        <w:tc>
          <w:tcPr>
            <w:tcW w:w="72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1,066,791</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Revolution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06/17/2024</w:t>
            </w: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43"/>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3"/>
              <w:spacing w:after="0" w:line="101" w:lineRule="exact"/>
              <w:rPr>
                <w:sz w:val="20"/>
                <w:szCs w:val="20"/>
                <w:color w:val="auto"/>
              </w:rPr>
            </w:pPr>
            <w:r>
              <w:rPr>
                <w:rFonts w:ascii="Times New Roman" w:cs="Times New Roman" w:eastAsia="Times New Roman" w:hAnsi="Times New Roman"/>
                <w:sz w:val="11"/>
                <w:szCs w:val="11"/>
                <w:color w:val="0000FF"/>
              </w:rPr>
              <w:t>1,066,791</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740" w:type="dxa"/>
            <w:vAlign w:val="bottom"/>
            <w:gridSpan w:val="2"/>
            <w:vMerge w:val="restart"/>
          </w:tcPr>
          <w:p>
            <w:pPr>
              <w:jc w:val="right"/>
              <w:ind w:right="284"/>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52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6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2"/>
                <w:szCs w:val="2"/>
                <w:color w:val="0000FF"/>
              </w:rPr>
              <w:t>Growth III,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ind w:left="101"/>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597,271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Revolution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06/17/2024</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ind w:right="343"/>
              <w:spacing w:after="0" w:line="138" w:lineRule="exact"/>
              <w:rPr>
                <w:sz w:val="20"/>
                <w:szCs w:val="20"/>
                <w:color w:val="auto"/>
              </w:rPr>
            </w:pPr>
            <w:r>
              <w:rPr>
                <w:rFonts w:ascii="Times New Roman" w:cs="Times New Roman" w:eastAsia="Times New Roman" w:hAnsi="Times New Roman"/>
                <w:sz w:val="13"/>
                <w:szCs w:val="13"/>
                <w:color w:val="0000FF"/>
                <w:w w:val="91"/>
              </w:rPr>
              <w:t>C</w:t>
            </w:r>
          </w:p>
        </w:tc>
        <w:tc>
          <w:tcPr>
            <w:tcW w:w="980" w:type="dxa"/>
            <w:vAlign w:val="bottom"/>
          </w:tcPr>
          <w:p>
            <w:pPr>
              <w:jc w:val="center"/>
              <w:ind w:left="223"/>
              <w:spacing w:after="0" w:line="138" w:lineRule="exact"/>
              <w:rPr>
                <w:sz w:val="20"/>
                <w:szCs w:val="20"/>
                <w:color w:val="auto"/>
              </w:rPr>
            </w:pPr>
            <w:r>
              <w:rPr>
                <w:rFonts w:ascii="Times New Roman" w:cs="Times New Roman" w:eastAsia="Times New Roman" w:hAnsi="Times New Roman"/>
                <w:sz w:val="13"/>
                <w:szCs w:val="13"/>
                <w:color w:val="0000FF"/>
                <w:w w:val="99"/>
              </w:rPr>
              <w:t>597,271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1"/>
                <w:szCs w:val="11"/>
                <w:color w:val="auto"/>
              </w:rPr>
            </w:pPr>
          </w:p>
        </w:tc>
        <w:tc>
          <w:tcPr>
            <w:tcW w:w="740" w:type="dxa"/>
            <w:vAlign w:val="bottom"/>
            <w:gridSpan w:val="2"/>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52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ind w:left="20"/>
              <w:spacing w:after="0" w:line="138" w:lineRule="exact"/>
              <w:rPr>
                <w:sz w:val="20"/>
                <w:szCs w:val="20"/>
                <w:color w:val="auto"/>
              </w:rPr>
            </w:pPr>
            <w:r>
              <w:rPr>
                <w:rFonts w:ascii="Times New Roman" w:cs="Times New Roman" w:eastAsia="Times New Roman" w:hAnsi="Times New Roman"/>
                <w:sz w:val="13"/>
                <w:szCs w:val="13"/>
                <w:color w:val="0000FF"/>
              </w:rPr>
              <w:t>Growth III,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right w:val="single" w:sz="8" w:color="2C2C2C"/>
            </w:tcBorders>
            <w:gridSpan w:val="3"/>
          </w:tcPr>
          <w:p>
            <w:pPr>
              <w:ind w:left="20"/>
              <w:spacing w:after="0" w:line="224"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Series 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gridSpan w:val="2"/>
            <w:vMerge w:val="continue"/>
          </w:tcPr>
          <w:p>
            <w:pPr>
              <w:spacing w:after="0"/>
              <w:rPr>
                <w:sz w:val="6"/>
                <w:szCs w:val="6"/>
                <w:color w:val="auto"/>
              </w:rPr>
            </w:pPr>
          </w:p>
        </w:tc>
        <w:tc>
          <w:tcPr>
            <w:tcW w:w="72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201,941</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Revolution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06/17/2024</w:t>
            </w: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43"/>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3"/>
              <w:spacing w:after="0" w:line="101" w:lineRule="exact"/>
              <w:rPr>
                <w:sz w:val="20"/>
                <w:szCs w:val="20"/>
                <w:color w:val="auto"/>
              </w:rPr>
            </w:pPr>
            <w:r>
              <w:rPr>
                <w:rFonts w:ascii="Times New Roman" w:cs="Times New Roman" w:eastAsia="Times New Roman" w:hAnsi="Times New Roman"/>
                <w:sz w:val="11"/>
                <w:szCs w:val="11"/>
                <w:color w:val="0000FF"/>
              </w:rPr>
              <w:t>201,941</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740" w:type="dxa"/>
            <w:vAlign w:val="bottom"/>
            <w:gridSpan w:val="2"/>
            <w:vMerge w:val="restart"/>
          </w:tcPr>
          <w:p>
            <w:pPr>
              <w:jc w:val="right"/>
              <w:ind w:right="284"/>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52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6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2"/>
                <w:szCs w:val="2"/>
                <w:color w:val="0000FF"/>
              </w:rPr>
              <w:t>Growth III,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ind w:left="101"/>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-2981960</wp:posOffset>
            </wp:positionV>
            <wp:extent cx="28575" cy="298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9876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vest in 20 substantially equal quarterly installments commencing on September 13, 2024.</w:t>
      </w:r>
    </w:p>
    <w:p>
      <w:pPr>
        <w:spacing w:after="0" w:line="38" w:lineRule="exact"/>
        <w:rPr>
          <w:rFonts w:ascii="Times New Roman" w:cs="Times New Roman" w:eastAsia="Times New Roman" w:hAnsi="Times New Roman"/>
          <w:sz w:val="13"/>
          <w:szCs w:val="13"/>
          <w:color w:val="008000"/>
        </w:rPr>
      </w:pPr>
    </w:p>
    <w:p>
      <w:pPr>
        <w:ind w:left="40" w:right="30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C Preferred Stock, Series D Preferred Stock, Series E Preferred Stock and Series F Preferred Stock was convertible at any time, at the holder's election, into Class A Common Stock, on a one-for-one basis, had no expiration date and automatically converted into shares of Class A Common Stock upon the closing of the Issuer's initial public offering.</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Reporting Person is a member of the investment committee of the ultimate general partner of Revolution Growth III, LP ("RG III") and may be deemed to share dispositive power over the shares held by RG III.</w:t>
      </w:r>
    </w:p>
    <w:p>
      <w:pPr>
        <w:spacing w:after="0" w:line="61" w:lineRule="exact"/>
        <w:rPr>
          <w:rFonts w:ascii="Times New Roman" w:cs="Times New Roman" w:eastAsia="Times New Roman" w:hAnsi="Times New Roman"/>
          <w:sz w:val="11"/>
          <w:szCs w:val="11"/>
          <w:color w:val="008000"/>
        </w:rPr>
      </w:pPr>
    </w:p>
    <w:p>
      <w:pPr>
        <w:ind w:left="40" w:right="2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2024, in connection with the conversion of preferred stock upon the closing of the Issuer's initial public offering, Issuer paid accrued and unpaid dividends on such shares of preferred stock in shares of Class A Common Stock. The issuance of shares qualifies for the exemption from Section 16 of the Securities Exchange Act pursuant to Rules 16b-3 and 16a-9.</w:t>
      </w:r>
    </w:p>
    <w:p>
      <w:pPr>
        <w:spacing w:after="0" w:line="4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Erik Phelps, Attorney-in-Fact 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-5080</wp:posOffset>
            </wp:positionV>
            <wp:extent cx="1868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8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52645" TargetMode="External"/><Relationship Id="rId13"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2024-06-17T20:51:50Z</dcterms:created>
  <dcterms:modified xsi:type="dcterms:W3CDTF">2024-06-17T20:51:50Z</dcterms:modified>
</cp:coreProperties>
</file>