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Personalis,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71535D106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Polovin</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600 West Chicago Avenue, Suite 510,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60654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(800) 976-5448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71535D106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Tempus AI,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12,718,800.00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12,718,800.00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12,718,800.00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71535D106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Eric Lefkofsky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150,000.00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12,718,800.00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150,000.00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12,718,800.00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12,868,800.00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Personalis,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6600 Dumbarton Circle, Fremont, CALIFORNIA , 94555.</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to Schedule 13D (this "Amendment No. 2") amends and supplements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originally filed with the United States Securities and Exchange Commission (the "Commission")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July 3, 2024 (as amended to date, the "Schedule 13D"), relating to the common stock, par value $0.0001 per share (the "Common Stock"), of Personalis, Inc., a Delaware corporation (the "Issuer"). Capitalized terms used herein</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without definition shall have the meaning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40"/>
        <w:spacing w:after="0" w:line="239" w:lineRule="auto"/>
        <w:rPr>
          <w:sz w:val="20"/>
          <w:szCs w:val="20"/>
          <w:color w:val="auto"/>
        </w:rPr>
      </w:pPr>
      <w:r>
        <w:rPr>
          <w:rFonts w:ascii="Times New Roman" w:cs="Times New Roman" w:eastAsia="Times New Roman" w:hAnsi="Times New Roman"/>
          <w:sz w:val="22"/>
          <w:szCs w:val="22"/>
          <w:color w:val="auto"/>
        </w:rPr>
        <w:t>On August 16, 2024, pursuant to the terms of the Investment Agreement, Tempus (i) exercised the Warrants to acquire 9,218,800 shares of Common Stock for an aggregate exercise price of $18,437,600, and (ii) purchased 3,500,000 shares of Common Stock from the Issuer at a price of $5.07 per share. Tempus funded the exercise of the Warrants and the purchase of the shares of Common Stock using funds from its working capital.</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34" w:lineRule="auto"/>
        <w:rPr>
          <w:sz w:val="20"/>
          <w:szCs w:val="20"/>
          <w:color w:val="auto"/>
        </w:rPr>
      </w:pPr>
      <w:r>
        <w:rPr>
          <w:rFonts w:ascii="Times New Roman" w:cs="Times New Roman" w:eastAsia="Times New Roman" w:hAnsi="Times New Roman"/>
          <w:sz w:val="22"/>
          <w:szCs w:val="22"/>
          <w:color w:val="auto"/>
        </w:rPr>
        <w:t>On September 11, 2025, the Issuer and Tempus entered into an amendment (the "Commercialization Agreement Amendment No. 5") to the Commercialization and Reference Laboratory Agreement, dated November 25, 2023, by and between the Issuer and Tempus (as amended, the "Commercialization Agreement"), pursuant to which the parties amended the existing standstill in Section 1(e) of the Commercialization Agreement to allow Tempus to acquire shares of Common Stock in open market purchases so long as (i) Tempus and its affiliates do not beneficially own more than 19.99% of the Common Stock outstanding as a result of any such acquisition and (ii) Tempus is not in breach of any provision of Section 1(e) of the Commercialization Agreement. The foregoing description of the Commercialization Agreement Amendment No. 5 does not purport to be complete and is qualified in its entirety by reference to the full text of the agreement, which is filed as an exhibit to this Amendment No. 2 and incorporated herein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jc w:val="both"/>
        <w:ind w:left="920" w:right="160" w:hanging="912"/>
        <w:spacing w:after="0" w:line="282"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on the cover pages is incorporated by reference to this Item 5. The ownership percentage presented herein is based on 88,677,062 shares of Common Stock outstanding as of July 29, 2025 as disclosed in the</w:t>
      </w:r>
    </w:p>
    <w:p>
      <w:pPr>
        <w:sectPr>
          <w:pgSz w:w="11900" w:h="16838" w:orient="portrait"/>
          <w:cols w:equalWidth="0" w:num="1">
            <w:col w:w="11160"/>
          </w:cols>
          <w:pgMar w:left="360" w:top="111" w:right="37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Issuer's Quarterly Report on Form 10-Q as filed with the SEC on August 5, 2025.</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contained on the cover pages is incorporated by reference to this Item 5. The securities reported</w:t>
      </w:r>
    </w:p>
    <w:p>
      <w:pPr>
        <w:spacing w:after="0" w:line="14" w:lineRule="exact"/>
        <w:rPr>
          <w:sz w:val="20"/>
          <w:szCs w:val="20"/>
          <w:color w:val="auto"/>
        </w:rPr>
      </w:pPr>
    </w:p>
    <w:p>
      <w:pPr>
        <w:ind w:left="920" w:right="16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herein represent shares of Common Stock held of record by Tempus. Mr. Lefkofsky is the controlling stockholder of Tempus and as such, may be deemed to have beneficial ownership of the securities held of record by Tempus. In addition, Mr. Lefkofsky is the record holder of 150,000 shares of Common Stock.</w:t>
      </w:r>
    </w:p>
    <w:p>
      <w:pPr>
        <w:spacing w:after="0" w:line="18" w:lineRule="exact"/>
        <w:rPr>
          <w:rFonts w:ascii="Times New Roman" w:cs="Times New Roman" w:eastAsia="Times New Roman" w:hAnsi="Times New Roman"/>
          <w:sz w:val="42"/>
          <w:szCs w:val="42"/>
          <w:color w:val="auto"/>
          <w:vertAlign w:val="subscript"/>
        </w:rPr>
      </w:pPr>
    </w:p>
    <w:p>
      <w:pPr>
        <w:ind w:left="920" w:right="7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Item 4, during the past 60 days, none of the Reporting Persons nor Related Persons has effected any transactions with respect to the Common Stock.</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00"/>
        <w:spacing w:after="0" w:line="235" w:lineRule="auto"/>
        <w:rPr>
          <w:sz w:val="20"/>
          <w:szCs w:val="20"/>
          <w:color w:val="auto"/>
        </w:rPr>
      </w:pPr>
      <w:r>
        <w:rPr>
          <w:rFonts w:ascii="Times New Roman" w:cs="Times New Roman" w:eastAsia="Times New Roman" w:hAnsi="Times New Roman"/>
          <w:sz w:val="22"/>
          <w:szCs w:val="22"/>
          <w:color w:val="auto"/>
        </w:rPr>
        <w:t>Item 4 above summarizes certain provisions of the Commercialization Agreement Amendment No. 5 and is incorporated herein by reference. A copy of the Commercialization Agreement Amendment No. 5 is filed as an exhibit to this Amendment No. 2 and incorporated herein by reference. Except as set forth in the Schedule 13D, the Reporting Persons do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Exhibit 7: Amendment No. 5 to the Commercialization and Reference Laboratory Agreement, dated September 11, 2025, by and between Personalis, Inc. and Tempus AI, Inc.</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Tempus AI, Inc.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Polovin</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Andrew Polovin, General Counsel</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09/12/2025</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Eric Lefkofsky</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Lefkofsky</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Eric Lefkofsky</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09/12/2025</w:t>
      </w:r>
    </w:p>
    <w:p>
      <w:pPr>
        <w:sectPr>
          <w:pgSz w:w="11900" w:h="16838" w:orient="portrait"/>
          <w:cols w:equalWidth="0" w:num="1">
            <w:col w:w="11140"/>
          </w:cols>
          <w:pgMar w:left="360" w:top="112" w:right="3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5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Commercialization and Reference Laboratory Agreement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No. 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the date of the last signature below, by and between Personalis, Inc., a Delaware corporation (“</w:t>
      </w:r>
      <w:r>
        <w:rPr>
          <w:rFonts w:ascii="Times New Roman" w:cs="Times New Roman" w:eastAsia="Times New Roman" w:hAnsi="Times New Roman"/>
          <w:sz w:val="18"/>
          <w:szCs w:val="18"/>
          <w:u w:val="single" w:color="auto"/>
          <w:color w:val="auto"/>
        </w:rPr>
        <w:t>Personalis</w:t>
      </w:r>
      <w:r>
        <w:rPr>
          <w:rFonts w:ascii="Times New Roman" w:cs="Times New Roman" w:eastAsia="Times New Roman" w:hAnsi="Times New Roman"/>
          <w:sz w:val="18"/>
          <w:szCs w:val="18"/>
          <w:color w:val="auto"/>
        </w:rPr>
        <w:t>”), and Tempus AI, Inc. (“</w:t>
      </w:r>
      <w:r>
        <w:rPr>
          <w:rFonts w:ascii="Times New Roman" w:cs="Times New Roman" w:eastAsia="Times New Roman" w:hAnsi="Times New Roman"/>
          <w:sz w:val="18"/>
          <w:szCs w:val="18"/>
          <w:u w:val="single" w:color="auto"/>
          <w:color w:val="auto"/>
        </w:rPr>
        <w:t>Tempus</w:t>
      </w:r>
      <w:r>
        <w:rPr>
          <w:rFonts w:ascii="Times New Roman" w:cs="Times New Roman" w:eastAsia="Times New Roman" w:hAnsi="Times New Roman"/>
          <w:sz w:val="18"/>
          <w:szCs w:val="18"/>
          <w:color w:val="auto"/>
        </w:rPr>
        <w:t>”) and amends that certain Commercialization and Reference Laboratory Agreement with the effective date of November 25, 2023 (as previously amended,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Tempus and Personalis are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defined herein shall have the meanings ascribed to them in the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pursuant to Section 9(d) of the Agreement, any term of the Agreement may be amended by a writing signed by the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wish to amend the Agreement as set forth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promises herein, the Parties, intending to be legally bound, hereby agree as follows:</w:t>
      </w:r>
    </w:p>
    <w:p>
      <w:pPr>
        <w:spacing w:after="0" w:line="221" w:lineRule="exact"/>
        <w:rPr>
          <w:sz w:val="20"/>
          <w:szCs w:val="20"/>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Section 1(e)(i) of the Agreement is hereby amended by making the changes shown in strikethrough and underline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attached hereto.</w:t>
      </w:r>
    </w:p>
    <w:p>
      <w:pPr>
        <w:spacing w:after="0" w:line="15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Except as otherwise provided in this Amendment, all terms and conditions previously set forth in the Agreement will remain in effect as set forth in the Agreement. If this Amendment and the Agreement are inconsistent, the terms and provisions of this Amendment will supersede the terms and provisions of the Agreement, but only to the extent necessary to satisfy the purposes of this Amendment.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NOW THEREFORE, the Parties enter into this Amendment by signature of their authorized representatives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Personalis,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Tempus AI,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Stephen Moore</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Andy Polovin</w:t>
            </w:r>
          </w:p>
        </w:tc>
      </w:tr>
      <w:tr>
        <w:trPr>
          <w:trHeight w:val="42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Stephen Moore</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Andy Polovin</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SVP, CLO &amp; Corporate Secretary</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EVP, General Counsel &amp; Secretary</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9/11/2025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9/11/2025</w:t>
            </w:r>
          </w:p>
        </w:tc>
      </w:tr>
      <w:tr>
        <w:trPr>
          <w:trHeight w:val="432"/>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Section 1(e)(i)</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Standstill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Tempus agrees that, (x) until the earlier of June 4, 2027 and the date that the Parties’ exclusivity obligations expire or terminate under Section 3 of Exhibit A hereto, whenever Tempus (together with its Affiliates) owns at least 9,218,800 shares of Common Stock (which number is subject to appropriate adjustment for any stock dividends, splits, recapitalizations, reclassifications, combinations or the like) and (y) from the Effective Date until the one year anniversary of the Effective Date, whenever the exclusivity obligations contemplated herein expire or terminate and Tempus (together with its Affiliates) owns at least 5 percent of the outstanding Common Stock of Personalis (each such period, the “</w:t>
      </w:r>
      <w:r>
        <w:rPr>
          <w:rFonts w:ascii="Times New Roman" w:cs="Times New Roman" w:eastAsia="Times New Roman" w:hAnsi="Times New Roman"/>
          <w:sz w:val="18"/>
          <w:szCs w:val="18"/>
          <w:u w:val="single" w:color="auto"/>
          <w:color w:val="auto"/>
        </w:rPr>
        <w:t>Standstill Period</w:t>
      </w:r>
      <w:r>
        <w:rPr>
          <w:rFonts w:ascii="Times New Roman" w:cs="Times New Roman" w:eastAsia="Times New Roman" w:hAnsi="Times New Roman"/>
          <w:sz w:val="18"/>
          <w:szCs w:val="18"/>
          <w:color w:val="auto"/>
        </w:rPr>
        <w:t>”), without Personalis’ prior written consent, Tempus and its Affiliates shall not in any manner, directly or indirectly: (1) effect, seek, offer or propose (whether publicly or otherwise) to effect, participate in or facilitate or encourage any other person to effect, seek, offer or propose (whether publicly or otherwise) to effect or participate in,</w:t>
      </w:r>
    </w:p>
    <w:p>
      <w:pPr>
        <w:spacing w:after="0" w:line="5" w:lineRule="exact"/>
        <w:rPr>
          <w:sz w:val="20"/>
          <w:szCs w:val="20"/>
          <w:color w:val="auto"/>
        </w:rPr>
      </w:pPr>
    </w:p>
    <w:p>
      <w:pPr>
        <w:jc w:val="both"/>
        <w:ind w:firstLine="8"/>
        <w:spacing w:after="0" w:line="250" w:lineRule="auto"/>
        <w:tabs>
          <w:tab w:leader="none" w:pos="2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or obtaining any economic interest in, any securities (including through exercise of the First Warrant and/or the Second Warrant) or beneficial ownership thereof (directly or by means of any derivative securities), or rights or options to acquire, or obtain economic interest in, any securities or beneficial ownership thereof (directly or by means of any derivative securities), or any assets, indebtedness or businesses of Personalis (other than acquisitions or licenses of assets in the ordinary course of business), (b) any tender offer or exchange offer, merger or other business combination involving Personalis or any of its assets, (c) any recapitalization, restructuring, liquidation, dissolution or other extraordinary transaction with respect to Personalis, or</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“solicitation” of “proxies” (as such terms are used in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xml:space="preserve">”), and Rule 14a-1 promulgated thereunder) or consents to vote any securities of Personalis, including soliciting consents or taking any other action with respect to the calling of a special meeting of Personalis’ stockholders; (2) form, join or in any way participate in a “group” (as defined under the 1934 Act) with respect to Personalis; (3) otherwise act, alone or in concert with others, to seek representation on or to control the board of directors or policies of Personalis or to obtain representation on the board of directors of Personalis; (4) disclose or direct any person to disclose, any intention, plan or arrangement inconsistent with the foregoing; (5) take any action that could reasonably be expected to result in a request by a court of competent jurisdiction or by a governmental body to disclose, or could cause or require either Party to disclose or make a public announcement regarding, any of the transactions contemplated by this Agreement or all or any part of the information contained in the Confidential Information or any matter of the types set forth in this paragraph; (6) advise, assist or knowingly encourage or direct any person to advise, assist or encourage any other persons in connection with any of the foregoing; or (7) request of Personalis or any of its Representatives, directly or indirectly, that Personalis amend or waive any provision of this paragraph (including this sentence);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nothing in the foregoing shall restrict Tempus from (x) confidentially communicating to Personalis’ board of directors,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officer or chief financial officer any non-public proposals regarding potential transactions in such a manner as would not reasonably be expected to require public disclosure thereof under any law applicable to Personalis or its Representatives or to Tempus or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communication shall first be privately directed to Personalis’ chief executive officer and chief financial officer</w:t>
      </w:r>
      <w:r>
        <w:rPr>
          <w:rFonts w:ascii="Times New Roman" w:cs="Times New Roman" w:eastAsia="Times New Roman" w:hAnsi="Times New Roman"/>
          <w:sz w:val="18"/>
          <w:szCs w:val="18"/>
          <w:u w:val="single" w:color="auto"/>
          <w:color w:val="0070C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(y) engaging in discussions with third party financing sources with respect to financing a transaction involving Personalis;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Confidential Information of Personalis may be made available to such financing sources without Personalis’ prior written consent</w:t>
      </w:r>
      <w:r>
        <w:rPr>
          <w:rFonts w:ascii="Times New Roman" w:cs="Times New Roman" w:eastAsia="Times New Roman" w:hAnsi="Times New Roman"/>
          <w:sz w:val="18"/>
          <w:szCs w:val="18"/>
          <w:u w:val="single" w:color="auto"/>
          <w:color w:val="0070C0"/>
        </w:rPr>
        <w:t>, or (z) acquiring shares of Common Stock in open market purchases so long as</w:t>
      </w:r>
    </w:p>
    <w:p>
      <w:pPr>
        <w:spacing w:after="0" w:line="6" w:lineRule="exact"/>
        <w:rPr>
          <w:rFonts w:ascii="Times New Roman" w:cs="Times New Roman" w:eastAsia="Times New Roman" w:hAnsi="Times New Roman"/>
          <w:sz w:val="18"/>
          <w:szCs w:val="18"/>
          <w:color w:val="auto"/>
        </w:rPr>
      </w:pPr>
    </w:p>
    <w:p>
      <w:pPr>
        <w:ind w:firstLine="8"/>
        <w:spacing w:after="0" w:line="260" w:lineRule="auto"/>
        <w:tabs>
          <w:tab w:leader="none" w:pos="236" w:val="left"/>
        </w:tabs>
        <w:numPr>
          <w:ilvl w:val="0"/>
          <w:numId w:val="7"/>
        </w:numPr>
        <w:rPr>
          <w:rFonts w:ascii="Times New Roman" w:cs="Times New Roman" w:eastAsia="Times New Roman" w:hAnsi="Times New Roman"/>
          <w:sz w:val="18"/>
          <w:szCs w:val="18"/>
          <w:u w:val="single" w:color="auto"/>
          <w:color w:val="0070C0"/>
        </w:rPr>
      </w:pPr>
      <w:r>
        <w:rPr>
          <w:rFonts w:ascii="Times New Roman" w:cs="Times New Roman" w:eastAsia="Times New Roman" w:hAnsi="Times New Roman"/>
          <w:sz w:val="18"/>
          <w:szCs w:val="18"/>
          <w:u w:val="single" w:color="auto"/>
          <w:color w:val="0070C0"/>
        </w:rPr>
        <w:t>Tempus and its Affiliates do not beneficially own more than 19.99% of the Common Stock outstanding as a result of any such acquisition and (ii) Tempus is not in breach of any provision of this Section 1(e)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2025-09-12T15:27:45Z</dcterms:created>
  <dcterms:modified xsi:type="dcterms:W3CDTF">2025-09-12T15:27:45Z</dcterms:modified>
</cp:coreProperties>
</file>