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600 West Chicago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510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24, 2026, Tempus AI, Inc. (the “Company”) issued a press release regarding its financial results for the quarter and year ended December 31, 2025. A copy of the press release is furnished as Exhibit 99.1 to this Current Report on Form 8-K.</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24, 2026, the Company made available on the “Events” page of its investor relations website at http://investors.tempus.com supplemental financial information for the quarter and year ended December 31, 2025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Tempus AI, Inc. dated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-7620</wp:posOffset>
            </wp:positionV>
            <wp:extent cx="3023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23870" cy="8890"/>
                    </a:xfrm>
                    <a:prstGeom prst="rect">
                      <a:avLst/>
                    </a:prstGeom>
                    <a:noFill/>
                  </pic:spPr>
                </pic:pic>
              </a:graphicData>
            </a:graphic>
          </wp:anchor>
        </w:drawing>
      </w:r>
    </w:p>
    <w:p>
      <w:pPr>
        <w:spacing w:after="0" w:line="97"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78" w:lineRule="exact"/>
        <w:rPr>
          <w:sz w:val="20"/>
          <w:szCs w:val="20"/>
          <w:color w:val="auto"/>
        </w:rPr>
      </w:pPr>
    </w:p>
    <w:p>
      <w:pPr>
        <w:spacing w:after="0"/>
        <w:tabs>
          <w:tab w:leader="none" w:pos="70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2026</w:t>
      </w:r>
      <w:r>
        <w:rPr>
          <w:sz w:val="20"/>
          <w:szCs w:val="20"/>
          <w:color w:val="auto"/>
        </w:rPr>
        <w:tab/>
      </w:r>
      <w:r>
        <w:rPr>
          <w:rFonts w:ascii="Times New Roman" w:cs="Times New Roman" w:eastAsia="Times New Roman" w:hAnsi="Times New Roman"/>
          <w:sz w:val="18"/>
          <w:szCs w:val="18"/>
          <w:color w:val="auto"/>
        </w:rPr>
        <w:t>By:</w:t>
        <w:tab/>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Reports Fourth Quarter and Full Year 2025 Results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CHICAGO, February 24, 2026 </w:t>
      </w:r>
      <w:r>
        <w:rPr>
          <w:rFonts w:ascii="Times New Roman" w:cs="Times New Roman" w:eastAsia="Times New Roman" w:hAnsi="Times New Roman"/>
          <w:sz w:val="18"/>
          <w:szCs w:val="18"/>
          <w:color w:val="auto"/>
        </w:rPr>
        <w:t>— Tempus AI, Inc. (NASDAQ: TEM), a technology company leading the adoption of AI to advance precision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patient care, today reported financial results for the quarter and year ended December 31, 2025.</w:t>
      </w:r>
    </w:p>
    <w:p>
      <w:pPr>
        <w:spacing w:after="0" w:line="91" w:lineRule="exact"/>
        <w:rPr>
          <w:sz w:val="20"/>
          <w:szCs w:val="20"/>
          <w:color w:val="auto"/>
        </w:rPr>
      </w:pPr>
    </w:p>
    <w:p>
      <w:pPr>
        <w:ind w:left="1120" w:hanging="356"/>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of $367.2 million, up 83.0% year-over-year with 33.5% organic growth (excluding Ambry)</w:t>
      </w:r>
    </w:p>
    <w:p>
      <w:pPr>
        <w:spacing w:after="0" w:line="144" w:lineRule="exact"/>
        <w:rPr>
          <w:rFonts w:ascii="Times New Roman" w:cs="Times New Roman" w:eastAsia="Times New Roman" w:hAnsi="Times New Roman"/>
          <w:sz w:val="18"/>
          <w:szCs w:val="18"/>
          <w:color w:val="auto"/>
        </w:rPr>
      </w:pPr>
    </w:p>
    <w:p>
      <w:pPr>
        <w:ind w:left="1140" w:right="520" w:hanging="376"/>
        <w:spacing w:after="0" w:line="282"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 revenue of $266.9 million in the fourth quarter, representing 121.6% growth year-over-year, driven by Oncology volume growth of 29% and Hereditary volume growth of 23%</w:t>
      </w:r>
    </w:p>
    <w:p>
      <w:pPr>
        <w:spacing w:after="0" w:line="53" w:lineRule="exact"/>
        <w:rPr>
          <w:rFonts w:ascii="Times New Roman" w:cs="Times New Roman" w:eastAsia="Times New Roman" w:hAnsi="Times New Roman"/>
          <w:sz w:val="18"/>
          <w:szCs w:val="18"/>
          <w:color w:val="auto"/>
        </w:rPr>
      </w:pPr>
    </w:p>
    <w:p>
      <w:pPr>
        <w:ind w:left="1520" w:hanging="366"/>
        <w:spacing w:after="0"/>
        <w:tabs>
          <w:tab w:leader="none" w:pos="15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MRD volume was ~4,700 tests in the fourth quarter, up 56% quarter-over-quarter</w:t>
      </w:r>
    </w:p>
    <w:p>
      <w:pPr>
        <w:spacing w:after="0" w:line="157" w:lineRule="exact"/>
        <w:rPr>
          <w:rFonts w:ascii="Times New Roman" w:cs="Times New Roman" w:eastAsia="Times New Roman" w:hAnsi="Times New Roman"/>
          <w:sz w:val="18"/>
          <w:szCs w:val="18"/>
          <w:color w:val="auto"/>
        </w:rPr>
      </w:pPr>
    </w:p>
    <w:p>
      <w:pPr>
        <w:ind w:left="1140" w:right="520" w:hanging="376"/>
        <w:spacing w:after="0" w:line="282"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Applications revenue of $100.4 million in the fourth quarter, representing 25.1% year-over-year growth, with Insights (data licensing) growing 69.5%, excluding the impact of the AstraZeneca warrant in Q4 of 2024</w:t>
      </w:r>
    </w:p>
    <w:p>
      <w:pPr>
        <w:spacing w:after="0" w:line="53" w:lineRule="exact"/>
        <w:rPr>
          <w:rFonts w:ascii="Times New Roman" w:cs="Times New Roman" w:eastAsia="Times New Roman" w:hAnsi="Times New Roman"/>
          <w:sz w:val="18"/>
          <w:szCs w:val="18"/>
          <w:color w:val="auto"/>
        </w:rPr>
      </w:pPr>
    </w:p>
    <w:p>
      <w:pPr>
        <w:ind w:left="1520" w:hanging="366"/>
        <w:spacing w:after="0"/>
        <w:tabs>
          <w:tab w:leader="none" w:pos="15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year with over $1.1 billion in Total Remaining Contract Value and 126% Net Revenue Retention</w:t>
      </w:r>
    </w:p>
    <w:p>
      <w:pPr>
        <w:spacing w:after="0" w:line="157" w:lineRule="exact"/>
        <w:rPr>
          <w:rFonts w:ascii="Times New Roman" w:cs="Times New Roman" w:eastAsia="Times New Roman" w:hAnsi="Times New Roman"/>
          <w:sz w:val="18"/>
          <w:szCs w:val="18"/>
          <w:color w:val="auto"/>
        </w:rPr>
      </w:pPr>
    </w:p>
    <w:p>
      <w:pPr>
        <w:ind w:left="1120" w:hanging="356"/>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$759.7 million in cash and marketable securities as of December 31, 2025</w:t>
      </w:r>
    </w:p>
    <w:p>
      <w:pPr>
        <w:spacing w:after="0" w:line="144" w:lineRule="exact"/>
        <w:rPr>
          <w:rFonts w:ascii="Times New Roman" w:cs="Times New Roman" w:eastAsia="Times New Roman" w:hAnsi="Times New Roman"/>
          <w:sz w:val="18"/>
          <w:szCs w:val="18"/>
          <w:color w:val="auto"/>
        </w:rPr>
      </w:pPr>
    </w:p>
    <w:p>
      <w:pPr>
        <w:ind w:left="1120" w:hanging="356"/>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guidance of $1.59 billion for 2026 and expect full year 2026 Adjusted EBITDA of approximately $65 million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2025, Tempus continued to set the standard for what it means to be a technology company operating in the healthcare space,” said Eric Lefkofsky, Founder and CEO of Tempus. “The strength of our unit growth in diagnostics along with the accelerating growth of our data business is proof that we are unique in this space. As the network effects from our investments in AI continue to compound, we expect to not only drive significant growth over the next several years, but to also enhance the lives of millions of patients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Summary Results:</w:t>
      </w:r>
    </w:p>
    <w:p>
      <w:pPr>
        <w:spacing w:after="0" w:line="162" w:lineRule="exact"/>
        <w:rPr>
          <w:sz w:val="20"/>
          <w:szCs w:val="20"/>
          <w:color w:val="auto"/>
        </w:rPr>
      </w:pPr>
    </w:p>
    <w:p>
      <w:pPr>
        <w:ind w:left="1120" w:hanging="35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83.0% year-over-year to $367.2 million in the fourth quarter.</w:t>
      </w:r>
    </w:p>
    <w:p>
      <w:pPr>
        <w:spacing w:after="0" w:line="117" w:lineRule="exact"/>
        <w:rPr>
          <w:rFonts w:ascii="Times New Roman" w:cs="Times New Roman" w:eastAsia="Times New Roman" w:hAnsi="Times New Roman"/>
          <w:sz w:val="18"/>
          <w:szCs w:val="18"/>
          <w:color w:val="auto"/>
        </w:rPr>
      </w:pPr>
    </w:p>
    <w:p>
      <w:pPr>
        <w:ind w:left="1160" w:right="220" w:hanging="6"/>
        <w:spacing w:after="0" w:line="282" w:lineRule="auto"/>
        <w:tabs>
          <w:tab w:leader="none" w:pos="1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 generated $266.9 million of revenue in the quarter, representing 121.6% year-over-year growth, with Oncology volume growth of 29% year-over-year and Hereditary volume growth of 23%.</w:t>
      </w:r>
    </w:p>
    <w:p>
      <w:pPr>
        <w:spacing w:after="0" w:line="53" w:lineRule="exact"/>
        <w:rPr>
          <w:rFonts w:ascii="Times New Roman" w:cs="Times New Roman" w:eastAsia="Times New Roman" w:hAnsi="Times New Roman"/>
          <w:sz w:val="18"/>
          <w:szCs w:val="18"/>
          <w:color w:val="auto"/>
        </w:rPr>
      </w:pPr>
    </w:p>
    <w:p>
      <w:pPr>
        <w:ind w:left="1160" w:right="280" w:hanging="6"/>
        <w:spacing w:after="0" w:line="282" w:lineRule="auto"/>
        <w:tabs>
          <w:tab w:leader="none" w:pos="1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Applications generated $100.4 million of revenue in the quarter, representing 25.1% year-over-year growth, with Insights growing 69.5% (excluding the impact of the AstraZeneca warrant in Q4 of 2024).</w:t>
      </w:r>
    </w:p>
    <w:p>
      <w:pPr>
        <w:spacing w:after="0" w:line="94" w:lineRule="exact"/>
        <w:rPr>
          <w:rFonts w:ascii="Times New Roman" w:cs="Times New Roman" w:eastAsia="Times New Roman" w:hAnsi="Times New Roman"/>
          <w:sz w:val="18"/>
          <w:szCs w:val="18"/>
          <w:color w:val="auto"/>
        </w:rPr>
      </w:pPr>
    </w:p>
    <w:p>
      <w:pPr>
        <w:ind w:left="1120" w:hanging="35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94.7% year-over-year to $237.7 million, led by strong performance in Diagnostics.</w:t>
      </w:r>
    </w:p>
    <w:p>
      <w:pPr>
        <w:spacing w:after="0" w:line="144" w:lineRule="exact"/>
        <w:rPr>
          <w:rFonts w:ascii="Times New Roman" w:cs="Times New Roman" w:eastAsia="Times New Roman" w:hAnsi="Times New Roman"/>
          <w:sz w:val="18"/>
          <w:szCs w:val="18"/>
          <w:color w:val="auto"/>
        </w:rPr>
      </w:pPr>
    </w:p>
    <w:p>
      <w:pPr>
        <w:jc w:val="both"/>
        <w:ind w:left="1140" w:right="80" w:hanging="376"/>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($54.2 million), which included $48.7 million of stock compensation expense and related employer payroll taxes in the fourth quarter, compared to a net loss of ($13.0 million) in the fourth quarter of 2024 and a net loss of ($80.0 million) in the third quarter of 2025.</w:t>
      </w:r>
    </w:p>
    <w:p>
      <w:pPr>
        <w:spacing w:after="0" w:line="94" w:lineRule="exact"/>
        <w:rPr>
          <w:rFonts w:ascii="Times New Roman" w:cs="Times New Roman" w:eastAsia="Times New Roman" w:hAnsi="Times New Roman"/>
          <w:sz w:val="18"/>
          <w:szCs w:val="18"/>
          <w:color w:val="auto"/>
        </w:rPr>
      </w:pPr>
    </w:p>
    <w:p>
      <w:pPr>
        <w:ind w:left="1140" w:right="560" w:hanging="376"/>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improved to $12.9 million in the fourth quarter, compared to ($7.8 million) in the fourth quarter of 2024 and $1.5 million in the third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Summary Results:</w:t>
      </w:r>
    </w:p>
    <w:p>
      <w:pPr>
        <w:spacing w:after="0" w:line="121" w:lineRule="exact"/>
        <w:rPr>
          <w:sz w:val="20"/>
          <w:szCs w:val="20"/>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83.4% year-over-year to $1.3 billion in 2025.</w:t>
      </w:r>
    </w:p>
    <w:p>
      <w:pPr>
        <w:spacing w:after="0" w:line="117" w:lineRule="exact"/>
        <w:rPr>
          <w:rFonts w:ascii="Times New Roman" w:cs="Times New Roman" w:eastAsia="Times New Roman" w:hAnsi="Times New Roman"/>
          <w:sz w:val="18"/>
          <w:szCs w:val="18"/>
          <w:color w:val="auto"/>
        </w:rPr>
      </w:pPr>
    </w:p>
    <w:p>
      <w:pPr>
        <w:ind w:left="1160" w:right="60" w:hanging="6"/>
        <w:spacing w:after="0" w:line="282" w:lineRule="auto"/>
        <w:tabs>
          <w:tab w:leader="none" w:pos="1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 generated $955.4 million of revenue, or 111.5% year-over-year growth, with Oncology volume growth of 26% year-over-year and Hereditary volume growth of 29%.</w:t>
      </w:r>
    </w:p>
    <w:p>
      <w:pPr>
        <w:spacing w:after="0" w:line="53" w:lineRule="exact"/>
        <w:rPr>
          <w:rFonts w:ascii="Times New Roman" w:cs="Times New Roman" w:eastAsia="Times New Roman" w:hAnsi="Times New Roman"/>
          <w:sz w:val="18"/>
          <w:szCs w:val="18"/>
          <w:color w:val="auto"/>
        </w:rPr>
      </w:pPr>
    </w:p>
    <w:p>
      <w:pPr>
        <w:ind w:left="1520" w:hanging="366"/>
        <w:spacing w:after="0"/>
        <w:tabs>
          <w:tab w:leader="none" w:pos="1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Applications generated $316.4 million of revenue, accelerating 30.9% year-over-year, with Insights growth of 38.0%.</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year with over $1.1 billion in remaining Total Contract Value and Net Revenue Retention of 126%.</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to $797.9 million, representing 109.4% growth year-over-year.</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($245.0 million), which included $136.3 million of stock compensation expense and related employer payroll taxes.</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improved $97.3 million year-over-year to ($7.4 million), even after the acquisitions of Paige AI and OneOme.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Operational Highlights</w:t>
      </w:r>
    </w:p>
    <w:p>
      <w:pPr>
        <w:spacing w:after="0" w:line="121" w:lineRule="exact"/>
        <w:rPr>
          <w:sz w:val="20"/>
          <w:szCs w:val="20"/>
          <w:color w:val="auto"/>
        </w:rPr>
      </w:pPr>
    </w:p>
    <w:p>
      <w:pPr>
        <w:ind w:left="1160" w:right="120" w:hanging="388"/>
        <w:spacing w:after="0" w:line="266"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Paige Predict, an AI-powered digital pathology suite that analyzes standard H&amp;E slides to predict 123 biomarkers across 16 cancer types, helping clinicians make informed testing decisions even when tissue samples are limited, which improves Tempus’ ability to render insights across its genomic tests.</w:t>
      </w:r>
    </w:p>
    <w:p>
      <w:pPr>
        <w:spacing w:after="0" w:line="67" w:lineRule="exact"/>
        <w:rPr>
          <w:rFonts w:ascii="Times New Roman" w:cs="Times New Roman" w:eastAsia="Times New Roman" w:hAnsi="Times New Roman"/>
          <w:sz w:val="18"/>
          <w:szCs w:val="18"/>
          <w:color w:val="auto"/>
        </w:rPr>
      </w:pPr>
    </w:p>
    <w:p>
      <w:pPr>
        <w:ind w:left="1160" w:right="460" w:hanging="388"/>
        <w:spacing w:after="0" w:line="266"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results from a new study demonstrating that Tempus’ AI-driven Immune Profile Score (IPS) test more accurately predicts immunotherapy outcomes across various cancers than conventional biomarkers, identifying potential responders—including 13% of colorectal and 17% of rare cancer patients—who would otherwise be overlooked by standard testing.</w:t>
      </w:r>
    </w:p>
    <w:p>
      <w:pPr>
        <w:spacing w:after="0" w:line="67" w:lineRule="exact"/>
        <w:rPr>
          <w:rFonts w:ascii="Times New Roman" w:cs="Times New Roman" w:eastAsia="Times New Roman" w:hAnsi="Times New Roman"/>
          <w:sz w:val="18"/>
          <w:szCs w:val="18"/>
          <w:color w:val="auto"/>
        </w:rPr>
      </w:pPr>
    </w:p>
    <w:p>
      <w:pPr>
        <w:ind w:left="1160" w:right="500" w:hanging="388"/>
        <w:spacing w:after="0" w:line="266"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a multi-year strategic collaboration with NYU Langone Health, centered on a prospective observational study that uses serial molecular profiling to track cancer evolution and treatment resistance, with the goal of developing AI-powered diagnostic tools and personalized therapies.</w:t>
      </w:r>
    </w:p>
    <w:p>
      <w:pPr>
        <w:spacing w:after="0" w:line="67" w:lineRule="exact"/>
        <w:rPr>
          <w:rFonts w:ascii="Times New Roman" w:cs="Times New Roman" w:eastAsia="Times New Roman" w:hAnsi="Times New Roman"/>
          <w:sz w:val="18"/>
          <w:szCs w:val="18"/>
          <w:color w:val="auto"/>
        </w:rPr>
      </w:pPr>
    </w:p>
    <w:p>
      <w:pPr>
        <w:ind w:left="1160" w:right="280" w:hanging="388"/>
        <w:spacing w:after="0" w:line="282"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Northwestern Medicine to expand genomic testing access to oncology patients across the health system, leveraging Tempus' full suite of DNA, RNA, liquid biopsy, and MRD tests to enable more personalized cancer care and clinical trial design.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Results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r>
      <w:tr>
        <w:trPr>
          <w:trHeight w:val="227"/>
        </w:trPr>
        <w:tc>
          <w:tcPr>
            <w:tcW w:w="5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 except percentages and per share amounts)</w:t>
            </w:r>
          </w:p>
        </w:tc>
      </w:tr>
      <w:tr>
        <w:trPr>
          <w:trHeight w:val="181"/>
        </w:trPr>
        <w:tc>
          <w:tcPr>
            <w:tcW w:w="5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367,211</w:t>
            </w:r>
          </w:p>
        </w:tc>
        <w:tc>
          <w:tcPr>
            <w:tcW w:w="160" w:type="dxa"/>
            <w:vAlign w:val="bottom"/>
          </w:tcPr>
          <w:p>
            <w:pPr>
              <w:spacing w:after="0"/>
              <w:rPr>
                <w:sz w:val="20"/>
                <w:szCs w:val="20"/>
                <w:color w:val="auto"/>
              </w:rPr>
            </w:pP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1,271,789</w:t>
            </w:r>
          </w:p>
        </w:tc>
        <w:tc>
          <w:tcPr>
            <w:tcW w:w="180" w:type="dxa"/>
            <w:vAlign w:val="bottom"/>
          </w:tcPr>
          <w:p>
            <w:pPr>
              <w:spacing w:after="0"/>
              <w:rPr>
                <w:sz w:val="20"/>
                <w:szCs w:val="20"/>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Year-over-year growth</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83.0%</w:t>
            </w:r>
          </w:p>
        </w:tc>
        <w:tc>
          <w:tcPr>
            <w:tcW w:w="5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83.4%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237,713</w:t>
            </w:r>
          </w:p>
        </w:tc>
        <w:tc>
          <w:tcPr>
            <w:tcW w:w="160" w:type="dxa"/>
            <w:vAlign w:val="bottom"/>
          </w:tcPr>
          <w:p>
            <w:pPr>
              <w:spacing w:after="0"/>
              <w:rPr>
                <w:sz w:val="18"/>
                <w:szCs w:val="18"/>
                <w:color w:val="auto"/>
              </w:rPr>
            </w:pP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797,897</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(61,413)</w:t>
            </w:r>
          </w:p>
        </w:tc>
        <w:tc>
          <w:tcPr>
            <w:tcW w:w="5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(252,872)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(54,166)</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(245,028)</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and Guidance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Tempus is providing full year 2026 revenue guidance of approximately $1.59 billion, which represents ~25% annual growth. We expect 2026 Adjusted EBITDA to be ~$65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quarter, including a letter from our CEO and CFO, please visit our investor relations site at investors.tempus.com.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conference call and webcast will begin today, February 24, 2026 after market close at 4:30 p.m. Eastern Time. Interested parties may access details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4652845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 New York: (646) 307-1963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&amp; Canada - Toll-Free: (800) 715-9871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webcast: https://edge.media-server.com/mmc/p/c83akphq/</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webcast may be accessed on the company’s investor relations website at investors.tempus.com.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to the financial information presented in this release in accordance with accounting principles generally accepted in the United States of America (GAAP), Tempus also presents adjusted non-GAAP financial measures.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Non-GAAP gross profit </w:t>
      </w:r>
      <w:r>
        <w:rPr>
          <w:rFonts w:ascii="Times New Roman" w:cs="Times New Roman" w:eastAsia="Times New Roman" w:hAnsi="Times New Roman"/>
          <w:sz w:val="18"/>
          <w:szCs w:val="18"/>
          <w:color w:val="auto"/>
        </w:rPr>
        <w:t>is defined as GAAP gross profit, excluding stock-based compensation expense and employer payroll tax related to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(collectively, the “stock-based compensation adjustments”). </w:t>
      </w:r>
      <w:r>
        <w:rPr>
          <w:rFonts w:ascii="Times New Roman" w:cs="Times New Roman" w:eastAsia="Times New Roman" w:hAnsi="Times New Roman"/>
          <w:sz w:val="18"/>
          <w:szCs w:val="18"/>
          <w:b w:val="1"/>
          <w:bCs w:val="1"/>
          <w:color w:val="auto"/>
        </w:rPr>
        <w:t>Non-GAAP gross margin</w:t>
      </w:r>
      <w:r>
        <w:rPr>
          <w:rFonts w:ascii="Times New Roman" w:cs="Times New Roman" w:eastAsia="Times New Roman" w:hAnsi="Times New Roman"/>
          <w:sz w:val="18"/>
          <w:szCs w:val="18"/>
          <w:color w:val="auto"/>
        </w:rPr>
        <w:t xml:space="preserve"> is defined as gross profit, excluding the stock-based compensation adjustments, as a percentage of revenue. </w:t>
      </w:r>
      <w:r>
        <w:rPr>
          <w:rFonts w:ascii="Times New Roman" w:cs="Times New Roman" w:eastAsia="Times New Roman" w:hAnsi="Times New Roman"/>
          <w:sz w:val="18"/>
          <w:szCs w:val="18"/>
          <w:b w:val="1"/>
          <w:bCs w:val="1"/>
          <w:color w:val="auto"/>
        </w:rPr>
        <w:t>Non-GAAP operating expenses</w:t>
      </w:r>
      <w:r>
        <w:rPr>
          <w:rFonts w:ascii="Times New Roman" w:cs="Times New Roman" w:eastAsia="Times New Roman" w:hAnsi="Times New Roman"/>
          <w:sz w:val="18"/>
          <w:szCs w:val="18"/>
          <w:color w:val="auto"/>
        </w:rPr>
        <w:t xml:space="preserve"> are calculated as the sum of technology research and development expense, research and development expense, and selling, general and administrative expense, excluding the stock-based compensation adjustments, acquisition-related expenses, amortization of intangibles due to acquisition, and franchise taxes related to our IPO. </w:t>
      </w:r>
      <w:r>
        <w:rPr>
          <w:rFonts w:ascii="Times New Roman" w:cs="Times New Roman" w:eastAsia="Times New Roman" w:hAnsi="Times New Roman"/>
          <w:sz w:val="18"/>
          <w:szCs w:val="18"/>
          <w:b w:val="1"/>
          <w:bCs w:val="1"/>
          <w:color w:val="auto"/>
        </w:rPr>
        <w:t>Non-GAAP loss from operations</w:t>
      </w:r>
      <w:r>
        <w:rPr>
          <w:rFonts w:ascii="Times New Roman" w:cs="Times New Roman" w:eastAsia="Times New Roman" w:hAnsi="Times New Roman"/>
          <w:sz w:val="18"/>
          <w:szCs w:val="18"/>
          <w:color w:val="auto"/>
        </w:rPr>
        <w:t xml:space="preserve"> is defined as loss from operations, adjusted to exclude (i) stock-based compensation expense, (ii) employer payroll tax related to stock-based compensation expense, (iii) acquisition-related expenses, (iv) franchise taxes related to our IPO, and (v) amortization of intangibles due to acquisition. </w:t>
      </w:r>
      <w:r>
        <w:rPr>
          <w:rFonts w:ascii="Times New Roman" w:cs="Times New Roman" w:eastAsia="Times New Roman" w:hAnsi="Times New Roman"/>
          <w:sz w:val="18"/>
          <w:szCs w:val="18"/>
          <w:b w:val="1"/>
          <w:bCs w:val="1"/>
          <w:color w:val="auto"/>
        </w:rPr>
        <w:t>Non-GAAP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is defined as net loss, adjusted to exclude (i) changes in fair value of our warrant liability, warrant asset, marketable equity securities,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liabilities and indemnity-related holdback liabilities, (ii) stock-based compensation expense, (iii) employer payroll tax related to stock-based compensation expense, (iv) acquisition-related expenses, (v) amortization of intangibles due to acquisition, (vi) losses from equity method investments,</w:t>
      </w:r>
    </w:p>
    <w:p>
      <w:pPr>
        <w:ind w:firstLine="8"/>
        <w:spacing w:after="0" w:line="253" w:lineRule="auto"/>
        <w:tabs>
          <w:tab w:leader="none" w:pos="3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(benefit from) provision for income taxes, (viii) the payment of $2.3 million of our Series G-4 convertible preferred stock in connection with the initial public offering (the "G-4 Special Payment"), (ix) franchise taxes related to our IPO, (x) other tax expense, (xi) loss on debt extinguishment, and (xii) amortization of deferred other income from our IP License Agreement with SB Tempus. </w:t>
      </w:r>
      <w:r>
        <w:rPr>
          <w:rFonts w:ascii="Times New Roman" w:cs="Times New Roman" w:eastAsia="Times New Roman" w:hAnsi="Times New Roman"/>
          <w:sz w:val="18"/>
          <w:szCs w:val="18"/>
          <w:b w:val="1"/>
          <w:bCs w:val="1"/>
          <w:color w:val="auto"/>
        </w:rPr>
        <w:t>Non-GAAP net loss per share</w:t>
      </w:r>
      <w:r>
        <w:rPr>
          <w:rFonts w:ascii="Times New Roman" w:cs="Times New Roman" w:eastAsia="Times New Roman" w:hAnsi="Times New Roman"/>
          <w:sz w:val="18"/>
          <w:szCs w:val="18"/>
          <w:color w:val="auto"/>
        </w:rPr>
        <w:t xml:space="preserve"> is defined as non-GAAP net loss divided by weighted average common shares outstanding, basic and diluted.</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defined as net loss, adjusted to exclude (i) interest income, (ii) interest expense, (iii) depreciation and amortization, (iv)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provision for income taxes, (v) losses from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w:t>
      </w:r>
      <w:r>
        <w:rPr>
          <w:rFonts w:ascii="Times New Roman" w:cs="Times New Roman" w:eastAsia="Times New Roman" w:hAnsi="Times New Roman"/>
          <w:sz w:val="18"/>
          <w:szCs w:val="18"/>
          <w:color w:val="231F20"/>
        </w:rPr>
        <w:t>acquisition-related expenses</w:t>
      </w:r>
      <w:r>
        <w:rPr>
          <w:rFonts w:ascii="Times New Roman" w:cs="Times New Roman" w:eastAsia="Times New Roman" w:hAnsi="Times New Roman"/>
          <w:sz w:val="18"/>
          <w:szCs w:val="18"/>
          <w:color w:val="auto"/>
        </w:rPr>
        <w:t>, (x) the G-4 Special Payment, (xi) amortization of deferred other income from our IP License Agreement with SB Tempus, (xii) franchise taxes related to our IPO, (xiii) other tax expense and (xiv) loss on debt extinguishment.</w:t>
      </w:r>
    </w:p>
    <w:p>
      <w:pPr>
        <w:spacing w:after="0" w:line="1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Tempus does not provide guidance for net loss, the most directly comparable GAAP measure to Adjusted EBITDA, and similarly cannot provide a reconciliation between Tempus’ forecasted Adjusted EBITDA and net loss without unreasonable effort due to the unavailability of reliable estimates for certain components of net loss and the respective reconciliations. These forecasted items are not within Tempus’ control, may vary greatly between periods, and could significantly impact future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Metrics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Remaining Contract Value (TCV) </w:t>
      </w:r>
      <w:r>
        <w:rPr>
          <w:rFonts w:ascii="Times New Roman" w:cs="Times New Roman" w:eastAsia="Times New Roman" w:hAnsi="Times New Roman"/>
          <w:sz w:val="18"/>
          <w:szCs w:val="18"/>
          <w:color w:val="auto"/>
        </w:rPr>
        <w:t>is equal to the total potential value of signed contracts and assumes the exercise of all contract options,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discretionary opt-ins, and no early termination. Remaining TCV excludes any revenue recognized to date on these contracts or any future adjustments made to the contractual value as a result of amendments or terminations.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compares the annual Insights product revenue generated from all customers that made an Insights purchase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one year to the annual Insights product revenue generated from the same cohort of customers in the subsequent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2026; and Tempus ability to drive significant growth over the next several years and enhance the lives of millions of patients.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Paige AI, Ambry Genetics and Deep 6 AI; the potential adverse impact of climate change, natural disasters, health epidemics, macroeconomic conditions, trade tensions and tariffs, and war or other armed conflict, as well as risks, uncertainties, and other factors described in the section titled “Risk Factors” in Tempus’ Form 10-K for the year ended December 31, 2025, filed with the Securities and Exchange Commission (“the SEC”) on February 24, 2026.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Hanah Heintzelman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955,381</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451,749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12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Data and applications</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316,408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1,271,789</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693,398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12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diagnostics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12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revenues, data and applications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2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95,155</w:t>
            </w:r>
          </w:p>
        </w:tc>
        <w:tc>
          <w:tcPr>
            <w:tcW w:w="12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90,343</w:t>
            </w:r>
          </w:p>
        </w:tc>
        <w:tc>
          <w:tcPr>
            <w:tcW w:w="12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12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1,524,661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1,384,480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(252,872)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(691,082)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(196,083)</w:t>
            </w:r>
          </w:p>
        </w:tc>
      </w:tr>
      <w:tr>
        <w:trPr>
          <w:trHeight w:val="209"/>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2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(70,267)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(53,653)</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(46,869)</w:t>
            </w: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(12,034)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20" w:type="dxa"/>
            <w:vAlign w:val="bottom"/>
          </w:tcPr>
          <w:p>
            <w:pPr>
              <w:spacing w:after="0"/>
              <w:rPr>
                <w:sz w:val="18"/>
                <w:szCs w:val="18"/>
                <w:color w:val="auto"/>
              </w:rPr>
            </w:pPr>
          </w:p>
        </w:tc>
      </w:tr>
      <w:tr>
        <w:trPr>
          <w:trHeight w:val="210"/>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(291,098)</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(701,315)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(213,529)</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(4,228)</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6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(245,028)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(214,118)</w:t>
            </w:r>
          </w:p>
        </w:tc>
      </w:tr>
      <w:tr>
        <w:trPr>
          <w:trHeight w:val="20"/>
        </w:trPr>
        <w:tc>
          <w:tcPr>
            <w:tcW w:w="6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20" w:type="dxa"/>
            <w:vAlign w:val="bottom"/>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(4,338)</w:t>
            </w:r>
          </w:p>
        </w:tc>
      </w:tr>
      <w:tr>
        <w:trPr>
          <w:trHeight w:val="216"/>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300" w:type="dxa"/>
            <w:vAlign w:val="bottom"/>
          </w:tcPr>
          <w:p>
            <w:pPr>
              <w:spacing w:after="0"/>
              <w:rPr>
                <w:sz w:val="18"/>
                <w:szCs w:val="18"/>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(39,347)</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(44,497)</w:t>
            </w:r>
          </w:p>
        </w:tc>
      </w:tr>
      <w:tr>
        <w:trPr>
          <w:trHeight w:val="216"/>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(1,174)</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(3,011)</w:t>
            </w:r>
          </w:p>
        </w:tc>
      </w:tr>
      <w:tr>
        <w:trPr>
          <w:trHeight w:val="20"/>
        </w:trPr>
        <w:tc>
          <w:tcPr>
            <w:tcW w:w="6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(245,028)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(746,330)</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(265,964)</w:t>
            </w: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63,306</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(245,028)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(705,809)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(214,118)</w:t>
            </w:r>
          </w:p>
        </w:tc>
      </w:tr>
      <w:tr>
        <w:trPr>
          <w:trHeight w:val="216"/>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(244,220)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(705,720)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(214,131)</w:t>
            </w:r>
          </w:p>
        </w:tc>
      </w:tr>
      <w:tr>
        <w:trPr>
          <w:trHeight w:val="20"/>
        </w:trPr>
        <w:tc>
          <w:tcPr>
            <w:tcW w:w="6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-3822700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-3822700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-3822700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-2716530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-2716530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-2716530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-1010920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-1010920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-153670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revenue of $65,251, $4,502 and $673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100" w:type="dxa"/>
            <w:vAlign w:val="bottom"/>
            <w:shd w:val="clear" w:color="auto" w:fill="CFF0FC"/>
          </w:tcPr>
          <w:p>
            <w:pPr>
              <w:spacing w:after="0"/>
              <w:rPr>
                <w:sz w:val="18"/>
                <w:szCs w:val="18"/>
                <w:color w:val="auto"/>
              </w:rPr>
            </w:pPr>
          </w:p>
        </w:tc>
      </w:tr>
      <w:tr>
        <w:trPr>
          <w:trHeight w:val="198"/>
        </w:trPr>
        <w:tc>
          <w:tcPr>
            <w:tcW w:w="7540" w:type="dxa"/>
            <w:vAlign w:val="bottom"/>
          </w:tcPr>
          <w:p>
            <w:pPr>
              <w:ind w:left="160"/>
              <w:spacing w:after="0" w:line="198" w:lineRule="exact"/>
              <w:rPr>
                <w:sz w:val="20"/>
                <w:szCs w:val="20"/>
                <w:color w:val="auto"/>
              </w:rPr>
            </w:pPr>
            <w:r>
              <w:rPr>
                <w:rFonts w:ascii="Times New Roman" w:cs="Times New Roman" w:eastAsia="Times New Roman" w:hAnsi="Times New Roman"/>
                <w:sz w:val="17"/>
                <w:szCs w:val="17"/>
                <w:color w:val="auto"/>
              </w:rPr>
              <w:t>Accounts receivable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net of allowances of $2,755 and $1,141 at December 31, 2025 and 2024,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311,170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asset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150,211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667,603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party asset, less current portion</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4"/>
                <w:szCs w:val="24"/>
                <w:color w:val="auto"/>
                <w:vertAlign w:val="superscript"/>
              </w:rPr>
              <w:t>(2)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other income</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372,388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291,070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202,753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267,244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1,783,512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-3093720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related party accounts receivable of $6,428 and $4,287 as of December 31, 2025 and 2024, respectively.</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related party deferred revenue of $3,938 and $0 as of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1787525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498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20,000,000 shares authorized at December 31,</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2024, respectively, no shares issued and outstanding at December 31, 2025 and 2024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at December 31, 2025 and</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 173,235,428 and 157,076,972 shares issued and outstanding at December 31, 2025 and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198"/>
        </w:trPr>
        <w:tc>
          <w:tcPr>
            <w:tcW w:w="80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5,500,000 shares authorized at December 31, 2025 and 2024,</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 5,043,789 issued and outstanding at December 31, 2025 and 2024, respectively</w:t>
            </w:r>
          </w:p>
        </w:tc>
        <w:tc>
          <w:tcPr>
            <w:tcW w:w="4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shares authorized at December 31, 2025 and 2024,</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no shares issued and outstanding at December 31, 2025, and 2024, respectively</w:t>
            </w:r>
          </w:p>
        </w:tc>
        <w:tc>
          <w:tcPr>
            <w:tcW w:w="4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Stock, 183,229 and 145,466 shares at December 31, 2025 and 2024, respectively, at cost</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(6,642)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2,210,664</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(2,395,862)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(2,150,834)</w:t>
            </w:r>
          </w:p>
        </w:tc>
      </w:tr>
      <w:tr>
        <w:trPr>
          <w:trHeight w:val="209"/>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491,326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equity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2,274,838</w:t>
            </w:r>
          </w:p>
        </w:tc>
        <w:tc>
          <w:tcPr>
            <w:tcW w:w="14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95"/>
        </w:trPr>
        <w:tc>
          <w:tcPr>
            <w:tcW w:w="8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-890905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(245,028)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(705,809)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(214,118)</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warrant termination</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(39,100)</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Reversal of warrant contract asset amortization</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(16,301)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warrant exercise</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(16,471)</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(12,110)</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(9,807)</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(52,665)</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holdback liability</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(1,337)</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(18,302)</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(90,402)</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(61,037)</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(7,347)</w:t>
            </w: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(3,369)</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(9,541)</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(6,563)</w:t>
            </w: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(1,699)</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(13,683)</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(6,474)</w:t>
            </w: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(17,301)</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(4,209)</w:t>
            </w: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(7,241)</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(23,852)</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(23,363)</w:t>
            </w: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asset</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8"/>
                <w:szCs w:val="18"/>
                <w:color w:val="auto"/>
              </w:rPr>
              <w:t>Deferred revenue</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(6,960)</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(20,942)</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(26,412)</w:t>
            </w: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other income</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(9,121)</w:t>
            </w: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(12,844)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(14,948)</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(8,553)</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(8,761)</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(218,090)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(189,045)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(214,339)</w:t>
            </w: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40" w:firstLine="8"/>
        <w:spacing w:after="0" w:line="242" w:lineRule="auto"/>
        <w:tabs>
          <w:tab w:leader="none" w:pos="18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increase in related party accounts receivable of $2,141 and $4,203 as of December 31, 2025 and 2024, respectively. Includes decrease in related party accounts receivable of $318 as of December 31, 2023.</w:t>
      </w:r>
    </w:p>
    <w:p>
      <w:pPr>
        <w:spacing w:after="0" w:line="167" w:lineRule="exact"/>
        <w:rPr>
          <w:rFonts w:ascii="Times New Roman" w:cs="Times New Roman" w:eastAsia="Times New Roman" w:hAnsi="Times New Roman"/>
          <w:sz w:val="22"/>
          <w:szCs w:val="22"/>
          <w:color w:val="auto"/>
          <w:vertAlign w:val="superscript"/>
        </w:rPr>
      </w:pPr>
    </w:p>
    <w:p>
      <w:pPr>
        <w:ind w:left="200" w:hanging="192"/>
        <w:spacing w:after="0"/>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increase in related party deferred revenue of $3,938 , $0 and $0 as of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1376045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(21,049)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(22,121)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(34,608)</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equity securities</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(36,183)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(376,666)</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(95,186)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(6,216)</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(398,355)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(130,392)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(40,313)</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connection with initial public offering, net of</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381,951</w:t>
            </w:r>
          </w:p>
        </w:tc>
        <w:tc>
          <w:tcPr>
            <w:tcW w:w="22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related to net share settlement of restricted stock units</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(69,918)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Series G-4 Preferred Stock, net of offering costs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G-5 Preferred Stock</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(3,040)</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(8,766)</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revolving credit facility, net of original issue discount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convertible senior notes, net of initial purchasers' discount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726,497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G-4 Special Payment</w:t>
            </w:r>
          </w:p>
        </w:tc>
        <w:tc>
          <w:tcPr>
            <w:tcW w:w="280" w:type="dxa"/>
            <w:vAlign w:val="bottom"/>
          </w:tcPr>
          <w:p>
            <w:pPr>
              <w:spacing w:after="0"/>
              <w:rPr>
                <w:sz w:val="18"/>
                <w:szCs w:val="18"/>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(276,892)</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Prepayment premium on long-term debt</w:t>
            </w:r>
          </w:p>
        </w:tc>
        <w:tc>
          <w:tcPr>
            <w:tcW w:w="280" w:type="dxa"/>
            <w:vAlign w:val="bottom"/>
          </w:tcPr>
          <w:p>
            <w:pPr>
              <w:spacing w:after="0"/>
              <w:rPr>
                <w:sz w:val="18"/>
                <w:szCs w:val="18"/>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(7,841)</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capped call</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(41,775)</w:t>
            </w:r>
          </w:p>
        </w:tc>
        <w:tc>
          <w:tcPr>
            <w:tcW w:w="28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195,499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884,123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494,329</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267,616</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175,228</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(137,124)</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609,451</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22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7"/>
        </w:trPr>
        <w:tc>
          <w:tcPr>
            <w:tcW w:w="690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-6445885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-6445885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-6445885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-3136900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-2571115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-2571115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-1704975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-1687830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-1704975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-1687830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22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654</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Marketable equity securities received on accounts receivable</w:t>
            </w:r>
          </w:p>
        </w:tc>
        <w:tc>
          <w:tcPr>
            <w:tcW w:w="44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32,000</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22,000</w:t>
            </w:r>
          </w:p>
        </w:tc>
        <w:tc>
          <w:tcPr>
            <w:tcW w:w="22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6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2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5,535</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4,292</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32,008</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24,932</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Deferred financing fees, accrued but not yet paid</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Reclassification of deferred offering costs to additional paid-in capital upon at-the-market</w:t>
            </w:r>
          </w:p>
        </w:tc>
        <w:tc>
          <w:tcPr>
            <w:tcW w:w="140" w:type="dxa"/>
            <w:vAlign w:val="bottom"/>
            <w:vMerge w:val="restart"/>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68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offering</w:t>
            </w:r>
          </w:p>
        </w:tc>
        <w:tc>
          <w:tcPr>
            <w:tcW w:w="1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22,670</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1,997</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in connection with</w:t>
            </w:r>
          </w:p>
        </w:tc>
        <w:tc>
          <w:tcPr>
            <w:tcW w:w="140" w:type="dxa"/>
            <w:vAlign w:val="bottom"/>
            <w:vMerge w:val="restart"/>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1,348,809</w:t>
            </w:r>
          </w:p>
        </w:tc>
        <w:tc>
          <w:tcPr>
            <w:tcW w:w="2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68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initial public offering</w:t>
            </w:r>
          </w:p>
        </w:tc>
        <w:tc>
          <w:tcPr>
            <w:tcW w:w="1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Taxes related to net share settlement of restricted stock units not yet paid</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Reclassification of deferred offering costs to additional paid-in capital upon initial public</w:t>
            </w:r>
          </w:p>
        </w:tc>
        <w:tc>
          <w:tcPr>
            <w:tcW w:w="140" w:type="dxa"/>
            <w:vAlign w:val="bottom"/>
            <w:vMerge w:val="restart"/>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2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68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offering</w:t>
            </w:r>
          </w:p>
        </w:tc>
        <w:tc>
          <w:tcPr>
            <w:tcW w:w="1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Class A Common Stock issued in connection with business combinations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403,154</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Class A Common Stock issued in connection with license agreement</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1,443</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3,809</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G-4 Preferred Stock</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warrant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common stock in connection with contingent consideration</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4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Convertible promissory note principal reset due to amendment</w:t>
            </w:r>
          </w:p>
        </w:tc>
        <w:tc>
          <w:tcPr>
            <w:tcW w:w="440" w:type="dxa"/>
            <w:vAlign w:val="bottom"/>
            <w:gridSpan w:val="2"/>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72,488</w:t>
            </w:r>
          </w:p>
        </w:tc>
        <w:tc>
          <w:tcPr>
            <w:tcW w:w="5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94"/>
        </w:trPr>
        <w:tc>
          <w:tcPr>
            <w:tcW w:w="68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-4773930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-4756785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-4773930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-4756785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-4448175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-4431030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-4448175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-4431030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-4011295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-3994150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-4011295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-3994150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-3685540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-3668395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-3685540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-3668395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-3359785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-3342640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-3359785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-3342640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-3034030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-3016885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-3034030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-3016885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-2596515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-2579370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-2596515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-2579370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-2159635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-2142490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-2159635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-2142490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-1722120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-1704975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-1722120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-1704975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-1396365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-1379220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-1396365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-1379220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-1070610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-1053465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-1070610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-744855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-728345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-744855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-728345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Diagnostics Gross Profit &amp; Gross Margin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Diagnostics revenue</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266,856</w:t>
            </w:r>
          </w:p>
        </w:tc>
        <w:tc>
          <w:tcPr>
            <w:tcW w:w="180" w:type="dxa"/>
            <w:vAlign w:val="bottom"/>
            <w:tcBorders>
              <w:right w:val="single" w:sz="8" w:color="CFF0FC"/>
            </w:tcBorders>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120,434</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955,381</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451,749</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revenues, diagnostics</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diagnostics</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163,936</w:t>
            </w:r>
          </w:p>
        </w:tc>
        <w:tc>
          <w:tcPr>
            <w:tcW w:w="180" w:type="dxa"/>
            <w:vAlign w:val="bottom"/>
            <w:tcBorders>
              <w:right w:val="single" w:sz="8" w:color="CFF0FC"/>
            </w:tcBorders>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58,252</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569,279</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208,282</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diagnostics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166,109</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59,760</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575,876</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Diagnostics gross margin</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tcBorders>
              <w:right w:val="single" w:sz="8" w:color="CFF0FC"/>
            </w:tcBorders>
            <w:gridSpan w:val="3"/>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diagnostics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applications Gross Profit &amp; Gross Margin</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Data and applications revenue</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100,355</w:t>
            </w: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80,246</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316,408</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241,649</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revenues, data and applications</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data and applications</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73,777</w:t>
            </w: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228,618</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172,831</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data and applications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231,977</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 data and applications</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tcBorders>
              <w:right w:val="single" w:sz="8" w:color="CFF0FC"/>
            </w:tcBorders>
            <w:gridSpan w:val="3"/>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data and applications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Gross Profit &amp; Gross Margin</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revenue</w:t>
            </w: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367,211</w:t>
            </w:r>
          </w:p>
        </w:tc>
        <w:tc>
          <w:tcPr>
            <w:tcW w:w="180" w:type="dxa"/>
            <w:vAlign w:val="bottom"/>
            <w:tcBorders>
              <w:right w:val="single" w:sz="8" w:color="CFF0FC"/>
            </w:tcBorders>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200,680</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1,271,789</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693,398</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237,713</w:t>
            </w:r>
          </w:p>
        </w:tc>
        <w:tc>
          <w:tcPr>
            <w:tcW w:w="180" w:type="dxa"/>
            <w:vAlign w:val="bottom"/>
            <w:tcBorders>
              <w:right w:val="single" w:sz="8" w:color="CFF0FC"/>
            </w:tcBorders>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122,064</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797,897</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381,113</w:t>
            </w:r>
          </w:p>
        </w:tc>
        <w:tc>
          <w:tcPr>
            <w:tcW w:w="1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240,827</w:t>
            </w:r>
          </w:p>
        </w:tc>
        <w:tc>
          <w:tcPr>
            <w:tcW w:w="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124,159</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807,853</w:t>
            </w:r>
          </w:p>
        </w:tc>
        <w:tc>
          <w:tcPr>
            <w:tcW w:w="2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404,087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tcBorders>
              <w:right w:val="single" w:sz="8" w:color="CFF0FC"/>
            </w:tcBorders>
            <w:gridSpan w:val="3"/>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4"/>
        </w:trPr>
        <w:tc>
          <w:tcPr>
            <w:tcW w:w="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-5674360</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-5674360</wp:posOffset>
            </wp:positionV>
            <wp:extent cx="111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-5674360</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-5674360</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-5091430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-5091430</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-5091430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-5091430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-3573780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-3573780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-3573780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-3573780</wp:posOffset>
            </wp:positionV>
            <wp:extent cx="111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-2990850</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-2990850</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-2990850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-2990850</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-1473835</wp:posOffset>
            </wp:positionV>
            <wp:extent cx="111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-1473835</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-1473835</wp:posOffset>
            </wp:positionV>
            <wp:extent cx="111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-1473835</wp:posOffset>
            </wp:positionV>
            <wp:extent cx="1111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-890905</wp:posOffset>
            </wp:positionV>
            <wp:extent cx="111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-890905</wp:posOffset>
            </wp:positionV>
            <wp:extent cx="1111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-890905</wp:posOffset>
            </wp:positionV>
            <wp:extent cx="111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-890905</wp:posOffset>
            </wp:positionV>
            <wp:extent cx="1111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167,519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58,473</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Non-GAAP technology 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50,471</w:t>
            </w:r>
          </w:p>
        </w:tc>
        <w:tc>
          <w:tcPr>
            <w:tcW w:w="5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29,612</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172,924</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149,325</w:t>
            </w: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100,121</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208,508</w:t>
            </w:r>
          </w:p>
        </w:tc>
        <w:tc>
          <w:tcPr>
            <w:tcW w:w="5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111,288</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731,738</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755,351</w:t>
            </w: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405,872</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158,278</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569,618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338,360</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299,126</w:t>
            </w:r>
          </w:p>
        </w:tc>
        <w:tc>
          <w:tcPr>
            <w:tcW w:w="5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172,764</w:t>
            </w:r>
          </w:p>
        </w:tc>
        <w:tc>
          <w:tcPr>
            <w:tcW w:w="4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1,050,769</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1,072,195</w:t>
            </w:r>
          </w:p>
        </w:tc>
        <w:tc>
          <w:tcPr>
            <w:tcW w:w="100" w:type="dxa"/>
            <w:vAlign w:val="bottom"/>
          </w:tcPr>
          <w:p>
            <w:pPr>
              <w:spacing w:after="0"/>
              <w:rPr>
                <w:sz w:val="17"/>
                <w:szCs w:val="17"/>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511,983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544,780</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-2742565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-2742565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-2742565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-2159635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-2159635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-2159635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-1019175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-1002665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-1019175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-1002665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-1019175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-1002665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520" w:right="220" w:hanging="512"/>
        <w:spacing w:after="0" w:line="282" w:lineRule="auto"/>
        <w:tabs>
          <w:tab w:leader="none" w:pos="371"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incurred for acquisitions during the three months and years ended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5"/>
                <w:szCs w:val="15"/>
                <w:color w:val="auto"/>
              </w:rPr>
            </w:pPr>
          </w:p>
        </w:tc>
        <w:tc>
          <w:tcPr>
            <w:tcW w:w="24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(54,166)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(13,014)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(245,028)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(705,809)</w:t>
            </w: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(47,753)</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(17,807)</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(27,868)</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(51,684)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G-4 Special Payment</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tax expense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(3,988)</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(15,955)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(7,977)</w:t>
            </w:r>
          </w:p>
        </w:tc>
      </w:tr>
      <w:tr>
        <w:trPr>
          <w:trHeight w:val="20"/>
        </w:trPr>
        <w:tc>
          <w:tcPr>
            <w:tcW w:w="5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(105,819)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(184,521)</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166,398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-445135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-445135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0" w:hanging="148"/>
        <w:spacing w:after="0" w:line="261" w:lineRule="auto"/>
        <w:rPr>
          <w:sz w:val="20"/>
          <w:szCs w:val="20"/>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ind w:right="860" w:hanging="148"/>
        <w:spacing w:after="0" w:line="260" w:lineRule="auto"/>
        <w:rPr>
          <w:sz w:val="20"/>
          <w:szCs w:val="20"/>
          <w:color w:val="auto"/>
        </w:rPr>
      </w:pPr>
      <w:r>
        <w:rPr>
          <w:rFonts w:ascii="Times New Roman" w:cs="Times New Roman" w:eastAsia="Times New Roman" w:hAnsi="Times New Roman"/>
          <w:sz w:val="18"/>
          <w:szCs w:val="18"/>
          <w:color w:val="auto"/>
        </w:rPr>
        <w:t>Acquisition related expenses consist of legal, diligence, accounting, and financing costs, as well as a gain on bargain purchase, incurred for acquisitions during the three months and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817245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0" w:space="400"/>
            <w:col w:w="10720"/>
          </w:cols>
          <w:pgMar w:left="320" w:top="76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5"/>
                <w:szCs w:val="15"/>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4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(54,166)</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(13,014)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(245,028)</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(705,809)</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(5,122)</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(3,546)</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(12,628)</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(11,084)</w:t>
            </w: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(51,684)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(23,086)</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(136,749)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(625,729)</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(13,366)</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(47,753)</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(17,807)</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(27,868)</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G-4 Special Payment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(3,989)</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(3,988)</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(15,955)</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(7,977)</w:t>
            </w: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tax expense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(104,707)</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600" w:hanging="512"/>
        <w:spacing w:after="0" w:line="261" w:lineRule="auto"/>
        <w:tabs>
          <w:tab w:leader="none" w:pos="371"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ind w:left="520" w:right="860" w:hanging="512"/>
        <w:spacing w:after="0" w:line="260" w:lineRule="auto"/>
        <w:tabs>
          <w:tab w:leader="none" w:pos="371"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as well as a gain on bargain purchase, incurred for acquisitions of during the three months and years ended December 31,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96"/>
        </w:trPr>
        <w:tc>
          <w:tcPr>
            <w:tcW w:w="6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(79,982)</w:t>
            </w: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(4,600)</w:t>
            </w:r>
          </w:p>
        </w:tc>
      </w:tr>
      <w:tr>
        <w:trPr>
          <w:trHeight w:val="216"/>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(41,876)</w:t>
            </w: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on equity method investments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622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(3,989)</w:t>
            </w: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8"/>
                <w:szCs w:val="18"/>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FF0FC"/>
          </w:tcPr>
          <w:p>
            <w:pPr>
              <w:spacing w:after="0"/>
              <w:rPr>
                <w:sz w:val="19"/>
                <w:szCs w:val="19"/>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520" w:right="600" w:hanging="512"/>
        <w:spacing w:after="0" w:line="261" w:lineRule="auto"/>
        <w:tabs>
          <w:tab w:leader="none" w:pos="371"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ind w:left="520" w:right="320" w:hanging="512"/>
        <w:spacing w:after="0" w:line="260" w:lineRule="auto"/>
        <w:tabs>
          <w:tab w:leader="none" w:pos="371"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incurred for acquisitions of during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680085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(61,413)</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(50,700)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(252,872)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(691,082)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(15,625)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(47,194)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(140,693)</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6" w:lineRule="exact"/>
        <w:rPr>
          <w:sz w:val="20"/>
          <w:szCs w:val="20"/>
          <w:color w:val="auto"/>
        </w:rPr>
      </w:pPr>
    </w:p>
    <w:p>
      <w:pPr>
        <w:ind w:left="520" w:right="220" w:hanging="512"/>
        <w:spacing w:after="0" w:line="282" w:lineRule="auto"/>
        <w:tabs>
          <w:tab w:leader="none" w:pos="371"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incurred for acquisitions during the three months and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Roman"/>
      <w:start w:val="7"/>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2026-02-24T15:19:57Z</dcterms:created>
  <dcterms:modified xsi:type="dcterms:W3CDTF">2026-02-24T15:19:57Z</dcterms:modified>
</cp:coreProperties>
</file>