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5132025_040504.xml.htm"/>
      <w:bookmarkStart w:id="1" w:name="ksform405132025_0405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Leonsis Theodore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TEMPUS AI,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WEST CHICAGO AVENUE, SUITE 510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Tempus AI, Inc.</w:t>
              </w:r>
            </w:hyperlink>
            <w:r>
              <w:rPr/>
              <w:t xml:space="preserve"> [ </w:t>
            </w:r>
            <w:r>
              <w:rPr>
                <w:rFonts w:ascii="Times;serif" w:hAnsi="Times;serif"/>
                <w:color w:val="0000FF"/>
                <w:sz w:val="24"/>
                <w:shd w:fill="FFFFFF" w:val="clear"/>
              </w:rPr>
              <w:t>TEM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05/09/2025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90"/>
        <w:gridCol w:w="938"/>
        <w:gridCol w:w="806"/>
        <w:gridCol w:w="623"/>
        <w:gridCol w:w="346"/>
        <w:gridCol w:w="772"/>
        <w:gridCol w:w="425"/>
        <w:gridCol w:w="761"/>
        <w:gridCol w:w="1169"/>
        <w:gridCol w:w="980"/>
        <w:gridCol w:w="139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9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05/09/2025</w:t>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770</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66.26</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43,550</w:t>
            </w:r>
            <w:r>
              <w:rPr>
                <w:rFonts w:ascii="Times;serif" w:hAnsi="Times;serif"/>
                <w:color w:val="008000"/>
                <w:position w:val="7"/>
                <w:sz w:val="16"/>
                <w:sz w:val="20"/>
                <w:shd w:fill="FFFFFF" w:val="clear"/>
              </w:rPr>
              <w:t>(1)</w:t>
            </w:r>
            <w:r>
              <w:rPr/>
              <w:t xml:space="preserve"> </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Revolution Growth III, LP</w:t>
            </w:r>
            <w:r>
              <w:rPr>
                <w:rFonts w:ascii="Times;serif" w:hAnsi="Times;serif"/>
                <w:color w:val="008000"/>
                <w:position w:val="7"/>
                <w:sz w:val="16"/>
                <w:sz w:val="20"/>
                <w:shd w:fill="FFFFFF" w:val="clear"/>
              </w:rPr>
              <w:t>(2)</w:t>
            </w:r>
            <w:r>
              <w:rPr/>
              <w:t xml:space="preserve"> </w:t>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205,847</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Revolution Growth Management Company, Inc.</w:t>
            </w:r>
            <w:r>
              <w:rPr>
                <w:rFonts w:ascii="Times;serif" w:hAnsi="Times;serif"/>
                <w:color w:val="008000"/>
                <w:position w:val="7"/>
                <w:sz w:val="16"/>
                <w:sz w:val="20"/>
                <w:shd w:fill="FFFFFF" w:val="clear"/>
              </w:rPr>
              <w:t>(2)</w:t>
            </w:r>
            <w:r>
              <w:rPr/>
              <w:t xml:space="preserve"> </w:t>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13,514</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122,140</w:t>
            </w:r>
            <w:r>
              <w:rPr>
                <w:rFonts w:ascii="Times;serif" w:hAnsi="Times;serif"/>
                <w:color w:val="008000"/>
                <w:position w:val="7"/>
                <w:sz w:val="16"/>
                <w:sz w:val="20"/>
                <w:shd w:fill="FFFFFF" w:val="clear"/>
              </w:rPr>
              <w:t>(3)</w:t>
            </w:r>
            <w:r>
              <w:rPr/>
              <w:t xml:space="preserve"> </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Theodore J. Leonsis Revocable Trust</w:t>
            </w:r>
          </w:p>
        </w:tc>
      </w:tr>
      <w:tr>
        <w:trPr/>
        <w:tc>
          <w:tcPr>
            <w:tcW w:w="19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6,115</w:t>
            </w:r>
            <w:r>
              <w:rPr>
                <w:rFonts w:ascii="Times;serif" w:hAnsi="Times;serif"/>
                <w:color w:val="008000"/>
                <w:position w:val="7"/>
                <w:sz w:val="16"/>
                <w:sz w:val="20"/>
                <w:shd w:fill="FFFFFF" w:val="clear"/>
              </w:rPr>
              <w:t>(3)</w:t>
            </w:r>
            <w:r>
              <w:rPr/>
              <w:t xml:space="preserve"> </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Revolution Growth GP III, LP</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Gives effect to pro rata distributions of shares by Revolution Growth III, LP ("RG III") to its general and limited partners, and the subsequent distribution of shares by the general partner to its members, in each case for no consideration, subsequent to the Reporting Person's most recent filing, which represented a change in the form of the Reporting Person's ownership that was not required to be reported under Section 16.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is a member of the investment committee of the ultimate general partner of Revolution Growth GP III, LP ("RG GP III") and RG III and a member of the board of directors of Revolution Growth Management Company, Inc. ("RGMC") and may be deemed to share dispositive power over the shares held by RG GP III, RG III and RGMC.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Gives effect to the pro rata distributions of shares by RG III described in footnote 1 subsequent to the Reporting Person's most recent filing, which represented a change in the form of the Reporting Person's ownership that was not required to be reported under Section 16.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Polovin,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05/13/2025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52645" TargetMode="External"/><Relationship Id="rId5" Type="http://schemas.openxmlformats.org/officeDocument/2006/relationships/hyperlink" Target="http://www.sec.gov/cgi-bin/browse-edgar?action=getcompany&amp;CIK=00017171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792</Words>
  <Characters>4165</Characters>
  <CharactersWithSpaces>4885</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