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form4-08202026_090815.xml.htm"/>
      <w:bookmarkStart w:id="1" w:name="ksform408202026_090815"/>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p>
        </w:tc>
        <w:tc>
          <w:tcPr>
            <w:tcW w:w="1992" w:type="dxa"/>
            <w:vMerge w:val="restart"/>
            <w:tcBorders/>
          </w:tcPr>
          <w:p>
            <w:pPr>
              <w:pStyle w:val="TableContents"/>
              <w:bidi w:val="0"/>
              <w:spacing w:before="0" w:after="0"/>
              <w:jc w:val="center"/>
              <w:rPr/>
            </w:pPr>
            <w:r>
              <w:rPr/>
              <w:t>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Fukushima Ryan</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 TEMPUS AI, INC.</w:t>
                  </w:r>
                </w:p>
              </w:tc>
            </w:tr>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600 WEST CHICAGO AVENUE, SUITE 510</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CHICAGO</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IL</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60654</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Tempus AI, Inc.</w:t>
              </w:r>
            </w:hyperlink>
            <w:r>
              <w:rPr/>
              <w:t xml:space="preserve"> [ </w:t>
            </w:r>
            <w:r>
              <w:rPr>
                <w:rFonts w:ascii="Times;serif" w:hAnsi="Times;serif"/>
                <w:color w:val="0000FF"/>
                <w:sz w:val="24"/>
                <w:shd w:fill="FFFFFF" w:val="clear"/>
              </w:rPr>
              <w:t>TEM</w:t>
            </w:r>
            <w:r>
              <w:rPr/>
              <w:t xml:space="preserve"> ] </w:t>
              <w:br/>
            </w:r>
            <w:r>
              <w:rPr>
                <w:rFonts w:ascii="arial;helvetica;sans-serif" w:hAnsi="arial;helvetica;sans-serif"/>
                <w:sz w:val="20"/>
              </w:rPr>
              <w:t>Foreign Trading Symbol</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CEO, Data</w:t>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08/18/2026</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343"/>
        <w:gridCol w:w="902"/>
        <w:gridCol w:w="772"/>
        <w:gridCol w:w="599"/>
        <w:gridCol w:w="347"/>
        <w:gridCol w:w="927"/>
        <w:gridCol w:w="451"/>
        <w:gridCol w:w="795"/>
        <w:gridCol w:w="1156"/>
        <w:gridCol w:w="993"/>
        <w:gridCol w:w="920"/>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343"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2"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2"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46"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2173"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5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993"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20"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343"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02"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2"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599"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47"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927"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51"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795"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56"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93"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20"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343"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Class A Common Stock</w:t>
            </w:r>
          </w:p>
        </w:tc>
        <w:tc>
          <w:tcPr>
            <w:tcW w:w="90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08/18/2026</w:t>
            </w:r>
          </w:p>
        </w:tc>
        <w:tc>
          <w:tcPr>
            <w:tcW w:w="77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S</w:t>
            </w:r>
            <w:r>
              <w:rPr>
                <w:rFonts w:ascii="Times;serif" w:hAnsi="Times;serif"/>
                <w:color w:val="008000"/>
                <w:position w:val="7"/>
                <w:sz w:val="16"/>
                <w:sz w:val="20"/>
                <w:shd w:fill="FFFFFF" w:val="clear"/>
              </w:rPr>
              <w:t>(1)</w:t>
            </w:r>
          </w:p>
        </w:tc>
        <w:tc>
          <w:tcPr>
            <w:tcW w:w="347"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2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41,095</w:t>
            </w:r>
          </w:p>
        </w:tc>
        <w:tc>
          <w:tcPr>
            <w:tcW w:w="45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795"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49.61</w:t>
            </w:r>
            <w:r>
              <w:rPr>
                <w:rFonts w:ascii="Times;serif" w:hAnsi="Times;serif"/>
                <w:color w:val="008000"/>
                <w:position w:val="7"/>
                <w:sz w:val="16"/>
                <w:sz w:val="20"/>
                <w:shd w:fill="FFFFFF" w:val="clear"/>
              </w:rPr>
              <w:t>(2)</w:t>
            </w:r>
          </w:p>
        </w:tc>
        <w:tc>
          <w:tcPr>
            <w:tcW w:w="115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562,463</w:t>
            </w:r>
          </w:p>
        </w:tc>
        <w:tc>
          <w:tcPr>
            <w:tcW w:w="99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343"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Class A Common Stock</w:t>
            </w:r>
          </w:p>
        </w:tc>
        <w:tc>
          <w:tcPr>
            <w:tcW w:w="902"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72"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9"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347"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27"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45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95"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15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61,706</w:t>
            </w:r>
          </w:p>
        </w:tc>
        <w:tc>
          <w:tcPr>
            <w:tcW w:w="993"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92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By Spouse</w:t>
            </w:r>
          </w:p>
        </w:tc>
      </w:tr>
    </w:tbl>
    <w:tbl>
      <w:tblPr>
        <w:tblW w:w="11213" w:type="dxa"/>
        <w:jc w:val="left"/>
        <w:tblInd w:w="-7" w:type="dxa"/>
        <w:tblLayout w:type="fixed"/>
        <w:tblCellMar>
          <w:top w:w="60" w:type="dxa"/>
          <w:left w:w="60" w:type="dxa"/>
          <w:bottom w:w="60" w:type="dxa"/>
          <w:right w:w="60" w:type="dxa"/>
        </w:tblCellMar>
      </w:tblPr>
      <w:tblGrid>
        <w:gridCol w:w="815"/>
        <w:gridCol w:w="861"/>
        <w:gridCol w:w="891"/>
        <w:gridCol w:w="771"/>
        <w:gridCol w:w="591"/>
        <w:gridCol w:w="300"/>
        <w:gridCol w:w="400"/>
        <w:gridCol w:w="401"/>
        <w:gridCol w:w="906"/>
        <w:gridCol w:w="801"/>
        <w:gridCol w:w="426"/>
        <w:gridCol w:w="636"/>
        <w:gridCol w:w="801"/>
        <w:gridCol w:w="936"/>
        <w:gridCol w:w="831"/>
        <w:gridCol w:w="846"/>
      </w:tblGrid>
      <w:tr>
        <w:trPr>
          <w:tblHeader w:val="true"/>
        </w:trPr>
        <w:tc>
          <w:tcPr>
            <w:tcW w:w="11213"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p>
        </w:tc>
      </w:tr>
      <w:tr>
        <w:trPr>
          <w:tblHeader w:val="true"/>
        </w:trPr>
        <w:tc>
          <w:tcPr>
            <w:tcW w:w="81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80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06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815"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59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4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4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42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63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Represents the number of shares required to be sold to cover the statutory tax withholding obligations in connection with the vesting of the restricted stock units. This sale is mandated by the Issuer's election under its equity incentive plans to require the satisfaction of minimum statutory tax withholding obligations to be funded by a "sell to cover" transaction and does not represent a discretionary sale by the Reporting Person.</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The price reported is a weighted average price. These shares were sold in multiple transactions at prices ranging from $49.35 to $49.99 inclusive. The Reporting Person undertakes to provide to the Issuer, any security holder of the Issuer, or the staff of the Securities and Exchange Commission, upon request, full information regarding the number of shares sold at each separate price within the range set forth in this footnote.</w:t>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Andrew Polovin, Attorney-in-Fact</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08/20/2026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hyperlink" Target="http://www.sec.gov/cgi-bin/browse-edgar?action=getcompany&amp;CIK=0002024250" TargetMode="External"/><Relationship Id="rId5" Type="http://schemas.openxmlformats.org/officeDocument/2006/relationships/hyperlink" Target="http://www.sec.gov/cgi-bin/browse-edgar?action=getcompany&amp;CIK=0001717115"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717</Words>
  <Characters>3857</Characters>
  <CharactersWithSpaces>4501</CharactersWithSpaces>
  <Paragraphs>101</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