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07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070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Phelps Erik</w:t>
              </w:r>
            </w:hyperlink>
          </w:p>
        </w:tc>
        <w:tc>
          <w:tcPr>
            <w:tcW w:w="9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Tempus AI,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TEM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2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000" w:type="dxa"/>
            <w:vAlign w:val="bottom"/>
            <w:tcBorders>
              <w:top w:val="single" w:sz="8" w:color="0000EE"/>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96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1000" w:type="dxa"/>
            <w:vAlign w:val="bottom"/>
            <w:tcBorders>
              <w:top w:val="single" w:sz="8" w:color="EEEEEE"/>
            </w:tcBorders>
          </w:tcPr>
          <w:p>
            <w:pPr>
              <w:spacing w:after="0"/>
              <w:rPr>
                <w:sz w:val="4"/>
                <w:szCs w:val="4"/>
                <w:color w:val="auto"/>
              </w:rPr>
            </w:pPr>
          </w:p>
        </w:tc>
        <w:tc>
          <w:tcPr>
            <w:tcW w:w="100" w:type="dxa"/>
            <w:vAlign w:val="bottom"/>
            <w:tcBorders>
              <w:top w:val="single" w:sz="8" w:color="EEEEEE"/>
            </w:tcBorders>
          </w:tcPr>
          <w:p>
            <w:pPr>
              <w:spacing w:after="0"/>
              <w:rPr>
                <w:sz w:val="4"/>
                <w:szCs w:val="4"/>
                <w:color w:val="auto"/>
              </w:rPr>
            </w:pPr>
          </w:p>
        </w:tc>
        <w:tc>
          <w:tcPr>
            <w:tcW w:w="960" w:type="dxa"/>
            <w:vAlign w:val="bottom"/>
            <w:tcBorders>
              <w:top w:val="single" w:sz="8" w:color="EEEEEE"/>
            </w:tcBorders>
          </w:tcPr>
          <w:p>
            <w:pPr>
              <w:spacing w:after="0"/>
              <w:rPr>
                <w:sz w:val="4"/>
                <w:szCs w:val="4"/>
                <w:color w:val="auto"/>
              </w:rPr>
            </w:pPr>
          </w:p>
        </w:tc>
        <w:tc>
          <w:tcPr>
            <w:tcW w:w="158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00" w:type="dxa"/>
            <w:vAlign w:val="bottom"/>
            <w:gridSpan w:val="2"/>
          </w:tcPr>
          <w:p>
            <w:pPr>
              <w:spacing w:after="0"/>
              <w:rPr>
                <w:sz w:val="20"/>
                <w:szCs w:val="20"/>
                <w:color w:val="auto"/>
              </w:rPr>
            </w:pPr>
            <w:r>
              <w:rPr>
                <w:rFonts w:ascii="Arial" w:cs="Arial" w:eastAsia="Arial" w:hAnsi="Arial"/>
                <w:sz w:val="13"/>
                <w:szCs w:val="13"/>
                <w:color w:val="auto"/>
              </w:rPr>
              <w:t>(Last)</w:t>
            </w:r>
          </w:p>
        </w:tc>
        <w:tc>
          <w:tcPr>
            <w:tcW w:w="960" w:type="dxa"/>
            <w:vAlign w:val="bottom"/>
          </w:tcPr>
          <w:p>
            <w:pPr>
              <w:ind w:left="12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580" w:type="dxa"/>
            <w:vAlign w:val="bottom"/>
          </w:tcPr>
          <w:p>
            <w:pPr>
              <w:spacing w:after="0"/>
              <w:rPr>
                <w:sz w:val="19"/>
                <w:szCs w:val="19"/>
                <w:color w:val="auto"/>
              </w:rPr>
            </w:pPr>
          </w:p>
        </w:tc>
        <w:tc>
          <w:tcPr>
            <w:tcW w:w="15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06/16/2025</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WEST CHICAGO AVENUE, SUITE 510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405"/>
        <w:spacing w:after="0"/>
        <w:rPr>
          <w:sz w:val="20"/>
          <w:szCs w:val="20"/>
          <w:color w:val="auto"/>
        </w:rPr>
      </w:pPr>
      <w:r>
        <w:rPr>
          <w:rFonts w:ascii="Times New Roman" w:cs="Times New Roman" w:eastAsia="Times New Roman" w:hAnsi="Times New Roman"/>
          <w:sz w:val="17"/>
          <w:szCs w:val="17"/>
          <w:color w:val="0000FF"/>
        </w:rPr>
        <w:t>EVP &amp; Chief Admin &amp; Legal Off</w:t>
      </w:r>
    </w:p>
    <w:p>
      <w:pPr>
        <w:spacing w:after="0" w:line="458"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jc w:val="center"/>
              <w:ind w:left="32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29"/>
              <w:spacing w:after="0"/>
              <w:rPr>
                <w:sz w:val="20"/>
                <w:szCs w:val="20"/>
                <w:color w:val="auto"/>
              </w:rPr>
            </w:pPr>
            <w:r>
              <w:rPr>
                <w:rFonts w:ascii="Times New Roman" w:cs="Times New Roman" w:eastAsia="Times New Roman" w:hAnsi="Times New Roman"/>
                <w:sz w:val="17"/>
                <w:szCs w:val="17"/>
                <w:color w:val="0000FF"/>
              </w:rPr>
              <w:t>06/16/2025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29,333</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72.01</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119,763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29"/>
              <w:spacing w:after="0"/>
              <w:rPr>
                <w:sz w:val="20"/>
                <w:szCs w:val="20"/>
                <w:color w:val="auto"/>
              </w:rPr>
            </w:pPr>
            <w:r>
              <w:rPr>
                <w:rFonts w:ascii="Times New Roman" w:cs="Times New Roman" w:eastAsia="Times New Roman" w:hAnsi="Times New Roman"/>
                <w:sz w:val="17"/>
                <w:szCs w:val="17"/>
                <w:color w:val="0000FF"/>
              </w:rPr>
              <w:t>06/16/2025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11,186</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72.74</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108,577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29"/>
              <w:spacing w:after="0"/>
              <w:rPr>
                <w:sz w:val="20"/>
                <w:szCs w:val="20"/>
                <w:color w:val="auto"/>
              </w:rPr>
            </w:pPr>
            <w:r>
              <w:rPr>
                <w:rFonts w:ascii="Times New Roman" w:cs="Times New Roman" w:eastAsia="Times New Roman" w:hAnsi="Times New Roman"/>
                <w:sz w:val="17"/>
                <w:szCs w:val="17"/>
                <w:color w:val="0000FF"/>
              </w:rPr>
              <w:t>06/16/2025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8,898</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73.76</w:t>
            </w:r>
            <w:r>
              <w:rPr>
                <w:rFonts w:ascii="Times New Roman" w:cs="Times New Roman" w:eastAsia="Times New Roman" w:hAnsi="Times New Roman"/>
                <w:sz w:val="22"/>
                <w:szCs w:val="22"/>
                <w:color w:val="008000"/>
                <w:vertAlign w:val="superscript"/>
              </w:rPr>
              <w:t>(4)</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99,679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29"/>
              <w:spacing w:after="0"/>
              <w:rPr>
                <w:sz w:val="20"/>
                <w:szCs w:val="20"/>
                <w:color w:val="auto"/>
              </w:rPr>
            </w:pPr>
            <w:r>
              <w:rPr>
                <w:rFonts w:ascii="Times New Roman" w:cs="Times New Roman" w:eastAsia="Times New Roman" w:hAnsi="Times New Roman"/>
                <w:sz w:val="17"/>
                <w:szCs w:val="17"/>
                <w:color w:val="0000FF"/>
              </w:rPr>
              <w:t>06/16/2025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1,900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74.41</w:t>
            </w:r>
            <w:r>
              <w:rPr>
                <w:rFonts w:ascii="Times New Roman" w:cs="Times New Roman" w:eastAsia="Times New Roman" w:hAnsi="Times New Roman"/>
                <w:sz w:val="22"/>
                <w:szCs w:val="22"/>
                <w:color w:val="008000"/>
                <w:vertAlign w:val="superscript"/>
              </w:rPr>
              <w:t>(5)</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97,779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jc w:val="center"/>
              <w:ind w:left="42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jc w:val="center"/>
              <w:ind w:right="321"/>
              <w:spacing w:after="0" w:line="133"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made pursuant to a Rule 10b5-1 trading plan adopted by the Reporting Person on September 6, 2024.</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$71.28 to $72.27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(3), (4) and (5).</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$72.28 to $73.27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$73.28 to $74.25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$74.28 to $74.55 inclusive.</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Andrew Polovin, Attorney- </w:t>
      </w:r>
      <w:r>
        <w:rPr>
          <w:rFonts w:ascii="Times New Roman" w:cs="Times New Roman" w:eastAsia="Times New Roman" w:hAnsi="Times New Roman"/>
          <w:sz w:val="34"/>
          <w:szCs w:val="34"/>
          <w:color w:val="0000FF"/>
          <w:vertAlign w:val="subscript"/>
        </w:rPr>
        <w:t>06/18/2025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24231"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2025-06-18T15:26:18Z</dcterms:created>
  <dcterms:modified xsi:type="dcterms:W3CDTF">2025-06-18T15:26:18Z</dcterms:modified>
</cp:coreProperties>
</file>