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Tempus AI, Inc.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88023B103</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66" w:lineRule="exact"/>
        <w:rPr>
          <w:sz w:val="24"/>
          <w:szCs w:val="24"/>
          <w:color w:val="auto"/>
        </w:rPr>
      </w:pPr>
    </w:p>
    <w:p>
      <w:pPr>
        <w:ind w:left="140" w:right="20" w:hanging="119"/>
        <w:spacing w:after="0" w:line="282" w:lineRule="auto"/>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1516380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88023B103</w:t>
      </w:r>
      <w:r>
        <w:rPr>
          <w:sz w:val="20"/>
          <w:szCs w:val="20"/>
          <w:color w:val="auto"/>
        </w:rPr>
        <w:tab/>
      </w:r>
      <w:r>
        <w:rPr>
          <w:rFonts w:ascii="Times New Roman" w:cs="Times New Roman" w:eastAsia="Times New Roman" w:hAnsi="Times New Roman"/>
          <w:sz w:val="17"/>
          <w:szCs w:val="17"/>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32320" cy="128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8520" w:hanging="607"/>
        <w:spacing w:after="0" w:line="306" w:lineRule="auto"/>
        <w:tabs>
          <w:tab w:leader="none" w:pos="70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Eric Paul Lefkofsky</w:t>
      </w:r>
    </w:p>
    <w:p>
      <w:pPr>
        <w:spacing w:after="0" w:line="1" w:lineRule="exact"/>
        <w:rPr>
          <w:rFonts w:ascii="Times New Roman" w:cs="Times New Roman" w:eastAsia="Times New Roman" w:hAnsi="Times New Roman"/>
          <w:sz w:val="17"/>
          <w:szCs w:val="17"/>
          <w:color w:val="auto"/>
        </w:rPr>
      </w:pPr>
    </w:p>
    <w:p>
      <w:pPr>
        <w:ind w:left="700" w:hanging="54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43"/>
        <w:spacing w:after="0" w:line="276" w:lineRule="exact"/>
        <w:tabs>
          <w:tab w:leader="none" w:pos="100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24"/>
          <w:szCs w:val="24"/>
          <w:color w:val="auto"/>
          <w:vertAlign w:val="superscript"/>
        </w:rPr>
        <w:t>(1)</w:t>
      </w:r>
    </w:p>
    <w:p>
      <w:pPr>
        <w:spacing w:after="0" w:line="9"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8890" cy="1243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24333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420" w:type="dxa"/>
        <w:tblCellMar>
          <w:top w:w="0" w:type="dxa"/>
          <w:left w:w="0" w:type="dxa"/>
          <w:bottom w:w="0" w:type="dxa"/>
          <w:right w:w="0" w:type="dxa"/>
        </w:tblCellMar>
      </w:tblPr>
      <w:tr>
        <w:trPr>
          <w:trHeight w:val="218"/>
        </w:trPr>
        <w:tc>
          <w:tcPr>
            <w:tcW w:w="2240" w:type="dxa"/>
            <w:vAlign w:val="bottom"/>
            <w:tcBorders>
              <w:right w:val="single" w:sz="8" w:color="auto"/>
            </w:tcBorders>
            <w:vMerge w:val="restart"/>
          </w:tcPr>
          <w:p>
            <w:pPr>
              <w:jc w:val="center"/>
              <w:ind w:right="121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88"/>
        </w:trPr>
        <w:tc>
          <w:tcPr>
            <w:tcW w:w="22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tcBorders>
              <w:right w:val="single" w:sz="8" w:color="auto"/>
            </w:tcBorders>
            <w:vMerge w:val="restart"/>
          </w:tcPr>
          <w:p>
            <w:pPr>
              <w:ind w:left="220"/>
              <w:spacing w:after="0" w:line="267" w:lineRule="exact"/>
              <w:rPr>
                <w:sz w:val="20"/>
                <w:szCs w:val="20"/>
                <w:color w:val="auto"/>
              </w:rPr>
            </w:pPr>
            <w:r>
              <w:rPr>
                <w:rFonts w:ascii="Times New Roman" w:cs="Times New Roman" w:eastAsia="Times New Roman" w:hAnsi="Times New Roman"/>
                <w:sz w:val="18"/>
                <w:szCs w:val="18"/>
                <w:color w:val="auto"/>
              </w:rPr>
              <w:t>5,962,227</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94"/>
        </w:trPr>
        <w:tc>
          <w:tcPr>
            <w:tcW w:w="2240" w:type="dxa"/>
            <w:vAlign w:val="bottom"/>
            <w:tcBorders>
              <w:right w:val="single" w:sz="8" w:color="auto"/>
            </w:tcBorders>
          </w:tcPr>
          <w:p>
            <w:pPr>
              <w:jc w:val="center"/>
              <w:ind w:right="1230"/>
              <w:spacing w:after="0" w:line="194"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Borders>
              <w:bottom w:val="single" w:sz="8" w:color="auto"/>
              <w:right w:val="single" w:sz="8" w:color="auto"/>
            </w:tcBorders>
          </w:tcPr>
          <w:p>
            <w:pPr>
              <w:spacing w:after="0"/>
              <w:rPr>
                <w:sz w:val="16"/>
                <w:szCs w:val="16"/>
                <w:color w:val="auto"/>
              </w:rPr>
            </w:pPr>
          </w:p>
        </w:tc>
        <w:tc>
          <w:tcPr>
            <w:tcW w:w="68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Borders>
              <w:right w:val="single" w:sz="8" w:color="auto"/>
            </w:tcBorders>
          </w:tcPr>
          <w:p>
            <w:pPr>
              <w:jc w:val="center"/>
              <w:ind w:right="1270"/>
              <w:spacing w:after="0" w:line="182" w:lineRule="exact"/>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6.</w:t>
            </w:r>
          </w:p>
        </w:tc>
        <w:tc>
          <w:tcPr>
            <w:tcW w:w="6880" w:type="dxa"/>
            <w:vAlign w:val="bottom"/>
            <w:tcBorders>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7"/>
        </w:trPr>
        <w:tc>
          <w:tcPr>
            <w:tcW w:w="2240" w:type="dxa"/>
            <w:vAlign w:val="bottom"/>
            <w:tcBorders>
              <w:right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2"/>
                <w:szCs w:val="22"/>
                <w:color w:val="auto"/>
              </w:rPr>
            </w:pPr>
          </w:p>
        </w:tc>
        <w:tc>
          <w:tcPr>
            <w:tcW w:w="6880" w:type="dxa"/>
            <w:vAlign w:val="bottom"/>
            <w:tcBorders>
              <w:bottom w:val="single" w:sz="8" w:color="auto"/>
              <w:right w:val="single" w:sz="8" w:color="auto"/>
            </w:tcBorders>
          </w:tcPr>
          <w:p>
            <w:pPr>
              <w:ind w:left="180"/>
              <w:spacing w:after="0" w:line="257" w:lineRule="exact"/>
              <w:rPr>
                <w:sz w:val="20"/>
                <w:szCs w:val="20"/>
                <w:color w:val="auto"/>
              </w:rPr>
            </w:pPr>
            <w:r>
              <w:rPr>
                <w:rFonts w:ascii="Times New Roman" w:cs="Times New Roman" w:eastAsia="Times New Roman" w:hAnsi="Times New Roman"/>
                <w:sz w:val="18"/>
                <w:szCs w:val="18"/>
                <w:color w:val="auto"/>
              </w:rPr>
              <w:t>48,455,700</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191"/>
        </w:trPr>
        <w:tc>
          <w:tcPr>
            <w:tcW w:w="2240" w:type="dxa"/>
            <w:vAlign w:val="bottom"/>
            <w:tcBorders>
              <w:right w:val="single" w:sz="8" w:color="auto"/>
            </w:tcBorders>
          </w:tcPr>
          <w:p>
            <w:pPr>
              <w:jc w:val="center"/>
              <w:ind w:right="1230"/>
              <w:spacing w:after="0" w:line="191" w:lineRule="exact"/>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right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68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1"/>
        </w:trPr>
        <w:tc>
          <w:tcPr>
            <w:tcW w:w="2240" w:type="dxa"/>
            <w:vAlign w:val="bottom"/>
            <w:tcBorders>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220"/>
              <w:spacing w:after="0" w:line="221" w:lineRule="exact"/>
              <w:rPr>
                <w:sz w:val="20"/>
                <w:szCs w:val="20"/>
                <w:color w:val="auto"/>
              </w:rPr>
            </w:pPr>
            <w:r>
              <w:rPr>
                <w:rFonts w:ascii="Times New Roman" w:cs="Times New Roman" w:eastAsia="Times New Roman" w:hAnsi="Times New Roman"/>
                <w:sz w:val="18"/>
                <w:szCs w:val="18"/>
                <w:color w:val="auto"/>
              </w:rPr>
              <w:t>5,962,227</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vMerge w:val="restart"/>
          </w:tcPr>
          <w:p>
            <w:pPr>
              <w:jc w:val="center"/>
              <w:ind w:right="121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24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6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8"/>
        </w:trPr>
        <w:tc>
          <w:tcPr>
            <w:tcW w:w="2240" w:type="dxa"/>
            <w:vAlign w:val="bottom"/>
            <w:tcBorders>
              <w:right w:val="single" w:sz="8" w:color="auto"/>
            </w:tcBorders>
            <w:vMerge w:val="restart"/>
          </w:tcPr>
          <w:p>
            <w:pPr>
              <w:jc w:val="center"/>
              <w:ind w:right="12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continue"/>
          </w:tcPr>
          <w:p>
            <w:pPr>
              <w:spacing w:after="0"/>
              <w:rPr>
                <w:sz w:val="7"/>
                <w:szCs w:val="7"/>
                <w:color w:val="auto"/>
              </w:rPr>
            </w:pPr>
          </w:p>
        </w:tc>
        <w:tc>
          <w:tcPr>
            <w:tcW w:w="6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240" w:type="dxa"/>
            <w:vAlign w:val="bottom"/>
            <w:tcBorders>
              <w:right w:val="single" w:sz="8" w:color="auto"/>
            </w:tcBorders>
            <w:vMerge w:val="continue"/>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tcPr>
          <w:p>
            <w:pPr>
              <w:ind w:left="220"/>
              <w:spacing w:after="0" w:line="267" w:lineRule="exact"/>
              <w:rPr>
                <w:sz w:val="20"/>
                <w:szCs w:val="20"/>
                <w:color w:val="auto"/>
              </w:rPr>
            </w:pPr>
            <w:r>
              <w:rPr>
                <w:rFonts w:ascii="Times New Roman" w:cs="Times New Roman" w:eastAsia="Times New Roman" w:hAnsi="Times New Roman"/>
                <w:sz w:val="18"/>
                <w:szCs w:val="18"/>
                <w:color w:val="auto"/>
              </w:rPr>
              <w:t>48,455,700</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32320" cy="127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40" w:right="5680" w:hanging="587"/>
        <w:spacing w:after="0" w:line="24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54,417,927</w:t>
      </w:r>
      <w:r>
        <w:rPr>
          <w:rFonts w:ascii="Times New Roman" w:cs="Times New Roman" w:eastAsia="Times New Roman" w:hAnsi="Times New Roman"/>
          <w:sz w:val="24"/>
          <w:szCs w:val="24"/>
          <w:color w:val="auto"/>
          <w:vertAlign w:val="superscript"/>
        </w:rPr>
        <w:t>(2)(3)</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 w:lineRule="exact"/>
        <w:rPr>
          <w:rFonts w:ascii="Times New Roman" w:cs="Times New Roman" w:eastAsia="Times New Roman" w:hAnsi="Times New Roman"/>
          <w:sz w:val="18"/>
          <w:szCs w:val="18"/>
          <w:color w:val="auto"/>
        </w:rPr>
      </w:pPr>
    </w:p>
    <w:p>
      <w:pPr>
        <w:ind w:left="7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34.3% of Class A Common Stock</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(34.3% of combined Common Stock)</w:t>
      </w:r>
      <w:r>
        <w:rPr>
          <w:rFonts w:ascii="Times New Roman" w:cs="Times New Roman" w:eastAsia="Times New Roman" w:hAnsi="Times New Roman"/>
          <w:sz w:val="24"/>
          <w:szCs w:val="24"/>
          <w:color w:val="auto"/>
          <w:vertAlign w:val="superscript"/>
        </w:rPr>
        <w:t>(5)</w:t>
      </w:r>
    </w:p>
    <w:p>
      <w:pPr>
        <w:spacing w:after="0" w:line="9" w:lineRule="exact"/>
        <w:rPr>
          <w:sz w:val="20"/>
          <w:szCs w:val="20"/>
          <w:color w:val="auto"/>
        </w:rPr>
      </w:pPr>
    </w:p>
    <w:p>
      <w:pPr>
        <w:ind w:left="740" w:hanging="587"/>
        <w:spacing w:after="0"/>
        <w:tabs>
          <w:tab w:leader="none" w:pos="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6"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92" w:lineRule="exact"/>
        <w:rPr>
          <w:rFonts w:ascii="Times New Roman" w:cs="Times New Roman" w:eastAsia="Times New Roman" w:hAnsi="Times New Roman"/>
          <w:sz w:val="18"/>
          <w:szCs w:val="18"/>
          <w:color w:val="auto"/>
        </w:rPr>
      </w:pPr>
    </w:p>
    <w:p>
      <w:pPr>
        <w:jc w:val="both"/>
        <w:ind w:left="280" w:right="20" w:hanging="279"/>
        <w:spacing w:after="0" w:line="266"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Eric Paul Lefkofsky (“Mr. Lefkofsky”), Blue Media, LLC (“Blue Media”) and Gray Media, LLC (“Gray Media” and together with Mr. Lefkofsky and Blue Media, the “Reporting Persons”). The Reporting Persons expressly disclaim status as a “group” for purposes of this Schedule 13G.</w:t>
      </w:r>
    </w:p>
    <w:p>
      <w:pPr>
        <w:spacing w:after="0" w:line="256" w:lineRule="exact"/>
        <w:rPr>
          <w:rFonts w:ascii="Times New Roman" w:cs="Times New Roman" w:eastAsia="Times New Roman" w:hAnsi="Times New Roman"/>
          <w:sz w:val="18"/>
          <w:szCs w:val="18"/>
          <w:color w:val="auto"/>
        </w:rPr>
      </w:pPr>
    </w:p>
    <w:p>
      <w:pPr>
        <w:ind w:left="280" w:right="20" w:hanging="279"/>
        <w:spacing w:after="0" w:line="282"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1,455,329 shares of the Issuer’s Class A Common Stock and (ii) 4,506,898 shares of the Issuer’s Class A Common Stock issuable upon the vesting of restricted stock units within 60 days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1001395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31" w:right="339" w:bottom="1440" w:gutter="0" w:footer="0" w:header="0"/>
        </w:sectPr>
      </w:pPr>
    </w:p>
    <w:bookmarkStart w:id="2" w:name="page3"/>
    <w:bookmarkEnd w:id="2"/>
    <w:p>
      <w:pPr>
        <w:jc w:val="both"/>
        <w:ind w:left="279" w:hanging="279"/>
        <w:spacing w:after="0" w:line="253"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206 shares of the Issuer’s Class A Common Stock held by Black Media, LLC (“Black Media”), (ii) 27,619,558 shares of the Issuer’s Class A Common Stock held by Blue Media, (iii) 9,607,283 shares of the Issuer’s Class A Common Stock held by Gray Media, (iv) 145,966 shares of the Issuer’s Class A Common Stock held by Innovation Group Investors LP Series 1B (“Series 1B”), (v) 4,060,547 shares of the Issuer’s Class A Common Stock held by Innovation Group Investors LP 2011 Series (“2011 Series”), (vi) 332,131 shares of the Issuer’s Class A Common Stock held by Lefkofsky Family Foundation DTD 9/5/06 Eric Lefkofsky TTEE (the “Foundation”), (vii) 1,397,589 shares of the Issuer’s Class A Common Stock held by Lightbank Global LLC (“Lightbank Global”), (viii) 248,631 shares of the Issuer’s Class A Common Stock held by Lightbank Investments 1B LLC (“Lightbank Investments”), (ix) 178,485 shares of the Issuer’s Class A Common Stock issuable upon conversion of 178,485 shares of the Issuer’s Class B Common Stock held by Black Media, (x) 3,972,878 shares of the Issuer’s Class A Common Stock issuable upon conversion of 3,972,878 shares of the Issuer’s Class B Common Stock held by Blue Media and (xi) 892,426 shares of the Issuer’s Class A Common Stock issuable upon conversion of 892,426 shares of the Issuer’s Class B Common Stock held by 2011 Series. Mr. Lefkofsky is the sole manager of each of Black Media, Blue Media, Gray Media, Series 1B, 2011 Series, Lightbank Global and Lightbank Investments. Mr. Lefkofsky and his wife, Elizabeth Lefkofsky, serve as trustees of the Foundation. Mr. Lefkofsky holds shared voting and dispositive power of the securities reported herein.</w:t>
      </w:r>
    </w:p>
    <w:p>
      <w:pPr>
        <w:spacing w:after="0" w:line="243" w:lineRule="exact"/>
        <w:rPr>
          <w:rFonts w:ascii="Times New Roman" w:cs="Times New Roman" w:eastAsia="Times New Roman" w:hAnsi="Times New Roman"/>
          <w:sz w:val="18"/>
          <w:szCs w:val="18"/>
          <w:color w:val="auto"/>
        </w:rPr>
      </w:pPr>
    </w:p>
    <w:p>
      <w:pPr>
        <w:jc w:val="both"/>
        <w:ind w:left="279" w:hanging="279"/>
        <w:spacing w:after="0" w:line="256"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149,274,923 shares of the Issuer’s Class A Common Stock outstanding as of August 6, 2024 as reported in the Issuer’s Quarterly Report on Form 10-Q filed with the Securities and Exchange Commission on August 6, 2024 (the “Quarterly Report”), (ii) Class A Common Stock issuable upon conversion of 5,043,789 shares of Class B Common Stock beneficially owned by Mr. Lefkofsky, which are treated as converted into Class A Common Stock only for the purpose of computing the Class A Common Stock beneficial ownership percentage of Mr. Lefkofsky and (iii) 4,506,898 shares of the Issuer’s Class A Common Stock issuable upon the vesting of restricted stock units within 60 days of September 30, 2024.</w:t>
      </w:r>
    </w:p>
    <w:p>
      <w:pPr>
        <w:spacing w:after="0" w:line="241" w:lineRule="exact"/>
        <w:rPr>
          <w:rFonts w:ascii="Times New Roman" w:cs="Times New Roman" w:eastAsia="Times New Roman" w:hAnsi="Times New Roman"/>
          <w:sz w:val="18"/>
          <w:szCs w:val="18"/>
          <w:color w:val="auto"/>
        </w:rPr>
      </w:pPr>
    </w:p>
    <w:p>
      <w:pPr>
        <w:jc w:val="both"/>
        <w:ind w:left="279" w:hanging="279"/>
        <w:spacing w:after="0" w:line="266"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a total of 154,318,712 shares of Common Stock (149,274,923 shares of the Issuer’s Class A Common Stock and 5,043,789 shares of the Issuer’s Class B Common Stock) outstanding as of August 6, 2024, as reported in the Quarterly Report and (ii) 4,506,898 shares of the Issuer’s Class A Common Stock issuable upon the vesting of restricted stock units within 60 days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1148080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1431" w:right="359" w:bottom="1440" w:gutter="0" w:footer="0" w:header="0"/>
        </w:sectPr>
      </w:pPr>
    </w:p>
    <w:bookmarkStart w:id="3" w:name="page4"/>
    <w:bookmarkEnd w:id="3"/>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88023B103</w:t>
      </w:r>
      <w:r>
        <w:rPr>
          <w:sz w:val="20"/>
          <w:szCs w:val="20"/>
          <w:color w:val="auto"/>
        </w:rPr>
        <w:tab/>
      </w:r>
      <w:r>
        <w:rPr>
          <w:rFonts w:ascii="Times New Roman" w:cs="Times New Roman" w:eastAsia="Times New Roman" w:hAnsi="Times New Roman"/>
          <w:sz w:val="17"/>
          <w:szCs w:val="17"/>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32320" cy="128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8520" w:hanging="607"/>
        <w:spacing w:after="0" w:line="289" w:lineRule="auto"/>
        <w:tabs>
          <w:tab w:leader="none" w:pos="7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Blue Media, LLC</w:t>
      </w:r>
    </w:p>
    <w:p>
      <w:pPr>
        <w:spacing w:after="0" w:line="1"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43"/>
        <w:spacing w:after="0" w:line="276" w:lineRule="exact"/>
        <w:tabs>
          <w:tab w:leader="none" w:pos="100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24"/>
          <w:szCs w:val="24"/>
          <w:color w:val="auto"/>
          <w:vertAlign w:val="superscript"/>
        </w:rPr>
        <w:t>(1)</w:t>
      </w:r>
    </w:p>
    <w:p>
      <w:pPr>
        <w:spacing w:after="0" w:line="9"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8890" cy="1259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2598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240" w:type="dxa"/>
            <w:vAlign w:val="bottom"/>
            <w:tcBorders>
              <w:right w:val="single" w:sz="8" w:color="auto"/>
            </w:tcBorders>
            <w:vMerge w:val="restart"/>
          </w:tcPr>
          <w:p>
            <w:pPr>
              <w:jc w:val="center"/>
              <w:ind w:right="121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81"/>
        </w:trPr>
        <w:tc>
          <w:tcPr>
            <w:tcW w:w="22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0"/>
        </w:trPr>
        <w:tc>
          <w:tcPr>
            <w:tcW w:w="2240" w:type="dxa"/>
            <w:vAlign w:val="bottom"/>
            <w:tcBorders>
              <w:right w:val="single" w:sz="8" w:color="auto"/>
            </w:tcBorders>
          </w:tcPr>
          <w:p>
            <w:pPr>
              <w:jc w:val="center"/>
              <w:ind w:right="1230"/>
              <w:spacing w:after="0" w:line="160"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Borders>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240" w:type="dxa"/>
            <w:vAlign w:val="bottom"/>
            <w:tcBorders>
              <w:right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68"/>
        </w:trPr>
        <w:tc>
          <w:tcPr>
            <w:tcW w:w="2240" w:type="dxa"/>
            <w:vAlign w:val="bottom"/>
            <w:tcBorders>
              <w:right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3"/>
                <w:szCs w:val="23"/>
                <w:color w:val="auto"/>
              </w:rPr>
            </w:pPr>
          </w:p>
        </w:tc>
        <w:tc>
          <w:tcPr>
            <w:tcW w:w="6880" w:type="dxa"/>
            <w:vAlign w:val="bottom"/>
            <w:tcBorders>
              <w:bottom w:val="single" w:sz="8" w:color="auto"/>
              <w:right w:val="single" w:sz="8" w:color="auto"/>
            </w:tcBorders>
          </w:tcPr>
          <w:p>
            <w:pPr>
              <w:ind w:left="220"/>
              <w:spacing w:after="0" w:line="267" w:lineRule="exact"/>
              <w:rPr>
                <w:sz w:val="20"/>
                <w:szCs w:val="20"/>
                <w:color w:val="auto"/>
              </w:rPr>
            </w:pPr>
            <w:r>
              <w:rPr>
                <w:rFonts w:ascii="Times New Roman" w:cs="Times New Roman" w:eastAsia="Times New Roman" w:hAnsi="Times New Roman"/>
                <w:sz w:val="18"/>
                <w:szCs w:val="18"/>
                <w:color w:val="auto"/>
              </w:rPr>
              <w:t>31,592,436</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78"/>
        </w:trPr>
        <w:tc>
          <w:tcPr>
            <w:tcW w:w="2240" w:type="dxa"/>
            <w:vAlign w:val="bottom"/>
            <w:tcBorders>
              <w:right w:val="single" w:sz="8" w:color="auto"/>
            </w:tcBorders>
          </w:tcPr>
          <w:p>
            <w:pPr>
              <w:jc w:val="center"/>
              <w:ind w:right="12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right w:val="single" w:sz="8" w:color="auto"/>
            </w:tcBorders>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8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40" w:type="dxa"/>
            <w:vAlign w:val="bottom"/>
            <w:tcBorders>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vMerge w:val="restart"/>
          </w:tcPr>
          <w:p>
            <w:pPr>
              <w:jc w:val="center"/>
              <w:ind w:right="121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68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24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6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1"/>
        </w:trPr>
        <w:tc>
          <w:tcPr>
            <w:tcW w:w="2240" w:type="dxa"/>
            <w:vAlign w:val="bottom"/>
            <w:tcBorders>
              <w:right w:val="single" w:sz="8" w:color="auto"/>
            </w:tcBorders>
            <w:vMerge w:val="restart"/>
          </w:tcPr>
          <w:p>
            <w:pPr>
              <w:jc w:val="center"/>
              <w:ind w:right="12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continue"/>
          </w:tcPr>
          <w:p>
            <w:pPr>
              <w:spacing w:after="0"/>
              <w:rPr>
                <w:sz w:val="8"/>
                <w:szCs w:val="8"/>
                <w:color w:val="auto"/>
              </w:rPr>
            </w:pPr>
          </w:p>
        </w:tc>
        <w:tc>
          <w:tcPr>
            <w:tcW w:w="6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4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80" w:type="dxa"/>
            <w:vAlign w:val="bottom"/>
            <w:tcBorders>
              <w:right w:val="single" w:sz="8" w:color="auto"/>
            </w:tcBorders>
            <w:vMerge w:val="restart"/>
          </w:tcPr>
          <w:p>
            <w:pPr>
              <w:ind w:left="220"/>
              <w:spacing w:after="0" w:line="267" w:lineRule="exact"/>
              <w:rPr>
                <w:sz w:val="20"/>
                <w:szCs w:val="20"/>
                <w:color w:val="auto"/>
              </w:rPr>
            </w:pPr>
            <w:r>
              <w:rPr>
                <w:rFonts w:ascii="Times New Roman" w:cs="Times New Roman" w:eastAsia="Times New Roman" w:hAnsi="Times New Roman"/>
                <w:sz w:val="18"/>
                <w:szCs w:val="18"/>
                <w:color w:val="auto"/>
              </w:rPr>
              <w:t>31,592,436</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35"/>
        </w:trPr>
        <w:tc>
          <w:tcPr>
            <w:tcW w:w="2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32320" cy="127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0" w:right="5680" w:hanging="627"/>
        <w:spacing w:after="0" w:line="258"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31,592,436</w:t>
      </w:r>
      <w:r>
        <w:rPr>
          <w:rFonts w:ascii="Times New Roman" w:cs="Times New Roman" w:eastAsia="Times New Roman" w:hAnsi="Times New Roman"/>
          <w:sz w:val="24"/>
          <w:szCs w:val="24"/>
          <w:color w:val="auto"/>
          <w:vertAlign w:val="superscript"/>
        </w:rPr>
        <w:t>(2)</w:t>
      </w:r>
    </w:p>
    <w:p>
      <w:pPr>
        <w:ind w:left="740" w:hanging="58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 w:lineRule="exact"/>
        <w:rPr>
          <w:rFonts w:ascii="Times New Roman" w:cs="Times New Roman" w:eastAsia="Times New Roman" w:hAnsi="Times New Roman"/>
          <w:sz w:val="18"/>
          <w:szCs w:val="18"/>
          <w:color w:val="auto"/>
        </w:rPr>
      </w:pPr>
    </w:p>
    <w:p>
      <w:pPr>
        <w:ind w:left="7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20.6% of Class A Common Stock</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(20.5% of combined Common Stock)</w:t>
      </w:r>
      <w:r>
        <w:rPr>
          <w:rFonts w:ascii="Times New Roman" w:cs="Times New Roman" w:eastAsia="Times New Roman" w:hAnsi="Times New Roman"/>
          <w:sz w:val="24"/>
          <w:szCs w:val="24"/>
          <w:color w:val="auto"/>
          <w:vertAlign w:val="superscript"/>
        </w:rPr>
        <w:t>(4)</w:t>
      </w:r>
    </w:p>
    <w:p>
      <w:pPr>
        <w:spacing w:after="0" w:line="9" w:lineRule="exact"/>
        <w:rPr>
          <w:sz w:val="20"/>
          <w:szCs w:val="20"/>
          <w:color w:val="auto"/>
        </w:rPr>
      </w:pPr>
    </w:p>
    <w:p>
      <w:pPr>
        <w:ind w:left="740" w:hanging="587"/>
        <w:spacing w:after="0"/>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6"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92"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spacing w:after="0" w:line="252" w:lineRule="exact"/>
        <w:rPr>
          <w:rFonts w:ascii="Times New Roman" w:cs="Times New Roman" w:eastAsia="Times New Roman" w:hAnsi="Times New Roman"/>
          <w:sz w:val="18"/>
          <w:szCs w:val="18"/>
          <w:color w:val="auto"/>
        </w:rPr>
      </w:pPr>
    </w:p>
    <w:p>
      <w:pPr>
        <w:jc w:val="both"/>
        <w:ind w:left="280" w:right="20" w:hanging="279"/>
        <w:spacing w:after="0" w:line="266"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27,619,558 shares of the Issuer’s Class A Common Stock held by Blue Media and (ii) 3,972,878 shares of the Issuer’s Class A Common Stock issuable upon conversion of 3,972,878 shares of the Issuer’s Class B Common Stock held by Blue Media. Mr. Lefkofsky is the sole manager of Blue Media and shares voting and dispositive power of the securities reported herein.</w:t>
      </w:r>
    </w:p>
    <w:p>
      <w:pPr>
        <w:spacing w:after="0" w:line="229" w:lineRule="exact"/>
        <w:rPr>
          <w:rFonts w:ascii="Times New Roman" w:cs="Times New Roman" w:eastAsia="Times New Roman" w:hAnsi="Times New Roman"/>
          <w:sz w:val="18"/>
          <w:szCs w:val="18"/>
          <w:color w:val="auto"/>
        </w:rPr>
      </w:pPr>
    </w:p>
    <w:p>
      <w:pPr>
        <w:jc w:val="both"/>
        <w:ind w:left="280" w:right="20" w:hanging="279"/>
        <w:spacing w:after="0" w:line="261"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the sum of (i) 149,274,923 shares of the Issuer’s Class A Common Stock outstanding as of August 6, 2024 as reported in the Quarterly Report and (ii) Class A Common Stock issuable upon conversion of 3,972,878 shares of Class B Common Stock beneficially owned by Blue Media, which are treated as converted into Class A Common Stock only for the purpose of computing the Class A Common Stock beneficial ownership percentage of Blue Media.</w:t>
      </w:r>
    </w:p>
    <w:p>
      <w:pPr>
        <w:spacing w:after="0" w:line="206" w:lineRule="exact"/>
        <w:rPr>
          <w:rFonts w:ascii="Times New Roman" w:cs="Times New Roman" w:eastAsia="Times New Roman" w:hAnsi="Times New Roman"/>
          <w:sz w:val="18"/>
          <w:szCs w:val="18"/>
          <w:color w:val="auto"/>
        </w:rPr>
      </w:pPr>
    </w:p>
    <w:p>
      <w:pPr>
        <w:ind w:left="280" w:right="20" w:hanging="279"/>
        <w:spacing w:after="0" w:line="282"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a total of 154,318,712 shares of Common Stock (149,274,923 shares of the Issuer’s Class A Common Stock and 5,043,789 shares of the Issuer’s Class B Common Stock) outstanding as of August 6, 2024, as reported in the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1001395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31" w:right="339" w:bottom="1440" w:gutter="0" w:footer="0" w:header="0"/>
        </w:sectPr>
      </w:pPr>
    </w:p>
    <w:bookmarkStart w:id="4" w:name="page5"/>
    <w:bookmarkEnd w:id="4"/>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88023B103</w:t>
      </w:r>
      <w:r>
        <w:rPr>
          <w:sz w:val="20"/>
          <w:szCs w:val="20"/>
          <w:color w:val="auto"/>
        </w:rPr>
        <w:tab/>
      </w:r>
      <w:r>
        <w:rPr>
          <w:rFonts w:ascii="Times New Roman" w:cs="Times New Roman" w:eastAsia="Times New Roman" w:hAnsi="Times New Roman"/>
          <w:sz w:val="17"/>
          <w:szCs w:val="17"/>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32320"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8520" w:hanging="607"/>
        <w:spacing w:after="0" w:line="289" w:lineRule="auto"/>
        <w:tabs>
          <w:tab w:leader="none" w:pos="7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Gray Media, LLC</w:t>
      </w:r>
    </w:p>
    <w:p>
      <w:pPr>
        <w:spacing w:after="0" w:line="1"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43"/>
        <w:spacing w:after="0" w:line="276" w:lineRule="exact"/>
        <w:tabs>
          <w:tab w:leader="none" w:pos="100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24"/>
          <w:szCs w:val="24"/>
          <w:color w:val="auto"/>
          <w:vertAlign w:val="superscript"/>
        </w:rPr>
        <w:t>(1)</w:t>
      </w:r>
    </w:p>
    <w:p>
      <w:pPr>
        <w:spacing w:after="0" w:line="9"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86" w:lineRule="exact"/>
        <w:rPr>
          <w:rFonts w:ascii="Times New Roman" w:cs="Times New Roman" w:eastAsia="Times New Roman" w:hAnsi="Times New Roman"/>
          <w:sz w:val="18"/>
          <w:szCs w:val="18"/>
          <w:color w:val="auto"/>
        </w:rPr>
      </w:pPr>
    </w:p>
    <w:p>
      <w:pPr>
        <w:ind w:left="700" w:hanging="547"/>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8890" cy="1259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25984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240" w:type="dxa"/>
            <w:vAlign w:val="bottom"/>
            <w:tcBorders>
              <w:right w:val="single" w:sz="8" w:color="auto"/>
            </w:tcBorders>
            <w:vMerge w:val="restart"/>
          </w:tcPr>
          <w:p>
            <w:pPr>
              <w:jc w:val="center"/>
              <w:ind w:right="121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81"/>
        </w:trPr>
        <w:tc>
          <w:tcPr>
            <w:tcW w:w="224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0"/>
        </w:trPr>
        <w:tc>
          <w:tcPr>
            <w:tcW w:w="2240" w:type="dxa"/>
            <w:vAlign w:val="bottom"/>
            <w:tcBorders>
              <w:right w:val="single" w:sz="8" w:color="auto"/>
            </w:tcBorders>
          </w:tcPr>
          <w:p>
            <w:pPr>
              <w:jc w:val="center"/>
              <w:ind w:right="1230"/>
              <w:spacing w:after="0" w:line="160"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Borders>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240" w:type="dxa"/>
            <w:vAlign w:val="bottom"/>
            <w:tcBorders>
              <w:right w:val="single" w:sz="8" w:color="auto"/>
            </w:tcBorders>
          </w:tcPr>
          <w:p>
            <w:pPr>
              <w:jc w:val="center"/>
              <w:ind w:right="12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6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68"/>
        </w:trPr>
        <w:tc>
          <w:tcPr>
            <w:tcW w:w="2240" w:type="dxa"/>
            <w:vAlign w:val="bottom"/>
            <w:tcBorders>
              <w:right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3"/>
                <w:szCs w:val="23"/>
                <w:color w:val="auto"/>
              </w:rPr>
            </w:pPr>
          </w:p>
        </w:tc>
        <w:tc>
          <w:tcPr>
            <w:tcW w:w="6880" w:type="dxa"/>
            <w:vAlign w:val="bottom"/>
            <w:tcBorders>
              <w:bottom w:val="single" w:sz="8" w:color="auto"/>
              <w:right w:val="single" w:sz="8" w:color="auto"/>
            </w:tcBorders>
          </w:tcPr>
          <w:p>
            <w:pPr>
              <w:ind w:left="220"/>
              <w:spacing w:after="0" w:line="267" w:lineRule="exact"/>
              <w:rPr>
                <w:sz w:val="20"/>
                <w:szCs w:val="20"/>
                <w:color w:val="auto"/>
              </w:rPr>
            </w:pPr>
            <w:r>
              <w:rPr>
                <w:rFonts w:ascii="Times New Roman" w:cs="Times New Roman" w:eastAsia="Times New Roman" w:hAnsi="Times New Roman"/>
                <w:sz w:val="18"/>
                <w:szCs w:val="18"/>
                <w:color w:val="auto"/>
              </w:rPr>
              <w:t>9,607,283</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78"/>
        </w:trPr>
        <w:tc>
          <w:tcPr>
            <w:tcW w:w="2240" w:type="dxa"/>
            <w:vAlign w:val="bottom"/>
            <w:tcBorders>
              <w:right w:val="single" w:sz="8" w:color="auto"/>
            </w:tcBorders>
          </w:tcPr>
          <w:p>
            <w:pPr>
              <w:jc w:val="center"/>
              <w:ind w:right="123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right w:val="single" w:sz="8" w:color="auto"/>
            </w:tcBorders>
          </w:tcPr>
          <w:p>
            <w:pPr>
              <w:jc w:val="right"/>
              <w:ind w:right="2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8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2240" w:type="dxa"/>
            <w:vAlign w:val="bottom"/>
            <w:tcBorders>
              <w:right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vMerge w:val="restart"/>
          </w:tcPr>
          <w:p>
            <w:pPr>
              <w:jc w:val="center"/>
              <w:ind w:right="121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68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24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68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1"/>
        </w:trPr>
        <w:tc>
          <w:tcPr>
            <w:tcW w:w="2240" w:type="dxa"/>
            <w:vAlign w:val="bottom"/>
            <w:tcBorders>
              <w:right w:val="single" w:sz="8" w:color="auto"/>
            </w:tcBorders>
            <w:vMerge w:val="restart"/>
          </w:tcPr>
          <w:p>
            <w:pPr>
              <w:jc w:val="center"/>
              <w:ind w:right="12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continue"/>
          </w:tcPr>
          <w:p>
            <w:pPr>
              <w:spacing w:after="0"/>
              <w:rPr>
                <w:sz w:val="8"/>
                <w:szCs w:val="8"/>
                <w:color w:val="auto"/>
              </w:rPr>
            </w:pPr>
          </w:p>
        </w:tc>
        <w:tc>
          <w:tcPr>
            <w:tcW w:w="6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24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80" w:type="dxa"/>
            <w:vAlign w:val="bottom"/>
            <w:tcBorders>
              <w:right w:val="single" w:sz="8" w:color="auto"/>
            </w:tcBorders>
            <w:vMerge w:val="restart"/>
          </w:tcPr>
          <w:p>
            <w:pPr>
              <w:ind w:left="220"/>
              <w:spacing w:after="0" w:line="267" w:lineRule="exact"/>
              <w:rPr>
                <w:sz w:val="20"/>
                <w:szCs w:val="20"/>
                <w:color w:val="auto"/>
              </w:rPr>
            </w:pPr>
            <w:r>
              <w:rPr>
                <w:rFonts w:ascii="Times New Roman" w:cs="Times New Roman" w:eastAsia="Times New Roman" w:hAnsi="Times New Roman"/>
                <w:sz w:val="18"/>
                <w:szCs w:val="18"/>
                <w:color w:val="auto"/>
              </w:rPr>
              <w:t>9,607,283</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35"/>
        </w:trPr>
        <w:tc>
          <w:tcPr>
            <w:tcW w:w="22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32320" cy="127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0" w:right="5680" w:hanging="627"/>
        <w:spacing w:after="0" w:line="258" w:lineRule="auto"/>
        <w:tabs>
          <w:tab w:leader="none" w:pos="7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9,607,283</w:t>
      </w:r>
      <w:r>
        <w:rPr>
          <w:rFonts w:ascii="Times New Roman" w:cs="Times New Roman" w:eastAsia="Times New Roman" w:hAnsi="Times New Roman"/>
          <w:sz w:val="24"/>
          <w:szCs w:val="24"/>
          <w:color w:val="auto"/>
          <w:vertAlign w:val="superscript"/>
        </w:rPr>
        <w:t>(2)</w:t>
      </w:r>
    </w:p>
    <w:p>
      <w:pPr>
        <w:ind w:left="740" w:hanging="58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 w:lineRule="exact"/>
        <w:rPr>
          <w:rFonts w:ascii="Times New Roman" w:cs="Times New Roman" w:eastAsia="Times New Roman" w:hAnsi="Times New Roman"/>
          <w:sz w:val="18"/>
          <w:szCs w:val="18"/>
          <w:color w:val="auto"/>
        </w:rPr>
      </w:pPr>
    </w:p>
    <w:p>
      <w:pPr>
        <w:ind w:left="7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0"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6.4% of Class A Common Stock (6.2% of combined Common Stock)</w:t>
      </w:r>
      <w:r>
        <w:rPr>
          <w:rFonts w:ascii="Times New Roman" w:cs="Times New Roman" w:eastAsia="Times New Roman" w:hAnsi="Times New Roman"/>
          <w:sz w:val="24"/>
          <w:szCs w:val="24"/>
          <w:color w:val="auto"/>
          <w:vertAlign w:val="superscript"/>
        </w:rPr>
        <w:t>(3)</w:t>
      </w:r>
    </w:p>
    <w:p>
      <w:pPr>
        <w:spacing w:after="0" w:line="9" w:lineRule="exact"/>
        <w:rPr>
          <w:sz w:val="20"/>
          <w:szCs w:val="20"/>
          <w:color w:val="auto"/>
        </w:rPr>
      </w:pPr>
    </w:p>
    <w:p>
      <w:pPr>
        <w:ind w:left="740" w:hanging="587"/>
        <w:spacing w:after="0"/>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6"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92"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spacing w:after="0" w:line="252"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Lefkofsky is the sole manager of Gray Media and shares voting and dispositive power of the securities reported herein.</w:t>
      </w:r>
    </w:p>
    <w:p>
      <w:pPr>
        <w:spacing w:after="0" w:line="279" w:lineRule="exact"/>
        <w:rPr>
          <w:rFonts w:ascii="Times New Roman" w:cs="Times New Roman" w:eastAsia="Times New Roman" w:hAnsi="Times New Roman"/>
          <w:sz w:val="18"/>
          <w:szCs w:val="18"/>
          <w:color w:val="auto"/>
        </w:rPr>
      </w:pPr>
    </w:p>
    <w:p>
      <w:pPr>
        <w:jc w:val="both"/>
        <w:ind w:left="280" w:right="20" w:hanging="279"/>
        <w:spacing w:after="0" w:line="261"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the percentage of Class A Common Stock beneficially owned is based upon 149,274,923 shares of the Issuer’s Class A Common Stock outstanding as of August 6, 2024, as reported in the Quarterly Report. Calculation of the percentage of combined Common Stock beneficially owned is based upon a total of 154,318,712 shares of Common Stock (149,274,923 shares of the Issuer’s Class A Common Stock and 5,043,789 shares of the Issuer’s Class B Common Stock) outstanding as of August 6, 2024, as reported in the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2315845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3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CUSIP No. 88023B103</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Page 5 of 7 Pages</w:t>
            </w:r>
          </w:p>
        </w:tc>
      </w:tr>
      <w:tr>
        <w:trPr>
          <w:trHeight w:val="351"/>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8"/>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Tempus AI, Inc. (the “Issuer”)</w:t>
            </w:r>
          </w:p>
        </w:tc>
        <w:tc>
          <w:tcPr>
            <w:tcW w:w="162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Item 1(b)</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0"/>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600 West Chicago Avenue, Suite 510</w:t>
            </w:r>
          </w:p>
        </w:tc>
        <w:tc>
          <w:tcPr>
            <w:tcW w:w="1620" w:type="dxa"/>
            <w:vAlign w:val="bottom"/>
          </w:tcPr>
          <w:p>
            <w:pPr>
              <w:spacing w:after="0"/>
              <w:rPr>
                <w:sz w:val="24"/>
                <w:szCs w:val="24"/>
                <w:color w:val="auto"/>
              </w:rPr>
            </w:pPr>
          </w:p>
        </w:tc>
      </w:tr>
      <w:tr>
        <w:trPr>
          <w:trHeight w:val="234"/>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Chicago, IL 60654</w:t>
            </w:r>
          </w:p>
        </w:tc>
        <w:tc>
          <w:tcPr>
            <w:tcW w:w="16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0"/>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Eric Paul Lefkofsky (“Mr. Lefkofsky”)</w:t>
            </w:r>
          </w:p>
        </w:tc>
        <w:tc>
          <w:tcPr>
            <w:tcW w:w="1620" w:type="dxa"/>
            <w:vAlign w:val="bottom"/>
          </w:tcPr>
          <w:p>
            <w:pPr>
              <w:spacing w:after="0"/>
              <w:rPr>
                <w:sz w:val="24"/>
                <w:szCs w:val="24"/>
                <w:color w:val="auto"/>
              </w:rPr>
            </w:pPr>
          </w:p>
        </w:tc>
      </w:tr>
      <w:tr>
        <w:trPr>
          <w:trHeight w:val="216"/>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Blue Media, LLC (“Blue Media”)</w:t>
            </w:r>
          </w:p>
        </w:tc>
        <w:tc>
          <w:tcPr>
            <w:tcW w:w="1620" w:type="dxa"/>
            <w:vAlign w:val="bottom"/>
          </w:tcPr>
          <w:p>
            <w:pPr>
              <w:spacing w:after="0"/>
              <w:rPr>
                <w:sz w:val="18"/>
                <w:szCs w:val="18"/>
                <w:color w:val="auto"/>
              </w:rPr>
            </w:pPr>
          </w:p>
        </w:tc>
      </w:tr>
      <w:tr>
        <w:trPr>
          <w:trHeight w:val="234"/>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Gray Media, LLC (“Gray Media” and together with Mr. Lefkofsky and Blue Media, the “Reporting Persons”)</w:t>
            </w:r>
          </w:p>
        </w:tc>
        <w:tc>
          <w:tcPr>
            <w:tcW w:w="16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Item 2(b)</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left w:val="single" w:sz="8" w:color="auto"/>
            </w:tcBorders>
            <w:gridSpan w:val="2"/>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0"/>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 Tempus AI, Inc.</w:t>
            </w:r>
          </w:p>
        </w:tc>
        <w:tc>
          <w:tcPr>
            <w:tcW w:w="1620" w:type="dxa"/>
            <w:vAlign w:val="bottom"/>
          </w:tcPr>
          <w:p>
            <w:pPr>
              <w:spacing w:after="0"/>
              <w:rPr>
                <w:sz w:val="24"/>
                <w:szCs w:val="24"/>
                <w:color w:val="auto"/>
              </w:rPr>
            </w:pPr>
          </w:p>
        </w:tc>
      </w:tr>
      <w:tr>
        <w:trPr>
          <w:trHeight w:val="216"/>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600 West Chicago Avenue, Suite 510</w:t>
            </w:r>
          </w:p>
        </w:tc>
        <w:tc>
          <w:tcPr>
            <w:tcW w:w="1620" w:type="dxa"/>
            <w:vAlign w:val="bottom"/>
          </w:tcPr>
          <w:p>
            <w:pPr>
              <w:spacing w:after="0"/>
              <w:rPr>
                <w:sz w:val="18"/>
                <w:szCs w:val="18"/>
                <w:color w:val="auto"/>
              </w:rPr>
            </w:pPr>
          </w:p>
        </w:tc>
      </w:tr>
      <w:tr>
        <w:trPr>
          <w:trHeight w:val="234"/>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Chicago, IL 60654</w:t>
            </w:r>
          </w:p>
        </w:tc>
        <w:tc>
          <w:tcPr>
            <w:tcW w:w="16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2(c)</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Citizenship</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40"/>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Individuals: Mr. Lefkofsky - United States</w:t>
            </w:r>
          </w:p>
        </w:tc>
        <w:tc>
          <w:tcPr>
            <w:tcW w:w="1620" w:type="dxa"/>
            <w:vAlign w:val="bottom"/>
          </w:tcPr>
          <w:p>
            <w:pPr>
              <w:spacing w:after="0"/>
              <w:rPr>
                <w:sz w:val="24"/>
                <w:szCs w:val="24"/>
                <w:color w:val="auto"/>
              </w:rPr>
            </w:pPr>
          </w:p>
        </w:tc>
      </w:tr>
      <w:tr>
        <w:trPr>
          <w:trHeight w:val="216"/>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Entities: Blue Media - Delaware</w:t>
            </w:r>
          </w:p>
        </w:tc>
        <w:tc>
          <w:tcPr>
            <w:tcW w:w="16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92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Gray Media - Delaware</w:t>
            </w:r>
          </w:p>
        </w:tc>
        <w:tc>
          <w:tcPr>
            <w:tcW w:w="16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Item 2(d)</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left w:val="single" w:sz="8" w:color="auto"/>
            </w:tcBorders>
            <w:gridSpan w:val="2"/>
            <w:shd w:val="clear" w:color="auto" w:fill="000000"/>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8"/>
        </w:trPr>
        <w:tc>
          <w:tcPr>
            <w:tcW w:w="96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162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8"/>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88023B103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44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If this statement is filed pursuant to §§240.13d-1(b) or 240.13d-2(b) or (c), check whether the person filing is a:</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58"/>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Ownership</w:t>
            </w:r>
          </w:p>
        </w:tc>
        <w:tc>
          <w:tcPr>
            <w:tcW w:w="1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66" w:lineRule="exact"/>
        <w:rPr>
          <w:sz w:val="20"/>
          <w:szCs w:val="20"/>
          <w:color w:val="auto"/>
        </w:rPr>
      </w:pPr>
    </w:p>
    <w:p>
      <w:pPr>
        <w:ind w:left="400" w:hanging="379"/>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responses to Item 9 on the attached cover pages.</w:t>
      </w:r>
    </w:p>
    <w:p>
      <w:pPr>
        <w:spacing w:after="0" w:line="279" w:lineRule="exact"/>
        <w:rPr>
          <w:rFonts w:ascii="Times New Roman" w:cs="Times New Roman" w:eastAsia="Times New Roman" w:hAnsi="Times New Roman"/>
          <w:sz w:val="18"/>
          <w:szCs w:val="18"/>
          <w:color w:val="auto"/>
        </w:rPr>
      </w:pPr>
    </w:p>
    <w:p>
      <w:pPr>
        <w:ind w:left="480" w:hanging="45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responses to Item 11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6" w:name="page7"/>
    <w:bookmarkEnd w:id="6"/>
    <w:p>
      <w:pPr>
        <w:ind w:left="20"/>
        <w:spacing w:after="0"/>
        <w:tabs>
          <w:tab w:leader="none" w:pos="9920" w:val="left"/>
        </w:tabs>
        <w:rPr>
          <w:sz w:val="20"/>
          <w:szCs w:val="20"/>
          <w:color w:val="auto"/>
        </w:rPr>
      </w:pPr>
      <w:r>
        <w:rPr>
          <w:rFonts w:ascii="Times New Roman" w:cs="Times New Roman" w:eastAsia="Times New Roman" w:hAnsi="Times New Roman"/>
          <w:sz w:val="18"/>
          <w:szCs w:val="18"/>
          <w:color w:val="auto"/>
        </w:rPr>
        <w:t>CUSIP No. 88023B103</w:t>
      </w:r>
      <w:r>
        <w:rPr>
          <w:sz w:val="20"/>
          <w:szCs w:val="20"/>
          <w:color w:val="auto"/>
        </w:rPr>
        <w:tab/>
      </w:r>
      <w:r>
        <w:rPr>
          <w:rFonts w:ascii="Times New Roman" w:cs="Times New Roman" w:eastAsia="Times New Roman" w:hAnsi="Times New Roman"/>
          <w:sz w:val="17"/>
          <w:szCs w:val="17"/>
          <w:color w:val="auto"/>
        </w:rPr>
        <w:t>Page 6 of 7 Pages</w:t>
      </w:r>
    </w:p>
    <w:p>
      <w:pPr>
        <w:spacing w:after="0" w:line="200" w:lineRule="exact"/>
        <w:rPr>
          <w:sz w:val="20"/>
          <w:szCs w:val="20"/>
          <w:color w:val="auto"/>
        </w:rPr>
      </w:pPr>
    </w:p>
    <w:p>
      <w:pPr>
        <w:spacing w:after="0" w:line="228" w:lineRule="exact"/>
        <w:rPr>
          <w:sz w:val="20"/>
          <w:szCs w:val="20"/>
          <w:color w:val="auto"/>
        </w:rPr>
      </w:pPr>
    </w:p>
    <w:p>
      <w:pPr>
        <w:ind w:left="660" w:hanging="6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57" w:lineRule="exact"/>
        <w:rPr>
          <w:rFonts w:ascii="Times New Roman" w:cs="Times New Roman" w:eastAsia="Times New Roman" w:hAnsi="Times New Roman"/>
          <w:sz w:val="18"/>
          <w:szCs w:val="18"/>
          <w:color w:val="auto"/>
        </w:rPr>
      </w:pPr>
    </w:p>
    <w:p>
      <w:pPr>
        <w:ind w:left="420" w:hanging="277"/>
        <w:spacing w:after="0"/>
        <w:tabs>
          <w:tab w:leader="none" w:pos="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responses to Item 5 on the attached cover pages.</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responses to Item 6 on the attached cover pages.</w:t>
      </w:r>
    </w:p>
    <w:p>
      <w:pPr>
        <w:spacing w:after="0" w:line="157" w:lineRule="exact"/>
        <w:rPr>
          <w:rFonts w:ascii="Times New Roman" w:cs="Times New Roman" w:eastAsia="Times New Roman" w:hAnsi="Times New Roman"/>
          <w:sz w:val="18"/>
          <w:szCs w:val="18"/>
          <w:color w:val="auto"/>
        </w:rPr>
      </w:pPr>
    </w:p>
    <w:p>
      <w:pPr>
        <w:ind w:left="520" w:hanging="377"/>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responses to Item 7 on the attached cover pages.</w:t>
      </w:r>
    </w:p>
    <w:p>
      <w:pPr>
        <w:spacing w:after="0" w:line="157" w:lineRule="exact"/>
        <w:rPr>
          <w:rFonts w:ascii="Times New Roman" w:cs="Times New Roman" w:eastAsia="Times New Roman" w:hAnsi="Times New Roman"/>
          <w:sz w:val="18"/>
          <w:szCs w:val="18"/>
          <w:color w:val="auto"/>
        </w:rPr>
      </w:pPr>
    </w:p>
    <w:p>
      <w:pPr>
        <w:ind w:left="500" w:hanging="357"/>
        <w:spacing w:after="0"/>
        <w:tabs>
          <w:tab w:leader="none" w:pos="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responses to Item 8 on the attached cover pages.</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131" w:lineRule="exact"/>
        <w:rPr>
          <w:sz w:val="20"/>
          <w:szCs w:val="20"/>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Ownership of More than Five Percent of Another Person</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Item 10</w:t>
            </w:r>
          </w:p>
        </w:tc>
        <w:tc>
          <w:tcPr>
            <w:tcW w:w="76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w:t>
            </w: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11"/>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7" w:name="page8"/>
    <w:bookmarkEnd w:id="7"/>
    <w:p>
      <w:pPr>
        <w:spacing w:after="0" w:line="234" w:lineRule="exact"/>
        <w:rPr>
          <w:sz w:val="20"/>
          <w:szCs w:val="20"/>
          <w:color w:val="auto"/>
        </w:rPr>
      </w:pPr>
    </w:p>
    <w:p>
      <w:pPr>
        <w:ind w:left="20"/>
        <w:spacing w:after="0"/>
        <w:tabs>
          <w:tab w:leader="none" w:pos="9920" w:val="left"/>
        </w:tabs>
        <w:rPr>
          <w:sz w:val="20"/>
          <w:szCs w:val="20"/>
          <w:color w:val="auto"/>
        </w:rPr>
      </w:pPr>
      <w:r>
        <w:rPr>
          <w:rFonts w:ascii="Times New Roman" w:cs="Times New Roman" w:eastAsia="Times New Roman" w:hAnsi="Times New Roman"/>
          <w:sz w:val="18"/>
          <w:szCs w:val="18"/>
          <w:color w:val="auto"/>
        </w:rPr>
        <w:t>CUSIP No. 88023B103</w:t>
      </w:r>
      <w:r>
        <w:rPr>
          <w:sz w:val="20"/>
          <w:szCs w:val="20"/>
          <w:color w:val="auto"/>
        </w:rPr>
        <w:tab/>
      </w:r>
      <w:r>
        <w:rPr>
          <w:rFonts w:ascii="Times New Roman" w:cs="Times New Roman" w:eastAsia="Times New Roman" w:hAnsi="Times New Roman"/>
          <w:sz w:val="17"/>
          <w:szCs w:val="17"/>
          <w:color w:val="auto"/>
        </w:rPr>
        <w:t>Page 7 of 7 Pages</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00" w:lineRule="exact"/>
        <w:rPr>
          <w:sz w:val="20"/>
          <w:szCs w:val="20"/>
          <w:color w:val="auto"/>
        </w:rPr>
      </w:pPr>
    </w:p>
    <w:p>
      <w:pPr>
        <w:spacing w:after="0" w:line="30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 Eric Paul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26035</wp:posOffset>
            </wp:positionV>
            <wp:extent cx="38487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Eric Paul Lefkofsky</w:t>
      </w:r>
    </w:p>
    <w:p>
      <w:pPr>
        <w:spacing w:after="0" w:line="24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56" w:lineRule="exact"/>
        <w:rPr>
          <w:sz w:val="20"/>
          <w:szCs w:val="20"/>
          <w:color w:val="auto"/>
        </w:rPr>
      </w:pPr>
    </w:p>
    <w:tbl>
      <w:tblPr>
        <w:tblLayout w:type="fixed"/>
        <w:tblInd w:w="3760" w:type="dxa"/>
        <w:tblCellMar>
          <w:top w:w="0" w:type="dxa"/>
          <w:left w:w="0" w:type="dxa"/>
          <w:bottom w:w="0" w:type="dxa"/>
          <w:right w:w="0" w:type="dxa"/>
        </w:tblCellMar>
      </w:tblP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Paul Lefkofsky</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Eric Paul Lefkofsky</w:t>
            </w:r>
          </w:p>
        </w:tc>
      </w:t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5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GRAY MEDIA, LLC</w:t>
            </w:r>
          </w:p>
        </w:tc>
      </w:tr>
      <w:tr>
        <w:trPr>
          <w:trHeight w:val="47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Paul Lefkofsky</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Eric Paul Lefkofsky</w:t>
            </w:r>
          </w:p>
        </w:tc>
      </w:t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48" w:lineRule="exact"/>
        <w:rPr>
          <w:sz w:val="20"/>
          <w:szCs w:val="20"/>
          <w:color w:val="auto"/>
        </w:rPr>
      </w:pPr>
    </w:p>
    <w:p>
      <w:pPr>
        <w:ind w:left="1120" w:hanging="1099"/>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Class A Common Stock of Tempus AI,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November 12, 2024.</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Eric Paul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2606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Eric Paul Lefkofsky</w:t>
      </w:r>
    </w:p>
    <w:p>
      <w:pPr>
        <w:spacing w:after="0" w:line="2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BLUE MEDIA,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Paul Lefkofsky</w:t>
            </w:r>
          </w:p>
        </w:tc>
        <w:tc>
          <w:tcPr>
            <w:tcW w:w="1660" w:type="dxa"/>
            <w:vAlign w:val="bottom"/>
          </w:tcPr>
          <w:p>
            <w:pPr>
              <w:spacing w:after="0"/>
              <w:rPr>
                <w:sz w:val="20"/>
                <w:szCs w:val="20"/>
                <w:color w:val="auto"/>
              </w:rPr>
            </w:pPr>
          </w:p>
        </w:tc>
      </w:tr>
      <w:tr>
        <w:trPr>
          <w:trHeight w:val="211"/>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Eric Paul Lefkofsky</w:t>
            </w:r>
          </w:p>
        </w:tc>
        <w:tc>
          <w:tcPr>
            <w:tcW w:w="1660" w:type="dxa"/>
            <w:vAlign w:val="bottom"/>
          </w:tcPr>
          <w:p>
            <w:pPr>
              <w:spacing w:after="0"/>
              <w:rPr>
                <w:sz w:val="18"/>
                <w:szCs w:val="18"/>
                <w:color w:val="auto"/>
              </w:rPr>
            </w:pPr>
          </w:p>
        </w:tc>
      </w:tr>
      <w:tr>
        <w:trPr>
          <w:trHeight w:val="234"/>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spacing w:after="0"/>
              <w:rPr>
                <w:sz w:val="20"/>
                <w:szCs w:val="20"/>
                <w:color w:val="auto"/>
              </w:rPr>
            </w:pPr>
          </w:p>
        </w:tc>
      </w:tr>
      <w:tr>
        <w:trPr>
          <w:trHeight w:val="459"/>
        </w:trPr>
        <w:tc>
          <w:tcPr>
            <w:tcW w:w="9580" w:type="dxa"/>
            <w:vAlign w:val="bottom"/>
            <w:gridSpan w:val="2"/>
          </w:tcPr>
          <w:p>
            <w:pPr>
              <w:ind w:left="5480"/>
              <w:spacing w:after="0"/>
              <w:rPr>
                <w:sz w:val="20"/>
                <w:szCs w:val="20"/>
                <w:color w:val="auto"/>
              </w:rPr>
            </w:pPr>
            <w:r>
              <w:rPr>
                <w:rFonts w:ascii="Times New Roman" w:cs="Times New Roman" w:eastAsia="Times New Roman" w:hAnsi="Times New Roman"/>
                <w:sz w:val="18"/>
                <w:szCs w:val="18"/>
                <w:b w:val="1"/>
                <w:bCs w:val="1"/>
                <w:color w:val="auto"/>
              </w:rPr>
              <w:t>GRAY MEDIA, LLC</w:t>
            </w:r>
          </w:p>
        </w:tc>
        <w:tc>
          <w:tcPr>
            <w:tcW w:w="1660" w:type="dxa"/>
            <w:vAlign w:val="bottom"/>
          </w:tcPr>
          <w:p>
            <w:pPr>
              <w:spacing w:after="0"/>
              <w:rPr>
                <w:sz w:val="24"/>
                <w:szCs w:val="24"/>
                <w:color w:val="auto"/>
              </w:rPr>
            </w:pPr>
          </w:p>
        </w:tc>
      </w:tr>
      <w:tr>
        <w:trPr>
          <w:trHeight w:val="439"/>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Paul Lefkofsky</w:t>
            </w:r>
          </w:p>
        </w:tc>
        <w:tc>
          <w:tcPr>
            <w:tcW w:w="1660" w:type="dxa"/>
            <w:vAlign w:val="bottom"/>
          </w:tcPr>
          <w:p>
            <w:pPr>
              <w:spacing w:after="0"/>
              <w:rPr>
                <w:sz w:val="24"/>
                <w:szCs w:val="24"/>
                <w:color w:val="auto"/>
              </w:rPr>
            </w:pPr>
          </w:p>
        </w:tc>
      </w:tr>
      <w:tr>
        <w:trPr>
          <w:trHeight w:val="211"/>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Eric Paul Lefkofsky</w:t>
            </w:r>
          </w:p>
        </w:tc>
        <w:tc>
          <w:tcPr>
            <w:tcW w:w="1660" w:type="dxa"/>
            <w:vAlign w:val="bottom"/>
          </w:tcPr>
          <w:p>
            <w:pPr>
              <w:spacing w:after="0"/>
              <w:rPr>
                <w:sz w:val="18"/>
                <w:szCs w:val="18"/>
                <w:color w:val="auto"/>
              </w:rPr>
            </w:pPr>
          </w:p>
        </w:tc>
      </w:tr>
      <w:tr>
        <w:trPr>
          <w:trHeight w:val="234"/>
        </w:trPr>
        <w:tc>
          <w:tcPr>
            <w:tcW w:w="61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spacing w:after="0"/>
              <w:rPr>
                <w:sz w:val="20"/>
                <w:szCs w:val="20"/>
                <w:color w:val="auto"/>
              </w:rPr>
            </w:pPr>
          </w:p>
        </w:tc>
      </w:tr>
      <w:tr>
        <w:trPr>
          <w:trHeight w:val="2491"/>
        </w:trPr>
        <w:tc>
          <w:tcPr>
            <w:tcW w:w="61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lvl w:ilvl="1">
      <w:lvlJc w:val="left"/>
      <w:lvlText w:val="(%2)"/>
      <w:numFmt w:val="lowerLetter"/>
      <w:start w:val="1"/>
    </w:lvl>
  </w:abstractNum>
  <w:abstractNum w:abstractNumId="4">
    <w:nsid w:val="66EF438D"/>
    <w:multiLevelType w:val="hybridMultilevel"/>
    <w:lvl w:ilvl="0">
      <w:lvlJc w:val="left"/>
      <w:lvlText w:val="%1."/>
      <w:numFmt w:val="decimal"/>
      <w:start w:val="9"/>
    </w:lvl>
  </w:abstractNum>
  <w:abstractNum w:abstractNumId="5">
    <w:nsid w:val="140E0F76"/>
    <w:multiLevelType w:val="hybridMultilevel"/>
    <w:lvl w:ilvl="0">
      <w:lvlJc w:val="left"/>
      <w:lvlText w:val="%1"/>
      <w:numFmt w:val="decimal"/>
      <w:start w:val="1"/>
    </w:lvl>
    <w:lvl w:ilvl="1">
      <w:lvlJc w:val="left"/>
      <w:lvlText w:val="%2."/>
      <w:numFmt w:val="decimal"/>
      <w:start w:val="12"/>
    </w:lvl>
  </w:abstractNum>
  <w:abstractNum w:abstractNumId="6">
    <w:nsid w:val="3352255A"/>
    <w:multiLevelType w:val="hybridMultilevel"/>
    <w:lvl w:ilvl="0">
      <w:lvlJc w:val="left"/>
      <w:lvlText w:val="(%1)"/>
      <w:numFmt w:val="decimal"/>
      <w:start w:val="1"/>
    </w:lvl>
    <w:lvl w:ilvl="1">
      <w:lvlJc w:val="left"/>
      <w:lvlText w:val="%2"/>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lvl w:ilvl="1">
      <w:lvlJc w:val="left"/>
      <w:lvlText w:val="%2."/>
      <w:numFmt w:val="decimal"/>
      <w:start w:val="12"/>
    </w:lvl>
  </w:abstractNum>
  <w:abstractNum w:abstractNumId="11">
    <w:nsid w:val="41A7C4C9"/>
    <w:multiLevelType w:val="hybridMultilevel"/>
    <w:lvl w:ilvl="0">
      <w:lvlJc w:val="left"/>
      <w:lvlText w:val="(%1)"/>
      <w:numFmt w:val="decimal"/>
      <w:start w:val="1"/>
    </w:lvl>
    <w:lvl w:ilvl="1">
      <w:lvlJc w:val="left"/>
      <w:lvlText w:val="%2"/>
      <w:numFmt w:val="decimal"/>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
    </w:lvl>
    <w:lvl w:ilvl="1">
      <w:lvlJc w:val="left"/>
      <w:lvlText w:val="%2."/>
      <w:numFmt w:val="decimal"/>
      <w:start w:val="12"/>
    </w:lvl>
  </w:abstractNum>
  <w:abstractNum w:abstractNumId="15">
    <w:nsid w:val="519B500D"/>
    <w:multiLevelType w:val="hybridMultilevel"/>
    <w:lvl w:ilvl="0">
      <w:lvlJc w:val="left"/>
      <w:lvlText w:val="(%1)"/>
      <w:numFmt w:val="decimal"/>
      <w:start w:val="1"/>
    </w:lvl>
    <w:lvl w:ilvl="1">
      <w:lvlJc w:val="left"/>
      <w:lvlText w:val="%2"/>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3"/>
    </w:lvl>
    <w:lvl w:ilvl="1">
      <w:lvlJc w:val="left"/>
      <w:lvlText w:val="(%2)"/>
      <w:numFmt w:val="lowerRoman"/>
      <w:start w:val="1"/>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2024-11-12T16:59:14Z</dcterms:created>
  <dcterms:modified xsi:type="dcterms:W3CDTF">2024-11-12T16:59:14Z</dcterms:modified>
</cp:coreProperties>
</file>