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confidentially submitted to the Securities and Exchange Commission on October 19, 2022.</w:t>
      </w:r>
    </w:p>
    <w:p>
      <w:pPr>
        <w:jc w:val="center"/>
        <w:ind w:right="-19"/>
        <w:spacing w:after="0" w:line="217" w:lineRule="auto"/>
        <w:rPr>
          <w:sz w:val="20"/>
          <w:szCs w:val="20"/>
          <w:color w:val="auto"/>
        </w:rPr>
      </w:pPr>
      <w:r>
        <w:rPr>
          <w:rFonts w:ascii="Times New Roman" w:cs="Times New Roman" w:eastAsia="Times New Roman" w:hAnsi="Times New Roman"/>
          <w:sz w:val="14"/>
          <w:szCs w:val="14"/>
          <w:b w:val="1"/>
          <w:bCs w:val="1"/>
          <w:color w:val="auto"/>
        </w:rPr>
        <w:t>This draft registration statement has not been publicly filed with the</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 and all information herein remains strictly confidential.</w:t>
      </w:r>
    </w:p>
    <w:p>
      <w:pPr>
        <w:spacing w:after="0" w:line="4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97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105410</wp:posOffset>
            </wp:positionV>
            <wp:extent cx="7197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142875</wp:posOffset>
            </wp:positionV>
            <wp:extent cx="1517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S-1</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127635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Tempus Labs, Inc.</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160020</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62" w:lineRule="exact"/>
        <w:rPr>
          <w:sz w:val="24"/>
          <w:szCs w:val="24"/>
          <w:color w:val="auto"/>
        </w:rPr>
      </w:pPr>
    </w:p>
    <w:tbl>
      <w:tblPr>
        <w:tblLayout w:type="fixed"/>
        <w:tblInd w:w="840" w:type="dxa"/>
        <w:tblCellMar>
          <w:top w:w="0" w:type="dxa"/>
          <w:left w:w="0" w:type="dxa"/>
          <w:bottom w:w="0" w:type="dxa"/>
          <w:right w:w="0" w:type="dxa"/>
        </w:tblCellMar>
      </w:tblPr>
      <w:tr>
        <w:trPr>
          <w:trHeight w:val="161"/>
        </w:trPr>
        <w:tc>
          <w:tcPr>
            <w:tcW w:w="2520" w:type="dxa"/>
            <w:vAlign w:val="bottom"/>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20" w:type="dxa"/>
            <w:vAlign w:val="bottom"/>
            <w:gridSpan w:val="2"/>
          </w:tcPr>
          <w:p>
            <w:pPr>
              <w:jc w:val="center"/>
              <w:ind w:left="1293"/>
              <w:spacing w:after="0"/>
              <w:rPr>
                <w:sz w:val="20"/>
                <w:szCs w:val="20"/>
                <w:color w:val="auto"/>
              </w:rPr>
            </w:pPr>
            <w:r>
              <w:rPr>
                <w:rFonts w:ascii="Times New Roman" w:cs="Times New Roman" w:eastAsia="Times New Roman" w:hAnsi="Times New Roman"/>
                <w:sz w:val="14"/>
                <w:szCs w:val="14"/>
                <w:b w:val="1"/>
                <w:bCs w:val="1"/>
                <w:color w:val="auto"/>
                <w:w w:val="99"/>
              </w:rPr>
              <w:t>7370</w:t>
            </w:r>
          </w:p>
        </w:tc>
        <w:tc>
          <w:tcPr>
            <w:tcW w:w="1180" w:type="dxa"/>
            <w:vAlign w:val="bottom"/>
          </w:tcPr>
          <w:p>
            <w:pPr>
              <w:spacing w:after="0"/>
              <w:rPr>
                <w:sz w:val="13"/>
                <w:szCs w:val="13"/>
                <w:color w:val="auto"/>
              </w:rPr>
            </w:pPr>
          </w:p>
        </w:tc>
        <w:tc>
          <w:tcPr>
            <w:tcW w:w="23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47-4903308</w:t>
            </w:r>
          </w:p>
        </w:tc>
      </w:tr>
      <w:tr>
        <w:trPr>
          <w:trHeight w:val="144"/>
        </w:trPr>
        <w:tc>
          <w:tcPr>
            <w:tcW w:w="2520" w:type="dxa"/>
            <w:vAlign w:val="bottom"/>
          </w:tcPr>
          <w:p>
            <w:pPr>
              <w:jc w:val="center"/>
              <w:ind w:right="27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1120" w:type="dxa"/>
            <w:vAlign w:val="bottom"/>
          </w:tcPr>
          <w:p>
            <w:pPr>
              <w:spacing w:after="0"/>
              <w:rPr>
                <w:sz w:val="12"/>
                <w:szCs w:val="12"/>
                <w:color w:val="auto"/>
              </w:rPr>
            </w:pPr>
          </w:p>
        </w:tc>
        <w:tc>
          <w:tcPr>
            <w:tcW w:w="3580" w:type="dxa"/>
            <w:vAlign w:val="bottom"/>
            <w:gridSpan w:val="2"/>
          </w:tcPr>
          <w:p>
            <w:pPr>
              <w:jc w:val="center"/>
              <w:ind w:right="9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(Primary Standard Industrial</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2520" w:type="dxa"/>
            <w:vAlign w:val="bottom"/>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1120" w:type="dxa"/>
            <w:vAlign w:val="bottom"/>
          </w:tcPr>
          <w:p>
            <w:pPr>
              <w:spacing w:after="0"/>
              <w:rPr>
                <w:sz w:val="16"/>
                <w:szCs w:val="16"/>
                <w:color w:val="auto"/>
              </w:rPr>
            </w:pPr>
          </w:p>
        </w:tc>
        <w:tc>
          <w:tcPr>
            <w:tcW w:w="358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36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183"/>
        </w:trPr>
        <w:tc>
          <w:tcPr>
            <w:tcW w:w="2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9"/>
              </w:rPr>
              <w:t>600 West Chicago Avenue, Suite 510</w:t>
            </w:r>
          </w:p>
        </w:tc>
        <w:tc>
          <w:tcPr>
            <w:tcW w:w="2360" w:type="dxa"/>
            <w:vAlign w:val="bottom"/>
          </w:tcPr>
          <w:p>
            <w:pPr>
              <w:spacing w:after="0"/>
              <w:rPr>
                <w:sz w:val="15"/>
                <w:szCs w:val="15"/>
                <w:color w:val="auto"/>
              </w:rPr>
            </w:pPr>
          </w:p>
        </w:tc>
      </w:tr>
      <w:tr>
        <w:trPr>
          <w:trHeight w:val="144"/>
        </w:trPr>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360" w:type="dxa"/>
            <w:vAlign w:val="bottom"/>
          </w:tcPr>
          <w:p>
            <w:pPr>
              <w:spacing w:after="0"/>
              <w:rPr>
                <w:sz w:val="12"/>
                <w:szCs w:val="12"/>
                <w:color w:val="auto"/>
              </w:rPr>
            </w:pPr>
          </w:p>
        </w:tc>
      </w:tr>
      <w:tr>
        <w:trPr>
          <w:trHeight w:val="149"/>
        </w:trPr>
        <w:tc>
          <w:tcPr>
            <w:tcW w:w="2520" w:type="dxa"/>
            <w:vAlign w:val="bottom"/>
          </w:tcPr>
          <w:p>
            <w:pPr>
              <w:spacing w:after="0"/>
              <w:rPr>
                <w:sz w:val="12"/>
                <w:szCs w:val="12"/>
                <w:color w:val="auto"/>
              </w:rPr>
            </w:pPr>
          </w:p>
        </w:tc>
        <w:tc>
          <w:tcPr>
            <w:tcW w:w="3520" w:type="dxa"/>
            <w:vAlign w:val="bottom"/>
            <w:gridSpan w:val="2"/>
          </w:tcPr>
          <w:p>
            <w:pPr>
              <w:jc w:val="center"/>
              <w:ind w:left="1053"/>
              <w:spacing w:after="0" w:line="149" w:lineRule="exact"/>
              <w:rPr>
                <w:sz w:val="20"/>
                <w:szCs w:val="20"/>
                <w:color w:val="auto"/>
              </w:rPr>
            </w:pPr>
            <w:r>
              <w:rPr>
                <w:rFonts w:ascii="Times New Roman" w:cs="Times New Roman" w:eastAsia="Times New Roman" w:hAnsi="Times New Roman"/>
                <w:sz w:val="14"/>
                <w:szCs w:val="14"/>
                <w:b w:val="1"/>
                <w:bCs w:val="1"/>
                <w:color w:val="auto"/>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520" w:type="dxa"/>
            <w:vAlign w:val="bottom"/>
          </w:tcPr>
          <w:p>
            <w:pPr>
              <w:spacing w:after="0"/>
              <w:rPr>
                <w:sz w:val="11"/>
                <w:szCs w:val="11"/>
                <w:color w:val="auto"/>
              </w:rPr>
            </w:pPr>
          </w:p>
        </w:tc>
        <w:tc>
          <w:tcPr>
            <w:tcW w:w="47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w:t>
            </w:r>
          </w:p>
        </w:tc>
        <w:tc>
          <w:tcPr>
            <w:tcW w:w="2360" w:type="dxa"/>
            <w:vAlign w:val="bottom"/>
          </w:tcPr>
          <w:p>
            <w:pPr>
              <w:spacing w:after="0"/>
              <w:rPr>
                <w:sz w:val="11"/>
                <w:szCs w:val="11"/>
                <w:color w:val="auto"/>
              </w:rPr>
            </w:pPr>
          </w:p>
        </w:tc>
      </w:tr>
      <w:tr>
        <w:trPr>
          <w:trHeight w:val="161"/>
        </w:trPr>
        <w:tc>
          <w:tcPr>
            <w:tcW w:w="2520" w:type="dxa"/>
            <w:vAlign w:val="bottom"/>
          </w:tcPr>
          <w:p>
            <w:pPr>
              <w:spacing w:after="0"/>
              <w:rPr>
                <w:sz w:val="14"/>
                <w:szCs w:val="14"/>
                <w:color w:val="auto"/>
              </w:rPr>
            </w:pPr>
          </w:p>
        </w:tc>
        <w:tc>
          <w:tcPr>
            <w:tcW w:w="470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area code, of Registrant’s principal executive offices)</w:t>
            </w:r>
          </w:p>
        </w:tc>
        <w:tc>
          <w:tcPr>
            <w:tcW w:w="2360" w:type="dxa"/>
            <w:vAlign w:val="bottom"/>
          </w:tcPr>
          <w:p>
            <w:pPr>
              <w:spacing w:after="0"/>
              <w:rPr>
                <w:sz w:val="14"/>
                <w:szCs w:val="14"/>
                <w:color w:val="auto"/>
              </w:rPr>
            </w:pPr>
          </w:p>
        </w:tc>
      </w:tr>
      <w:tr>
        <w:trPr>
          <w:trHeight w:val="213"/>
        </w:trPr>
        <w:tc>
          <w:tcPr>
            <w:tcW w:w="2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8"/>
        </w:trPr>
        <w:tc>
          <w:tcPr>
            <w:tcW w:w="2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8"/>
              </w:rPr>
              <w:t>Eric Lefkofsky</w:t>
            </w:r>
          </w:p>
        </w:tc>
        <w:tc>
          <w:tcPr>
            <w:tcW w:w="2360" w:type="dxa"/>
            <w:vAlign w:val="bottom"/>
          </w:tcPr>
          <w:p>
            <w:pPr>
              <w:spacing w:after="0"/>
              <w:rPr>
                <w:sz w:val="18"/>
                <w:szCs w:val="18"/>
                <w:color w:val="auto"/>
              </w:rPr>
            </w:pPr>
          </w:p>
        </w:tc>
      </w:tr>
      <w:tr>
        <w:trPr>
          <w:trHeight w:val="144"/>
        </w:trPr>
        <w:tc>
          <w:tcPr>
            <w:tcW w:w="2520" w:type="dxa"/>
            <w:vAlign w:val="bottom"/>
          </w:tcPr>
          <w:p>
            <w:pPr>
              <w:spacing w:after="0"/>
              <w:rPr>
                <w:sz w:val="12"/>
                <w:szCs w:val="12"/>
                <w:color w:val="auto"/>
              </w:rPr>
            </w:pPr>
          </w:p>
        </w:tc>
        <w:tc>
          <w:tcPr>
            <w:tcW w:w="470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Chief Executive Officer, Founder and Chairman</w:t>
            </w:r>
          </w:p>
        </w:tc>
        <w:tc>
          <w:tcPr>
            <w:tcW w:w="2360" w:type="dxa"/>
            <w:vAlign w:val="bottom"/>
          </w:tcPr>
          <w:p>
            <w:pPr>
              <w:spacing w:after="0"/>
              <w:rPr>
                <w:sz w:val="12"/>
                <w:szCs w:val="12"/>
                <w:color w:val="auto"/>
              </w:rPr>
            </w:pPr>
          </w:p>
        </w:tc>
      </w:tr>
      <w:tr>
        <w:trPr>
          <w:trHeight w:val="144"/>
        </w:trPr>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2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Tempus Labs, Inc.</w:t>
            </w:r>
          </w:p>
        </w:tc>
        <w:tc>
          <w:tcPr>
            <w:tcW w:w="2360" w:type="dxa"/>
            <w:vAlign w:val="bottom"/>
          </w:tcPr>
          <w:p>
            <w:pPr>
              <w:spacing w:after="0"/>
              <w:rPr>
                <w:sz w:val="12"/>
                <w:szCs w:val="12"/>
                <w:color w:val="auto"/>
              </w:rPr>
            </w:pPr>
          </w:p>
        </w:tc>
      </w:tr>
      <w:tr>
        <w:trPr>
          <w:trHeight w:val="144"/>
        </w:trPr>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600 West Chicago Avenue, Suite 510</w:t>
            </w:r>
          </w:p>
        </w:tc>
        <w:tc>
          <w:tcPr>
            <w:tcW w:w="2360" w:type="dxa"/>
            <w:vAlign w:val="bottom"/>
          </w:tcPr>
          <w:p>
            <w:pPr>
              <w:spacing w:after="0"/>
              <w:rPr>
                <w:sz w:val="12"/>
                <w:szCs w:val="12"/>
                <w:color w:val="auto"/>
              </w:rPr>
            </w:pPr>
          </w:p>
        </w:tc>
      </w:tr>
      <w:tr>
        <w:trPr>
          <w:trHeight w:val="144"/>
        </w:trPr>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360" w:type="dxa"/>
            <w:vAlign w:val="bottom"/>
          </w:tcPr>
          <w:p>
            <w:pPr>
              <w:spacing w:after="0"/>
              <w:rPr>
                <w:sz w:val="12"/>
                <w:szCs w:val="12"/>
                <w:color w:val="auto"/>
              </w:rPr>
            </w:pPr>
          </w:p>
        </w:tc>
      </w:tr>
      <w:tr>
        <w:trPr>
          <w:trHeight w:val="149"/>
        </w:trPr>
        <w:tc>
          <w:tcPr>
            <w:tcW w:w="2520" w:type="dxa"/>
            <w:vAlign w:val="bottom"/>
          </w:tcPr>
          <w:p>
            <w:pPr>
              <w:spacing w:after="0"/>
              <w:rPr>
                <w:sz w:val="12"/>
                <w:szCs w:val="12"/>
                <w:color w:val="auto"/>
              </w:rPr>
            </w:pPr>
          </w:p>
        </w:tc>
        <w:tc>
          <w:tcPr>
            <w:tcW w:w="3520" w:type="dxa"/>
            <w:vAlign w:val="bottom"/>
            <w:gridSpan w:val="2"/>
          </w:tcPr>
          <w:p>
            <w:pPr>
              <w:jc w:val="center"/>
              <w:ind w:left="1053"/>
              <w:spacing w:after="0" w:line="149" w:lineRule="exact"/>
              <w:rPr>
                <w:sz w:val="20"/>
                <w:szCs w:val="20"/>
                <w:color w:val="auto"/>
              </w:rPr>
            </w:pPr>
            <w:r>
              <w:rPr>
                <w:rFonts w:ascii="Times New Roman" w:cs="Times New Roman" w:eastAsia="Times New Roman" w:hAnsi="Times New Roman"/>
                <w:sz w:val="14"/>
                <w:szCs w:val="14"/>
                <w:b w:val="1"/>
                <w:bCs w:val="1"/>
                <w:color w:val="auto"/>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520" w:type="dxa"/>
            <w:vAlign w:val="bottom"/>
          </w:tcPr>
          <w:p>
            <w:pPr>
              <w:spacing w:after="0"/>
              <w:rPr>
                <w:sz w:val="11"/>
                <w:szCs w:val="11"/>
                <w:color w:val="auto"/>
              </w:rPr>
            </w:pPr>
          </w:p>
        </w:tc>
        <w:tc>
          <w:tcPr>
            <w:tcW w:w="47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w:t>
            </w:r>
          </w:p>
        </w:tc>
        <w:tc>
          <w:tcPr>
            <w:tcW w:w="2360" w:type="dxa"/>
            <w:vAlign w:val="bottom"/>
          </w:tcPr>
          <w:p>
            <w:pPr>
              <w:spacing w:after="0"/>
              <w:rPr>
                <w:sz w:val="11"/>
                <w:szCs w:val="11"/>
                <w:color w:val="auto"/>
              </w:rPr>
            </w:pPr>
          </w:p>
        </w:tc>
      </w:tr>
      <w:tr>
        <w:trPr>
          <w:trHeight w:val="161"/>
        </w:trPr>
        <w:tc>
          <w:tcPr>
            <w:tcW w:w="2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2"/>
                <w:szCs w:val="12"/>
                <w:b w:val="1"/>
                <w:bCs w:val="1"/>
                <w:color w:val="auto"/>
              </w:rPr>
              <w:t>area code, of agent for service)</w:t>
            </w:r>
          </w:p>
        </w:tc>
        <w:tc>
          <w:tcPr>
            <w:tcW w:w="2360" w:type="dxa"/>
            <w:vAlign w:val="bottom"/>
          </w:tcPr>
          <w:p>
            <w:pPr>
              <w:spacing w:after="0"/>
              <w:rPr>
                <w:sz w:val="14"/>
                <w:szCs w:val="14"/>
                <w:color w:val="auto"/>
              </w:rPr>
            </w:pPr>
          </w:p>
        </w:tc>
      </w:tr>
      <w:tr>
        <w:trPr>
          <w:trHeight w:val="227"/>
        </w:trPr>
        <w:tc>
          <w:tcPr>
            <w:tcW w:w="2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58"/>
        </w:trPr>
        <w:tc>
          <w:tcPr>
            <w:tcW w:w="2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58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360" w:type="dxa"/>
            <w:vAlign w:val="bottom"/>
          </w:tcPr>
          <w:p>
            <w:pPr>
              <w:spacing w:after="0"/>
              <w:rPr>
                <w:sz w:val="22"/>
                <w:szCs w:val="22"/>
                <w:color w:val="auto"/>
              </w:rPr>
            </w:pPr>
          </w:p>
        </w:tc>
      </w:tr>
      <w:tr>
        <w:trPr>
          <w:trHeight w:val="183"/>
        </w:trPr>
        <w:tc>
          <w:tcPr>
            <w:tcW w:w="2520" w:type="dxa"/>
            <w:vAlign w:val="bottom"/>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rPr>
              <w:t>Eric Jensen</w:t>
            </w:r>
          </w:p>
        </w:tc>
        <w:tc>
          <w:tcPr>
            <w:tcW w:w="1120" w:type="dxa"/>
            <w:vAlign w:val="bottom"/>
          </w:tcPr>
          <w:p>
            <w:pPr>
              <w:spacing w:after="0"/>
              <w:rPr>
                <w:sz w:val="15"/>
                <w:szCs w:val="15"/>
                <w:color w:val="auto"/>
              </w:rPr>
            </w:pPr>
          </w:p>
        </w:tc>
        <w:tc>
          <w:tcPr>
            <w:tcW w:w="358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w w:val="99"/>
              </w:rPr>
              <w:t>Erik Phelps</w:t>
            </w:r>
          </w:p>
        </w:tc>
        <w:tc>
          <w:tcPr>
            <w:tcW w:w="236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w w:val="98"/>
              </w:rPr>
              <w:t>Alan F. Denenberg</w:t>
            </w:r>
          </w:p>
        </w:tc>
      </w:tr>
      <w:tr>
        <w:trPr>
          <w:trHeight w:val="144"/>
        </w:trPr>
        <w:tc>
          <w:tcPr>
            <w:tcW w:w="252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Christina T. Roupas</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Executive Vice President and</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Yasin Keshvargar</w:t>
            </w:r>
          </w:p>
        </w:tc>
      </w:tr>
      <w:tr>
        <w:trPr>
          <w:trHeight w:val="144"/>
        </w:trPr>
        <w:tc>
          <w:tcPr>
            <w:tcW w:w="252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Richard Segal</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Chief Administrative and Legal Officer</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Davis Polk &amp; Wardwell LLP</w:t>
            </w:r>
          </w:p>
        </w:tc>
      </w:tr>
      <w:tr>
        <w:trPr>
          <w:trHeight w:val="144"/>
        </w:trPr>
        <w:tc>
          <w:tcPr>
            <w:tcW w:w="252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Courtney M.W. Tygesson</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Tempus Labs, Inc.</w:t>
            </w:r>
          </w:p>
        </w:tc>
        <w:tc>
          <w:tcPr>
            <w:tcW w:w="2360" w:type="dxa"/>
            <w:vAlign w:val="bottom"/>
          </w:tcPr>
          <w:p>
            <w:pPr>
              <w:jc w:val="center"/>
              <w:ind w:lef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1600 El Camino Real</w:t>
            </w:r>
          </w:p>
        </w:tc>
      </w:tr>
      <w:tr>
        <w:trPr>
          <w:trHeight w:val="144"/>
        </w:trPr>
        <w:tc>
          <w:tcPr>
            <w:tcW w:w="2520" w:type="dxa"/>
            <w:vAlign w:val="bottom"/>
          </w:tcPr>
          <w:p>
            <w:pPr>
              <w:jc w:val="center"/>
              <w:ind w:right="470"/>
              <w:spacing w:after="0" w:line="145" w:lineRule="exact"/>
              <w:rPr>
                <w:sz w:val="20"/>
                <w:szCs w:val="20"/>
                <w:color w:val="auto"/>
              </w:rPr>
            </w:pPr>
            <w:r>
              <w:rPr>
                <w:rFonts w:ascii="Times New Roman" w:cs="Times New Roman" w:eastAsia="Times New Roman" w:hAnsi="Times New Roman"/>
                <w:sz w:val="14"/>
                <w:szCs w:val="14"/>
                <w:b w:val="1"/>
                <w:bCs w:val="1"/>
                <w:color w:val="auto"/>
                <w:w w:val="99"/>
              </w:rPr>
              <w:t>Li Pengli</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600 West Chicago Avenue, Suite 510</w:t>
            </w:r>
          </w:p>
        </w:tc>
        <w:tc>
          <w:tcPr>
            <w:tcW w:w="2360" w:type="dxa"/>
            <w:vAlign w:val="bottom"/>
          </w:tcPr>
          <w:p>
            <w:pPr>
              <w:jc w:val="center"/>
              <w:ind w:lef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Menlo Park, California 94025</w:t>
            </w:r>
          </w:p>
        </w:tc>
      </w:tr>
      <w:tr>
        <w:trPr>
          <w:trHeight w:val="144"/>
        </w:trPr>
        <w:tc>
          <w:tcPr>
            <w:tcW w:w="252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rPr>
              <w:t>Cooley LLP</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Chicago, Illinois 60654</w:t>
            </w:r>
          </w:p>
        </w:tc>
        <w:tc>
          <w:tcPr>
            <w:tcW w:w="2360" w:type="dxa"/>
            <w:vAlign w:val="bottom"/>
          </w:tcPr>
          <w:p>
            <w:pPr>
              <w:jc w:val="right"/>
              <w:ind w:right="370"/>
              <w:spacing w:after="0" w:line="145" w:lineRule="exact"/>
              <w:rPr>
                <w:sz w:val="20"/>
                <w:szCs w:val="20"/>
                <w:color w:val="auto"/>
              </w:rPr>
            </w:pPr>
            <w:r>
              <w:rPr>
                <w:rFonts w:ascii="Times New Roman" w:cs="Times New Roman" w:eastAsia="Times New Roman" w:hAnsi="Times New Roman"/>
                <w:sz w:val="14"/>
                <w:szCs w:val="14"/>
                <w:b w:val="1"/>
                <w:bCs w:val="1"/>
                <w:color w:val="auto"/>
              </w:rPr>
              <w:t>(650) 752-2000</w:t>
            </w:r>
          </w:p>
        </w:tc>
      </w:tr>
      <w:tr>
        <w:trPr>
          <w:trHeight w:val="144"/>
        </w:trPr>
        <w:tc>
          <w:tcPr>
            <w:tcW w:w="252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444 West Lake Street, Suite 1700</w:t>
            </w:r>
          </w:p>
        </w:tc>
        <w:tc>
          <w:tcPr>
            <w:tcW w:w="3520" w:type="dxa"/>
            <w:vAlign w:val="bottom"/>
            <w:gridSpan w:val="2"/>
          </w:tcPr>
          <w:p>
            <w:pPr>
              <w:jc w:val="center"/>
              <w:ind w:left="1073"/>
              <w:spacing w:after="0" w:line="145" w:lineRule="exact"/>
              <w:rPr>
                <w:sz w:val="20"/>
                <w:szCs w:val="20"/>
                <w:color w:val="auto"/>
              </w:rPr>
            </w:pPr>
            <w:r>
              <w:rPr>
                <w:rFonts w:ascii="Times New Roman" w:cs="Times New Roman" w:eastAsia="Times New Roman" w:hAnsi="Times New Roman"/>
                <w:sz w:val="14"/>
                <w:szCs w:val="14"/>
                <w:b w:val="1"/>
                <w:bCs w:val="1"/>
                <w:color w:val="auto"/>
                <w:w w:val="98"/>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44"/>
        </w:trPr>
        <w:tc>
          <w:tcPr>
            <w:tcW w:w="252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60606</w:t>
            </w:r>
          </w:p>
        </w:tc>
        <w:tc>
          <w:tcPr>
            <w:tcW w:w="1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85"/>
        </w:trPr>
        <w:tc>
          <w:tcPr>
            <w:tcW w:w="2520" w:type="dxa"/>
            <w:vAlign w:val="bottom"/>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(312) 881-6500</w:t>
            </w:r>
          </w:p>
        </w:tc>
        <w:tc>
          <w:tcPr>
            <w:tcW w:w="1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140335</wp:posOffset>
            </wp:positionV>
            <wp:extent cx="1517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As soon as practicable after this registration statement is declared effective.</w:t>
      </w:r>
    </w:p>
    <w:p>
      <w:pPr>
        <w:spacing w:after="0" w:line="33" w:lineRule="exact"/>
        <w:rPr>
          <w:sz w:val="24"/>
          <w:szCs w:val="24"/>
          <w:color w:val="auto"/>
        </w:rPr>
      </w:pPr>
    </w:p>
    <w:p>
      <w:pPr>
        <w:jc w:val="center"/>
        <w:ind w:right="-39"/>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07"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firstLine="454"/>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1"/>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9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0"/>
        </w:trPr>
        <w:tc>
          <w:tcPr>
            <w:tcW w:w="15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jc w:val="both"/>
        <w:spacing w:after="0" w:line="17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126365</wp:posOffset>
            </wp:positionV>
            <wp:extent cx="1517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33" w:lineRule="exact"/>
        <w:rPr>
          <w:sz w:val="24"/>
          <w:szCs w:val="24"/>
          <w:color w:val="auto"/>
        </w:rPr>
      </w:pPr>
    </w:p>
    <w:p>
      <w:pPr>
        <w:jc w:val="both"/>
        <w:ind w:firstLine="454"/>
        <w:spacing w:after="0" w:line="235"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197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99060</wp:posOffset>
            </wp:positionV>
            <wp:extent cx="71977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ectPr>
          <w:pgSz w:w="11900" w:h="16838" w:orient="portrait"/>
          <w:cols w:equalWidth="0" w:num="1">
            <w:col w:w="11340"/>
          </w:cols>
          <w:pgMar w:left="320" w:top="225"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DE1A1E"/>
        </w:rPr>
        <w:t>PRELIMINARY PROSPECTUS (Subject to Completion)</w:t>
      </w:r>
    </w:p>
    <w:p>
      <w:pPr>
        <w:spacing w:after="0" w:line="2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i w:val="1"/>
          <w:iCs w:val="1"/>
          <w:color w:val="DE1A1E"/>
        </w:rPr>
        <w:t>Issued</w:t>
      </w:r>
      <w:r>
        <w:rPr>
          <w:sz w:val="20"/>
          <w:szCs w:val="20"/>
          <w:color w:val="auto"/>
        </w:rPr>
        <w:tab/>
      </w:r>
      <w:r>
        <w:rPr>
          <w:rFonts w:ascii="Times New Roman" w:cs="Times New Roman" w:eastAsia="Times New Roman" w:hAnsi="Times New Roman"/>
          <w:sz w:val="18"/>
          <w:szCs w:val="18"/>
          <w:i w:val="1"/>
          <w:iCs w:val="1"/>
          <w:color w:val="DE1A1E"/>
        </w:rPr>
        <w:t>, 2022</w:t>
      </w:r>
    </w:p>
    <w:p>
      <w:pPr>
        <w:spacing w:after="0" w:line="2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4"/>
          <w:szCs w:val="24"/>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67310</wp:posOffset>
            </wp:positionV>
            <wp:extent cx="2617470" cy="1233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17470" cy="1233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142240</wp:posOffset>
            </wp:positionV>
            <wp:extent cx="1517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51" w:lineRule="exact"/>
        <w:rPr>
          <w:sz w:val="20"/>
          <w:szCs w:val="20"/>
          <w:color w:val="auto"/>
        </w:rPr>
      </w:pPr>
    </w:p>
    <w:p>
      <w:pPr>
        <w:spacing w:after="0"/>
        <w:tabs>
          <w:tab w:leader="none" w:pos="7440" w:val="left"/>
        </w:tabs>
        <w:rPr>
          <w:sz w:val="20"/>
          <w:szCs w:val="20"/>
          <w:color w:val="auto"/>
        </w:rPr>
      </w:pPr>
      <w:r>
        <w:rPr>
          <w:rFonts w:ascii="Times New Roman" w:cs="Times New Roman" w:eastAsia="Times New Roman" w:hAnsi="Times New Roman"/>
          <w:sz w:val="16"/>
          <w:szCs w:val="16"/>
          <w:b w:val="1"/>
          <w:bCs w:val="1"/>
          <w:i w:val="1"/>
          <w:iCs w:val="1"/>
          <w:color w:val="auto"/>
        </w:rPr>
        <w:t>This is an initial public offering of shares of Class A common stock of Tempus Labs, Inc. We are offering</w:t>
      </w:r>
      <w:r>
        <w:rPr>
          <w:sz w:val="20"/>
          <w:szCs w:val="20"/>
          <w:color w:val="auto"/>
        </w:rPr>
        <w:tab/>
      </w:r>
      <w:r>
        <w:rPr>
          <w:rFonts w:ascii="Times New Roman" w:cs="Times New Roman" w:eastAsia="Times New Roman" w:hAnsi="Times New Roman"/>
          <w:sz w:val="15"/>
          <w:szCs w:val="15"/>
          <w:b w:val="1"/>
          <w:bCs w:val="1"/>
          <w:i w:val="1"/>
          <w:iCs w:val="1"/>
          <w:color w:val="auto"/>
        </w:rPr>
        <w:t>shares of our Class A common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Prior to this offering, there has been no public market for our Class A common stock. It is currently estimated that the initial public offering price will be between $</w:t>
      </w:r>
    </w:p>
    <w:p>
      <w:pPr>
        <w:spacing w:after="0" w:line="2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6"/>
          <w:szCs w:val="16"/>
          <w:b w:val="1"/>
          <w:bCs w:val="1"/>
          <w:i w:val="1"/>
          <w:iCs w:val="1"/>
          <w:color w:val="auto"/>
        </w:rPr>
        <w:t>and $</w:t>
      </w:r>
      <w:r>
        <w:rPr>
          <w:sz w:val="20"/>
          <w:szCs w:val="20"/>
          <w:color w:val="auto"/>
        </w:rPr>
        <w:tab/>
      </w:r>
      <w:r>
        <w:rPr>
          <w:rFonts w:ascii="Times New Roman" w:cs="Times New Roman" w:eastAsia="Times New Roman" w:hAnsi="Times New Roman"/>
          <w:sz w:val="15"/>
          <w:szCs w:val="15"/>
          <w:b w:val="1"/>
          <w:bCs w:val="1"/>
          <w:i w:val="1"/>
          <w:iCs w:val="1"/>
          <w:color w:val="auto"/>
        </w:rPr>
        <w:t>per share.</w:t>
      </w:r>
    </w:p>
    <w:p>
      <w:pPr>
        <w:spacing w:after="0" w:line="52" w:lineRule="exact"/>
        <w:rPr>
          <w:sz w:val="20"/>
          <w:szCs w:val="20"/>
          <w:color w:val="auto"/>
        </w:rPr>
      </w:pPr>
    </w:p>
    <w:p>
      <w:pPr>
        <w:spacing w:after="0"/>
        <w:tabs>
          <w:tab w:leader="none" w:pos="9000" w:val="left"/>
        </w:tabs>
        <w:rPr>
          <w:sz w:val="20"/>
          <w:szCs w:val="20"/>
          <w:color w:val="auto"/>
        </w:rPr>
      </w:pPr>
      <w:r>
        <w:rPr>
          <w:rFonts w:ascii="Times New Roman" w:cs="Times New Roman" w:eastAsia="Times New Roman" w:hAnsi="Times New Roman"/>
          <w:sz w:val="16"/>
          <w:szCs w:val="16"/>
          <w:b w:val="1"/>
          <w:bCs w:val="1"/>
          <w:i w:val="1"/>
          <w:iCs w:val="1"/>
          <w:color w:val="auto"/>
        </w:rPr>
        <w:t>The selling stockholders identified in this prospectus have granted the underwriters the option to purchase up to an additional</w:t>
      </w:r>
      <w:r>
        <w:rPr>
          <w:sz w:val="20"/>
          <w:szCs w:val="20"/>
          <w:color w:val="auto"/>
        </w:rPr>
        <w:tab/>
      </w:r>
      <w:r>
        <w:rPr>
          <w:rFonts w:ascii="Times New Roman" w:cs="Times New Roman" w:eastAsia="Times New Roman" w:hAnsi="Times New Roman"/>
          <w:sz w:val="15"/>
          <w:szCs w:val="15"/>
          <w:b w:val="1"/>
          <w:bCs w:val="1"/>
          <w:i w:val="1"/>
          <w:iCs w:val="1"/>
          <w:color w:val="auto"/>
        </w:rPr>
        <w:t>shares of Class A common stock on</w:t>
      </w:r>
    </w:p>
    <w:p>
      <w:pPr>
        <w:spacing w:after="0" w:line="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the same terms as set forth above within 30 days from the date of this prospectus to cover over-allotments, if any. We will not receive any proceeds from any sale of shares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95250</wp:posOffset>
            </wp:positionV>
            <wp:extent cx="1517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Following this offering, we will have two classes of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30 votes and is convertible at any time into one share of Class A common stock. In addition, all shares of Class B common stock will automatically convert into shares of Class A common stock in certain circumstances, including on the date that our Chief Executive Officer, Founder and Chairman (i) ceases to serve as an executive officer or member of our Board of Directors or (ii) ceases to own, together with his controlled entities, at least 10,000,000 shares of our capital stock (as adjusted for stock splits, stock dividends, combinations, subdivisions and recapitalizations). See the section titled “Description of Capital Stock—Class A Common Stock and Class B Common Stock.” Our Chief Executive Officer, Founder and Chairman will beneficially own 100% of our outstanding Class B common stock and will beneficially own approximately % of the voting power of our outstanding capital stock immediately following this offering, assuming no exercise of the underwriters’ option to purchase additional shares of Class A common stock to cover over-allotments, if any. As a result, we will be a “controlled company” within the meaning of the corporate governance rules of the Nasdaq stock market, however, we have elected not to take advantage of the controlled company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104775</wp:posOffset>
            </wp:positionV>
            <wp:extent cx="1517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applied to list our Class A common stock on the Nasdaq Global Select Market under the symbol “TL.”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136525</wp:posOffset>
            </wp:positionV>
            <wp:extent cx="1517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Class A common stock involves risks. See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i w:val="1"/>
          <w:iCs w:val="1"/>
          <w:color w:val="auto"/>
        </w:rPr>
        <w:t>” beginning on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124460</wp:posOffset>
            </wp:positionV>
            <wp:extent cx="1517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70" w:lineRule="exact"/>
        <w:rPr>
          <w:sz w:val="20"/>
          <w:szCs w:val="20"/>
          <w:color w:val="auto"/>
        </w:rPr>
      </w:pPr>
    </w:p>
    <w:p>
      <w:pPr>
        <w:ind w:left="9420"/>
        <w:spacing w:after="0"/>
        <w:tabs>
          <w:tab w:leader="none" w:pos="10960" w:val="left"/>
        </w:tabs>
        <w:rPr>
          <w:sz w:val="20"/>
          <w:szCs w:val="20"/>
          <w:color w:val="auto"/>
        </w:rPr>
      </w:pPr>
      <w:r>
        <w:rPr>
          <w:rFonts w:ascii="Times New Roman" w:cs="Times New Roman" w:eastAsia="Times New Roman" w:hAnsi="Times New Roman"/>
          <w:sz w:val="14"/>
          <w:szCs w:val="14"/>
          <w:b w:val="1"/>
          <w:bCs w:val="1"/>
          <w:i w:val="1"/>
          <w:iCs w:val="1"/>
          <w:color w:val="auto"/>
        </w:rPr>
        <w:t>Per Share</w:t>
      </w:r>
      <w:r>
        <w:rPr>
          <w:sz w:val="20"/>
          <w:szCs w:val="20"/>
          <w:color w:val="auto"/>
        </w:rPr>
        <w:tab/>
      </w:r>
      <w:r>
        <w:rPr>
          <w:rFonts w:ascii="Times New Roman" w:cs="Times New Roman" w:eastAsia="Times New Roman" w:hAnsi="Times New Roman"/>
          <w:sz w:val="13"/>
          <w:szCs w:val="13"/>
          <w:b w:val="1"/>
          <w:bCs w:val="1"/>
          <w:i w:val="1"/>
          <w:iCs w:val="1"/>
          <w:color w:val="auto"/>
        </w:rPr>
        <w:t>Total</w:t>
      </w:r>
    </w:p>
    <w:p>
      <w:pPr>
        <w:sectPr>
          <w:pgSz w:w="11900" w:h="16838" w:orient="portrait"/>
          <w:cols w:equalWidth="0" w:num="1">
            <w:col w:w="11340"/>
          </w:cols>
          <w:pgMar w:left="320" w:top="448" w:right="239" w:bottom="1440" w:gutter="0" w:footer="0" w:header="0"/>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Initial public offering price</w:t>
      </w:r>
    </w:p>
    <w:p>
      <w:pPr>
        <w:spacing w:after="0" w:line="206" w:lineRule="auto"/>
        <w:rPr>
          <w:sz w:val="20"/>
          <w:szCs w:val="20"/>
          <w:color w:val="auto"/>
        </w:rPr>
      </w:pPr>
      <w:r>
        <w:rPr>
          <w:rFonts w:ascii="Times New Roman" w:cs="Times New Roman" w:eastAsia="Times New Roman" w:hAnsi="Times New Roman"/>
          <w:sz w:val="16"/>
          <w:szCs w:val="16"/>
          <w:i w:val="1"/>
          <w:iCs w:val="1"/>
          <w:color w:val="auto"/>
        </w:rPr>
        <w:t xml:space="preserve">Underwriting discounts and commissions </w:t>
      </w:r>
      <w:r>
        <w:rPr>
          <w:rFonts w:ascii="Times New Roman" w:cs="Times New Roman" w:eastAsia="Times New Roman" w:hAnsi="Times New Roman"/>
          <w:sz w:val="23"/>
          <w:szCs w:val="23"/>
          <w:i w:val="1"/>
          <w:iCs w:val="1"/>
          <w:color w:val="auto"/>
          <w:vertAlign w:val="superscript"/>
        </w:rPr>
        <w:t>(1)</w:t>
      </w:r>
    </w:p>
    <w:p>
      <w:pPr>
        <w:spacing w:after="0"/>
        <w:rPr>
          <w:sz w:val="20"/>
          <w:szCs w:val="20"/>
          <w:color w:val="auto"/>
        </w:rPr>
      </w:pPr>
      <w:r>
        <w:rPr>
          <w:rFonts w:ascii="Times New Roman" w:cs="Times New Roman" w:eastAsia="Times New Roman" w:hAnsi="Times New Roman"/>
          <w:sz w:val="16"/>
          <w:szCs w:val="16"/>
          <w:i w:val="1"/>
          <w:iCs w:val="1"/>
          <w:color w:val="auto"/>
        </w:rPr>
        <w:t>Proceeds, before expenses, to Tempus Labs,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Proceeds, before expenses, to the selling stockholders </w:t>
      </w:r>
      <w:r>
        <w:rPr>
          <w:rFonts w:ascii="Times New Roman" w:cs="Times New Roman" w:eastAsia="Times New Roman" w:hAnsi="Times New Roman"/>
          <w:sz w:val="23"/>
          <w:szCs w:val="23"/>
          <w:i w:val="1"/>
          <w:i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918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w w:val="85"/>
              </w:rPr>
              <w:t>(1)</w:t>
            </w:r>
          </w:p>
        </w:tc>
        <w:tc>
          <w:tcPr>
            <w:tcW w:w="856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See “Underwriting” for additional information regarding compensation payable to the underwriters.</w:t>
            </w:r>
          </w:p>
        </w:tc>
      </w:tr>
      <w:tr>
        <w:trPr>
          <w:trHeight w:val="185"/>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w w:val="85"/>
              </w:rPr>
              <w:t>(2)</w:t>
            </w:r>
          </w:p>
        </w:tc>
        <w:tc>
          <w:tcPr>
            <w:tcW w:w="41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Assumes the exercise in full of the underwriters’ option to purchase</w:t>
            </w:r>
          </w:p>
        </w:tc>
        <w:tc>
          <w:tcPr>
            <w:tcW w:w="4400" w:type="dxa"/>
            <w:vAlign w:val="bottom"/>
          </w:tcPr>
          <w:p>
            <w:pPr>
              <w:ind w:left="300"/>
              <w:spacing w:after="0"/>
              <w:rPr>
                <w:sz w:val="20"/>
                <w:szCs w:val="20"/>
                <w:color w:val="auto"/>
              </w:rPr>
            </w:pPr>
            <w:r>
              <w:rPr>
                <w:rFonts w:ascii="Times New Roman" w:cs="Times New Roman" w:eastAsia="Times New Roman" w:hAnsi="Times New Roman"/>
                <w:sz w:val="14"/>
                <w:szCs w:val="14"/>
                <w:i w:val="1"/>
                <w:iCs w:val="1"/>
                <w:color w:val="auto"/>
                <w:w w:val="99"/>
              </w:rPr>
              <w:t>additional shares of Class A common stock from the selling stockholders.</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Borders>
              <w:top w:val="single" w:sz="8" w:color="auto"/>
            </w:tcBorders>
          </w:tcPr>
          <w:p>
            <w:pPr>
              <w:jc w:val="right"/>
              <w:ind w:right="421"/>
              <w:spacing w:after="0" w:line="175" w:lineRule="exact"/>
              <w:rPr>
                <w:sz w:val="20"/>
                <w:szCs w:val="20"/>
                <w:color w:val="auto"/>
              </w:rPr>
            </w:pPr>
            <w:r>
              <w:rPr>
                <w:rFonts w:ascii="Times New Roman" w:cs="Times New Roman" w:eastAsia="Times New Roman" w:hAnsi="Times New Roman"/>
                <w:sz w:val="16"/>
                <w:szCs w:val="16"/>
                <w:i w:val="1"/>
                <w:iCs w:val="1"/>
                <w:color w:val="auto"/>
                <w:w w:val="74"/>
              </w:rPr>
              <w:t>$</w:t>
            </w:r>
          </w:p>
        </w:tc>
        <w:tc>
          <w:tcPr>
            <w:tcW w:w="980" w:type="dxa"/>
            <w:vAlign w:val="bottom"/>
          </w:tcPr>
          <w:p>
            <w:pPr>
              <w:spacing w:after="0"/>
              <w:rPr>
                <w:sz w:val="15"/>
                <w:szCs w:val="15"/>
                <w:color w:val="auto"/>
              </w:rPr>
            </w:pPr>
          </w:p>
        </w:tc>
        <w:tc>
          <w:tcPr>
            <w:tcW w:w="300" w:type="dxa"/>
            <w:vAlign w:val="bottom"/>
            <w:tcBorders>
              <w:top w:val="single" w:sz="8" w:color="auto"/>
            </w:tcBorders>
          </w:tcPr>
          <w:p>
            <w:pPr>
              <w:jc w:val="right"/>
              <w:ind w:right="61"/>
              <w:spacing w:after="0" w:line="175" w:lineRule="exact"/>
              <w:rPr>
                <w:sz w:val="20"/>
                <w:szCs w:val="20"/>
                <w:color w:val="auto"/>
              </w:rPr>
            </w:pPr>
            <w:r>
              <w:rPr>
                <w:rFonts w:ascii="Times New Roman" w:cs="Times New Roman" w:eastAsia="Times New Roman" w:hAnsi="Times New Roman"/>
                <w:sz w:val="16"/>
                <w:szCs w:val="16"/>
                <w:i w:val="1"/>
                <w:iCs w:val="1"/>
                <w:color w:val="auto"/>
              </w:rPr>
              <w:t>$</w:t>
            </w:r>
          </w:p>
        </w:tc>
      </w:tr>
      <w:tr>
        <w:trPr>
          <w:trHeight w:val="197"/>
        </w:trPr>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197"/>
        </w:trPr>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08"/>
        </w:trPr>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r>
    </w:tbl>
    <w:p>
      <w:pPr>
        <w:spacing w:after="0" w:line="513" w:lineRule="exact"/>
        <w:rPr>
          <w:sz w:val="20"/>
          <w:szCs w:val="20"/>
          <w:color w:val="auto"/>
        </w:rPr>
      </w:pPr>
    </w:p>
    <w:p>
      <w:pPr>
        <w:sectPr>
          <w:pgSz w:w="11900" w:h="16838" w:orient="portrait"/>
          <w:cols w:equalWidth="0" w:num="2">
            <w:col w:w="8800" w:space="620"/>
            <w:col w:w="1920"/>
          </w:cols>
          <w:pgMar w:left="320" w:top="448" w:right="239" w:bottom="1440" w:gutter="0" w:footer="0" w:header="0"/>
          <w:type w:val="continuous"/>
        </w:sectPr>
      </w:pPr>
    </w:p>
    <w:p>
      <w:pPr>
        <w:spacing w:after="0" w:line="288" w:lineRule="auto"/>
        <w:rPr>
          <w:sz w:val="20"/>
          <w:szCs w:val="20"/>
          <w:color w:val="auto"/>
        </w:rPr>
      </w:pPr>
      <w:r>
        <w:rPr>
          <w:rFonts w:ascii="Times New Roman" w:cs="Times New Roman" w:eastAsia="Times New Roman" w:hAnsi="Times New Roman"/>
          <w:sz w:val="16"/>
          <w:szCs w:val="16"/>
          <w:i w:val="1"/>
          <w:iCs w:val="1"/>
          <w:color w:val="auto"/>
        </w:rPr>
        <w:t>Neither the Securities and Exchange Commission nor any other regulatory body has approved or disapproved these securities or determined if this prospectus is truthful or complete. Any representation to the contrary is a criminal offense.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The underwriters expect to deliver the shares of Class A common stock to purchasers on</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111125</wp:posOffset>
            </wp:positionV>
            <wp:extent cx="1517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44" w:lineRule="exact"/>
        <w:rPr>
          <w:sz w:val="20"/>
          <w:szCs w:val="20"/>
          <w:color w:val="auto"/>
        </w:rPr>
      </w:pPr>
    </w:p>
    <w:p>
      <w:pPr>
        <w:spacing w:after="0"/>
        <w:tabs>
          <w:tab w:leader="none" w:pos="5120" w:val="left"/>
          <w:tab w:leader="none" w:pos="7700" w:val="left"/>
        </w:tabs>
        <w:rPr>
          <w:sz w:val="20"/>
          <w:szCs w:val="20"/>
          <w:color w:val="auto"/>
        </w:rPr>
      </w:pPr>
      <w:r>
        <w:rPr>
          <w:rFonts w:ascii="Times New Roman" w:cs="Times New Roman" w:eastAsia="Times New Roman" w:hAnsi="Times New Roman"/>
          <w:sz w:val="21"/>
          <w:szCs w:val="21"/>
          <w:i w:val="1"/>
          <w:iCs w:val="1"/>
          <w:color w:val="auto"/>
        </w:rPr>
        <w:t>MORGAN STANLEY</w:t>
      </w:r>
      <w:r>
        <w:rPr>
          <w:sz w:val="20"/>
          <w:szCs w:val="20"/>
          <w:color w:val="auto"/>
        </w:rPr>
        <w:tab/>
      </w:r>
      <w:r>
        <w:rPr>
          <w:rFonts w:ascii="Times New Roman" w:cs="Times New Roman" w:eastAsia="Times New Roman" w:hAnsi="Times New Roman"/>
          <w:sz w:val="21"/>
          <w:szCs w:val="21"/>
          <w:i w:val="1"/>
          <w:iCs w:val="1"/>
          <w:color w:val="auto"/>
        </w:rPr>
        <w:t>J.P. MORGAN</w:t>
      </w:r>
      <w:r>
        <w:rPr>
          <w:sz w:val="20"/>
          <w:szCs w:val="20"/>
          <w:color w:val="auto"/>
        </w:rPr>
        <w:tab/>
      </w:r>
      <w:r>
        <w:rPr>
          <w:rFonts w:ascii="Times New Roman" w:cs="Times New Roman" w:eastAsia="Times New Roman" w:hAnsi="Times New Roman"/>
          <w:sz w:val="20"/>
          <w:szCs w:val="20"/>
          <w:i w:val="1"/>
          <w:iCs w:val="1"/>
          <w:color w:val="auto"/>
        </w:rPr>
        <w:t>ALLEN &amp; COMPANY LLC</w:t>
      </w:r>
    </w:p>
    <w:p>
      <w:pPr>
        <w:spacing w:after="0" w:line="34" w:lineRule="exact"/>
        <w:rPr>
          <w:sz w:val="20"/>
          <w:szCs w:val="20"/>
          <w:color w:val="auto"/>
        </w:rPr>
      </w:pPr>
    </w:p>
    <w:p>
      <w:pPr>
        <w:spacing w:after="0"/>
        <w:tabs>
          <w:tab w:leader="none" w:pos="7700" w:val="left"/>
        </w:tabs>
        <w:rPr>
          <w:sz w:val="20"/>
          <w:szCs w:val="20"/>
          <w:color w:val="auto"/>
        </w:rPr>
      </w:pPr>
      <w:r>
        <w:rPr>
          <w:rFonts w:ascii="Times New Roman" w:cs="Times New Roman" w:eastAsia="Times New Roman" w:hAnsi="Times New Roman"/>
          <w:sz w:val="18"/>
          <w:szCs w:val="18"/>
          <w:i w:val="1"/>
          <w:iCs w:val="1"/>
          <w:color w:val="auto"/>
        </w:rPr>
        <w:t>BofA SECURITIES</w:t>
      </w:r>
      <w:r>
        <w:rPr>
          <w:sz w:val="20"/>
          <w:szCs w:val="20"/>
          <w:color w:val="auto"/>
        </w:rPr>
        <w:tab/>
      </w:r>
      <w:r>
        <w:rPr>
          <w:rFonts w:ascii="Times New Roman" w:cs="Times New Roman" w:eastAsia="Times New Roman" w:hAnsi="Times New Roman"/>
          <w:sz w:val="16"/>
          <w:szCs w:val="16"/>
          <w:i w:val="1"/>
          <w:iCs w:val="1"/>
          <w:color w:val="auto"/>
        </w:rPr>
        <w:t>COWEN</w:t>
      </w:r>
    </w:p>
    <w:p>
      <w:pPr>
        <w:spacing w:after="0" w:line="215" w:lineRule="auto"/>
        <w:tabs>
          <w:tab w:leader="none" w:pos="7700" w:val="left"/>
        </w:tabs>
        <w:rPr>
          <w:sz w:val="20"/>
          <w:szCs w:val="20"/>
          <w:color w:val="auto"/>
        </w:rPr>
      </w:pPr>
      <w:r>
        <w:rPr>
          <w:rFonts w:ascii="Times New Roman" w:cs="Times New Roman" w:eastAsia="Times New Roman" w:hAnsi="Times New Roman"/>
          <w:sz w:val="14"/>
          <w:szCs w:val="14"/>
          <w:i w:val="1"/>
          <w:iCs w:val="1"/>
          <w:color w:val="auto"/>
        </w:rPr>
        <w:t>STIFEL</w:t>
      </w:r>
      <w:r>
        <w:rPr>
          <w:sz w:val="20"/>
          <w:szCs w:val="20"/>
          <w:color w:val="auto"/>
        </w:rPr>
        <w:tab/>
      </w:r>
      <w:r>
        <w:rPr>
          <w:rFonts w:ascii="Times New Roman" w:cs="Times New Roman" w:eastAsia="Times New Roman" w:hAnsi="Times New Roman"/>
          <w:sz w:val="14"/>
          <w:szCs w:val="14"/>
          <w:i w:val="1"/>
          <w:iCs w:val="1"/>
          <w:color w:val="auto"/>
        </w:rPr>
        <w:t>WILLIAM BLAIR</w:t>
      </w:r>
    </w:p>
    <w:p>
      <w:pPr>
        <w:spacing w:after="0"/>
        <w:tabs>
          <w:tab w:leader="none" w:pos="7700" w:val="left"/>
        </w:tabs>
        <w:rPr>
          <w:sz w:val="20"/>
          <w:szCs w:val="20"/>
          <w:color w:val="auto"/>
        </w:rPr>
      </w:pPr>
      <w:r>
        <w:rPr>
          <w:rFonts w:ascii="Times New Roman" w:cs="Times New Roman" w:eastAsia="Times New Roman" w:hAnsi="Times New Roman"/>
          <w:sz w:val="14"/>
          <w:szCs w:val="14"/>
          <w:i w:val="1"/>
          <w:iCs w:val="1"/>
          <w:color w:val="auto"/>
        </w:rPr>
        <w:t>LOOP CAPITAL MARKETS</w:t>
      </w:r>
      <w:r>
        <w:rPr>
          <w:sz w:val="20"/>
          <w:szCs w:val="20"/>
          <w:color w:val="auto"/>
        </w:rPr>
        <w:tab/>
      </w:r>
      <w:r>
        <w:rPr>
          <w:rFonts w:ascii="Times New Roman" w:cs="Times New Roman" w:eastAsia="Times New Roman" w:hAnsi="Times New Roman"/>
          <w:sz w:val="13"/>
          <w:szCs w:val="13"/>
          <w:i w:val="1"/>
          <w:iCs w:val="1"/>
          <w:color w:val="auto"/>
        </w:rPr>
        <w:t>NEEDHAM &amp; COMPANY</w:t>
      </w:r>
    </w:p>
    <w:p>
      <w:pPr>
        <w:spacing w:after="0" w:line="27" w:lineRule="exact"/>
        <w:rPr>
          <w:sz w:val="20"/>
          <w:szCs w:val="20"/>
          <w:color w:val="auto"/>
        </w:rPr>
      </w:pPr>
    </w:p>
    <w:p>
      <w:pPr>
        <w:ind w:left="4600"/>
        <w:spacing w:after="0"/>
        <w:tabs>
          <w:tab w:leader="none" w:pos="6300" w:val="left"/>
        </w:tabs>
        <w:rPr>
          <w:sz w:val="20"/>
          <w:szCs w:val="20"/>
          <w:color w:val="auto"/>
        </w:rPr>
      </w:pPr>
      <w:r>
        <w:rPr>
          <w:rFonts w:ascii="Times New Roman" w:cs="Times New Roman" w:eastAsia="Times New Roman" w:hAnsi="Times New Roman"/>
          <w:sz w:val="16"/>
          <w:szCs w:val="16"/>
          <w:i w:val="1"/>
          <w:iCs w:val="1"/>
          <w:color w:val="auto"/>
        </w:rPr>
        <w:t>Prospectus dated</w:t>
      </w:r>
      <w:r>
        <w:rPr>
          <w:sz w:val="20"/>
          <w:szCs w:val="20"/>
          <w:color w:val="auto"/>
        </w:rPr>
        <w:tab/>
      </w:r>
      <w:r>
        <w:rPr>
          <w:rFonts w:ascii="Times New Roman" w:cs="Times New Roman" w:eastAsia="Times New Roman" w:hAnsi="Times New Roman"/>
          <w:sz w:val="15"/>
          <w:szCs w:val="15"/>
          <w:i w:val="1"/>
          <w:iCs w:val="1"/>
          <w:color w:val="auto"/>
        </w:rPr>
        <w:t>, 2022.</w:t>
      </w:r>
    </w:p>
    <w:p>
      <w:pPr>
        <w:sectPr>
          <w:pgSz w:w="11900" w:h="16838" w:orient="portrait"/>
          <w:cols w:equalWidth="0" w:num="1">
            <w:col w:w="11340"/>
          </w:cols>
          <w:pgMar w:left="320" w:top="448" w:right="2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280035</wp:posOffset>
            </wp:positionV>
            <wp:extent cx="1517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7"/>
              </w:rPr>
              <w:t>Prospectus Summary</w:t>
            </w:r>
          </w:p>
        </w:tc>
        <w:tc>
          <w:tcPr>
            <w:tcW w:w="3540" w:type="dxa"/>
            <w:vAlign w:val="bottom"/>
            <w:gridSpan w:val="5"/>
            <w:vMerge w:val="restart"/>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5360" w:type="dxa"/>
            <w:vAlign w:val="bottom"/>
            <w:gridSpan w:val="13"/>
            <w:vMerge w:val="restart"/>
          </w:tcPr>
          <w:p>
            <w:pPr>
              <w:ind w:left="220"/>
              <w:spacing w:after="0"/>
              <w:rPr>
                <w:sz w:val="20"/>
                <w:szCs w:val="20"/>
                <w:color w:val="auto"/>
              </w:rPr>
            </w:pPr>
            <w:r>
              <w:rPr>
                <w:rFonts w:ascii="Times New Roman" w:cs="Times New Roman" w:eastAsia="Times New Roman" w:hAnsi="Times New Roman"/>
                <w:sz w:val="18"/>
                <w:szCs w:val="18"/>
                <w:color w:val="0000EE"/>
              </w:rPr>
              <w:t>Executive Compensation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4"/>
        </w:trPr>
        <w:tc>
          <w:tcPr>
            <w:tcW w:w="1500" w:type="dxa"/>
            <w:vAlign w:val="bottom"/>
            <w:gridSpan w:val="8"/>
            <w:vMerge w:val="continue"/>
          </w:tcPr>
          <w:p>
            <w:pPr>
              <w:spacing w:after="0"/>
              <w:rPr>
                <w:sz w:val="14"/>
                <w:szCs w:val="14"/>
                <w:color w:val="auto"/>
              </w:rPr>
            </w:pPr>
          </w:p>
        </w:tc>
        <w:tc>
          <w:tcPr>
            <w:tcW w:w="3540" w:type="dxa"/>
            <w:vAlign w:val="bottom"/>
            <w:gridSpan w:val="5"/>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4"/>
                <w:szCs w:val="14"/>
                <w:color w:val="auto"/>
              </w:rPr>
            </w:pPr>
          </w:p>
        </w:tc>
        <w:tc>
          <w:tcPr>
            <w:tcW w:w="5360" w:type="dxa"/>
            <w:vAlign w:val="bottom"/>
            <w:gridSpan w:val="13"/>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0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3540" w:type="dxa"/>
            <w:vAlign w:val="bottom"/>
            <w:gridSpan w:val="5"/>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23</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93</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Principal and Selling Stockholders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6"/>
              </w:rPr>
              <w:t>Market, Industry and Other Data</w:t>
            </w:r>
          </w:p>
        </w:tc>
        <w:tc>
          <w:tcPr>
            <w:tcW w:w="148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95</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2740" w:type="dxa"/>
            <w:vAlign w:val="bottom"/>
            <w:gridSpan w:val="3"/>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97</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Dividend Policy</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98</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Material U.S. Federal Income Tax Consequences of Non-U.S. Holders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Borders>
              <w:top w:val="single" w:sz="8" w:color="0000EE"/>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6"/>
              </w:rPr>
              <w:t>Capitalization</w:t>
            </w:r>
          </w:p>
        </w:tc>
        <w:tc>
          <w:tcPr>
            <w:tcW w:w="4040" w:type="dxa"/>
            <w:vAlign w:val="bottom"/>
            <w:tcBorders>
              <w:top w:val="single" w:sz="8" w:color="0000EE"/>
            </w:tcBorders>
            <w:gridSpan w:val="8"/>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60" w:type="dxa"/>
            <w:vAlign w:val="bottom"/>
            <w:tcBorders>
              <w:top w:val="single" w:sz="8" w:color="0000EE"/>
              <w:bottom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w w:val="98"/>
              </w:rPr>
              <w:t>of Our Class A Common Stock</w:t>
            </w:r>
          </w:p>
        </w:tc>
        <w:tc>
          <w:tcPr>
            <w:tcW w:w="2500" w:type="dxa"/>
            <w:vAlign w:val="bottom"/>
            <w:tcBorders>
              <w:top w:val="single" w:sz="8" w:color="0000EE"/>
            </w:tcBorders>
            <w:gridSpan w:val="4"/>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90"/>
        </w:trPr>
        <w:tc>
          <w:tcPr>
            <w:tcW w:w="60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6"/>
              </w:rPr>
              <w:t>Dilution</w:t>
            </w:r>
          </w:p>
        </w:tc>
        <w:tc>
          <w:tcPr>
            <w:tcW w:w="4440" w:type="dxa"/>
            <w:vAlign w:val="bottom"/>
            <w:gridSpan w:val="11"/>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102</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Underwriting</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5"/>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80" w:type="dxa"/>
            <w:vAlign w:val="bottom"/>
          </w:tcPr>
          <w:p>
            <w:pPr>
              <w:spacing w:after="0"/>
              <w:rPr>
                <w:sz w:val="16"/>
                <w:szCs w:val="16"/>
                <w:color w:val="auto"/>
              </w:rPr>
            </w:pPr>
          </w:p>
        </w:tc>
        <w:tc>
          <w:tcPr>
            <w:tcW w:w="4540" w:type="dxa"/>
            <w:vAlign w:val="bottom"/>
            <w:gridSpan w:val="11"/>
          </w:tcPr>
          <w:p>
            <w:pPr>
              <w:spacing w:after="0" w:line="190" w:lineRule="exact"/>
              <w:rPr>
                <w:sz w:val="20"/>
                <w:szCs w:val="20"/>
                <w:color w:val="auto"/>
              </w:rPr>
            </w:pPr>
            <w:r>
              <w:rPr>
                <w:rFonts w:ascii="Times New Roman" w:cs="Times New Roman" w:eastAsia="Times New Roman" w:hAnsi="Times New Roman"/>
                <w:sz w:val="18"/>
                <w:szCs w:val="18"/>
                <w:color w:val="0000EE"/>
              </w:rPr>
              <w:t>Results of Operations</w:t>
            </w:r>
          </w:p>
        </w:tc>
        <w:tc>
          <w:tcPr>
            <w:tcW w:w="320" w:type="dxa"/>
            <w:vAlign w:val="bottom"/>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106</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Experts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 w:type="dxa"/>
            <w:vAlign w:val="bottom"/>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Business</w:t>
            </w:r>
          </w:p>
        </w:tc>
        <w:tc>
          <w:tcPr>
            <w:tcW w:w="4400" w:type="dxa"/>
            <w:vAlign w:val="bottom"/>
            <w:gridSpan w:val="10"/>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124</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190</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325120</wp:posOffset>
            </wp:positionV>
            <wp:extent cx="1517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Neither we, the selling stockholders, nor any of the underwriters have authorized anyone to provide any information or to make any representations other than those contained in this prospectus or in any free writing prospectuses we have prepared. Neither we, the selling stockholders, nor any of the underwriters take responsibility for, or can provide any assurance as to the reliability of, any other information that others may give you. We, the selling stockholders and the underwriters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40"/>
          </w:cols>
          <w:pgMar w:left="320" w:top="448"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5816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9630" cy="55816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13" w:lineRule="exact"/>
        <w:rPr>
          <w:sz w:val="20"/>
          <w:szCs w:val="20"/>
          <w:color w:val="auto"/>
        </w:rPr>
      </w:pPr>
    </w:p>
    <w:p>
      <w:pPr>
        <w:jc w:val="both"/>
        <w:ind w:left="200" w:firstLine="438"/>
        <w:spacing w:after="0" w:line="250"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“Tempus,” the “company,” “we,” “our,” “us” or similar terms refer to Tempus Labs, Inc. and its subsidiaries.</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We endeavor to unlock the true power of precision medicine by creating Intelligent Diagnostics through the practical application of artificial intelligence, or AI, in healthcare. Intelligent Diagnostics use artificial intelligence to make laboratory tests more accurate, tailored, and personal. Unlike traditional laboratory tests, an Intelligent Diagnostic contextualizes the laboratory test result to a specific patient, by incorporating an individual’s longitudinal clinical data into the result.</w:t>
      </w:r>
    </w:p>
    <w:p>
      <w:pPr>
        <w:spacing w:after="0" w:line="184"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To accomplish this, we built both a technology platform to free healthcare data from silos and an operating system to make this data useful. We refer to the combination of those as the Tempus Platform. Our proprietary technology has allowed us to amass what we consider to be one of the largest libraries of clinical and molecular oncology data in the world. Our goal is to embed AI throughout every aspect of diagnostic testing to enable physicians and researchers to make personalized, data-driven decisions that improve patient care. We started in oncology in 2016 and have expanded into neuropsychology, infectious diseases, and cardiology, with aspirations to eventually be in all major disease areas.</w:t>
      </w:r>
    </w:p>
    <w:p>
      <w:pPr>
        <w:spacing w:after="0" w:line="187" w:lineRule="exact"/>
        <w:rPr>
          <w:sz w:val="20"/>
          <w:szCs w:val="20"/>
          <w:color w:val="auto"/>
        </w:rPr>
      </w:pPr>
    </w:p>
    <w:p>
      <w:pPr>
        <w:jc w:val="both"/>
        <w:ind w:left="200" w:firstLine="438"/>
        <w:spacing w:after="0" w:line="288" w:lineRule="auto"/>
        <w:rPr>
          <w:sz w:val="20"/>
          <w:szCs w:val="20"/>
          <w:color w:val="auto"/>
        </w:rPr>
      </w:pPr>
      <w:r>
        <w:rPr>
          <w:rFonts w:ascii="Times New Roman" w:cs="Times New Roman" w:eastAsia="Times New Roman" w:hAnsi="Times New Roman"/>
          <w:sz w:val="16"/>
          <w:szCs w:val="16"/>
          <w:color w:val="auto"/>
        </w:rPr>
        <w:t>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56"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The ability to deploy AI in precision medicine at scale has only recently become possible. Advances in cloud computing, imaging technologies,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blood-based biomarker or a genomic mutation, and do not connect and integrate other forms of relevant clinical data, such as outcomes, or adverse events, or pathology results, which are essential for many clinical decisions.</w:t>
      </w:r>
    </w:p>
    <w:p>
      <w:pPr>
        <w:spacing w:after="0" w:line="187"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We established data pipes, going to and from providers, to allow for the free exchange of data between physicians, who interpret data, and diagnostic and life science companies, who provide data. Without this capability, we believe that data could continue to accumulate without impacting patient care. Tempus has built this integrated Platform, and we are now deploying it at scale in oncology, and other diseases, in the United States. Our Platform connects multiple stakeholders within the larger healthcare ecosystem, often in near real time, to assemble and integrate the data we collect, thereby providing an opportunity for physicians to</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448"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314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9630" cy="53149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55" w:lineRule="auto"/>
        <w:rPr>
          <w:sz w:val="20"/>
          <w:szCs w:val="20"/>
          <w:color w:val="auto"/>
        </w:rPr>
      </w:pPr>
      <w:r>
        <w:rPr>
          <w:rFonts w:ascii="Times New Roman" w:cs="Times New Roman" w:eastAsia="Times New Roman" w:hAnsi="Times New Roman"/>
          <w:sz w:val="18"/>
          <w:szCs w:val="18"/>
          <w:color w:val="auto"/>
        </w:rPr>
        <w:t>make data-driven decisions in the clinic and for researchers to discover and develop therapeutics. We aim to help doctors find the best therapies for their patients, help pharmaceutical and biotechnology companies make the best drugs possible, and enable patients to access emerging therapies and clinical trials when appropriate.</w:t>
      </w:r>
    </w:p>
    <w:p>
      <w:pPr>
        <w:spacing w:after="0" w:line="18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therapy selection and development.</w:t>
      </w:r>
    </w:p>
    <w:p>
      <w:pPr>
        <w:spacing w:after="0" w:line="187" w:lineRule="exact"/>
        <w:rPr>
          <w:sz w:val="20"/>
          <w:szCs w:val="20"/>
          <w:color w:val="auto"/>
        </w:rPr>
      </w:pPr>
    </w:p>
    <w:p>
      <w:pPr>
        <w:jc w:val="both"/>
        <w:ind w:left="200" w:firstLine="438"/>
        <w:spacing w:after="0" w:line="281" w:lineRule="auto"/>
        <w:rPr>
          <w:sz w:val="20"/>
          <w:szCs w:val="20"/>
          <w:color w:val="auto"/>
        </w:rPr>
      </w:pPr>
      <w:r>
        <w:rPr>
          <w:rFonts w:ascii="Times New Roman" w:cs="Times New Roman" w:eastAsia="Times New Roman" w:hAnsi="Times New Roman"/>
          <w:sz w:val="16"/>
          <w:szCs w:val="16"/>
          <w:color w:val="auto"/>
        </w:rPr>
        <w:t>Our Platform includes proprietary software and dedicated data pipelines that create a network of healthcare institutions through more than 250 unique data connections, many of which supply us with complex multimodal data in near real time, across over 1,500 healthcare institutions that order our products and services. Healthcare institutions supply us with this data in our capacity as a covered entity (for example, when we provide Next Generation Sequencing, or NGS, services on behalf of a patient), or as a business associate (for example, when 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We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and to increase the effectiveness of our clinical trial matching services. In certain circumstances, we may cover the actual direct costs associated with the technical integrations needed to create a data connection.</w:t>
      </w:r>
    </w:p>
    <w:p>
      <w:pPr>
        <w:spacing w:after="0" w:line="16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We have launched a suite of different products derived from our Platform, which have gained significant traction over the past five years. In 2020 alone, we performed more than one million diagnostic laboratory tests, and our clinical NGS volume in oncology rose from approximately 31,000 samples in 2018 to approximately 145,000 in 2021. Through December 31, 2021, our offerings have been used by more than 5,000 oncologists across hundreds of provider networks, including more than half of all academic medical centers in the United States. Our database has grown to be approximately 19 times the size of The Cancer Genome Atlas, the largest public genomic dataset that we know of in oncology, as we now have approximately 48 petabytes of connected clinical and molecular data. Between our sequencing and data collection efforts, we are connected in some way to approximately 40% of all oncologists practicing in the United States.</w:t>
      </w:r>
    </w:p>
    <w:p>
      <w:pPr>
        <w:spacing w:after="0" w:line="189"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originally set out to build a sustainable business model in oncology as our first proof of concept. To date, we have focused primarily on establishing and growing our oncology business, which represents the majority of both the data we have amassed and our revenues. Even though our cancer business was at an early stage, we next expanded into neuropsychology, as we believed our model was extensible across disease areas. Having gained early traction in depression, we moved into infectious disease, which was largely prioritized due to the COVID-19 pandemic. With the decline of COVID-19 testing revenue, we intend to expand our infectious disease offering to cover broader viral testing. Our next category is in cardiology, through our collaboration with Geisinger. Each time we enter a new disease area we look to expand upon the model we deployed in oncology by developing Intelligent Diagnostics connected to clinical data, and by amassing large amounts of de-identified data to advance patient care and accelerate drug discovery and development. Once we obtain sufficient data, we also expect to deploy our AI and machine learning capabilities to build algorithmic diagnostics at scale across diseases.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320" w:top="448"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7148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9630" cy="714883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To manage our growth, we have assembled a world-class team of approximately 1,500 employees, including hundreds with diverse expertise across genetics, molecular and computational biology, bioinformatics, regulatory affairs, medical, product and engineering, and data science. Roughly one-third of our team is technical, with over 180 PhDs and MDs on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200" w:firstLine="438"/>
        <w:spacing w:after="0" w:line="285" w:lineRule="auto"/>
        <w:rPr>
          <w:sz w:val="20"/>
          <w:szCs w:val="20"/>
          <w:color w:val="auto"/>
        </w:rPr>
      </w:pPr>
      <w:r>
        <w:rPr>
          <w:rFonts w:ascii="Times New Roman" w:cs="Times New Roman" w:eastAsia="Times New Roman" w:hAnsi="Times New Roman"/>
          <w:sz w:val="16"/>
          <w:szCs w:val="16"/>
          <w:color w:val="auto"/>
        </w:rPr>
        <w:t>We generated total revenue of $188.0 million and $257.9 million in the years ended December 31, 2020 and 2021, respectively. Revenue generated from COVID-19 testing was $89.5 million, or 47.6% of our total revenue, and $94.7 million, or 36.7% of our total revenue, for the years ended December 31, 2020 and 2021, respectively. We anticipate that demand for, and revenue from, our COVID-19 testing products will decrease materially in future periods due to the lower prevalence of COVID-19 from successful containment efforts and the vaccination of a substantial majority of Americans, reduced testing needs of many of our clients, and the entrance of other testing providers into the market, and that such decreases would have an adverse effect on our results of operations. We incurred net losses of $209.9 million and $259.2 million in the years ended December 31, 2020 and 2021, respectively.</w:t>
      </w:r>
    </w:p>
    <w:p>
      <w:pPr>
        <w:spacing w:after="0" w:line="2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The Tempus Platform combines multiple elements into a vertically integrated infrastructure that enables us to ingest data from providers, structure and harmonize the data into a common database, provide laboratory diagnostic testing when requested, and deliver personalized results that provide clinical context by leveraging our data. We offer closed-loop, full-stack, bi-directional integrations between a clinician’s desktop and our laboratory diagnostic capabilities, analytics platform, and vast repository of multimodal data. The key elements of our</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320" w:top="448"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7482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9630" cy="74822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67" w:lineRule="auto"/>
        <w:rPr>
          <w:sz w:val="20"/>
          <w:szCs w:val="20"/>
          <w:color w:val="auto"/>
        </w:rPr>
      </w:pPr>
      <w:r>
        <w:rPr>
          <w:rFonts w:ascii="Times New Roman" w:cs="Times New Roman" w:eastAsia="Times New Roman" w:hAnsi="Times New Roman"/>
          <w:sz w:val="18"/>
          <w:szCs w:val="18"/>
          <w:color w:val="auto"/>
        </w:rPr>
        <w:t>Platform, represented in the diagram below, collectively help power a variety of healthcare applications for providers and life sciences researchers. We believe each of these elements is difficult for competitors to replicate, and together represent a significant competitive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 Ingestion and Acquisition</w:t>
      </w:r>
    </w:p>
    <w:p>
      <w:pPr>
        <w:spacing w:after="0" w:line="112"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ingest healthcare data in near real time and at scale, including molecular, clinical and imaging data. We developed the software infrastructure and dedicated data pipelines to aggregate large amounts of multimodal data directly from healthcare institutions. Our software connects to a provider’s electronic health record, or EHR, system, their data warehouse, or their third-party data provider to pull relevant structured and unstructured data that the provider has agreed to contribute to us, including longitudinal follow-up data in certain circumstances. We have established relationships with hundreds of provider networks in the United States, including approximately half of all academic medical centers. In addition, we work with numerous industry associations, including the American Society of Clinical Oncology, or ASCO, to structure and distribute the cancer data that they collect as part of CancerLinq, which is their oncology data effort. We also ingest data via our two high-throughput diagnostic testing labs in Chicago and Atlanta, through which we offer a range of anatomical and molecular NGS tests. We intend to expand these capabilities with a new genomics lab in Raleigh, North Carolina, which we are currently operationalizing and from which we expect to begin offering commercial laboratory tests in 2022.</w:t>
      </w: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Data Processing</w:t>
      </w:r>
    </w:p>
    <w:p>
      <w:pPr>
        <w:spacing w:after="0" w:line="11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Once we ingest data, we deploy proprietary clinical data abstraction tools, including natural language processing, optical character recognition, and our abstraction software, to structure, harmonize, and de-identify the data we collect. We have developed various software tools to streamline and help secure this process. Once appropriately de-identified, we store the data in our multimodal database.</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320" w:top="448"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581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9630" cy="65817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Multimodal Database</w:t>
      </w:r>
    </w:p>
    <w:p>
      <w:pPr>
        <w:spacing w:after="0" w:line="112"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near real-time molecular, clinical and imaging data by embedding our solution into the clinical care of patients. As our testing volume has grown, and as our dedicated data pipelines have expanded, the size of our database has increased exponentially. Since we launched our Platform in 2016, Tempus has amassed almost 500 million documents and more than 5.0 million de-identified patient records, including over 950,000 with imaging data, more than 500,000 with matched clinical records linked with genomic information, and approximately 80,000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also retain the rights to broadly commercialize the de-identified data we collect. As our database continues to grow from its current size of approximately 48 petabytes, we believe new AI applications and opportunities will emerge that are only possible with scale that will drive further innovations in patient treatment. The graph below shows our historical database growth and its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Software Tools and Solutions</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have developed numerous software tools that power our Platform, making our services accessible to multiple constituencies within the healthcare ecosystem and creating a back-end infrastructure that supports our various product lines. We employ AI techniques including neural networks, deep learning, and other statistical learning techniques to generate patient-specific insights. Some of these AI models can be not only trained and validated for research use, but also developed into clinical-grade algorithmic tests, or Algos, and deployed clinically as part of routine care. As our data advantage and system architecture continue to improve, we believe our existing Intelligent Diagnostics will gain further adoption thereby accelerating our ability to deploy technologies, including Algos, in the clinical setting.</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320" w:top="448"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6400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9630" cy="564007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left="200" w:firstLine="438"/>
        <w:spacing w:after="0" w:line="280" w:lineRule="auto"/>
        <w:rPr>
          <w:sz w:val="20"/>
          <w:szCs w:val="20"/>
          <w:color w:val="auto"/>
        </w:rPr>
      </w:pPr>
      <w:r>
        <w:rPr>
          <w:rFonts w:ascii="Times New Roman" w:cs="Times New Roman" w:eastAsia="Times New Roman" w:hAnsi="Times New Roman"/>
          <w:sz w:val="16"/>
          <w:szCs w:val="16"/>
          <w:color w:val="auto"/>
        </w:rPr>
        <w:t>We have developed multiple products derived from our Platform that are designed to create an economic model that allows us to invest in structuring and harmonizing data, which is a necessary precursor for deploying AI at scale. Our products are organized under three product lines, each of which is designed to enable and enhance the others, thereby creating network effects in each of the markets in which we operate. Our business model allows both Tempus and our customers to unlock value from the data we make available in different ways across our different product lines. We believe these network effects provide a unique advantage to our business, as the compounding value of each data record in our database serves to enhance our competitive advantage. The more data we collect, the smarter our tests become, the more applications we can launch, the more physicians join our network, further growing our database, making our tests smarter for clinicians and our database more valuable for researchers. We describe below our three product lines— Genomics, Data, and Algos. For the year ended December 31, 2020, Genomics and Data represented 81% and 19% of our total revenue, respectively. For the year ended December 31, 2021, Genomics and Data represented 76% and 24% of our total revenue, respectively. For the years ended December 31, 2020 and 2021, revenue generated from Algos was less than $1.0 million and was reported within our Data and other product line.</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0" w:lineRule="exact"/>
        <w:rPr>
          <w:sz w:val="20"/>
          <w:szCs w:val="20"/>
          <w:color w:val="auto"/>
        </w:rPr>
      </w:pPr>
    </w:p>
    <w:p>
      <w:pPr>
        <w:jc w:val="both"/>
        <w:ind w:left="200" w:firstLine="438"/>
        <w:spacing w:after="0" w:line="283" w:lineRule="auto"/>
        <w:rPr>
          <w:sz w:val="20"/>
          <w:szCs w:val="20"/>
          <w:color w:val="auto"/>
        </w:rPr>
      </w:pPr>
      <w:r>
        <w:rPr>
          <w:rFonts w:ascii="Times New Roman" w:cs="Times New Roman" w:eastAsia="Times New Roman" w:hAnsi="Times New Roman"/>
          <w:sz w:val="16"/>
          <w:szCs w:val="16"/>
          <w:color w:val="auto"/>
        </w:rPr>
        <w:t xml:space="preserve">Our </w:t>
      </w:r>
      <w:r>
        <w:rPr>
          <w:rFonts w:ascii="Times New Roman" w:cs="Times New Roman" w:eastAsia="Times New Roman" w:hAnsi="Times New Roman"/>
          <w:sz w:val="16"/>
          <w:szCs w:val="16"/>
          <w:i w:val="1"/>
          <w:iCs w:val="1"/>
          <w:color w:val="auto"/>
        </w:rPr>
        <w:t>Genomics</w:t>
      </w:r>
      <w:r>
        <w:rPr>
          <w:rFonts w:ascii="Times New Roman" w:cs="Times New Roman" w:eastAsia="Times New Roman" w:hAnsi="Times New Roman"/>
          <w:sz w:val="16"/>
          <w:szCs w:val="16"/>
          <w:color w:val="auto"/>
        </w:rPr>
        <w:t xml:space="preserve"> product line leverages our laboratories to provide NGS diagnostics, polymerase chain reaction, or PCR, profiling, molecular genotyping, and other anatomic and molecular pathology testing to healthcare providers, life sciences companies, researchers, and other third parties. We operate robotic sequencing labs in Chicago and Atlanta with automated bioinformatics and variant classification and reporting that allow us to operate as a high-quality, low-cost NGS provider that broadly serves the market. Our labs are certified by the Clinical Laboratory Improvement Amendments, or CLIA, and accredited by the College of American Pathologists, or CAP. We are also currently operationalizing an additional sequencing lab in Raleigh, North Carolina. However, unlike other laboratory diagnostic testing providers, many of our tests are connected to clinical data in some manner, which allows our suite of tests to be self-learning, becoming more accurate and precise with each new test that we run. Our current primary assays include:</w:t>
      </w:r>
    </w:p>
    <w:p>
      <w:pPr>
        <w:spacing w:after="0" w:line="72" w:lineRule="exact"/>
        <w:rPr>
          <w:sz w:val="20"/>
          <w:szCs w:val="20"/>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xT – 648 gene solid tumor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 – whole exome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xF – 105 gene liquid biopsy cancer assay (we are currently performing analytical validation on a larger 523 gene version);</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xG – 52 gene inherited cancer risk germline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nP – pharmacogenomics profiling in neuropsychology;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 – PCR test for COVID-19; and</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xG+ – 88 gene panel covering genes associated with both common and rare hereditary cancers.</w:t>
      </w:r>
    </w:p>
    <w:p>
      <w:pPr>
        <w:spacing w:after="0" w:line="213" w:lineRule="exact"/>
        <w:rPr>
          <w:sz w:val="20"/>
          <w:szCs w:val="20"/>
          <w:color w:val="auto"/>
        </w:rPr>
      </w:pPr>
    </w:p>
    <w:p>
      <w:pPr>
        <w:jc w:val="both"/>
        <w:ind w:left="200" w:right="20" w:firstLine="438"/>
        <w:spacing w:after="0" w:line="267" w:lineRule="auto"/>
        <w:rPr>
          <w:sz w:val="20"/>
          <w:szCs w:val="20"/>
          <w:color w:val="auto"/>
        </w:rPr>
      </w:pPr>
      <w:r>
        <w:rPr>
          <w:rFonts w:ascii="Times New Roman" w:cs="Times New Roman" w:eastAsia="Times New Roman" w:hAnsi="Times New Roman"/>
          <w:sz w:val="18"/>
          <w:szCs w:val="18"/>
          <w:color w:val="auto"/>
        </w:rPr>
        <w:t>We are also currently developing xM, a low pass whole genome + methylation assay for monitoring for cancer recurrence and minimal residual disease.</w:t>
      </w:r>
    </w:p>
    <w:p>
      <w:pPr>
        <w:spacing w:after="0" w:line="17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cancer tests have gained wide market adoption and allowed us to amass what we consider to be one of the largest clinical and molecular oncology datasets in the world, which we make available to physicians and life sciences companies. Because our Platform is designed to be extensible across disease areas, we hope, over time, to have similar success in neuropsychology, cardiology, infectious disease, and the other disease categories in which we choose to expand.</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60"/>
          </w:cols>
          <w:pgMar w:left="320" w:top="448"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248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9630" cy="52482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w:t>
      </w:r>
    </w:p>
    <w:p>
      <w:pPr>
        <w:spacing w:after="0" w:line="110"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 xml:space="preserve"> product line facilitates drug discovery and development for life sciences companies through two primary products, </w:t>
      </w:r>
      <w:r>
        <w:rPr>
          <w:rFonts w:ascii="Times New Roman" w:cs="Times New Roman" w:eastAsia="Times New Roman" w:hAnsi="Times New Roman"/>
          <w:sz w:val="18"/>
          <w:szCs w:val="18"/>
          <w:i w:val="1"/>
          <w:iCs w:val="1"/>
          <w:color w:val="auto"/>
        </w:rPr>
        <w:t>Insights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Therapies</w:t>
      </w:r>
      <w:r>
        <w:rPr>
          <w:rFonts w:ascii="Times New Roman" w:cs="Times New Roman" w:eastAsia="Times New Roman" w:hAnsi="Times New Roman"/>
          <w:sz w:val="18"/>
          <w:szCs w:val="18"/>
          <w:color w:val="auto"/>
        </w:rPr>
        <w:t xml:space="preserve">. Through our </w:t>
      </w:r>
      <w:r>
        <w:rPr>
          <w:rFonts w:ascii="Times New Roman" w:cs="Times New Roman" w:eastAsia="Times New Roman" w:hAnsi="Times New Roman"/>
          <w:sz w:val="18"/>
          <w:szCs w:val="18"/>
          <w:i w:val="1"/>
          <w:iCs w:val="1"/>
          <w:color w:val="auto"/>
        </w:rPr>
        <w:t>Insights</w:t>
      </w:r>
      <w:r>
        <w:rPr>
          <w:rFonts w:ascii="Times New Roman" w:cs="Times New Roman" w:eastAsia="Times New Roman" w:hAnsi="Times New Roman"/>
          <w:sz w:val="18"/>
          <w:szCs w:val="18"/>
          <w:color w:val="auto"/>
        </w:rPr>
        <w:t xml:space="preserve"> product, we license libraries of linked clinical, molecular, and imaging de-identified data and provide a suite of analytic and cloud-and-compute tools to pharmaceutical and biotechnology companies. Historically, datasets in healthcare have been siloed, often lacking important contextual information such as outcome and treatment response data. Our Insights offering is designed to address this void across multiple diseases, enabling pharmaceutical and biotechnology companies to improve decision-making across the drug lifecycle from discovery, research and development, to commercialization. Customers either pay us on a per file basis or through multi-year data licensing agreements to access our de-identified database of clinical records. At present, we work with 16 of the 20 largest public pharmaceutical companies based on 2020 revenue, and, as of December 31, 2021, we have signed contracts with a remaining total contract value of $428 million, a majority of which we expect to deliver over the next several years. See “Business” for additional discussion regarding our remaining total contract value.</w:t>
      </w:r>
    </w:p>
    <w:p>
      <w:pPr>
        <w:spacing w:after="0" w:line="193"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retain broad rights to commercialize most of the de-identified data we collect, and we are able to license the same de-identified records to multiple customers. Additionally, because many of our data profiles regularly update with clinical outcome and response data over time, the value of a single de-identified record can increase over time.</w:t>
      </w:r>
    </w:p>
    <w:p>
      <w:pPr>
        <w:spacing w:after="0" w:line="18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To evaluate the revenue stream in our Data product line, we rely on “Cohort Lifetime Value.” We define “Cohort Lifetime Value” as the cumulative revenue attributable to a specific cohort of de-identified records, including revenue derived both from the initial sequencing (Genomics) and licensing (Data and other),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revenue is a component of data and other revenue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also does not include costs reported as cost of revenues, data and other in the Consolidated Statement of Operations. Cost of revenues, data and other were $7.1 million and $11.9 million for the years ended December 31, 2020 and 2021, respectively. These costs represent 19.6% and 19.0% of data and other revenue for the years ended December 31, 2020 and 2021, respectively.</w:t>
      </w:r>
    </w:p>
    <w:p>
      <w:pPr>
        <w:spacing w:after="0" w:line="195"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In 2018, the first full year that we operated a laboratory, we sequenced samples from approximately 7,500 patients. From that 2018 cohort of sequenced patients, through December 31, 2021, we generated $47.4 million of combined revenue from sequencing, data licensing of de-identified data derived from those records, and clinical trials matching, which is approximately 5.3 times the revenue we received from sequencing at the onset. The total cost to sequence the 2018 cohort was $17.4 million, of which $9.0 million was covered by reimbursement for the corresponding sequencing tests. We then generated $16.3 million of data revenue from that cohort in 2018, finishing the year with a “Cohort Lifetime Value” of $7.9 million. As more customers licensed de-identified records from the 2018 cohort in subsequent years, we generated additional revenue in 2019, 2020 and 2021 from the 2018 cohort, and as of December 31, 2021, the 2018 “Cohort Lifetime Value” for this cohort was $30.0 million. We maintained similar trends for the 2019, 2020 and 2021 cohorts. As of December 31, 2021, the 2019 “Cohort Lifetime Value” was $34.2 million, the 2020 “Cohort Lifetime Value” was $19.2 million and the 2021 “Cohort Lifetime Value” was $17.1 million.</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20" w:top="448"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5570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9630" cy="655701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“Cohort Lifetime Value” for the 2018, 2019, 2020 and 2021 data cohorts is illustrated in the graphs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139"/>
          </w:cols>
          <w:pgMar w:left="320" w:top="44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775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9630" cy="7757160"/>
                    </a:xfrm>
                    <a:prstGeom prst="rect">
                      <a:avLst/>
                    </a:prstGeom>
                    <a:noFill/>
                  </pic:spPr>
                </pic:pic>
              </a:graphicData>
            </a:graphic>
          </wp:anchor>
        </w:drawing>
      </w:r>
    </w:p>
    <w:p>
      <w:pPr>
        <w:sectPr>
          <w:pgSz w:w="11900" w:h="16838" w:orient="portrait"/>
          <w:cols w:equalWidth="0" w:num="1">
            <w:col w:w="11160"/>
          </w:cols>
          <w:pgMar w:left="320" w:top="44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 xml:space="preserve">Our second product within our Data product line, </w:t>
      </w:r>
      <w:r>
        <w:rPr>
          <w:rFonts w:ascii="Times New Roman" w:cs="Times New Roman" w:eastAsia="Times New Roman" w:hAnsi="Times New Roman"/>
          <w:sz w:val="18"/>
          <w:szCs w:val="18"/>
          <w:i w:val="1"/>
          <w:iCs w:val="1"/>
          <w:color w:val="auto"/>
        </w:rPr>
        <w:t>Therapies</w:t>
      </w:r>
      <w:r>
        <w:rPr>
          <w:rFonts w:ascii="Times New Roman" w:cs="Times New Roman" w:eastAsia="Times New Roman" w:hAnsi="Times New Roman"/>
          <w:sz w:val="18"/>
          <w:szCs w:val="18"/>
          <w:color w:val="auto"/>
        </w:rPr>
        <w:t>, is designed to leverage the broad network of physicians we work with in oncology to provide clinical trial matching services for pharmaceutical companies that are looking to reach hard-to-find and underserved patient populations. Our clinical trial matching product is built on top of our near real-time data feeds and harnesses AI to accelerate the connection between patients, clinical trial providers (hospitals), and clinical trial sponsors (life sciences companies). We empower both oncologists to help their patients find clinical trials and pharmaceutical companies to enroll patients into their trials. We generate revenue from both matching the patient to the trial (through notices we send to physicians alerting them of potential trials that are a fit for their patients), and from the patient actually enrolling in the trial. Since its introduction, this program has gained significant traction with more than 1,500 oncologists fully enrolled, more than 75 clinical trials onboarded and active, and more than 5,800 patients were identified for potential enrollment into clinical trials in our network, as of December 31, 2021. We believe the breadth of our network, the data to which we have near real-time access, and our relationships with oncologists enable us to offer a clinical trial matching service that has the potential to materially expand patient access to and accelerate enrollment in clinical trials in the United States.</w:t>
      </w: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0" w:lineRule="exact"/>
        <w:rPr>
          <w:sz w:val="20"/>
          <w:szCs w:val="20"/>
          <w:color w:val="auto"/>
        </w:rPr>
      </w:pPr>
    </w:p>
    <w:p>
      <w:pPr>
        <w:jc w:val="both"/>
        <w:ind w:left="200" w:firstLine="438"/>
        <w:spacing w:after="0" w:line="270" w:lineRule="auto"/>
        <w:rPr>
          <w:sz w:val="20"/>
          <w:szCs w:val="20"/>
          <w:color w:val="auto"/>
        </w:rPr>
      </w:pPr>
      <w:r>
        <w:rPr>
          <w:rFonts w:ascii="Times New Roman" w:cs="Times New Roman" w:eastAsia="Times New Roman" w:hAnsi="Times New Roman"/>
          <w:sz w:val="18"/>
          <w:szCs w:val="18"/>
          <w:color w:val="auto"/>
        </w:rPr>
        <w:t xml:space="preserve">Our newest product line, </w:t>
      </w:r>
      <w:r>
        <w:rPr>
          <w:rFonts w:ascii="Times New Roman" w:cs="Times New Roman" w:eastAsia="Times New Roman" w:hAnsi="Times New Roman"/>
          <w:sz w:val="18"/>
          <w:szCs w:val="18"/>
          <w:i w:val="1"/>
          <w:iCs w:val="1"/>
          <w:color w:val="auto"/>
        </w:rPr>
        <w:t>Algos</w:t>
      </w:r>
      <w:r>
        <w:rPr>
          <w:rFonts w:ascii="Times New Roman" w:cs="Times New Roman" w:eastAsia="Times New Roman" w:hAnsi="Times New Roman"/>
          <w:sz w:val="18"/>
          <w:szCs w:val="18"/>
          <w:color w:val="auto"/>
        </w:rPr>
        <w:t>, focuses on developing and providing diagnostics that are algorithmic in nature. Algos are tests that can be run without additional chemistry or biology; they are simply 0’s and 1’s</w:t>
      </w:r>
    </w:p>
    <w:p>
      <w:pPr>
        <w:sectPr>
          <w:pgSz w:w="11900" w:h="16838" w:orient="portrait"/>
          <w:cols w:equalWidth="0" w:num="1">
            <w:col w:w="11160"/>
          </w:cols>
          <w:pgMar w:left="320" w:top="448" w:right="419" w:bottom="1440" w:gutter="0" w:footer="0" w:header="0"/>
          <w:type w:val="continuous"/>
        </w:sectPr>
      </w:pPr>
    </w:p>
    <w:p>
      <w:pPr>
        <w:spacing w:after="0" w:line="2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160"/>
          </w:cols>
          <w:pgMar w:left="320" w:top="448" w:right="4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115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9630" cy="61150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67" w:lineRule="auto"/>
        <w:rPr>
          <w:sz w:val="20"/>
          <w:szCs w:val="20"/>
          <w:color w:val="auto"/>
        </w:rPr>
      </w:pPr>
      <w:r>
        <w:rPr>
          <w:rFonts w:ascii="Times New Roman" w:cs="Times New Roman" w:eastAsia="Times New Roman" w:hAnsi="Times New Roman"/>
          <w:sz w:val="18"/>
          <w:szCs w:val="18"/>
          <w:color w:val="auto"/>
        </w:rPr>
        <w:t>running on digitized data derived from a laboratory test. Algos leverage AI-driven insights to produce clinically validated and actionable information for physicians.</w:t>
      </w:r>
    </w:p>
    <w:p>
      <w:pPr>
        <w:spacing w:after="0" w:line="170"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currently offer three algorithmic tests in oncology: our tumor origin test, or TO test, our homologous recombination deficiency test, or HRD test, and our Dihydropyrimidine Dehydrogenase Deficiency, or DPYD test. Our TO test is designed to predict the site of origin for cancer patients for whom the primary tumor site is unknown, which represents approximately 3% of cancer patients. Our TO test compares the molecular profile of the tumor with profiles of other cancers in our database. Our HRD test is designed to identify patients who might be sensitive to poly (ADP-ribose) polymerase inhibitors, or PARP inhibitors, which we estimate represent approximately 936,000 addressable patients in breast, ovarian, pancreatic and prostate cancer patients. Identifying which patients are PARP sensitive can help physicians pursue specific courses of treatment, which may meaningfully prolong the patient’s life expectancy. Our DPYD test is designed to identify certain alterations in the DPYD gene, which may be associated with a patient’s potential toxicity to 5-FU/Capecitabine chemotherapy based on the associated drug labeling and guidelines from the Clinical Pharmacogenomics Implementation Consortium (CPIC).</w:t>
      </w:r>
    </w:p>
    <w:p>
      <w:pPr>
        <w:spacing w:after="0" w:line="191"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We are also developing Algos in other disease areas. In cardiology, for example, we entered into a collaboration with Geisinger to build algorithmic models that aid clinicians in identifying patients at increased risk of developing atrial fibrillation, or AFib, along with a variety of other cardiac conditions. These Algos are trained using de-identified data derived from Geisinger’s dataset of approximately 3.2 million electrocardiograms, or ECGs, across approximately 600,000 patients, with decades of longitudinal connected clinical data, including outcome and response data. As part of this initiative, the U.S. Food and Drug Administration, or FDA, recently awarded Tempus breakthrough designation status for an algorithm to predict AFib from a normal ECG for certain populations. Approximately 3.5% of all ECG results appear not to have AFib upon initial read, yet a major cardiac trauma or stroke occurs in these patients within a year. We estimate that approximately 300 million ECGs are run annually worldwide, and accordingly, this group of algorithms could affect up to ten and a half million patients.</w:t>
      </w:r>
    </w:p>
    <w:p>
      <w:pPr>
        <w:spacing w:after="0" w:line="186"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180"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Our Algos product line represents an emerging category of diagnostics and has the potential to be highly disruptive across diagnostic tests in a broad set of disease areas. We believe that as our database grows, we will be able to expand our Algos offering, with the goal of launching hundreds or thousands of Algos at some point in the future, representing a significant long-term opportunity that may be substantially larger than our other existing product lines. We believe our ability to launch Algos at scale could be a unique differentiator of our Platform. For Algos, we use data the same way legacy diagnostic companies use chemistry in the battle against disease, improving patient care by learning from the patients who have come before, and tailoring test results based on a patient’s unique profile. While we only have four Algos tests at present, we have a goal of launching at least 50 Algos by year end 2025. Some Algos will likely yield little to no reimbursement until their clinical utility is well established, and some may obtain reimbursement at prevailing rates for comparable tests. Through December 31, 2021 our Algos have been ordered more than 13,600 times and have generated approximately $100 per test on average. Eventually, we would like to launch hundreds, if not thousands, of Algos.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potential therapeutics or therapeutic pathways, often prescribed based on trial and error. When these conditions exist, technology and AI can facilitate precision medicine through data associations that substantially reduce the guesswork associated with which drug to prescribe, in what amount, and in which order. We are currently focused on oncology, neuropsychology, cardiology, and infectious diseases, in which there is over $4 trillion of economic burden according to publicly available sources.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320" w:top="448"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9818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9630" cy="698182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oncology and neuropsychology. Our Data product line operates within a market in which life sciences companies spent an estimated $219 billion in 2020 on research and development according to Evaluate Pharma, and addresses needs within the $38 billion clinical trial services market, the $46 billion market for biomarker discovery, and the $29 billion market for third party research for “real world evidence”, as estimated according to Mordor Intelligence and our internal estimates. Over time, we believe that the potential market opportunity for our Algos product line could be substantially larger than our other product lines combined.</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Long-Term Vision</w:t>
      </w:r>
    </w:p>
    <w:p>
      <w:pPr>
        <w:spacing w:after="0" w:line="110"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are in the early stages of addressing the significant market opportunity that is emerging as AI permeates healthcare. Based on our current customer adoption, Tempus has already built what we consider to be one of the largest multimodal datasets for cancer patients in the world (with other diseases following). We believe our competitive advantages are substantial. Our Genomics product line, which is based on our strong and extensive relationships with providers, feeds our Platform; our Data product line is powered by dedicated, near real-time data pipelines that we believe are increasingly difficult to replicate; and our proprietary technology has allowed us to scale where others have been unable. As we are now connected to approximately 40% of all oncologists practicing in the United States in some way, and a growing number of neuropsychiatric, infectious disease, and cardiology patients, we have reached what we believe is an inflection point for adoption. As we collect more data, our tests become more accurate, we launch more applications, which leads more physicians to join our network, thereby growing our database even further, making our tests more precise for clinicians and our database more valuable for researchers</w:t>
      </w:r>
    </w:p>
    <w:p>
      <w:pPr>
        <w:spacing w:after="0" w:line="191"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goal is to make vast amounts of healthcare information accessible and useful, allowing data to be organized and analyzed for the benefit of patients, physicians, and researchers. We envision a world where currently siloed, inaccessible datasets are instantly available through a single, purpose-built Platform to bring AI to healthcare. In oncology, this means the ability to generate new insights using molecular and anatomic pathology, bioinformatics, genomic variant analysis, inherited cancer risk, computational biology, drug label data, noted adverse events, clinical trials data, research publications, investigational studies, care pathways, real world evidentiary studies, and phenotypic and morphologic data. We envision a world where all of this data is connected to every diagnostic test run, with the results contextualized and personalized so that physicians can make data-driven decisions in real time in the clinical setting.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60"/>
          </w:cols>
          <w:pgMar w:left="320" w:top="448"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906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9630" cy="590677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Tempus has built the first version of our desired world—in oncology, in the United States—as our platform connects a patient’s genomic and clinical data to help physicians determine the optimal therapeutic path. Our tests are designed to know who the patient is. When we have the requisite data, the tests do not recommend drugs that have already been prescribed or clinical trials for which patients are not eligible.</w:t>
      </w:r>
    </w:p>
    <w:p>
      <w:pPr>
        <w:spacing w:after="0" w:line="18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current product and service offerings represent the first step toward our singular pursuit: a world where physicians tailor their patient’s treatment based on data, so that every complex case is handled in a personalized fashion, making the promise of precision medicine a reality. We endeavor to make all laboratory tests (genomic or otherwise) AI-enabled or “Intelligent” because we believe this is the fastest path to bring the promise of AI to healthcare, improving outcomes for those most in need.</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this singular pursuit we are indelibly focused.</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a glimpse into how these technologies might influence care over time:</w:t>
      </w:r>
    </w:p>
    <w:p>
      <w:pPr>
        <w:spacing w:after="0" w:line="211" w:lineRule="exact"/>
        <w:rPr>
          <w:sz w:val="20"/>
          <w:szCs w:val="20"/>
          <w:color w:val="auto"/>
        </w:rPr>
      </w:pPr>
    </w:p>
    <w:p>
      <w:pPr>
        <w:jc w:val="both"/>
        <w:ind w:left="200" w:firstLine="438"/>
        <w:spacing w:after="0" w:line="256" w:lineRule="auto"/>
        <w:rPr>
          <w:sz w:val="20"/>
          <w:szCs w:val="20"/>
          <w:color w:val="auto"/>
        </w:rPr>
      </w:pPr>
      <w:r>
        <w:rPr>
          <w:rFonts w:ascii="Times New Roman" w:cs="Times New Roman" w:eastAsia="Times New Roman" w:hAnsi="Times New Roman"/>
          <w:sz w:val="18"/>
          <w:szCs w:val="18"/>
          <w:i w:val="1"/>
          <w:iCs w:val="1"/>
          <w:color w:val="auto"/>
        </w:rPr>
        <w:t>Imagine the world as it exists today. A 44 year old female feels a lump in her left breast. She sees her gynecologist, who orders a biopsy. The patient is diagnosed with triple negative breast cancer, which has metastasized to her lung. The patient is prescribed chemotherapy (paclitaxel), but her tumors don’t respond. Despite another course of chemotherapy (capecitabine), the patient’s survival rate is limited to approximately a year.</w:t>
      </w:r>
    </w:p>
    <w:p>
      <w:pPr>
        <w:spacing w:after="0" w:line="178" w:lineRule="exact"/>
        <w:rPr>
          <w:sz w:val="20"/>
          <w:szCs w:val="20"/>
          <w:color w:val="auto"/>
        </w:rPr>
      </w:pPr>
    </w:p>
    <w:p>
      <w:pPr>
        <w:jc w:val="both"/>
        <w:ind w:left="200" w:firstLine="438"/>
        <w:spacing w:after="0" w:line="256" w:lineRule="auto"/>
        <w:rPr>
          <w:sz w:val="20"/>
          <w:szCs w:val="20"/>
          <w:color w:val="auto"/>
        </w:rPr>
      </w:pPr>
      <w:r>
        <w:rPr>
          <w:rFonts w:ascii="Times New Roman" w:cs="Times New Roman" w:eastAsia="Times New Roman" w:hAnsi="Times New Roman"/>
          <w:sz w:val="18"/>
          <w:szCs w:val="18"/>
          <w:i w:val="1"/>
          <w:iCs w:val="1"/>
          <w:color w:val="auto"/>
        </w:rPr>
        <w:t>Now imagine a future world, where artificial intelligence and technology combine at scale to revolutionize treatment options. Not only does the same 44 year old patient receive a biopsy and scans, but her physician has access to a wealth of clinically relevant information including her clinical history, pathology images, germline, and tumor molecular profile to better inform precision care:</w:t>
      </w:r>
    </w:p>
    <w:p>
      <w:pPr>
        <w:spacing w:after="0" w:line="204" w:lineRule="exact"/>
        <w:rPr>
          <w:sz w:val="20"/>
          <w:szCs w:val="20"/>
          <w:color w:val="auto"/>
        </w:rPr>
      </w:pPr>
    </w:p>
    <w:p>
      <w:pPr>
        <w:jc w:val="both"/>
        <w:ind w:left="1160" w:right="20" w:hanging="268"/>
        <w:spacing w:after="0" w:line="256" w:lineRule="auto"/>
        <w:tabs>
          <w:tab w:leader="none" w:pos="11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Once the patient receives a biopsy, her diagnostic pathology slides are automatically connected to Tempus’ cloud platform. Within minutes, dozens of diagnostic algorithms run on her pathology images. Of note, the algorithm suggests the patient has HRD and an overexpression of c-Met protein.</w:t>
      </w:r>
    </w:p>
    <w:p>
      <w:pPr>
        <w:spacing w:after="0" w:line="204" w:lineRule="exact"/>
        <w:rPr>
          <w:rFonts w:ascii="Times New Roman" w:cs="Times New Roman" w:eastAsia="Times New Roman" w:hAnsi="Times New Roman"/>
          <w:sz w:val="18"/>
          <w:szCs w:val="18"/>
          <w:i w:val="1"/>
          <w:iCs w:val="1"/>
          <w:color w:val="auto"/>
        </w:rPr>
      </w:pPr>
    </w:p>
    <w:p>
      <w:pPr>
        <w:jc w:val="both"/>
        <w:ind w:left="1160" w:hanging="268"/>
        <w:spacing w:after="0" w:line="256" w:lineRule="auto"/>
        <w:tabs>
          <w:tab w:leader="none" w:pos="11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patient’s physician orders molecular profiling of her tumor using Tempus’ whole genome &amp; whole transcriptome assay. The results confirm the patient is HRD positive and c-Met amplified. Sequencing also reveals the patient has high expression levels of CD4O along with loss of heterozygosity for HLA A*01:01 in her tumor and is eligible for an immunotherapy trial targeting CD40.</w:t>
      </w:r>
    </w:p>
    <w:p>
      <w:pPr>
        <w:spacing w:after="0" w:line="204" w:lineRule="exact"/>
        <w:rPr>
          <w:rFonts w:ascii="Times New Roman" w:cs="Times New Roman" w:eastAsia="Times New Roman" w:hAnsi="Times New Roman"/>
          <w:sz w:val="18"/>
          <w:szCs w:val="18"/>
          <w:i w:val="1"/>
          <w:iCs w:val="1"/>
          <w:color w:val="auto"/>
        </w:rPr>
      </w:pPr>
    </w:p>
    <w:p>
      <w:pPr>
        <w:jc w:val="both"/>
        <w:ind w:left="1160" w:right="20" w:hanging="268"/>
        <w:spacing w:after="0" w:line="256" w:lineRule="auto"/>
        <w:tabs>
          <w:tab w:leader="none" w:pos="11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Tempus automatically scans the patient’s clinical history, which reveals that the patient had an ECG at her last visit. Tempus runs a body of cardiology-focused algorithms against the ECG and detects a high probability of developing atrial fibrillation, a potentially serious condition the patient and physician were unaware of.</w:t>
      </w:r>
    </w:p>
    <w:p>
      <w:pPr>
        <w:spacing w:after="0" w:line="178" w:lineRule="exact"/>
        <w:rPr>
          <w:sz w:val="20"/>
          <w:szCs w:val="20"/>
          <w:color w:val="auto"/>
        </w:rPr>
      </w:pPr>
    </w:p>
    <w:p>
      <w:pPr>
        <w:jc w:val="both"/>
        <w:ind w:left="200" w:firstLine="438"/>
        <w:spacing w:after="0" w:line="250" w:lineRule="auto"/>
        <w:rPr>
          <w:sz w:val="20"/>
          <w:szCs w:val="20"/>
          <w:color w:val="auto"/>
        </w:rPr>
      </w:pPr>
      <w:r>
        <w:rPr>
          <w:rFonts w:ascii="Times New Roman" w:cs="Times New Roman" w:eastAsia="Times New Roman" w:hAnsi="Times New Roman"/>
          <w:sz w:val="18"/>
          <w:szCs w:val="18"/>
          <w:i w:val="1"/>
          <w:iCs w:val="1"/>
          <w:color w:val="auto"/>
        </w:rPr>
        <w:t>With access to both multimodal data and artificial intelligence, the physician prescribes a different course of treatment. Her oncologist starts with a PARP inhibitor to address her HRD status, and surgical ablation to address her atrial fibrillation. The patient also enrolls in an immunotherapy clinical trial, which begins after chemotherapy, with an immunotherapy drug targeting CD40. The patient responds well, having a complete radiologic response with no tumors in her breast or lung. Her physician orders quarterly minimal residual disease testing using Tempus’ cell free DNA assay, and the patient is routinely monitored on an annual basis thereafter.</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23" w:lineRule="exact"/>
        <w:rPr>
          <w:sz w:val="20"/>
          <w:szCs w:val="20"/>
          <w:color w:val="auto"/>
        </w:rPr>
      </w:pPr>
    </w:p>
    <w:p>
      <w:pPr>
        <w:ind w:left="5580" w:right="200" w:hanging="4688"/>
        <w:spacing w:after="0" w:line="648" w:lineRule="auto"/>
        <w:tabs>
          <w:tab w:leader="none" w:pos="11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both a technology company and a healthcare company, allowing us to harness the advantages of both to advance precision medicine. 12</w:t>
      </w:r>
    </w:p>
    <w:p>
      <w:pPr>
        <w:sectPr>
          <w:pgSz w:w="11900" w:h="16838" w:orient="portrait"/>
          <w:cols w:equalWidth="0" w:num="1">
            <w:col w:w="11160"/>
          </w:cols>
          <w:pgMar w:left="320" w:top="448"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48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9630" cy="57480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right="20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built a Platform that is connected to hundreds of provider networks, allowing us to amass a large repository of multimodal data that we believe is essential for bringing AI to healthcare.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Intelligent Diagnostics provide significant value to our customers, which has fostered broad adoption of many of our products.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has inherent network effects that help drive adoption and improve our data advantage with each new order placed.</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was built to collect, structure, harmonize and analyze large amounts of multimodal data.</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disease agnostic and facilitates rapid expansion into different disease categories.</w:t>
      </w:r>
    </w:p>
    <w:p>
      <w:pPr>
        <w:spacing w:after="0" w:line="121" w:lineRule="exact"/>
        <w:rPr>
          <w:rFonts w:ascii="Times New Roman" w:cs="Times New Roman" w:eastAsia="Times New Roman" w:hAnsi="Times New Roman"/>
          <w:sz w:val="18"/>
          <w:szCs w:val="18"/>
          <w:color w:val="auto"/>
        </w:rPr>
      </w:pPr>
    </w:p>
    <w:p>
      <w:pPr>
        <w:ind w:left="1160" w:right="20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database and the breadth of our multimodal data capabilities position us well to be able to launch algorithmic diagnostics (Algos) at scale.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and services are already widely used throughout the healthcare ecosystem.</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3" w:lineRule="exact"/>
        <w:rPr>
          <w:sz w:val="20"/>
          <w:szCs w:val="20"/>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database and the number of providers connected to our Platform.</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Genomics product across healthcare providers.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data licensing and clinical trial matching products with pharmaceutical and biotechnology companies.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 and deploy Algos at scale.</w:t>
      </w:r>
    </w:p>
    <w:p>
      <w:pPr>
        <w:spacing w:after="0" w:line="121" w:lineRule="exact"/>
        <w:rPr>
          <w:rFonts w:ascii="Times New Roman" w:cs="Times New Roman" w:eastAsia="Times New Roman" w:hAnsi="Times New Roman"/>
          <w:sz w:val="18"/>
          <w:szCs w:val="18"/>
          <w:color w:val="auto"/>
        </w:rPr>
      </w:pPr>
    </w:p>
    <w:p>
      <w:pPr>
        <w:ind w:left="1160" w:right="20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capabilities and commercial traction outside of oncology, including in neuropsychology, infectious disease, cardiology, and other disease categories.</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internationally.</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0" w:lineRule="exact"/>
        <w:rPr>
          <w:sz w:val="20"/>
          <w:szCs w:val="20"/>
          <w:color w:val="auto"/>
        </w:rPr>
      </w:pPr>
    </w:p>
    <w:p>
      <w:pPr>
        <w:jc w:val="both"/>
        <w:ind w:left="200" w:right="180" w:firstLine="438"/>
        <w:spacing w:after="0" w:line="276" w:lineRule="auto"/>
        <w:rPr>
          <w:sz w:val="20"/>
          <w:szCs w:val="20"/>
          <w:color w:val="auto"/>
        </w:rPr>
      </w:pPr>
      <w:r>
        <w:rPr>
          <w:rFonts w:ascii="Times New Roman" w:cs="Times New Roman" w:eastAsia="Times New Roman" w:hAnsi="Times New Roman"/>
          <w:sz w:val="16"/>
          <w:szCs w:val="16"/>
          <w:color w:val="auto"/>
        </w:rPr>
        <w:t>On April 18, 2022, we entered into a stock purchase agreement with certain of our existing investors, including Mr. Lefkofsky, pursuant to which we issued and sold 1,483,242 shares of our Series G-3 preferred stock at a price per share of $57.3069, for an aggregate purchase price of approximately $85.0 million (the “Series G-3 Financing”). As of the date hereof, we have received $68.5 million of the committed $85.0 million, with the remainder committed from one additional investor, which is due by April 29, 2022. As part of the Series G-3 Financing, we may sell up to an additional 2,006,739 shares of Series G-3 preferred stock within sixty days from April 18, 2022. The terms of our Series G-3 preferred stock provide that in the event of an initial public offering of our common stock, each share of Series G-3 preferred stock would be converted into a number of shares of our Class A common stock equal to (i) $57.3069 per share, plus any accrued and unpaid dividends on such share divided by (ii) the lesser of (a) $51.5762 and (b) 90% of the public offering price in this offering (or, if this offering is completed after June 30, 2023, 85% of the public offering price in this offering). Based on an assumed</w:t>
      </w:r>
    </w:p>
    <w:p>
      <w:pPr>
        <w:spacing w:after="0" w:line="6" w:lineRule="exact"/>
        <w:rPr>
          <w:sz w:val="20"/>
          <w:szCs w:val="20"/>
          <w:color w:val="auto"/>
        </w:rPr>
      </w:pPr>
    </w:p>
    <w:p>
      <w:pPr>
        <w:ind w:left="200" w:right="180"/>
        <w:spacing w:after="0" w:line="243" w:lineRule="auto"/>
        <w:rPr>
          <w:sz w:val="20"/>
          <w:szCs w:val="20"/>
          <w:color w:val="auto"/>
        </w:rPr>
      </w:pPr>
      <w:r>
        <w:rPr>
          <w:rFonts w:ascii="Times New Roman" w:cs="Times New Roman" w:eastAsia="Times New Roman" w:hAnsi="Times New Roman"/>
          <w:sz w:val="18"/>
          <w:szCs w:val="18"/>
          <w:color w:val="auto"/>
        </w:rPr>
        <w:t>initial public offering price of $ per share, which is the midpoint of the estimated price range set forth on the cover page of this prospectus, all of the shares of Series G-3 preferred stock will convert into an aggregate of shares of our Class A common stock in connection with this offering. Each $1.00 increase or decrease in the assumed initial public offering price of $ per share, which is the midpoint of the estimated price range set forth 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cover page of this prospectus, would increase or decrease, as applicable, the number of shares of Class A common stock into which all shares of Series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G-3 preferred stock would convert in connection with this offering by approximately</w:t>
            </w:r>
          </w:p>
        </w:tc>
        <w:tc>
          <w:tcPr>
            <w:tcW w:w="4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shares.</w:t>
            </w:r>
          </w:p>
        </w:tc>
      </w:tr>
      <w:tr>
        <w:trPr>
          <w:trHeight w:val="150"/>
        </w:trPr>
        <w:tc>
          <w:tcPr>
            <w:tcW w:w="6440" w:type="dxa"/>
            <w:vAlign w:val="bottom"/>
            <w:tcBorders>
              <w:bottom w:val="single" w:sz="8" w:color="auto"/>
            </w:tcBorders>
          </w:tcPr>
          <w:p>
            <w:pPr>
              <w:spacing w:after="0"/>
              <w:rPr>
                <w:sz w:val="13"/>
                <w:szCs w:val="13"/>
                <w:color w:val="auto"/>
              </w:rPr>
            </w:pPr>
          </w:p>
        </w:tc>
        <w:tc>
          <w:tcPr>
            <w:tcW w:w="4900" w:type="dxa"/>
            <w:vAlign w:val="bottom"/>
            <w:tcBorders>
              <w:bottom w:val="single" w:sz="8" w:color="auto"/>
            </w:tcBorders>
          </w:tcPr>
          <w:p>
            <w:pPr>
              <w:spacing w:after="0"/>
              <w:rPr>
                <w:sz w:val="13"/>
                <w:szCs w:val="13"/>
                <w:color w:val="auto"/>
              </w:rPr>
            </w:pPr>
          </w:p>
        </w:tc>
      </w:tr>
      <w:tr>
        <w:trPr>
          <w:trHeight w:val="351"/>
        </w:trPr>
        <w:tc>
          <w:tcPr>
            <w:tcW w:w="644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13</w:t>
            </w:r>
          </w:p>
        </w:tc>
        <w:tc>
          <w:tcPr>
            <w:tcW w:w="490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9734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9630" cy="59734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10"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Investing in our Class A common stock involves substantial risk. The risks described in the section titled “Risk Factors” immediately following this summary may cause us to not realize the full benefits of our strengths or may cause us to be unable to successfully execute all or part of our strategy. Some of the more significant challenges include the following:</w:t>
      </w:r>
    </w:p>
    <w:p>
      <w:pPr>
        <w:spacing w:after="0" w:line="89" w:lineRule="exact"/>
        <w:rPr>
          <w:sz w:val="20"/>
          <w:szCs w:val="20"/>
          <w:color w:val="auto"/>
        </w:rPr>
      </w:pPr>
    </w:p>
    <w:p>
      <w:pPr>
        <w:ind w:left="116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we may continue to incur losses in the future, and we may not be able to generate sufficient revenue to achieve and maintain profitability.</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demand for COVID-19 testing decreases or such testing is no longer necessary, we expect our COVID-19 testing revenue to decrease, and if the Emergency Use Authorizations for our COVID-19 diagnostic tests or tests we license are terminated or revoked, we may be unable to secure regulatory approval for our test.</w:t>
      </w:r>
    </w:p>
    <w:p>
      <w:pPr>
        <w:spacing w:after="0" w:line="88"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not achieve or maintain sufficient commercial market acceptance.</w:t>
      </w:r>
    </w:p>
    <w:p>
      <w:pPr>
        <w:spacing w:after="0" w:line="121"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our continued access to, and ability to monetize, de-identified patient data.</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rapid growth make it difficult to evaluate our future prospects and the risks and challenges we may encounter.</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to fund our existing operations, develop our Platform, commercialize new products or expand our operations.</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payers, including commercial payers and government healthcare programs, do not provide coverage of, or adequate reimbursement for, our tests, our business, financial condition and results of operations will be negatively affected.</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or defects in, our Platform’s artificial intelligence software, or increased regulation in this space, could impair our ability to process our data, develop products, or provide test results, and harm our business, financial condition and results of operations.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compete successfully with our competitors, we may be unable to increase or sustain our revenue or to achieve and then sustain profitability.</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or, in some cases, sole suppliers, for some of our laboratory instruments and materials and may not be able to find replacements or promptly transition to alternative suppliers.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88"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Eric Lefkofsky and other members of our senior management team and the loss of any member of our senior management team or our inability to</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60"/>
          </w:cols>
          <w:pgMar w:left="320" w:top="448"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481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9630" cy="54813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80" w:right="20"/>
        <w:spacing w:after="0" w:line="267" w:lineRule="auto"/>
        <w:rPr>
          <w:sz w:val="20"/>
          <w:szCs w:val="20"/>
          <w:color w:val="auto"/>
        </w:rPr>
      </w:pPr>
      <w:r>
        <w:rPr>
          <w:rFonts w:ascii="Times New Roman" w:cs="Times New Roman" w:eastAsia="Times New Roman" w:hAnsi="Times New Roman"/>
          <w:sz w:val="18"/>
          <w:szCs w:val="18"/>
          <w:color w:val="auto"/>
        </w:rPr>
        <w:t>attract and retain highly skilled scientists, clinicians, sales representatives and business development managers could adversely affect our business, financial condition and results of operations.</w:t>
      </w:r>
    </w:p>
    <w:p>
      <w:pPr>
        <w:spacing w:after="0" w:line="78" w:lineRule="exact"/>
        <w:rPr>
          <w:sz w:val="20"/>
          <w:szCs w:val="20"/>
          <w:color w:val="auto"/>
        </w:rPr>
      </w:pPr>
    </w:p>
    <w:p>
      <w:pPr>
        <w:ind w:left="1160" w:hanging="268"/>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w:t>
      </w:r>
    </w:p>
    <w:p>
      <w:pPr>
        <w:spacing w:after="0" w:line="121"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information technology systems, including on premises, co-located and third-party data centers and platforms, and any interruptions of service or failures may impair and harm our business, financial condition and results of operations.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elected to take advantage of the “controlled company” exemption to the corporate governance rules for publicly listed companies but may do so in the future.</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0"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We were originally formed under the name Bioin LLC in Delaware in August 2015 and we converted to a Delaware corporation in September 2015 under the name Bioin Inc. We changed our name to Tempus Health, Inc. later in 2015 and in 2016, we changed our name to Tempus Labs, Inc. Our principal executive offices are located at 600 West Chicago Avenue, Suite 510 Chicago, Illinois 60654, and our telephone number is (800) 976-5448. Our website address is www.tempus.com. Information contained on, or that can be accessed through, our website is not incorporated by reference into this prospectus, and you should not consider information on our website to be part of this prospectus.</w:t>
      </w:r>
    </w:p>
    <w:p>
      <w:pPr>
        <w:spacing w:after="0" w:line="187" w:lineRule="exact"/>
        <w:rPr>
          <w:sz w:val="20"/>
          <w:szCs w:val="20"/>
          <w:color w:val="auto"/>
        </w:rPr>
      </w:pPr>
    </w:p>
    <w:p>
      <w:pPr>
        <w:jc w:val="both"/>
        <w:ind w:left="200" w:firstLine="438"/>
        <w:spacing w:after="0" w:line="267" w:lineRule="auto"/>
        <w:rPr>
          <w:sz w:val="20"/>
          <w:szCs w:val="20"/>
          <w:color w:val="auto"/>
        </w:rPr>
      </w:pPr>
      <w:r>
        <w:rPr>
          <w:rFonts w:ascii="Times New Roman" w:cs="Times New Roman" w:eastAsia="Times New Roman" w:hAnsi="Times New Roman"/>
          <w:sz w:val="18"/>
          <w:szCs w:val="18"/>
          <w:color w:val="auto"/>
        </w:rPr>
        <w:t>The Tempus logo, “Tempus” and our other registered and common law trade names, trademarks and service marks are the property of Tempus Labs, Inc. or our subsidiaries. Other trade names, trademarks and service marks used in this prospectus are the property of their respective owners.</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1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for up to five years or until we are no longer an emerging growth company, whichever is earlier. We will cease to be an emerging growth company prior to the end of such five-year period if certain earlier events occur, including if we become a “large accelerated filer” as defined in Rule 12b-2 under the Securities Exchange Act of 1934, as amended, or the Exchange Act, our annual gross revenues exceed $1.07 billion or we issue more than $1.0 billion of non-convertible debt in any three-year period.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pacing w:after="0" w:line="3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60"/>
          </w:cols>
          <w:pgMar w:left="320" w:top="448"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981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9630" cy="57981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41" w:lineRule="exact"/>
        <w:rPr>
          <w:sz w:val="20"/>
          <w:szCs w:val="20"/>
          <w:color w:val="auto"/>
        </w:rPr>
      </w:pPr>
    </w:p>
    <w:p>
      <w:pPr>
        <w:ind w:left="200"/>
        <w:spacing w:after="0"/>
        <w:tabs>
          <w:tab w:leader="none" w:pos="6420" w:val="left"/>
        </w:tabs>
        <w:rPr>
          <w:sz w:val="20"/>
          <w:szCs w:val="20"/>
          <w:color w:val="auto"/>
        </w:rPr>
      </w:pPr>
      <w:r>
        <w:rPr>
          <w:rFonts w:ascii="Times New Roman" w:cs="Times New Roman" w:eastAsia="Times New Roman" w:hAnsi="Times New Roman"/>
          <w:sz w:val="18"/>
          <w:szCs w:val="18"/>
          <w:color w:val="auto"/>
        </w:rPr>
        <w:t>Class A common stock offered by us</w:t>
      </w:r>
      <w:r>
        <w:rPr>
          <w:sz w:val="20"/>
          <w:szCs w:val="20"/>
          <w:color w:val="auto"/>
        </w:rPr>
        <w:tab/>
      </w:r>
      <w:r>
        <w:rPr>
          <w:rFonts w:ascii="Times New Roman" w:cs="Times New Roman" w:eastAsia="Times New Roman" w:hAnsi="Times New Roman"/>
          <w:sz w:val="16"/>
          <w:szCs w:val="16"/>
          <w:color w:val="auto"/>
        </w:rPr>
        <w:t>shares</w:t>
      </w:r>
    </w:p>
    <w:p>
      <w:pPr>
        <w:sectPr>
          <w:pgSz w:w="11900" w:h="16838" w:orient="portrait"/>
          <w:cols w:equalWidth="0" w:num="1">
            <w:col w:w="11160"/>
          </w:cols>
          <w:pgMar w:left="320" w:top="448" w:right="419" w:bottom="1440" w:gutter="0" w:footer="0" w:header="0"/>
        </w:sectPr>
      </w:pPr>
    </w:p>
    <w:p>
      <w:pPr>
        <w:spacing w:after="0" w:line="69" w:lineRule="exact"/>
        <w:rPr>
          <w:sz w:val="20"/>
          <w:szCs w:val="20"/>
          <w:color w:val="auto"/>
        </w:rPr>
      </w:pPr>
    </w:p>
    <w:p>
      <w:pPr>
        <w:ind w:left="380" w:hanging="174"/>
        <w:spacing w:after="0" w:line="267" w:lineRule="auto"/>
        <w:rPr>
          <w:sz w:val="20"/>
          <w:szCs w:val="20"/>
          <w:color w:val="auto"/>
        </w:rPr>
      </w:pPr>
      <w:r>
        <w:rPr>
          <w:rFonts w:ascii="Times New Roman" w:cs="Times New Roman" w:eastAsia="Times New Roman" w:hAnsi="Times New Roman"/>
          <w:sz w:val="18"/>
          <w:szCs w:val="18"/>
          <w:color w:val="auto"/>
        </w:rPr>
        <w:t>Option to purchase additional shares of Class A common stock offered by the selling stockholders to cover over-allotments, if any</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A common stock to be outstanding immediately after this offering</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B common stock to be outstanding immediately after this offering</w:t>
      </w:r>
    </w:p>
    <w:p>
      <w:pPr>
        <w:spacing w:after="0" w:line="279" w:lineRule="exact"/>
        <w:rPr>
          <w:sz w:val="20"/>
          <w:szCs w:val="20"/>
          <w:color w:val="auto"/>
        </w:rPr>
      </w:pPr>
    </w:p>
    <w:p>
      <w:pPr>
        <w:ind w:left="380" w:right="220" w:hanging="174"/>
        <w:spacing w:after="0" w:line="267" w:lineRule="auto"/>
        <w:rPr>
          <w:sz w:val="20"/>
          <w:szCs w:val="20"/>
          <w:color w:val="auto"/>
        </w:rPr>
      </w:pPr>
      <w:r>
        <w:rPr>
          <w:rFonts w:ascii="Times New Roman" w:cs="Times New Roman" w:eastAsia="Times New Roman" w:hAnsi="Times New Roman"/>
          <w:sz w:val="18"/>
          <w:szCs w:val="18"/>
          <w:color w:val="auto"/>
        </w:rPr>
        <w:t>Total Class A common stock and Class B common stock to be outstanding immediately after this offering</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our net proceeds from the sale of our Class A common</w:t>
      </w:r>
    </w:p>
    <w:p>
      <w:pPr>
        <w:spacing w:after="0" w:line="21" w:lineRule="exact"/>
        <w:rPr>
          <w:sz w:val="20"/>
          <w:szCs w:val="20"/>
          <w:color w:val="auto"/>
        </w:rPr>
      </w:pPr>
    </w:p>
    <w:p>
      <w:pPr>
        <w:spacing w:after="0"/>
        <w:tabs>
          <w:tab w:leader="none" w:pos="4680" w:val="left"/>
        </w:tabs>
        <w:rPr>
          <w:sz w:val="20"/>
          <w:szCs w:val="20"/>
          <w:color w:val="auto"/>
        </w:rPr>
      </w:pPr>
      <w:r>
        <w:rPr>
          <w:rFonts w:ascii="Times New Roman" w:cs="Times New Roman" w:eastAsia="Times New Roman" w:hAnsi="Times New Roman"/>
          <w:sz w:val="18"/>
          <w:szCs w:val="18"/>
          <w:color w:val="auto"/>
        </w:rPr>
        <w:t>stock that we are offering will be approximately $</w:t>
      </w:r>
      <w:r>
        <w:rPr>
          <w:sz w:val="20"/>
          <w:szCs w:val="20"/>
          <w:color w:val="auto"/>
        </w:rPr>
        <w:tab/>
      </w:r>
      <w:r>
        <w:rPr>
          <w:rFonts w:ascii="Times New Roman" w:cs="Times New Roman" w:eastAsia="Times New Roman" w:hAnsi="Times New Roman"/>
          <w:sz w:val="16"/>
          <w:szCs w:val="16"/>
          <w:color w:val="auto"/>
        </w:rPr>
        <w:t>million,</w:t>
      </w:r>
    </w:p>
    <w:p>
      <w:pPr>
        <w:spacing w:after="0" w:line="3" w:lineRule="exact"/>
        <w:rPr>
          <w:sz w:val="20"/>
          <w:szCs w:val="20"/>
          <w:color w:val="auto"/>
        </w:rPr>
      </w:pPr>
    </w:p>
    <w:p>
      <w:pPr>
        <w:spacing w:after="0"/>
        <w:tabs>
          <w:tab w:leader="none" w:pos="4240" w:val="left"/>
        </w:tabs>
        <w:rPr>
          <w:sz w:val="20"/>
          <w:szCs w:val="20"/>
          <w:color w:val="auto"/>
        </w:rPr>
      </w:pPr>
      <w:r>
        <w:rPr>
          <w:rFonts w:ascii="Times New Roman" w:cs="Times New Roman" w:eastAsia="Times New Roman" w:hAnsi="Times New Roman"/>
          <w:sz w:val="18"/>
          <w:szCs w:val="18"/>
          <w:color w:val="auto"/>
        </w:rPr>
        <w:t>assuming an initial public offering price of $</w:t>
      </w:r>
      <w:r>
        <w:rPr>
          <w:sz w:val="20"/>
          <w:szCs w:val="20"/>
          <w:color w:val="auto"/>
        </w:rPr>
        <w:tab/>
      </w:r>
      <w:r>
        <w:rPr>
          <w:rFonts w:ascii="Times New Roman" w:cs="Times New Roman" w:eastAsia="Times New Roman" w:hAnsi="Times New Roman"/>
          <w:sz w:val="18"/>
          <w:szCs w:val="18"/>
          <w:color w:val="auto"/>
        </w:rPr>
        <w:t>per share, the</w:t>
      </w:r>
    </w:p>
    <w:p>
      <w:pPr>
        <w:spacing w:after="0" w:line="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and after deducting estimated underwriting discounts and commissions and estimated offering expenses. We will not receive any proceeds from any sale of shares of our Class A common stock by the selling stockholders.</w:t>
      </w:r>
    </w:p>
    <w:p>
      <w:pPr>
        <w:spacing w:after="0" w:line="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At this time, we do not have agreements or commitments to enter into any material acquisitions. See the section titled “Use of Proceeds” for additional information.</w:t>
      </w:r>
    </w:p>
    <w:p>
      <w:pPr>
        <w:spacing w:after="0" w:line="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will have two classes of common stock following this offering: Class A common stock and Class B common stock. Each share of Class A common stock is entitled to one vote and each share of Class B common stock is entitled to 30 votes and is convertible at any time into one share of Class A common stock. In addition, all shares of Class B common stock will automatically convert into shares of Class A common stock in certain circumstances,</w:t>
      </w:r>
    </w:p>
    <w:p>
      <w:pPr>
        <w:spacing w:after="0" w:line="200" w:lineRule="exact"/>
        <w:rPr>
          <w:sz w:val="20"/>
          <w:szCs w:val="20"/>
          <w:color w:val="auto"/>
        </w:rPr>
      </w:pPr>
    </w:p>
    <w:p>
      <w:pPr>
        <w:sectPr>
          <w:pgSz w:w="11900" w:h="16838" w:orient="portrait"/>
          <w:cols w:equalWidth="0" w:num="2">
            <w:col w:w="5620" w:space="280"/>
            <w:col w:w="5260"/>
          </w:cols>
          <w:pgMar w:left="320" w:top="448" w:right="419" w:bottom="1440" w:gutter="0" w:footer="0" w:header="0"/>
          <w:type w:val="continuous"/>
        </w:sectPr>
      </w:pP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60"/>
          </w:cols>
          <w:pgMar w:left="320" w:top="448" w:right="41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364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9630" cy="536448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including on the date that Eric Lefkofsky, our Chief Executive Officer,</w:t>
      </w:r>
    </w:p>
    <w:p>
      <w:pPr>
        <w:spacing w:after="0" w:line="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Founder and Chairman (1) ceases to serve as an executive officer or</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member of our Board of Directors or (2) ceases to own, together with his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controlled entities, at least 10,000,000 shares of our capital stock (as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adjusted for stock splits, stock dividends, combinations, subdivisions and</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recapitalizations). See the section titled “Description of Capital Stock—</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Class A Common Stock and Class B Common Stock.”</w:t>
      </w:r>
    </w:p>
    <w:p>
      <w:pPr>
        <w:spacing w:after="0" w:line="103"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Holders of Class A common stock and Class B common stock will</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98"/>
              </w:rPr>
              <w:t>generally vote together as a single class, unless otherwise required by law</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or our amended and restated certificate of incorporation that will be in</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effect on the closing of this offering. Our Chief Executive Officer,</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97"/>
              </w:rPr>
              <w:t>Founder and Chairman, Eric Lefkofsky, will beneficially own 100% of our</w:t>
            </w:r>
          </w:p>
        </w:tc>
      </w:tr>
      <w:tr>
        <w:trPr>
          <w:trHeight w:val="210"/>
        </w:trPr>
        <w:tc>
          <w:tcPr>
            <w:tcW w:w="3720" w:type="dxa"/>
            <w:vAlign w:val="bottom"/>
          </w:tcPr>
          <w:p>
            <w:pPr>
              <w:spacing w:after="0"/>
              <w:rPr>
                <w:sz w:val="18"/>
                <w:szCs w:val="18"/>
                <w:color w:val="auto"/>
              </w:rPr>
            </w:pPr>
          </w:p>
        </w:tc>
        <w:tc>
          <w:tcPr>
            <w:tcW w:w="6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outstanding Class B common stock and will hold approximately</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 of</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the voting power of our outstanding shares immediately following this</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offering. As a result, Mr. Lefkofsky will have the ability to control the</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99"/>
              </w:rPr>
              <w:t>outcome of matters submitted to our stockholders for approval, including</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the election of our directors and the approval of any change in control</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transaction. See the sections titled “Principal and Selling Stockholders”</w:t>
            </w:r>
          </w:p>
        </w:tc>
      </w:tr>
      <w:tr>
        <w:trPr>
          <w:trHeight w:val="228"/>
        </w:trPr>
        <w:tc>
          <w:tcPr>
            <w:tcW w:w="3720" w:type="dxa"/>
            <w:vAlign w:val="bottom"/>
          </w:tcPr>
          <w:p>
            <w:pPr>
              <w:spacing w:after="0"/>
              <w:rPr>
                <w:sz w:val="19"/>
                <w:szCs w:val="19"/>
                <w:color w:val="auto"/>
              </w:rPr>
            </w:pPr>
          </w:p>
        </w:tc>
        <w:tc>
          <w:tcPr>
            <w:tcW w:w="6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and “Description of Capital Stock” for additional information.</w:t>
            </w:r>
          </w:p>
        </w:tc>
        <w:tc>
          <w:tcPr>
            <w:tcW w:w="500" w:type="dxa"/>
            <w:vAlign w:val="bottom"/>
          </w:tcPr>
          <w:p>
            <w:pPr>
              <w:spacing w:after="0"/>
              <w:rPr>
                <w:sz w:val="19"/>
                <w:szCs w:val="19"/>
                <w:color w:val="auto"/>
              </w:rPr>
            </w:pPr>
          </w:p>
        </w:tc>
      </w:tr>
      <w:tr>
        <w:trPr>
          <w:trHeight w:val="27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You should carefully read the section titled “Risk Factors” beginning on</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page 23 and the other information included in this prospectus for a</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discussion of facts that you should consider before deciding to invest in</w:t>
            </w:r>
          </w:p>
        </w:tc>
      </w:tr>
      <w:tr>
        <w:trPr>
          <w:trHeight w:val="228"/>
        </w:trPr>
        <w:tc>
          <w:tcPr>
            <w:tcW w:w="3720" w:type="dxa"/>
            <w:vAlign w:val="bottom"/>
          </w:tcPr>
          <w:p>
            <w:pPr>
              <w:spacing w:after="0"/>
              <w:rPr>
                <w:sz w:val="19"/>
                <w:szCs w:val="19"/>
                <w:color w:val="auto"/>
              </w:rPr>
            </w:pPr>
          </w:p>
        </w:tc>
        <w:tc>
          <w:tcPr>
            <w:tcW w:w="6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shares of our Class A common stock.</w:t>
            </w:r>
          </w:p>
        </w:tc>
        <w:tc>
          <w:tcPr>
            <w:tcW w:w="500" w:type="dxa"/>
            <w:vAlign w:val="bottom"/>
          </w:tcPr>
          <w:p>
            <w:pPr>
              <w:spacing w:after="0"/>
              <w:rPr>
                <w:sz w:val="19"/>
                <w:szCs w:val="19"/>
                <w:color w:val="auto"/>
              </w:rPr>
            </w:pPr>
          </w:p>
        </w:tc>
      </w:tr>
      <w:tr>
        <w:trPr>
          <w:trHeight w:val="27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Proposed trading symbol</w:t>
            </w:r>
          </w:p>
        </w:tc>
        <w:tc>
          <w:tcPr>
            <w:tcW w:w="6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“TL”</w:t>
            </w:r>
          </w:p>
        </w:tc>
        <w:tc>
          <w:tcPr>
            <w:tcW w:w="500" w:type="dxa"/>
            <w:vAlign w:val="bottom"/>
          </w:tcPr>
          <w:p>
            <w:pPr>
              <w:spacing w:after="0"/>
              <w:rPr>
                <w:sz w:val="23"/>
                <w:szCs w:val="23"/>
                <w:color w:val="auto"/>
              </w:rPr>
            </w:pPr>
          </w:p>
        </w:tc>
      </w:tr>
    </w:tbl>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number of shares of Class A common stock and Class B common stock that will be outstanding immediately after this offering as noted above is</w:t>
      </w:r>
    </w:p>
    <w:p>
      <w:pPr>
        <w:spacing w:after="0" w:line="44" w:lineRule="exact"/>
        <w:rPr>
          <w:sz w:val="20"/>
          <w:szCs w:val="20"/>
          <w:color w:val="auto"/>
        </w:rPr>
      </w:pPr>
    </w:p>
    <w:p>
      <w:pPr>
        <w:jc w:val="both"/>
        <w:ind w:left="200"/>
        <w:spacing w:after="0" w:line="244" w:lineRule="auto"/>
        <w:rPr>
          <w:sz w:val="20"/>
          <w:szCs w:val="20"/>
          <w:color w:val="auto"/>
        </w:rPr>
      </w:pPr>
      <w:r>
        <w:rPr>
          <w:rFonts w:ascii="Times New Roman" w:cs="Times New Roman" w:eastAsia="Times New Roman" w:hAnsi="Times New Roman"/>
          <w:sz w:val="18"/>
          <w:szCs w:val="18"/>
          <w:color w:val="auto"/>
        </w:rPr>
        <w:t>based on shares of Class A common stock and 5,374,899 shares of Class B common stock outstanding as of (after giving effect to the Series G-3 Financing and assuming the conversion of all outstanding shares of redeemable convertible preferred stock, other than our Series B redeemable convertible preferred stock and non-voting common stock into Class A common stock and all outstanding shares of Series B redeemable convertible preferred stock into Class B common stock as described below) and excludes:</w:t>
      </w:r>
    </w:p>
    <w:p>
      <w:pPr>
        <w:spacing w:after="0" w:line="99" w:lineRule="exact"/>
        <w:rPr>
          <w:sz w:val="20"/>
          <w:szCs w:val="20"/>
          <w:color w:val="auto"/>
        </w:rPr>
      </w:pPr>
    </w:p>
    <w:p>
      <w:pPr>
        <w:jc w:val="both"/>
        <w:ind w:left="1160" w:hanging="535"/>
        <w:spacing w:after="0" w:line="281" w:lineRule="auto"/>
        <w:tabs>
          <w:tab w:leader="none" w:pos="171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issuable on the vesting and settlement of restricted stock units, or RSUs, outstanding as of December 31, 2021 under our Third Amended and Restated 2015 Stock Plan, as amended, or 2015 Plan, for which the performance-based vesting condition will be satisfied in connection with this offering, but for which the service-based vesting condition will not be satisfied on or before</w:t>
      </w:r>
    </w:p>
    <w:p>
      <w:pPr>
        <w:spacing w:after="0" w:line="1" w:lineRule="exact"/>
        <w:rPr>
          <w:rFonts w:ascii="Times New Roman" w:cs="Times New Roman" w:eastAsia="Times New Roman" w:hAnsi="Times New Roman"/>
          <w:sz w:val="16"/>
          <w:szCs w:val="16"/>
          <w:color w:val="auto"/>
        </w:rPr>
      </w:pPr>
    </w:p>
    <w:p>
      <w:pPr>
        <w:ind w:left="1780" w:hanging="92"/>
        <w:spacing w:after="0"/>
        <w:tabs>
          <w:tab w:leader="none" w:pos="17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w:t>
      </w:r>
    </w:p>
    <w:p>
      <w:pPr>
        <w:spacing w:after="0" w:line="103" w:lineRule="exact"/>
        <w:rPr>
          <w:rFonts w:ascii="Times New Roman" w:cs="Times New Roman" w:eastAsia="Times New Roman" w:hAnsi="Times New Roman"/>
          <w:sz w:val="18"/>
          <w:szCs w:val="18"/>
          <w:color w:val="auto"/>
        </w:rPr>
      </w:pPr>
    </w:p>
    <w:p>
      <w:pPr>
        <w:ind w:left="1160" w:hanging="535"/>
        <w:spacing w:after="0" w:line="267" w:lineRule="auto"/>
        <w:tabs>
          <w:tab w:leader="none" w:pos="175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that may become issuable upon the vesting and settlement of Performance-Vesting Restricted Stock Units, or PSUs, outstanding as of December 31, 2021 under</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60"/>
          </w:cols>
          <w:pgMar w:left="320" w:top="448" w:right="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2731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9630" cy="62731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our 2015 Plan, for which the performance-based vesting condition may be satisfied in connection with this offering, but for which the service-</w:t>
      </w:r>
    </w:p>
    <w:p>
      <w:pPr>
        <w:spacing w:after="0" w:line="44" w:lineRule="exact"/>
        <w:rPr>
          <w:sz w:val="20"/>
          <w:szCs w:val="20"/>
          <w:color w:val="auto"/>
        </w:rPr>
      </w:pPr>
    </w:p>
    <w:tbl>
      <w:tblPr>
        <w:tblLayout w:type="fixed"/>
        <w:tblInd w:w="1180" w:type="dxa"/>
        <w:tblCellMar>
          <w:top w:w="0" w:type="dxa"/>
          <w:left w:w="0" w:type="dxa"/>
          <w:bottom w:w="0" w:type="dxa"/>
          <w:right w:w="0" w:type="dxa"/>
        </w:tblCellMar>
      </w:tblP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based vesting condition will not be satisfied on or before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2022;</w:t>
            </w:r>
          </w:p>
        </w:tc>
      </w:tr>
    </w:tbl>
    <w:p>
      <w:pPr>
        <w:spacing w:after="0" w:line="82" w:lineRule="exact"/>
        <w:rPr>
          <w:sz w:val="20"/>
          <w:szCs w:val="20"/>
          <w:color w:val="auto"/>
        </w:rPr>
      </w:pPr>
    </w:p>
    <w:p>
      <w:pPr>
        <w:jc w:val="both"/>
        <w:ind w:left="1160" w:right="20" w:hanging="535"/>
        <w:spacing w:after="0" w:line="255"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reserved for future issuance under our 2022 Equity Incentive Plan, or 2022 Plan, as well as any future increases, including annual automatic evergreen increases, in the number of shares of Class A common stock reserved for issuance under the 2022 Plan;</w:t>
      </w:r>
    </w:p>
    <w:p>
      <w:pPr>
        <w:spacing w:after="0" w:line="88" w:lineRule="exact"/>
        <w:rPr>
          <w:rFonts w:ascii="Times New Roman" w:cs="Times New Roman" w:eastAsia="Times New Roman" w:hAnsi="Times New Roman"/>
          <w:sz w:val="18"/>
          <w:szCs w:val="18"/>
          <w:color w:val="auto"/>
        </w:rPr>
      </w:pPr>
    </w:p>
    <w:p>
      <w:pPr>
        <w:jc w:val="both"/>
        <w:ind w:left="1160" w:hanging="535"/>
        <w:spacing w:after="0" w:line="255"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our 2022 Employee Stock Purchase Plan, or the ESPP, as well as any future increases, including annual automatic evergreen increases, in the number of shares of Class A common stock reserved for issuance under the ESPP;</w:t>
      </w:r>
    </w:p>
    <w:p>
      <w:pPr>
        <w:spacing w:after="0" w:line="88"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December 31, 2021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160" w:hanging="535"/>
        <w:spacing w:after="0" w:line="249"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an outstanding convertible promissory note, which is convertible beginning in March 2026 into a number of shares determined by dividing (i) the then outstanding principal amount of such note (which was $238.2 million as of December 31, 2021) plus accrued and unpaid interest by (ii) the average of the last trading price of the Company’s Class A common stock on each trading day during the twenty day period ending immediately prior to March 22, 2026, as more fully described in the section of this prospectus titled “Description of Capital Stock—Convertible Promissory Note”;</w:t>
      </w:r>
    </w:p>
    <w:p>
      <w:pPr>
        <w:spacing w:after="0" w:line="95"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2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range set forth on the cover page of this prospectus, issuable upon the exercise of the warrant issued to AstraZeneca AB with an exercise price</w:t>
            </w:r>
          </w:p>
        </w:tc>
      </w:tr>
      <w:tr>
        <w:trPr>
          <w:trHeight w:val="210"/>
        </w:trPr>
        <w:tc>
          <w:tcPr>
            <w:tcW w:w="300" w:type="dxa"/>
            <w:vAlign w:val="bottom"/>
          </w:tcPr>
          <w:p>
            <w:pPr>
              <w:spacing w:after="0"/>
              <w:rPr>
                <w:sz w:val="18"/>
                <w:szCs w:val="18"/>
                <w:color w:val="auto"/>
              </w:rPr>
            </w:pPr>
          </w:p>
        </w:tc>
        <w:tc>
          <w:tcPr>
            <w:tcW w:w="102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equal to the initial public offering price, as more fully described in the section of this prospectus titled “Business—Operations—Our Strategic</w:t>
            </w:r>
          </w:p>
        </w:tc>
      </w:tr>
      <w:tr>
        <w:trPr>
          <w:trHeight w:val="228"/>
        </w:trPr>
        <w:tc>
          <w:tcPr>
            <w:tcW w:w="300" w:type="dxa"/>
            <w:vAlign w:val="bottom"/>
          </w:tcPr>
          <w:p>
            <w:pPr>
              <w:spacing w:after="0"/>
              <w:rPr>
                <w:sz w:val="19"/>
                <w:szCs w:val="19"/>
                <w:color w:val="auto"/>
              </w:rPr>
            </w:pPr>
          </w:p>
        </w:tc>
        <w:tc>
          <w:tcPr>
            <w:tcW w:w="6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Collaboration with AstraZeneca”;</w:t>
            </w:r>
          </w:p>
        </w:tc>
        <w:tc>
          <w:tcPr>
            <w:tcW w:w="13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2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w:t>
            </w:r>
          </w:p>
        </w:tc>
        <w:tc>
          <w:tcPr>
            <w:tcW w:w="7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 offering price of $</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w:t>
            </w:r>
          </w:p>
        </w:tc>
      </w:tr>
    </w:tbl>
    <w:p>
      <w:pPr>
        <w:jc w:val="both"/>
        <w:ind w:left="1160"/>
        <w:spacing w:after="0" w:line="245" w:lineRule="auto"/>
        <w:rPr>
          <w:sz w:val="20"/>
          <w:szCs w:val="20"/>
          <w:color w:val="auto"/>
        </w:rPr>
      </w:pPr>
      <w:r>
        <w:rPr>
          <w:rFonts w:ascii="Times New Roman" w:cs="Times New Roman" w:eastAsia="Times New Roman" w:hAnsi="Times New Roman"/>
          <w:sz w:val="18"/>
          <w:szCs w:val="18"/>
          <w:color w:val="auto"/>
        </w:rPr>
        <w:t>the estimated price range set forth on the cover page of this prospectus, issuable to one of our stockholders pursuant to a contingent payment right, which payment may be made in cash or shares of Class A common stock, upon mutual agreement of the Company and such stockholder;</w:t>
      </w:r>
    </w:p>
    <w:p>
      <w:pPr>
        <w:spacing w:after="0" w:line="97" w:lineRule="exact"/>
        <w:rPr>
          <w:sz w:val="20"/>
          <w:szCs w:val="20"/>
          <w:color w:val="auto"/>
        </w:rPr>
      </w:pPr>
    </w:p>
    <w:p>
      <w:pPr>
        <w:jc w:val="both"/>
        <w:ind w:left="1160" w:hanging="535"/>
        <w:spacing w:after="0" w:line="255"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$4.0 million in shares of Class A common stock which may become issuable as contingent consideration in connection with our acquisition of Highline Consulting, LLC, as more fully described in the section of this prospectus titled “Management’s Discussion and Analysis of Financial Condition and Results of Operations—Acquisition of Highline Consulting, LLC”; and</w:t>
      </w:r>
    </w:p>
    <w:p>
      <w:pPr>
        <w:spacing w:after="0" w:line="88" w:lineRule="exact"/>
        <w:rPr>
          <w:rFonts w:ascii="Times New Roman" w:cs="Times New Roman" w:eastAsia="Times New Roman" w:hAnsi="Times New Roman"/>
          <w:sz w:val="18"/>
          <w:szCs w:val="18"/>
          <w:color w:val="auto"/>
        </w:rPr>
      </w:pPr>
    </w:p>
    <w:p>
      <w:pPr>
        <w:jc w:val="both"/>
        <w:ind w:left="1160" w:hanging="535"/>
        <w:spacing w:after="0" w:line="255"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December 9, 2022 of 145,466 shares of Class A common stock to former stockholders of AKESOgen, Inc. in connection with our purchase of all of the outstanding shares of AKESOgen, Inc. See Note 3 to our consolidated financial statements included elsewhere in this prospectus.</w:t>
      </w:r>
    </w:p>
    <w:p>
      <w:pPr>
        <w:spacing w:after="0" w:line="180" w:lineRule="exact"/>
        <w:rPr>
          <w:sz w:val="20"/>
          <w:szCs w:val="20"/>
          <w:color w:val="auto"/>
        </w:rPr>
      </w:pPr>
    </w:p>
    <w:p>
      <w:pPr>
        <w:ind w:left="200" w:firstLine="438"/>
        <w:spacing w:after="0" w:line="267" w:lineRule="auto"/>
        <w:rPr>
          <w:sz w:val="20"/>
          <w:szCs w:val="20"/>
          <w:color w:val="auto"/>
        </w:rPr>
      </w:pPr>
      <w:r>
        <w:rPr>
          <w:rFonts w:ascii="Times New Roman" w:cs="Times New Roman" w:eastAsia="Times New Roman" w:hAnsi="Times New Roman"/>
          <w:sz w:val="18"/>
          <w:szCs w:val="18"/>
          <w:color w:val="auto"/>
        </w:rPr>
        <w:t>In addition, unless we specifically state otherwise, the information in this prospectus (except for the historical financial statements and the related discussion of such financial information) assumes:</w:t>
      </w:r>
    </w:p>
    <w:p>
      <w:pPr>
        <w:spacing w:after="0" w:line="78" w:lineRule="exact"/>
        <w:rPr>
          <w:sz w:val="20"/>
          <w:szCs w:val="20"/>
          <w:color w:val="auto"/>
        </w:rPr>
      </w:pPr>
    </w:p>
    <w:p>
      <w:pPr>
        <w:ind w:left="1160" w:right="20" w:hanging="535"/>
        <w:spacing w:after="0" w:line="267"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our amended and restated certificate of incorporation and the effectiveness of our amended and restated bylaws, each of which will occur upon the closing of this offering;</w:t>
      </w:r>
    </w:p>
    <w:p>
      <w:pPr>
        <w:spacing w:after="0" w:line="77"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on a one-for one basis of all outstanding shares of our Series B redeemable convertible preferred stock into an aggregate of 5,374,899 shares of Class B common stock, which will occur upon the closing of this offering;</w:t>
      </w:r>
    </w:p>
    <w:p>
      <w:pPr>
        <w:spacing w:after="0" w:line="77"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of all outstanding shares of redeemable convertible preferred stock, other than our Series B redeemable convertible preferred</w:t>
      </w:r>
    </w:p>
    <w:p>
      <w:pPr>
        <w:spacing w:after="0" w:line="44" w:lineRule="exact"/>
        <w:rPr>
          <w:sz w:val="20"/>
          <w:szCs w:val="20"/>
          <w:color w:val="auto"/>
        </w:rPr>
      </w:pPr>
    </w:p>
    <w:p>
      <w:pPr>
        <w:ind w:left="1160"/>
        <w:spacing w:after="0" w:line="247" w:lineRule="auto"/>
        <w:rPr>
          <w:sz w:val="20"/>
          <w:szCs w:val="20"/>
          <w:color w:val="auto"/>
        </w:rPr>
      </w:pPr>
      <w:r>
        <w:rPr>
          <w:rFonts w:ascii="Times New Roman" w:cs="Times New Roman" w:eastAsia="Times New Roman" w:hAnsi="Times New Roman"/>
          <w:sz w:val="18"/>
          <w:szCs w:val="18"/>
          <w:color w:val="auto"/>
        </w:rPr>
        <w:t>stock, into an aggregate of shares of Class A common stock, assuming an initial public offering price of $ per share, the midpoint of the estimated price range set forth on the cover page of this prospectus, which will occur upon the closing of this offering;</w:t>
      </w:r>
    </w:p>
    <w:p>
      <w:pPr>
        <w:spacing w:after="0" w:line="3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320" w:top="448"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4723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9630" cy="472313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issuance of</w:t>
            </w:r>
          </w:p>
        </w:tc>
        <w:tc>
          <w:tcPr>
            <w:tcW w:w="8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additional shares of Class A common stock, which we refer to as the Additional Class A Conversion Shares, upon the</w:t>
            </w:r>
          </w:p>
        </w:tc>
      </w:tr>
      <w:tr>
        <w:trPr>
          <w:trHeight w:val="210"/>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8"/>
              </w:rPr>
              <w:t>conversion of all outstanding shares of our redeemable convertible preferred stock upon the closing of this offering, pursuant to provisions of</w:t>
            </w:r>
          </w:p>
        </w:tc>
      </w:tr>
      <w:tr>
        <w:trPr>
          <w:trHeight w:val="210"/>
        </w:trPr>
        <w:tc>
          <w:tcPr>
            <w:tcW w:w="300" w:type="dxa"/>
            <w:vAlign w:val="bottom"/>
          </w:tcPr>
          <w:p>
            <w:pPr>
              <w:spacing w:after="0"/>
              <w:rPr>
                <w:sz w:val="18"/>
                <w:szCs w:val="18"/>
                <w:color w:val="auto"/>
              </w:rPr>
            </w:pPr>
          </w:p>
        </w:tc>
        <w:tc>
          <w:tcPr>
            <w:tcW w:w="77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our certificate of incorporation as currently in effect, assuming an initial public offering price of $</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w:t>
            </w:r>
          </w:p>
        </w:tc>
      </w:tr>
      <w:tr>
        <w:trPr>
          <w:trHeight w:val="228"/>
        </w:trPr>
        <w:tc>
          <w:tcPr>
            <w:tcW w:w="300" w:type="dxa"/>
            <w:vAlign w:val="bottom"/>
          </w:tcPr>
          <w:p>
            <w:pPr>
              <w:spacing w:after="0"/>
              <w:rPr>
                <w:sz w:val="19"/>
                <w:szCs w:val="19"/>
                <w:color w:val="auto"/>
              </w:rPr>
            </w:pPr>
          </w:p>
        </w:tc>
        <w:tc>
          <w:tcPr>
            <w:tcW w:w="77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 prospectus;</w:t>
            </w:r>
          </w:p>
        </w:tc>
        <w:tc>
          <w:tcPr>
            <w:tcW w:w="250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issuance of</w:t>
            </w:r>
          </w:p>
        </w:tc>
        <w:tc>
          <w:tcPr>
            <w:tcW w:w="8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shares of Class A common stock upon the settlement of RSUs outstanding as of December 31, 2021 under our 2015</w:t>
            </w:r>
          </w:p>
        </w:tc>
      </w:tr>
      <w:tr>
        <w:trPr>
          <w:trHeight w:val="210"/>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Plan for which the performance-based vesting condition will be satisfied in connection with this offering and for which any service-based</w:t>
            </w:r>
          </w:p>
        </w:tc>
      </w:tr>
      <w:tr>
        <w:trPr>
          <w:trHeight w:val="210"/>
        </w:trPr>
        <w:tc>
          <w:tcPr>
            <w:tcW w:w="300" w:type="dxa"/>
            <w:vAlign w:val="bottom"/>
          </w:tcPr>
          <w:p>
            <w:pPr>
              <w:spacing w:after="0"/>
              <w:rPr>
                <w:sz w:val="18"/>
                <w:szCs w:val="18"/>
                <w:color w:val="auto"/>
              </w:rPr>
            </w:pPr>
          </w:p>
        </w:tc>
        <w:tc>
          <w:tcPr>
            <w:tcW w:w="3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vesting condition was satisfied on or before</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 which settlement will be effected upon the expiration of the lock-up period in</w:t>
            </w:r>
          </w:p>
        </w:tc>
      </w:tr>
      <w:tr>
        <w:trPr>
          <w:trHeight w:val="228"/>
        </w:trPr>
        <w:tc>
          <w:tcPr>
            <w:tcW w:w="300" w:type="dxa"/>
            <w:vAlign w:val="bottom"/>
          </w:tcPr>
          <w:p>
            <w:pPr>
              <w:spacing w:after="0"/>
              <w:rPr>
                <w:sz w:val="19"/>
                <w:szCs w:val="19"/>
                <w:color w:val="auto"/>
              </w:rPr>
            </w:pPr>
          </w:p>
        </w:tc>
        <w:tc>
          <w:tcPr>
            <w:tcW w:w="3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connection with this offering;</w:t>
            </w:r>
          </w:p>
        </w:tc>
        <w:tc>
          <w:tcPr>
            <w:tcW w:w="3980" w:type="dxa"/>
            <w:vAlign w:val="bottom"/>
          </w:tcPr>
          <w:p>
            <w:pPr>
              <w:spacing w:after="0"/>
              <w:rPr>
                <w:sz w:val="19"/>
                <w:szCs w:val="19"/>
                <w:color w:val="auto"/>
              </w:rPr>
            </w:pPr>
          </w:p>
        </w:tc>
        <w:tc>
          <w:tcPr>
            <w:tcW w:w="2500" w:type="dxa"/>
            <w:vAlign w:val="bottom"/>
          </w:tcPr>
          <w:p>
            <w:pPr>
              <w:spacing w:after="0"/>
              <w:rPr>
                <w:sz w:val="19"/>
                <w:szCs w:val="19"/>
                <w:color w:val="auto"/>
              </w:rPr>
            </w:pPr>
          </w:p>
        </w:tc>
      </w:tr>
    </w:tbl>
    <w:p>
      <w:pPr>
        <w:spacing w:after="0" w:line="100" w:lineRule="exact"/>
        <w:rPr>
          <w:sz w:val="20"/>
          <w:szCs w:val="20"/>
          <w:color w:val="auto"/>
        </w:rPr>
      </w:pPr>
    </w:p>
    <w:p>
      <w:pPr>
        <w:ind w:left="1160" w:right="200" w:hanging="535"/>
        <w:spacing w:after="0" w:line="267"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our nonvoting common stock into 4,612,450 shares of Class A common stock, which will occur upon the closing of this offering;</w:t>
      </w:r>
    </w:p>
    <w:p>
      <w:pPr>
        <w:sectPr>
          <w:pgSz w:w="11900" w:h="16838" w:orient="portrait"/>
          <w:cols w:equalWidth="0" w:num="1">
            <w:col w:w="11340"/>
          </w:cols>
          <w:pgMar w:left="320" w:top="448" w:right="239" w:bottom="1440" w:gutter="0" w:footer="0" w:header="0"/>
        </w:sectPr>
      </w:pPr>
    </w:p>
    <w:p>
      <w:pPr>
        <w:spacing w:after="0" w:line="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no exercise of the underwriters’ option to purchase up to this offering to cover over-allotments, if any; and</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shares of Class A common stock from the selling stockholders in</w:t>
      </w:r>
    </w:p>
    <w:p>
      <w:pPr>
        <w:spacing w:after="0" w:line="354" w:lineRule="exact"/>
        <w:rPr>
          <w:sz w:val="20"/>
          <w:szCs w:val="20"/>
          <w:color w:val="auto"/>
        </w:rPr>
      </w:pPr>
    </w:p>
    <w:p>
      <w:pPr>
        <w:sectPr>
          <w:pgSz w:w="11900" w:h="16838" w:orient="portrait"/>
          <w:cols w:equalWidth="0" w:num="3">
            <w:col w:w="680" w:space="480"/>
            <w:col w:w="3980" w:space="720"/>
            <w:col w:w="5480"/>
          </w:cols>
          <w:pgMar w:left="320" w:top="448" w:right="239" w:bottom="1440" w:gutter="0" w:footer="0" w:header="0"/>
          <w:type w:val="continuous"/>
        </w:sectPr>
      </w:pPr>
    </w:p>
    <w:p>
      <w:pPr>
        <w:ind w:left="1160" w:hanging="535"/>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options or settlement of outstanding RSUs except as described above.</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Additional Class A Conversion Shares</w:t>
      </w:r>
    </w:p>
    <w:p>
      <w:pPr>
        <w:spacing w:after="0" w:line="110" w:lineRule="exact"/>
        <w:rPr>
          <w:sz w:val="20"/>
          <w:szCs w:val="20"/>
          <w:color w:val="auto"/>
        </w:rPr>
      </w:pPr>
    </w:p>
    <w:p>
      <w:pPr>
        <w:jc w:val="both"/>
        <w:ind w:left="200" w:right="180" w:firstLine="438"/>
        <w:spacing w:after="0" w:line="285" w:lineRule="auto"/>
        <w:rPr>
          <w:sz w:val="20"/>
          <w:szCs w:val="20"/>
          <w:color w:val="auto"/>
        </w:rPr>
      </w:pPr>
      <w:r>
        <w:rPr>
          <w:rFonts w:ascii="Times New Roman" w:cs="Times New Roman" w:eastAsia="Times New Roman" w:hAnsi="Times New Roman"/>
          <w:sz w:val="16"/>
          <w:szCs w:val="16"/>
          <w:color w:val="auto"/>
        </w:rPr>
        <w:t>Upon any conversion of our redeemable convertible preferred stock into common stock, including in connection with the closing of this offering, we are obligated to pay declared or accrued dividends on shares of our redeemable convertible preferred stock, at our option, in cash or in shares of common</w:t>
      </w:r>
    </w:p>
    <w:p>
      <w:pPr>
        <w:spacing w:after="0" w:line="1" w:lineRule="exact"/>
        <w:rPr>
          <w:sz w:val="20"/>
          <w:szCs w:val="20"/>
          <w:color w:val="auto"/>
        </w:rPr>
      </w:pPr>
    </w:p>
    <w:p>
      <w:pPr>
        <w:jc w:val="both"/>
        <w:ind w:left="200" w:right="180"/>
        <w:spacing w:after="0" w:line="243" w:lineRule="auto"/>
        <w:rPr>
          <w:sz w:val="20"/>
          <w:szCs w:val="20"/>
          <w:color w:val="auto"/>
        </w:rPr>
      </w:pPr>
      <w:r>
        <w:rPr>
          <w:rFonts w:ascii="Times New Roman" w:cs="Times New Roman" w:eastAsia="Times New Roman" w:hAnsi="Times New Roman"/>
          <w:sz w:val="18"/>
          <w:szCs w:val="18"/>
          <w:color w:val="auto"/>
        </w:rPr>
        <w:t>stock. As of the date of this prospectus, shares of redeemable convertible preferred stock have accrued approximately $ million in unpaid dividends, which we expect to pay in shares of our Class A common stock. As a result, at the closing of this offering, we expect to issue the Additional Class A Conversion Shares to holders of shares of our redeemable convertible preferred stock. The number of Additional Class A Conversion Shares to be</w:t>
      </w:r>
    </w:p>
    <w:p>
      <w:pPr>
        <w:spacing w:after="0" w:line="1" w:lineRule="exact"/>
        <w:rPr>
          <w:sz w:val="20"/>
          <w:szCs w:val="20"/>
          <w:color w:val="auto"/>
        </w:rPr>
      </w:pPr>
    </w:p>
    <w:p>
      <w:pPr>
        <w:jc w:val="both"/>
        <w:ind w:left="200" w:right="180"/>
        <w:spacing w:after="0" w:line="243" w:lineRule="auto"/>
        <w:rPr>
          <w:sz w:val="20"/>
          <w:szCs w:val="20"/>
          <w:color w:val="auto"/>
        </w:rPr>
      </w:pPr>
      <w:r>
        <w:rPr>
          <w:rFonts w:ascii="Times New Roman" w:cs="Times New Roman" w:eastAsia="Times New Roman" w:hAnsi="Times New Roman"/>
          <w:sz w:val="18"/>
          <w:szCs w:val="18"/>
          <w:color w:val="auto"/>
        </w:rPr>
        <w:t>issued depends on the initial public offering price of our Class A common stock. Based on an assumed initial public offering price of $ per share, the midpoint of the estimated price range set forth on the cover page of this prospectus, we will issue Additional Class A Conversion Shares</w:t>
      </w:r>
    </w:p>
    <w:p>
      <w:pPr>
        <w:spacing w:after="0" w:line="1" w:lineRule="exact"/>
        <w:rPr>
          <w:sz w:val="20"/>
          <w:szCs w:val="20"/>
          <w:color w:val="auto"/>
        </w:rPr>
      </w:pPr>
    </w:p>
    <w:p>
      <w:pPr>
        <w:jc w:val="both"/>
        <w:ind w:left="200" w:right="180"/>
        <w:spacing w:after="0" w:line="245" w:lineRule="auto"/>
        <w:rPr>
          <w:sz w:val="20"/>
          <w:szCs w:val="20"/>
          <w:color w:val="auto"/>
        </w:rPr>
      </w:pPr>
      <w:r>
        <w:rPr>
          <w:rFonts w:ascii="Times New Roman" w:cs="Times New Roman" w:eastAsia="Times New Roman" w:hAnsi="Times New Roman"/>
          <w:sz w:val="18"/>
          <w:szCs w:val="18"/>
          <w:color w:val="auto"/>
        </w:rPr>
        <w:t>immediately prior to the closing of this offering. For illustrative purposes only, the table below shows the number of Additional Class A Conversion Shares that would be issuable at various initial public offering prices, as well as the total number shares of our Class A common stock that would be outstanding after this offering as a result: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10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7"/>
              </w:rPr>
              <w:t>Estimated Total</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100" w:type="dxa"/>
            <w:vAlign w:val="bottom"/>
            <w:gridSpan w:val="2"/>
          </w:tcPr>
          <w:p>
            <w:pPr>
              <w:jc w:val="center"/>
              <w:ind w:right="1020"/>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100" w:type="dxa"/>
            <w:vAlign w:val="bottom"/>
            <w:gridSpan w:val="2"/>
          </w:tcPr>
          <w:p>
            <w:pPr>
              <w:jc w:val="center"/>
              <w:ind w:right="10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Class A Common</w:t>
            </w:r>
          </w:p>
        </w:tc>
        <w:tc>
          <w:tcPr>
            <w:tcW w:w="0" w:type="dxa"/>
            <w:vAlign w:val="bottom"/>
          </w:tcPr>
          <w:p>
            <w:pPr>
              <w:spacing w:after="0"/>
              <w:rPr>
                <w:sz w:val="1"/>
                <w:szCs w:val="1"/>
                <w:color w:val="auto"/>
              </w:rPr>
            </w:pPr>
          </w:p>
        </w:tc>
      </w:tr>
      <w:tr>
        <w:trPr>
          <w:trHeight w:val="144"/>
        </w:trPr>
        <w:tc>
          <w:tcPr>
            <w:tcW w:w="5240" w:type="dxa"/>
            <w:vAlign w:val="bottom"/>
            <w:gridSpan w:val="3"/>
            <w:vMerge w:val="restart"/>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w w:val="99"/>
              </w:rPr>
              <w:t>Assumed Initial Public</w:t>
            </w:r>
          </w:p>
        </w:tc>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 Class A</w:t>
            </w:r>
          </w:p>
        </w:tc>
        <w:tc>
          <w:tcPr>
            <w:tcW w:w="2100" w:type="dxa"/>
            <w:vAlign w:val="bottom"/>
            <w:gridSpan w:val="2"/>
          </w:tcPr>
          <w:p>
            <w:pPr>
              <w:jc w:val="center"/>
              <w:ind w:right="1000"/>
              <w:spacing w:after="0" w:line="145"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3"/>
        </w:trPr>
        <w:tc>
          <w:tcPr>
            <w:tcW w:w="5240" w:type="dxa"/>
            <w:vAlign w:val="bottom"/>
            <w:gridSpan w:val="3"/>
            <w:vMerge w:val="continue"/>
          </w:tcPr>
          <w:p>
            <w:pPr>
              <w:spacing w:after="0"/>
              <w:rPr>
                <w:sz w:val="12"/>
                <w:szCs w:val="12"/>
                <w:color w:val="auto"/>
              </w:rPr>
            </w:pPr>
          </w:p>
        </w:tc>
        <w:tc>
          <w:tcPr>
            <w:tcW w:w="4000" w:type="dxa"/>
            <w:vAlign w:val="bottom"/>
            <w:gridSpan w:val="2"/>
            <w:vMerge w:val="continue"/>
          </w:tcPr>
          <w:p>
            <w:pPr>
              <w:spacing w:after="0"/>
              <w:rPr>
                <w:sz w:val="12"/>
                <w:szCs w:val="12"/>
                <w:color w:val="auto"/>
              </w:rPr>
            </w:pPr>
          </w:p>
        </w:tc>
        <w:tc>
          <w:tcPr>
            <w:tcW w:w="2100" w:type="dxa"/>
            <w:vAlign w:val="bottom"/>
            <w:gridSpan w:val="2"/>
          </w:tcPr>
          <w:p>
            <w:pPr>
              <w:jc w:val="center"/>
              <w:ind w:right="10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Outstanding After</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4080" w:type="dxa"/>
            <w:vAlign w:val="bottom"/>
            <w:gridSpan w:val="2"/>
          </w:tcPr>
          <w:p>
            <w:pPr>
              <w:jc w:val="center"/>
              <w:ind w:right="3000"/>
              <w:spacing w:after="0" w:line="157" w:lineRule="exact"/>
              <w:rPr>
                <w:sz w:val="20"/>
                <w:szCs w:val="20"/>
                <w:color w:val="auto"/>
              </w:rPr>
            </w:pPr>
            <w:r>
              <w:rPr>
                <w:rFonts w:ascii="Times New Roman" w:cs="Times New Roman" w:eastAsia="Times New Roman" w:hAnsi="Times New Roman"/>
                <w:sz w:val="14"/>
                <w:szCs w:val="14"/>
                <w:b w:val="1"/>
                <w:bCs w:val="1"/>
                <w:color w:val="auto"/>
                <w:w w:val="98"/>
              </w:rPr>
              <w:t xml:space="preserve">Offering Price </w:t>
            </w: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w:t>
            </w:r>
          </w:p>
        </w:tc>
        <w:tc>
          <w:tcPr>
            <w:tcW w:w="400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Conversion Shares</w:t>
            </w:r>
          </w:p>
        </w:tc>
        <w:tc>
          <w:tcPr>
            <w:tcW w:w="2100" w:type="dxa"/>
            <w:vAlign w:val="bottom"/>
            <w:gridSpan w:val="2"/>
          </w:tcPr>
          <w:p>
            <w:pPr>
              <w:jc w:val="center"/>
              <w:ind w:right="1020"/>
              <w:spacing w:after="0" w:line="157" w:lineRule="exact"/>
              <w:rPr>
                <w:sz w:val="20"/>
                <w:szCs w:val="20"/>
                <w:color w:val="auto"/>
              </w:rPr>
            </w:pPr>
            <w:r>
              <w:rPr>
                <w:rFonts w:ascii="Times New Roman" w:cs="Times New Roman" w:eastAsia="Times New Roman" w:hAnsi="Times New Roman"/>
                <w:sz w:val="14"/>
                <w:szCs w:val="14"/>
                <w:b w:val="1"/>
                <w:bCs w:val="1"/>
                <w:color w:val="auto"/>
                <w:w w:val="99"/>
              </w:rPr>
              <w:t>this Offering</w:t>
            </w:r>
          </w:p>
        </w:tc>
        <w:tc>
          <w:tcPr>
            <w:tcW w:w="0" w:type="dxa"/>
            <w:vAlign w:val="bottom"/>
          </w:tcPr>
          <w:p>
            <w:pPr>
              <w:spacing w:after="0"/>
              <w:rPr>
                <w:sz w:val="1"/>
                <w:szCs w:val="1"/>
                <w:color w:val="auto"/>
              </w:rPr>
            </w:pPr>
          </w:p>
        </w:tc>
      </w:tr>
      <w:tr>
        <w:trPr>
          <w:trHeight w:val="167"/>
        </w:trPr>
        <w:tc>
          <w:tcPr>
            <w:tcW w:w="1160" w:type="dxa"/>
            <w:vAlign w:val="bottom"/>
            <w:tcBorders>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40" w:type="dxa"/>
            <w:vAlign w:val="bottom"/>
          </w:tcPr>
          <w:p>
            <w:pPr>
              <w:jc w:val="right"/>
              <w:ind w:right="544"/>
              <w:spacing w:after="0"/>
              <w:rPr>
                <w:sz w:val="20"/>
                <w:szCs w:val="20"/>
                <w:color w:val="auto"/>
              </w:rPr>
            </w:pPr>
            <w:r>
              <w:rPr>
                <w:rFonts w:ascii="Times New Roman" w:cs="Times New Roman" w:eastAsia="Times New Roman" w:hAnsi="Times New Roman"/>
                <w:sz w:val="18"/>
                <w:szCs w:val="18"/>
                <w:color w:val="auto"/>
              </w:rPr>
              <w:t>19</w:t>
            </w:r>
          </w:p>
        </w:tc>
        <w:tc>
          <w:tcPr>
            <w:tcW w:w="2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2985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9630" cy="629856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15"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The summary consolidated statement of operations data for the years ended December 31, 2020 and 2021 have been derived from our audited consolidated financial statements included elsewhere in this prospectus.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Our historical results are not necessarily indicative of the results to be expected for the full year or any other period in the future.</w:t>
      </w: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69"/>
        </w:trPr>
        <w:tc>
          <w:tcPr>
            <w:tcW w:w="12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2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gridSpan w:val="4"/>
          </w:tcPr>
          <w:p>
            <w:pPr>
              <w:jc w:val="center"/>
              <w:ind w:right="13"/>
              <w:spacing w:after="0" w:line="113" w:lineRule="exact"/>
              <w:rPr>
                <w:sz w:val="20"/>
                <w:szCs w:val="20"/>
                <w:color w:val="auto"/>
              </w:rPr>
            </w:pPr>
            <w:r>
              <w:rPr>
                <w:rFonts w:ascii="Times New Roman" w:cs="Times New Roman" w:eastAsia="Times New Roman" w:hAnsi="Times New Roman"/>
                <w:sz w:val="13"/>
                <w:szCs w:val="13"/>
                <w:b w:val="1"/>
                <w:bCs w:val="1"/>
                <w:color w:val="auto"/>
              </w:rPr>
              <w:t>(in thousands, except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share and per share data)</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Genomics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151,911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195,012</w:t>
            </w: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Data and Other</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36,093</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188,004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257,853</w:t>
            </w:r>
          </w:p>
        </w:tc>
        <w:tc>
          <w:tcPr>
            <w:tcW w:w="0" w:type="dxa"/>
            <w:vAlign w:val="bottom"/>
          </w:tcPr>
          <w:p>
            <w:pPr>
              <w:spacing w:after="0"/>
              <w:rPr>
                <w:sz w:val="1"/>
                <w:szCs w:val="1"/>
                <w:color w:val="auto"/>
              </w:rPr>
            </w:pPr>
          </w:p>
        </w:tc>
      </w:tr>
      <w:tr>
        <w:trPr>
          <w:trHeight w:val="216"/>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152,198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162,276</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revenues, data and other</w:t>
            </w:r>
          </w:p>
        </w:tc>
        <w:tc>
          <w:tcPr>
            <w:tcW w:w="12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7,092</w:t>
            </w:r>
          </w:p>
        </w:tc>
        <w:tc>
          <w:tcPr>
            <w:tcW w:w="140" w:type="dxa"/>
            <w:vAlign w:val="bottom"/>
          </w:tcPr>
          <w:p>
            <w:pPr>
              <w:spacing w:after="0"/>
              <w:rPr>
                <w:sz w:val="18"/>
                <w:szCs w:val="18"/>
                <w:color w:val="auto"/>
              </w:rPr>
            </w:pPr>
          </w:p>
        </w:tc>
        <w:tc>
          <w:tcPr>
            <w:tcW w:w="7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11,933</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45,861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67,190</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45,415</w:t>
            </w:r>
          </w:p>
        </w:tc>
        <w:tc>
          <w:tcPr>
            <w:tcW w:w="140" w:type="dxa"/>
            <w:vAlign w:val="bottom"/>
          </w:tcPr>
          <w:p>
            <w:pPr>
              <w:spacing w:after="0"/>
              <w:rPr>
                <w:sz w:val="18"/>
                <w:szCs w:val="18"/>
                <w:color w:val="auto"/>
              </w:rPr>
            </w:pPr>
          </w:p>
        </w:tc>
        <w:tc>
          <w:tcPr>
            <w:tcW w:w="7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61,161</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130,892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199,004</w:t>
            </w:r>
          </w:p>
        </w:tc>
        <w:tc>
          <w:tcPr>
            <w:tcW w:w="0" w:type="dxa"/>
            <w:vAlign w:val="bottom"/>
          </w:tcPr>
          <w:p>
            <w:pPr>
              <w:spacing w:after="0"/>
              <w:rPr>
                <w:sz w:val="1"/>
                <w:szCs w:val="1"/>
                <w:color w:val="auto"/>
              </w:rPr>
            </w:pPr>
          </w:p>
        </w:tc>
      </w:tr>
      <w:tr>
        <w:trPr>
          <w:trHeight w:val="223"/>
        </w:trPr>
        <w:tc>
          <w:tcPr>
            <w:tcW w:w="8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381,458</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9"/>
              </w:rPr>
              <w:t>(193,454)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(243,711)</w:t>
            </w: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(18,929)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(15,184)</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expenses, net</w:t>
            </w:r>
          </w:p>
        </w:tc>
        <w:tc>
          <w:tcPr>
            <w:tcW w:w="12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6"/>
        </w:trPr>
        <w:tc>
          <w:tcPr>
            <w:tcW w:w="12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9"/>
              </w:rPr>
              <w:t>(211,354)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(258,588)</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0" w:type="dxa"/>
            <w:vAlign w:val="bottom"/>
          </w:tcPr>
          <w:p>
            <w:pPr>
              <w:spacing w:after="0"/>
              <w:rPr>
                <w:sz w:val="18"/>
                <w:szCs w:val="18"/>
                <w:color w:val="auto"/>
              </w:rPr>
            </w:pPr>
          </w:p>
        </w:tc>
        <w:tc>
          <w:tcPr>
            <w:tcW w:w="96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(losses) from equity method investments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(209,854</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(259,192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gridSpan w:val="2"/>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58"/>
              <w:spacing w:after="0" w:line="202" w:lineRule="exact"/>
              <w:rPr>
                <w:sz w:val="20"/>
                <w:szCs w:val="20"/>
                <w:color w:val="auto"/>
              </w:rPr>
            </w:pPr>
            <w:r>
              <w:rPr>
                <w:rFonts w:ascii="Times New Roman" w:cs="Times New Roman" w:eastAsia="Times New Roman" w:hAnsi="Times New Roman"/>
                <w:sz w:val="18"/>
                <w:szCs w:val="18"/>
                <w:color w:val="auto"/>
              </w:rPr>
              <w:t>(7,381)</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Dividends on Series A, B, B-1, B-2, C, D, E, F and G preferred shares</w:t>
            </w:r>
          </w:p>
        </w:tc>
        <w:tc>
          <w:tcPr>
            <w:tcW w:w="12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(34,420)</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(35,758)</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(2,250)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0" w:type="dxa"/>
            <w:vAlign w:val="bottom"/>
          </w:tcPr>
          <w:p>
            <w:pPr>
              <w:spacing w:after="0"/>
              <w:rPr>
                <w:sz w:val="1"/>
                <w:szCs w:val="1"/>
                <w:color w:val="auto"/>
              </w:rPr>
            </w:pPr>
          </w:p>
        </w:tc>
      </w:tr>
      <w:tr>
        <w:trPr>
          <w:trHeight w:val="216"/>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available to common shareholders, basic and diluted</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(253,905)</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(297,736)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58"/>
              <w:spacing w:after="0" w:line="202" w:lineRule="exact"/>
              <w:rPr>
                <w:sz w:val="20"/>
                <w:szCs w:val="20"/>
                <w:color w:val="auto"/>
              </w:rPr>
            </w:pPr>
            <w:r>
              <w:rPr>
                <w:rFonts w:ascii="Times New Roman" w:cs="Times New Roman" w:eastAsia="Times New Roman" w:hAnsi="Times New Roman"/>
                <w:sz w:val="18"/>
                <w:szCs w:val="18"/>
                <w:color w:val="auto"/>
              </w:rPr>
              <w:t>(4.05)</w:t>
            </w:r>
          </w:p>
        </w:tc>
        <w:tc>
          <w:tcPr>
            <w:tcW w:w="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ind w:left="20"/>
              <w:spacing w:after="0" w:line="242" w:lineRule="exact"/>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 common stockholders, basic and diluted</w:t>
            </w:r>
            <w:r>
              <w:rPr>
                <w:rFonts w:ascii="Times New Roman" w:cs="Times New Roman" w:eastAsia="Times New Roman" w:hAnsi="Times New Roman"/>
                <w:sz w:val="26"/>
                <w:szCs w:val="26"/>
                <w:color w:val="auto"/>
                <w:vertAlign w:val="superscript"/>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62,706</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62,975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Pro forma net loss per share attributable to common stockholders, basic and diluted</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pro forma net loss per share attributable to common stockholders, basic and</w:t>
            </w: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980" w:type="dxa"/>
            <w:vAlign w:val="bottom"/>
            <w:gridSpan w:val="2"/>
          </w:tcPr>
          <w:p>
            <w:pPr>
              <w:ind w:left="200"/>
              <w:spacing w:after="0" w:line="228"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6"/>
                <w:szCs w:val="26"/>
                <w:color w:val="auto"/>
                <w:vertAlign w:val="superscript"/>
              </w:rPr>
              <w:t>(2)</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20" w:type="dxa"/>
            <w:vAlign w:val="bottom"/>
            <w:tcBorders>
              <w:bottom w:val="single" w:sz="8" w:color="auto"/>
            </w:tcBorders>
          </w:tcPr>
          <w:p>
            <w:pPr>
              <w:spacing w:after="0"/>
              <w:rPr>
                <w:sz w:val="10"/>
                <w:szCs w:val="10"/>
                <w:color w:val="auto"/>
              </w:rPr>
            </w:pPr>
          </w:p>
        </w:tc>
        <w:tc>
          <w:tcPr>
            <w:tcW w:w="7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620" w:right="20" w:hanging="428"/>
        <w:spacing w:after="0" w:line="267"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2 and 11 to our consolidated financial statements included elsewhere in this prospectus for an explanation of the calculations of our basic and diluted net loss per share attributable to common stockholders.</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60"/>
          </w:cols>
          <w:pgMar w:left="320" w:top="448"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0401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9630" cy="60401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620" w:hanging="428"/>
        <w:spacing w:after="0" w:line="253"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net loss per share gives effect to (a) the Series G-3 Financing, (b) the automatic conversion of all of our outstanding shares of Series B redeemable convertible preferred stock into 5,374,899 shares of Class B common stock, which will occur upon the closing of this offering, (c) the</w:t>
      </w:r>
    </w:p>
    <w:p>
      <w:pPr>
        <w:spacing w:after="0" w:line="1"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conversion of all of our outstanding shares of redeemable convertible preferred stock, other than our Series B preferred stock, into</w:t>
      </w:r>
    </w:p>
    <w:p>
      <w:pPr>
        <w:spacing w:after="0" w:line="194" w:lineRule="exact"/>
        <w:rPr>
          <w:sz w:val="20"/>
          <w:szCs w:val="20"/>
          <w:color w:val="auto"/>
        </w:rPr>
      </w:pPr>
    </w:p>
    <w:p>
      <w:pPr>
        <w:ind w:left="620" w:firstLine="801"/>
        <w:spacing w:after="0" w:line="250" w:lineRule="auto"/>
        <w:rPr>
          <w:sz w:val="20"/>
          <w:szCs w:val="20"/>
          <w:color w:val="auto"/>
        </w:rPr>
      </w:pPr>
      <w:r>
        <w:rPr>
          <w:rFonts w:ascii="Times New Roman" w:cs="Times New Roman" w:eastAsia="Times New Roman" w:hAnsi="Times New Roman"/>
          <w:sz w:val="18"/>
          <w:szCs w:val="18"/>
          <w:color w:val="auto"/>
        </w:rPr>
        <w:t>shares of Class A common stock, which will occur upon the closing of this offering, assuming an initial public offering price of $ per share, the midpoint of the estimated price range set forth on the cover page of this prospectus, (d) the issuance of Additional Class A Conversion Shares, assuming an initial public offering price of $ per share, the midpoint of the estimated price range set forth on the cover page</w:t>
      </w:r>
    </w:p>
    <w:p>
      <w:pPr>
        <w:spacing w:after="0" w:line="1" w:lineRule="exact"/>
        <w:rPr>
          <w:sz w:val="20"/>
          <w:szCs w:val="20"/>
          <w:color w:val="auto"/>
        </w:rPr>
      </w:pPr>
    </w:p>
    <w:p>
      <w:pPr>
        <w:jc w:val="both"/>
        <w:ind w:left="620"/>
        <w:spacing w:after="0" w:line="820" w:lineRule="auto"/>
        <w:rPr>
          <w:sz w:val="20"/>
          <w:szCs w:val="20"/>
          <w:color w:val="auto"/>
        </w:rPr>
      </w:pPr>
      <w:r>
        <w:rPr>
          <w:rFonts w:ascii="Times New Roman" w:cs="Times New Roman" w:eastAsia="Times New Roman" w:hAnsi="Times New Roman"/>
          <w:sz w:val="16"/>
          <w:szCs w:val="16"/>
          <w:color w:val="auto"/>
        </w:rPr>
        <w:t>of this prospectus, which will occur upon the conversion of all outstanding shares of our redeemable convertible preferred stock and upon the closing of this offering, (e) the automatic conversion of all of our nonvoting common stock into 4,612,450 shares of Class A common stock, which will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20" w:right="20"/>
        <w:spacing w:after="0" w:line="253" w:lineRule="auto"/>
        <w:rPr>
          <w:sz w:val="20"/>
          <w:szCs w:val="20"/>
          <w:color w:val="auto"/>
        </w:rPr>
      </w:pPr>
      <w:r>
        <w:rPr>
          <w:rFonts w:ascii="Times New Roman" w:cs="Times New Roman" w:eastAsia="Times New Roman" w:hAnsi="Times New Roman"/>
          <w:sz w:val="18"/>
          <w:szCs w:val="18"/>
          <w:color w:val="auto"/>
        </w:rPr>
        <w:t>upon the closing of this offering, (f) the issuance of shares of Class A common stock upon settlement of RSUs for which the service-based vesting condition was satisfied on or before ,2022 and for which the performance-based vesting condition will be satisfied in connection</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with this offering, which settlement will occur upon the expiration of the lock-up period in connection with this offering, (g) stock-based</w:t>
      </w:r>
    </w:p>
    <w:p>
      <w:pPr>
        <w:spacing w:after="0" w:line="399" w:lineRule="exact"/>
        <w:rPr>
          <w:sz w:val="20"/>
          <w:szCs w:val="20"/>
          <w:color w:val="auto"/>
        </w:rPr>
      </w:pPr>
    </w:p>
    <w:p>
      <w:pPr>
        <w:ind w:left="620"/>
        <w:spacing w:after="0" w:line="253" w:lineRule="auto"/>
        <w:rPr>
          <w:sz w:val="20"/>
          <w:szCs w:val="20"/>
          <w:color w:val="auto"/>
        </w:rPr>
      </w:pPr>
      <w:r>
        <w:rPr>
          <w:rFonts w:ascii="Times New Roman" w:cs="Times New Roman" w:eastAsia="Times New Roman" w:hAnsi="Times New Roman"/>
          <w:sz w:val="18"/>
          <w:szCs w:val="18"/>
          <w:color w:val="auto"/>
        </w:rPr>
        <w:t>compensation expense of approximately $ million related to the vesting of RSUs and PSUs for which the service-based vesting condition was satisfied on or before , 2022 and for which the performance-based vesting condition will be satisfied in connection with this offering, as</w:t>
      </w:r>
    </w:p>
    <w:p>
      <w:pPr>
        <w:spacing w:after="0" w:line="2" w:lineRule="exact"/>
        <w:rPr>
          <w:sz w:val="20"/>
          <w:szCs w:val="20"/>
          <w:color w:val="auto"/>
        </w:rPr>
      </w:pPr>
    </w:p>
    <w:p>
      <w:pPr>
        <w:jc w:val="both"/>
        <w:ind w:left="620" w:right="20"/>
        <w:spacing w:after="0" w:line="244" w:lineRule="auto"/>
        <w:rPr>
          <w:sz w:val="20"/>
          <w:szCs w:val="20"/>
          <w:color w:val="auto"/>
        </w:rPr>
      </w:pPr>
      <w:r>
        <w:rPr>
          <w:rFonts w:ascii="Times New Roman" w:cs="Times New Roman" w:eastAsia="Times New Roman" w:hAnsi="Times New Roman"/>
          <w:sz w:val="18"/>
          <w:szCs w:val="18"/>
          <w:color w:val="auto"/>
        </w:rPr>
        <w:t>further described in Note 9 to our consolidated financial statements included elsewhere in this prospectus, and (h) the filing and effectiveness of our amended and restated certificate of incorporation, which will occur upon the closing of this offering.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169"/>
        </w:trPr>
        <w:tc>
          <w:tcPr>
            <w:tcW w:w="76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7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Pro</w:t>
            </w:r>
          </w:p>
        </w:tc>
        <w:tc>
          <w:tcPr>
            <w:tcW w:w="960" w:type="dxa"/>
            <w:vAlign w:val="bottom"/>
          </w:tcPr>
          <w:p>
            <w:pPr>
              <w:jc w:val="center"/>
              <w:ind w:left="31"/>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7640" w:type="dxa"/>
            <w:vAlign w:val="bottom"/>
          </w:tcPr>
          <w:p>
            <w:pPr>
              <w:spacing w:after="0"/>
              <w:rPr>
                <w:sz w:val="12"/>
                <w:szCs w:val="12"/>
                <w:color w:val="auto"/>
              </w:rPr>
            </w:pPr>
          </w:p>
        </w:tc>
        <w:tc>
          <w:tcPr>
            <w:tcW w:w="94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vMerge w:val="continue"/>
          </w:tcPr>
          <w:p>
            <w:pPr>
              <w:spacing w:after="0"/>
              <w:rPr>
                <w:sz w:val="12"/>
                <w:szCs w:val="12"/>
                <w:color w:val="auto"/>
              </w:rPr>
            </w:pPr>
          </w:p>
        </w:tc>
        <w:tc>
          <w:tcPr>
            <w:tcW w:w="100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44"/>
        </w:trPr>
        <w:tc>
          <w:tcPr>
            <w:tcW w:w="764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400" w:type="dxa"/>
            <w:vAlign w:val="bottom"/>
            <w:tcBorders>
              <w:bottom w:val="single" w:sz="8" w:color="auto"/>
            </w:tcBorders>
          </w:tcPr>
          <w:p>
            <w:pPr>
              <w:ind w:left="400"/>
              <w:spacing w:after="0" w:line="145" w:lineRule="exact"/>
              <w:rPr>
                <w:sz w:val="20"/>
                <w:szCs w:val="20"/>
                <w:color w:val="auto"/>
              </w:rPr>
            </w:pPr>
            <w:r>
              <w:rPr>
                <w:rFonts w:ascii="Times New Roman" w:cs="Times New Roman" w:eastAsia="Times New Roman" w:hAnsi="Times New Roman"/>
                <w:sz w:val="14"/>
                <w:szCs w:val="14"/>
                <w:b w:val="1"/>
                <w:bCs w:val="1"/>
                <w:color w:val="auto"/>
              </w:rPr>
              <w:t>Forma</w:t>
            </w:r>
            <w:r>
              <w:rPr>
                <w:rFonts w:ascii="Times New Roman" w:cs="Times New Roman" w:eastAsia="Times New Roman" w:hAnsi="Times New Roman"/>
                <w:sz w:val="10"/>
                <w:szCs w:val="10"/>
                <w:b w:val="1"/>
                <w:bCs w:val="1"/>
                <w:color w:val="auto"/>
              </w:rPr>
              <w:t>(1)</w:t>
            </w:r>
          </w:p>
        </w:tc>
        <w:tc>
          <w:tcPr>
            <w:tcW w:w="96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1"/>
                <w:szCs w:val="11"/>
                <w:b w:val="1"/>
                <w:bCs w:val="1"/>
                <w:color w:val="auto"/>
                <w:w w:val="93"/>
              </w:rPr>
              <w:t>(3)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9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99"/>
              </w:rPr>
              <w:t>$ 278,466</w:t>
            </w:r>
          </w:p>
        </w:tc>
        <w:tc>
          <w:tcPr>
            <w:tcW w:w="1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531,354</w:t>
            </w: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Working capital</w:t>
            </w:r>
            <w:r>
              <w:rPr>
                <w:rFonts w:ascii="Times New Roman" w:cs="Times New Roman" w:eastAsia="Times New Roman" w:hAnsi="Times New Roman"/>
                <w:sz w:val="24"/>
                <w:szCs w:val="24"/>
                <w:color w:val="auto"/>
                <w:vertAlign w:val="superscript"/>
              </w:rPr>
              <w:t>(4)</w:t>
            </w:r>
          </w:p>
        </w:tc>
        <w:tc>
          <w:tcPr>
            <w:tcW w:w="9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289,182</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9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898,291</w:t>
            </w: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(807,491)</w:t>
            </w: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20" w:hanging="428"/>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consolidated balance sheet data gives effect to (a) the Series G-3 Financing, (b) the automatic conversion of all of our outstanding</w:t>
      </w:r>
    </w:p>
    <w:p>
      <w:pPr>
        <w:spacing w:after="0" w:line="21" w:lineRule="exact"/>
        <w:rPr>
          <w:sz w:val="20"/>
          <w:szCs w:val="20"/>
          <w:color w:val="auto"/>
        </w:rPr>
      </w:pPr>
    </w:p>
    <w:p>
      <w:pPr>
        <w:jc w:val="both"/>
        <w:ind w:left="620"/>
        <w:spacing w:after="0" w:line="274" w:lineRule="auto"/>
        <w:rPr>
          <w:sz w:val="20"/>
          <w:szCs w:val="20"/>
          <w:color w:val="auto"/>
        </w:rPr>
      </w:pPr>
      <w:r>
        <w:rPr>
          <w:rFonts w:ascii="Times New Roman" w:cs="Times New Roman" w:eastAsia="Times New Roman" w:hAnsi="Times New Roman"/>
          <w:sz w:val="16"/>
          <w:szCs w:val="16"/>
          <w:color w:val="auto"/>
        </w:rPr>
        <w:t>shares of Series B redeemable convertible preferred stock into 5,374,899 shares of Class B common stock, which will occur upon the closing of this offering, (c) the automatic conversion of all of our outstanding shares of redeemable convertible preferred stock, other than our Series B preferred</w:t>
      </w:r>
    </w:p>
    <w:p>
      <w:pPr>
        <w:jc w:val="both"/>
        <w:ind w:left="620"/>
        <w:spacing w:after="0" w:line="243" w:lineRule="auto"/>
        <w:rPr>
          <w:sz w:val="20"/>
          <w:szCs w:val="20"/>
          <w:color w:val="auto"/>
        </w:rPr>
      </w:pPr>
      <w:r>
        <w:rPr>
          <w:rFonts w:ascii="Times New Roman" w:cs="Times New Roman" w:eastAsia="Times New Roman" w:hAnsi="Times New Roman"/>
          <w:sz w:val="18"/>
          <w:szCs w:val="18"/>
          <w:color w:val="auto"/>
        </w:rPr>
        <w:t>stock, into shares of Class A common stock, assuming an initial public offering price of $ per share, the midpoint of the estimated price range set forth on the cover page of this prospectus, which will occur upon the closing of this offering, (d) the issuance of the Additional Class A Conversion Shares, which will occur upon the conversion of all outstanding shares of our redeemable convertible preferred stock and upon the</w:t>
      </w:r>
    </w:p>
    <w:p>
      <w:pPr>
        <w:spacing w:after="0" w:line="1" w:lineRule="exact"/>
        <w:rPr>
          <w:sz w:val="20"/>
          <w:szCs w:val="20"/>
          <w:color w:val="auto"/>
        </w:rPr>
      </w:pPr>
    </w:p>
    <w:p>
      <w:pPr>
        <w:jc w:val="both"/>
        <w:ind w:left="620"/>
        <w:spacing w:after="0" w:line="547" w:lineRule="auto"/>
        <w:rPr>
          <w:sz w:val="20"/>
          <w:szCs w:val="20"/>
          <w:color w:val="auto"/>
        </w:rPr>
      </w:pPr>
      <w:r>
        <w:rPr>
          <w:rFonts w:ascii="Times New Roman" w:cs="Times New Roman" w:eastAsia="Times New Roman" w:hAnsi="Times New Roman"/>
          <w:sz w:val="16"/>
          <w:szCs w:val="16"/>
          <w:color w:val="auto"/>
        </w:rPr>
        <w:t>closing of this offering, assuming an initial public offering price of $ per share, the midpoint of the estimated price range set forth on the cover page of this prospectus, (e) the automatic conversion of all of our nonvoting common stock into 4,612,450 shares of Class A common stock, which will occur upon the closing of this offering, (f) the filing and effectiveness of our amended and restated certificate of incorporation, which will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0"/>
        <w:spacing w:after="0" w:line="253" w:lineRule="auto"/>
        <w:rPr>
          <w:sz w:val="20"/>
          <w:szCs w:val="20"/>
          <w:color w:val="auto"/>
        </w:rPr>
      </w:pPr>
      <w:r>
        <w:rPr>
          <w:rFonts w:ascii="Times New Roman" w:cs="Times New Roman" w:eastAsia="Times New Roman" w:hAnsi="Times New Roman"/>
          <w:sz w:val="18"/>
          <w:szCs w:val="18"/>
          <w:color w:val="auto"/>
        </w:rPr>
        <w:t>upon the closing of this offering, (g) the issuance of shares of Class A common stock upon settlement of RSUs for which the service-based vesting condition was satisfied on or before , 2022 and for which the performance-based vesting condition will be satisfied in</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connection with this offering, which settlement will occur upon the expiration of the lock-up period in connection with this offering, and (h) stock-</w:t>
      </w:r>
    </w:p>
    <w:p>
      <w:pPr>
        <w:spacing w:after="0" w:line="376" w:lineRule="exact"/>
        <w:rPr>
          <w:sz w:val="20"/>
          <w:szCs w:val="20"/>
          <w:color w:val="auto"/>
        </w:rPr>
      </w:pPr>
    </w:p>
    <w:p>
      <w:pPr>
        <w:ind w:left="620"/>
        <w:spacing w:after="0" w:line="253" w:lineRule="auto"/>
        <w:rPr>
          <w:sz w:val="20"/>
          <w:szCs w:val="20"/>
          <w:color w:val="auto"/>
        </w:rPr>
      </w:pPr>
      <w:r>
        <w:rPr>
          <w:rFonts w:ascii="Times New Roman" w:cs="Times New Roman" w:eastAsia="Times New Roman" w:hAnsi="Times New Roman"/>
          <w:sz w:val="18"/>
          <w:szCs w:val="18"/>
          <w:color w:val="auto"/>
        </w:rPr>
        <w:t>based compensation expense of approximately $ million related to the vesting of RSUs and PSUs for which the service-based vesting condition was satisfied on or before , 2022 and for which the performance-based vesting condition will be satisfied in connection with this</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offering, as further described in Note 9 to our consolidated financial statements</w:t>
      </w: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60"/>
          </w:cols>
          <w:pgMar w:left="320" w:top="448"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2246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9630" cy="224663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20" w:right="20"/>
        <w:spacing w:after="0" w:line="285" w:lineRule="auto"/>
        <w:rPr>
          <w:sz w:val="20"/>
          <w:szCs w:val="20"/>
          <w:color w:val="auto"/>
        </w:rPr>
      </w:pPr>
      <w:r>
        <w:rPr>
          <w:rFonts w:ascii="Times New Roman" w:cs="Times New Roman" w:eastAsia="Times New Roman" w:hAnsi="Times New Roman"/>
          <w:sz w:val="16"/>
          <w:szCs w:val="16"/>
          <w:color w:val="auto"/>
        </w:rPr>
        <w:t>included elsewhere in this prospectus.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 w:lineRule="exact"/>
        <w:rPr>
          <w:sz w:val="20"/>
          <w:szCs w:val="20"/>
          <w:color w:val="auto"/>
        </w:rPr>
      </w:pPr>
    </w:p>
    <w:p>
      <w:pPr>
        <w:ind w:left="620" w:hanging="428"/>
        <w:spacing w:after="0"/>
        <w:tabs>
          <w:tab w:leader="none" w:pos="6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as adjusted consolidated balance sheet data reflects (a) the pro forma adjustments set forth in footnote (1) above and (b) our receipt of</w:t>
      </w:r>
    </w:p>
    <w:p>
      <w:pPr>
        <w:spacing w:after="0" w:line="26" w:lineRule="exact"/>
        <w:rPr>
          <w:sz w:val="20"/>
          <w:szCs w:val="20"/>
          <w:color w:val="auto"/>
        </w:rPr>
      </w:pPr>
    </w:p>
    <w:p>
      <w:pPr>
        <w:ind w:left="1440" w:hanging="815"/>
        <w:spacing w:after="0"/>
        <w:tabs>
          <w:tab w:leader="none" w:pos="14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million in net proceeds from the sale of shares of Class A common stock that we are offering at an assumed initial public offering price of</w:t>
      </w:r>
    </w:p>
    <w:p>
      <w:pPr>
        <w:spacing w:after="0" w:line="26" w:lineRule="exact"/>
        <w:rPr>
          <w:sz w:val="20"/>
          <w:szCs w:val="20"/>
          <w:color w:val="auto"/>
        </w:rPr>
      </w:pPr>
    </w:p>
    <w:p>
      <w:pPr>
        <w:ind w:left="620" w:right="20" w:firstLine="5"/>
        <w:spacing w:after="0" w:line="243" w:lineRule="auto"/>
        <w:tabs>
          <w:tab w:leader="none" w:pos="17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the midpoint of the estimated price range set forth on the cover page of this prospectus, after deducting the estimated underwriting discounts and commissions and estimated offering expenses payable by us.</w:t>
      </w:r>
    </w:p>
    <w:p>
      <w:pPr>
        <w:spacing w:after="0" w:line="1" w:lineRule="exact"/>
        <w:rPr>
          <w:sz w:val="20"/>
          <w:szCs w:val="20"/>
          <w:color w:val="auto"/>
        </w:rPr>
      </w:pPr>
    </w:p>
    <w:p>
      <w:pPr>
        <w:jc w:val="both"/>
        <w:ind w:left="620" w:hanging="419"/>
        <w:spacing w:after="0" w:line="243" w:lineRule="auto"/>
        <w:tabs>
          <w:tab w:leader="none" w:pos="600" w:val="left"/>
        </w:tabs>
        <w:rPr>
          <w:sz w:val="20"/>
          <w:szCs w:val="20"/>
          <w:color w:val="auto"/>
        </w:rPr>
      </w:pPr>
      <w:r>
        <w:rPr>
          <w:rFonts w:ascii="Times New Roman" w:cs="Times New Roman" w:eastAsia="Times New Roman" w:hAnsi="Times New Roman"/>
          <w:sz w:val="18"/>
          <w:szCs w:val="18"/>
          <w:color w:val="auto"/>
        </w:rPr>
        <w:t>(3)</w:t>
        <w:tab/>
        <w:t>Each $1.00 increase (decrease) in the assumed initial public offering price of $        per share, the midpoint of the estimated price range set forth on the cover page of this prospectus, would increase (decrease) each of our pro forma as adjusted cash, cash equivalents and restricted cash, total</w:t>
      </w:r>
    </w:p>
    <w:p>
      <w:pPr>
        <w:spacing w:after="0" w:line="1" w:lineRule="exact"/>
        <w:rPr>
          <w:sz w:val="20"/>
          <w:szCs w:val="20"/>
          <w:color w:val="auto"/>
        </w:rPr>
      </w:pPr>
    </w:p>
    <w:p>
      <w:pPr>
        <w:jc w:val="both"/>
        <w:ind w:left="620"/>
        <w:spacing w:after="0" w:line="274" w:lineRule="auto"/>
        <w:rPr>
          <w:sz w:val="20"/>
          <w:szCs w:val="20"/>
          <w:color w:val="auto"/>
        </w:rPr>
      </w:pPr>
      <w:r>
        <w:rPr>
          <w:rFonts w:ascii="Times New Roman" w:cs="Times New Roman" w:eastAsia="Times New Roman" w:hAnsi="Times New Roman"/>
          <w:sz w:val="16"/>
          <w:szCs w:val="16"/>
          <w:color w:val="auto"/>
        </w:rPr>
        <w:t>assets, working capital and total stockholders’ (deficit) equity by approximately $ million, assuming that the number of shares offered by us, as set forth on the cover page of this prospectus, remains the same, and after deducting the estimated underwriting discounts and commissions. Similarly, each increase (decrease) of 1,000,000 shares in the number of shares of Class A common stock offered by us would increase (decrease) each of our pro forma as adjusted cash, cash equivalents and restricted cash, total assets, working capital and total stockholders’ (deficit) equity by</w:t>
      </w:r>
    </w:p>
    <w:p>
      <w:pPr>
        <w:sectPr>
          <w:pgSz w:w="11900" w:h="16838" w:orient="portrait"/>
          <w:cols w:equalWidth="0" w:num="1">
            <w:col w:w="11160"/>
          </w:cols>
          <w:pgMar w:left="320" w:top="448" w:right="419" w:bottom="1440" w:gutter="0" w:footer="0" w:header="0"/>
        </w:sectPr>
      </w:pPr>
    </w:p>
    <w:p>
      <w:pPr>
        <w:ind w:left="620" w:right="20"/>
        <w:spacing w:after="0" w:line="243" w:lineRule="auto"/>
        <w:rPr>
          <w:sz w:val="20"/>
          <w:szCs w:val="20"/>
          <w:color w:val="auto"/>
        </w:rPr>
      </w:pPr>
      <w:r>
        <w:rPr>
          <w:rFonts w:ascii="Times New Roman" w:cs="Times New Roman" w:eastAsia="Times New Roman" w:hAnsi="Times New Roman"/>
          <w:sz w:val="18"/>
          <w:szCs w:val="18"/>
          <w:color w:val="auto"/>
        </w:rPr>
        <w:t>$ million, assuming the assumed initial public offering price of $ per share of Class A common stock remains the same, and after deducting the estimated underwriting discounts and commissions.</w:t>
      </w:r>
    </w:p>
    <w:p>
      <w:pPr>
        <w:sectPr>
          <w:pgSz w:w="11900" w:h="16838" w:orient="portrait"/>
          <w:cols w:equalWidth="0" w:num="1">
            <w:col w:w="11160"/>
          </w:cols>
          <w:pgMar w:left="320" w:top="448" w:right="419" w:bottom="1440" w:gutter="0" w:footer="0" w:header="0"/>
          <w:type w:val="continuous"/>
        </w:sectPr>
      </w:pPr>
    </w:p>
    <w:p>
      <w:pPr>
        <w:spacing w:after="0" w:line="1" w:lineRule="exact"/>
        <w:rPr>
          <w:sz w:val="20"/>
          <w:szCs w:val="20"/>
          <w:color w:val="auto"/>
        </w:rPr>
      </w:pPr>
    </w:p>
    <w:p>
      <w:pPr>
        <w:ind w:left="620" w:hanging="42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defined as current assets less current liabilities.</w:t>
      </w:r>
    </w:p>
    <w:p>
      <w:pPr>
        <w:spacing w:after="0" w:line="3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60"/>
          </w:cols>
          <w:pgMar w:left="320" w:top="448" w:right="4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consider and carefully read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06" w:lineRule="exact"/>
        <w:rPr>
          <w:sz w:val="20"/>
          <w:szCs w:val="20"/>
          <w:color w:val="auto"/>
        </w:rPr>
      </w:pPr>
    </w:p>
    <w:p>
      <w:pPr>
        <w:ind w:left="460" w:right="5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may continue to incur losses in the future, and we may not be able to generate sufficient revenue to achieve and maintain profitability.</w:t>
      </w:r>
    </w:p>
    <w:p>
      <w:pPr>
        <w:spacing w:after="0" w:line="6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incurred significant losses since our inception. For the years ended December 31, 2020 and 2021, we incurred net losses of $209.9 million and $259.2 million, respectively. As of December 31, 2021, we had an accumulated deficit of $807.5 million. To date, we have financed our operations principally from the sale of stock and convertible securities, and revenue from precision oncology and COVID-19 testing in our Genomics business, and from our Insights product in our Data business. We have devoted substantially all of our resources to the development and commercialization of our Platform and current products and to research and development activities related to Platform development and future products, including regulatory initiatives to obtain marketing approval for our diagnostic tests, and sales and marketing activities for our Genomics and Data businesses. We will need to generate substantial revenue to achieve and then sustain profitability, and even if we achieve profitability, we cannot be sure that we will remain profitable for any period of time.</w:t>
      </w:r>
    </w:p>
    <w:p>
      <w:pPr>
        <w:spacing w:after="0" w:line="263"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As demand for COVID-19 testing decreases or such testing is no longer necessary, we expect our COVID-19 testing revenue to decrease, and if the Emergency Use Authorizations for our COVID-19 diagnostic tests or tests we license are terminated or revoked, we may be unable to secure regulatory approval for our test.</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currently offer reverse transcription polymerase chain reaction, or PCR, diagnostic tests for the qualitative detection of nucleic acid from the SARS-CoV-2 virus in nasopharyngeal swab specimens from individuals suspected of having COVID-19. We anticipate that demand for our COVID-19 testing products will decrease in future periods due to successful containment efforts, the successful vaccination of a majority of Americans and other factors, and such decreases would have an adverse effect on our results of operations. Revenue from COVID-19 testing accounted for $89.5 million, or 47.6%, of our revenue in the year ended December 31, 2020 and $94.7 million, or 36.7%, of our revenue in the year ended December 31, 2021, of which $32.3 million and $11.3 million, and $45.2 million and $71.0 million, was derived from contracts with the Illinois Department of Public Health, or IDPH, and CVS Pharmacy, Inc., or CVS, respectively. We expect revenue from our contracts with the IDPH and CVS, and from other customers seeking COVID-19 testing products, to decrease substantially over time as the prevalence of COVID-19 subsides and as other COVID-19 testing providers enter the market. Pursuant to our agreement with the IDPH, we have agreed to provide COVID-19 testing services for up to 6,000 specimens per day, subject to our ability to reduce our volume commitment if IDPH does not deliver 60,000 tests to us over any 14-day period. The term of the agreement runs through June 30, 2022, prior to which IDPH may terminate the agreement for convenience upon ten days’ prior written notice. Our agreement with CVS, which accounted for 24.0% of our revenue for the year ended December 31, 2020, expired in July 2021. Effective October 2021, we entered into a substantially similar agreement with CVS, under which CVS has agreed to purchase certain COVID-19 testing products and services from us without a minimum purchase commitment. Sales of COVID-19 testing products and services to CVS accounted for 27.5% of our revenue for the year ended December 31, 2021. The term of our agreement with CVS runs through October 1, 2022, prior to which either party may terminate the agreement for convenience upon 90 days’ prior written notice or for the other party’s uncured material breach. CVS may also terminate the agreement if we fail</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40"/>
          </w:cols>
          <w:pgMar w:left="320" w:top="448"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to return test results within a certain period of time, and the agreement will terminate automatically upon the expiration or termination, as and if applicable, of CVS’s arrangements with the U.S. Department of Health and Human Services.</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we currently provide our COVID-19 testing products under emergency use authorizations, or EUAs, issued by the Food &amp; Drug Administration, or FDA, to us or our licensor, permitting us to offer these tests without having completed the normally applicable FDA review and clearance or approval process for marketing authorization (with the related standards that would apply to demonstrate safety and effectiveness) or in some cases, as an LDT. Although the FDA has waived certain regulatory requirements for the duration of the EUAs, we remain subject to specific conditions of the authorizations, including ensuring appropriate labeling as approved by the FDA specifically for purposes of the EUAs, maintaining records of distribution to authorized laboratories, collecting data on occurrences of any false positives or false negatives, and tracking any adverse events. As with other FDA-regulated products, compliance or product performance issues could emerge during the course of the marketing and use of our products under an EUA, that could impact our ability to continue the sale and distribution of these products.</w:t>
      </w:r>
    </w:p>
    <w:p>
      <w:pPr>
        <w:spacing w:after="0" w:line="18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EUAs or those of our licensors could be terminated or revoked at any time, including if the FDA determines the criteria for issuance are no longer met or other circumstances make such revocation appropriate to protect public health or safety, which could harm our future business prospects. Once an EUA is revoked or terminated, we will be required to stop marketing the applicable COVID-19 test immediately unless we can obtain FDA clearance for that COVID-19 test under a traditional regulatory pathway, which is lengthy and expensive, and which we may never receive. We also would be subject to the full and usual regulatory obligations for device manufacturers, including the FDA’s quality system regulations.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current or future products may not achieve or maintain sufficient commercial market acceptance.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our commercial success is dependent upon our ability to continue to successfully market and sell our current Genomic diagnostics products, including diagnostic tests in oncology and infectious diseases, to continue to grow our Data business by expanding our current relationships and developing new relationships with clinicians and pharmaceutical and biotechnology customers, and to develop and commercialize new products based on our Platform, including by expanding our Genomics product line to new disease areas and by advancing our existing and future Algos tests. Our ability to achieve and maintain sufficient commercial market acceptance of our existing and future products will depend on a number of factors, including:</w:t>
      </w:r>
    </w:p>
    <w:p>
      <w:pPr>
        <w:spacing w:after="0" w:line="95" w:lineRule="exact"/>
        <w:rPr>
          <w:sz w:val="20"/>
          <w:szCs w:val="20"/>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Genomics and Algos diagnostic tests, including new product offerings as they become available;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and/or endorsement of our Genomics and Algos diagnostic tests by clinicians, pharmaceutical and biotechnology companies, KOLs, and advocacy groups;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obtaining any necessary approvals by regulatory agencies, including the FDA, for our diagnostic tests, any software offerings, Algos, or any features of our Platform, in each case, that may be subject to regulatory oversight;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positive coverage decisions for our tests from additional commercial payers and to broaden the scope of indications included in such coverage decisions;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reimbursement and expanded coverage from government payers, including Medicare;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demand for our Data business, including by expanding our database of patient information and increasing the utility of our product offerings;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beyond oncology into infectious disease, neuropsychology and other indications;</w:t>
      </w:r>
    </w:p>
    <w:p>
      <w:pPr>
        <w:spacing w:after="0" w:line="121" w:lineRule="exact"/>
        <w:rPr>
          <w:rFonts w:ascii="Times New Roman" w:cs="Times New Roman" w:eastAsia="Times New Roman" w:hAnsi="Times New Roman"/>
          <w:sz w:val="18"/>
          <w:szCs w:val="18"/>
          <w:color w:val="auto"/>
        </w:rPr>
      </w:pPr>
    </w:p>
    <w:p>
      <w:pPr>
        <w:ind w:left="5580" w:right="160" w:hanging="5129"/>
        <w:spacing w:after="0" w:line="435" w:lineRule="auto"/>
        <w:tabs>
          <w:tab w:leader="none" w:pos="9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and maintain robust data sets with respect to patient populations in geographic regions that we may seek to enter in the future; 24</w:t>
      </w:r>
    </w:p>
    <w:p>
      <w:pPr>
        <w:sectPr>
          <w:pgSz w:w="11900" w:h="16838" w:orient="portrait"/>
          <w:cols w:equalWidth="0" w:num="1">
            <w:col w:w="11340"/>
          </w:cols>
          <w:pgMar w:left="320" w:top="448"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Platform development, product innovation and commercial growth;</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products, those of our competitors and the industry in which we operate, including our ability to avoid adverse publicity from defects or errors;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validate our Platform through clinical research and accompanying publications.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cannot assure that we will be successful in addressing each of these criteria or other criteria that might affect the market acceptance of our products. If we are unsuccessful in achieving and maintaining sufficient market acceptance of our products, our business, financial condition and results of operations will suffer.</w:t>
      </w:r>
    </w:p>
    <w:p>
      <w:pPr>
        <w:spacing w:after="0" w:line="28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Because we plan to operate our business with a long-term focus, these fluctuations may be more pronounced than those experienced by other companies that operate with a shorter-term focus. These fluctuations may occur due to a variety of factors, many of which are outside of our control, including, but not limited to:</w:t>
      </w:r>
    </w:p>
    <w:p>
      <w:pPr>
        <w:spacing w:after="0" w:line="89" w:lineRule="exact"/>
        <w:rPr>
          <w:sz w:val="20"/>
          <w:szCs w:val="20"/>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of our products, which may vary significantly, including reduced demand for our COVID-19 tests, which may result in, among other things, write-downs of inventory;</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our Platform and products, which may change from time to time;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customer mix of our Genomics and Algos diagnostic testing and other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and completion of projects in which our Data products are utilized;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products and products that compete with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including with respect to privacy and data security and medical device regulation, and our compliance therewith, or in the status of our regulatory approvals or applications;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disruptions in the business and operations of our clinical, commercial and other partners;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political and economic instability, including wars (such as the armed conflict between Russia and Ukraine), terrorism, and political unrest, epidemics or pandemics, boycotts, curtailment of trade and other business restrictions;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including high and rising inflation rates, and other factors, including factors unrelated to our operating performance or the operating performance of our competitors.</w:t>
      </w:r>
    </w:p>
    <w:p>
      <w:pPr>
        <w:spacing w:after="0" w:line="17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Additionally, it is difficult to predict the amounts, if any, we will be able to collect for our diagnostic tests from commercial payers. We are a participating network provider in an extremely small number of commercial payers from whom we receive reimbursement for our diagnostic tests. Payers determine the amount they are willing to reimburse us for tests. We have provided testing to patients with many disease types and indications, most of the time as a non-participating provider. Even when payers have paid a claim, they may elect at any time to review previously paid claims for overpayment against these claims. While we have not experienced significant retroactive adjustments to date, in the event of an overpayment determination, the payer may offset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40"/>
          </w:cols>
          <w:pgMar w:left="320" w:top="448"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amount they determine they overpaid against amounts they owe us on current claims. We have limited leverage to dispute these retroactive adjustments and we cannot predict when, or how often, a payer might engage in these reviews. A significant amount of these offsets by one or more payers in any given quarter could have a material effect on our results of operations and cause them to fall below expectations or guidance we may provide. Due to the inherent variability and unpredictability of the reimbursement landscape, including related to the amount that payers reimburse us for any of our tests, previously recorded revenue adjustments are not indicative of future revenue adjustments from actual cash collections, which may fluctuate significantly.</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the demand for our Genomics and Data products will depend in part upon the research and development and clinical budgets of pharmaceutical and biotechnology customers, which are impacted by factors beyond our control, such as:</w:t>
      </w:r>
    </w:p>
    <w:p>
      <w:pPr>
        <w:spacing w:after="0" w:line="78" w:lineRule="exact"/>
        <w:rPr>
          <w:sz w:val="20"/>
          <w:szCs w:val="20"/>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(such as the National Institutes of Health) that provide funding to research institutions and companies;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any impact of unforeseen events such as the armed conflict between Russia and Ukraine), the political climate and the ongoing impact of the COVID-19 pandemic;</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products or pricing;</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products.</w:t>
      </w:r>
    </w:p>
    <w:p>
      <w:pPr>
        <w:spacing w:after="0" w:line="21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operating results may fluctuate significantly due to reductions and delays in research and development or clinical expenditures by these customers, including delays caused by these customers’ reducing activities in response to the COVID-19 pandemic. Further, many of our data licensing agreements allow us to deliver data to our customers over a period of time, which can span a year or longer. Revenue pursuant to our data licensing agreements is recognized upon delivery of the data to the customer. The actual timing of data deliveries can be based on a variety of factors, including, but not limited to, the customer’s requirements and/or our technological, operational, and human capital capacity.</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continued access to, and ability to monetize, de-identified patient data.</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business relies on our ability to obtain, process, monetize and distribute highly regulated data in the healthcare industry, in a manner that complies with applicable laws, regulations and contractual and technological restrictions. The data that we collect through the provision of Genomics tests is critical to our ability to offer our Data and Algos products and services. We have historically generated more revenue from the sale of products and services that leverage our de-identified data than we have from the provision of the underlying Genomics test related to such data, and we expect this trend to continue. Our Platform also includes proprietary software and dedicated data pipelines that create a network of healthcare institutions that supply us with complex multimodal data. Further, we rely on certain collaborations and licensing agreements to access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40"/>
          </w:cols>
          <w:pgMar w:left="320" w:top="448"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important data. The success of our business depends on our continued access to, and ability to monetize, this internal and external de-identified patient data. As we seek to expand our business into additional disease areas and geographies, we will also need to be successful in building and maintaining sufficiently large relevant data sets and obtaining the permissions necessary to de-identify and use that data for commercial purposes.</w:t>
      </w:r>
    </w:p>
    <w:p>
      <w:pPr>
        <w:spacing w:after="0" w:line="18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ability to maintain, expand and monetize our datasets are subject to a number of factors, many of which are outside of our control. With respect to data included in our Data and Algos products, we rely on a combination of the statutory rights available to us as a HIPAA covered entity and as a HIPAA business associate. As a HIPAA covered entity, we utilize data generated through our provision of Genomic tests. As a HIPAA business associate, we rely on providers to obtain the requisite consents from their patients, with whom we may have no direct contact, to use the de-identified data that we generate in the provision of our other offerings to the providers, or that we generate from the protected health information, or PHI, we obtain from providers. More broadly, the failure by us or our data suppliers and processors to obtain patient data in a compliant manner could have a harmful effect on our ability to use and disclose data which in turn could impair our functions and operations, including our ability to share data with third parties or incorporate it into our products. In addition, the use, processing and distribution of patient data may require us or our data suppliers and processors to obtain consent from third parties or follow additional laws, regulations or contractual and technological restrictions that apply to the healthcare industry. These requirements could interfere with our ability to deploy our products, prevent creation of new products, or otherwise limit data-driven activities that benefit us. Moreover, due to lack of valid notice, sufficient consents or waiver, we may be subject to claims or liability for use or disclosure of data or other information.</w:t>
      </w:r>
    </w:p>
    <w:p>
      <w:pPr>
        <w:spacing w:after="0" w:line="19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also dependent on the healthcare institutions within our network continuing to provide us with broad access to data to multimodal data to support the robustness of our Genomics tests and other offerings, as well as on maintaining our collaborations with ASCO, QCCA, NCCA, Geisinger and similar organizations, and entering into similar collaborations with other organizations in the future, particularly as we attempt to expand into other disease areas. These third parties may have interests that diverge from our interests, including a desire to monetize their data in different ways, and there can be no assurance that we will be successful in maintaining and growing our datasets. Further, our arrangements with some of these third parties are not exclusive, which could allow such parties to provide data to our competitors, thereby adversely impacting our ability to offer differentiated products and services. Our practice of making available to providers the raw data from our Genomics testing along with corresponding clinical data we may have structured as part of providing testing also may allow those providers to use data in ways that may be harmful to our business interests.</w:t>
      </w:r>
    </w:p>
    <w:p>
      <w:pPr>
        <w:spacing w:after="0" w:line="18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use, processing and distribution of patient data is also the subject of complex, interconnected and frequently changing laws and regulations in the United States and globally. We have policies and procedures in place to address the proper handling and use of data, but could face claims that our practices occur in a manner not permitted under applicable laws or our agreements with or obligations to data providers, patients or other third parties. These claims or liabilities and other failures to comply with applicable requirements could subject us to unexpected costs and adversely affect our business, financial condition and results of operations. Further, any actual or perceived failure to comply with applicable privacy and data security laws could have an adverse impact on the willingness of the third parties on whom we rely for access to data to continue to provide us with such data.</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continued adoption of our products and services is dependent on a number of factors, many of which are interrelated.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ability to execute our growth strategy and become profitable is highly dependent on a number of factors, many of which are interrelated.</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Continued adoption and use of our Genomics product line will depend on several factors, including the prices we charge for our tests, the scope of coverage and amount of reimbursement available from third-party payers for our tests, the availability of clinical data that support the value of our tests and the inclusion of our tests in industry treatment guidelines. In addition, many clinicians, hospital systems and pharmaceutical</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40"/>
          </w:cols>
          <w:pgMar w:left="320" w:top="448"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companies have existing relationships with companies that develop molecular diagnostic tests, including our competitors, and may continue to use their tests instead of ours. Despite our business development efforts, it could be difficult, expensive and/or time-consuming for healthcare providers to switch diagnostic tests for their patients, and our tests may not be widely accepted by physicians, if at all, which could in turn hinder the growth of sales of our tests. If we are unable to achieve commercial success for our tests, our business, financial condition and results of operations would be materially and adversely affected. We are also particularly dependent on our oncology tests, which accounted for 27% and 32% of our revenue in the years ended December 31, 2020 and 2021, respectively. We cannot assure that our oncology tests will continue to maintain or gain market acceptance, and any failure to do so would materially harm our business, financial condition and results of operations.</w:t>
      </w:r>
    </w:p>
    <w:p>
      <w:pPr>
        <w:spacing w:after="0" w:line="189"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Continued adoption of and use of our Data products will depend, in part, on our ability to maintain relationships and to enter into new relationships with pharmaceutical and biotechnology customers and provide relevant data to such customers for outcomes research, companion diagnostic development, novel target discovery and validation, among other uses. This can be difficult due to many factors, including the type of data required and our ability to deliver it to our pharmaceutical and biotechnology customers’ satisfaction. Our pharmaceutical and biotechnology customers may decide to decrease or discontinue their use of our Insights product due to changes in their research and product development plans, failures in their clinical trials, financial constraints, or other circumstances outside of our control. Furthermore, pharmaceutical and biotechnology companies may decline to do business with us or decrease or discontinue their use of our data due to a strategic collaboration with any of our competitors. We invest resources in seeking to develop relationships with pharmaceutical and biotechnology companies regarding potential commercial opportunities on an ongoing basis. There can be no assurance that any of this investment will result in a commercial agreement, that the resulting relationship will be successful, or that the data we provide as part of the engagement will produce successful outcomes. If we cannot maintain our current relationships, or enter into new relationships, with pharmaceutical and biotechnology companies, our product development could be delayed and revenue and results of operations could be adversely affected.</w:t>
      </w:r>
    </w:p>
    <w:p>
      <w:pPr>
        <w:spacing w:after="0" w:line="19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scope and robustness of the Data products and Algos that we can offer our customers also depend significantly on the continued success of our Genomics product line, as the data that we collect through genomic testing is an essential component of our Data products and Algos. Further, we believe that growth in the use of our Data products will help drive awareness and adoption of our Genomics product line, which in turn will drive further growth within our Data and Algos product lines. However, there can be no assurance that we will realize these synergies.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rapid growth make it difficult to evaluate our future prospects and the risks and challenges we may encounter.</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were founded in 2015 and have experienced rapid growth in revenue, adoption of our products and services, testing volume, size of our datasets, clinical trial matches and other metrics that we believe are important to assessing our business. In addition, we operate in highly competitive markets characterized by rapid technological advances and our business has, and we expect it to continue, to evolve over time to remain competitive. Our limited operating history, evolving business, rapid growth and ambitious goals make it difficult to evaluate our future prospects and the risks and challenges we may encounter, and may increase the risk that we will not continue to grow at or near historical rates. Further, these factors may make it difficult for us to achieve our stated milestones and goals, and to accurately project the future performance of our business. For example, we may never realize the potential benefits of our technology as contemplated elsewhere in this prospectus, including the section titled “Prospectus Summary—Long-Term Vision.”</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we fail to address the risks and difficulties that we face, including those described elsewhere in this “Risk factors” section, our business, financial condition and results of operations could be adversely affected. We have encountered in the past, and will encounter in the future, risks and uncertainties frequently experienced by growing companies with limited operating histories in rapidly changing industries. If our assumptions regarding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40"/>
          </w:cols>
          <w:pgMar w:left="320" w:top="448"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We will need to raise additional capital to fund our existing operations, develop our Platform, commercialize new products or expand our operations.</w:t>
      </w:r>
    </w:p>
    <w:p>
      <w:pPr>
        <w:spacing w:after="0" w:line="13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will need to raise additional capital in the future to expand our business, meet existing obligations, pursue acquisitions or strategic investments, or take advantage of financing opportunities or for other reasons, including to:</w:t>
      </w:r>
    </w:p>
    <w:p>
      <w:pPr>
        <w:spacing w:after="0" w:line="78" w:lineRule="exact"/>
        <w:rPr>
          <w:sz w:val="20"/>
          <w:szCs w:val="20"/>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our current products and services, and address competitive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and marketing efforts of our products under development or any other future products we may develop;</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21" w:lineRule="exact"/>
        <w:rPr>
          <w:sz w:val="20"/>
          <w:szCs w:val="20"/>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 and favorable gross profits;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domestic and international commercial payers and government payers;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product offerings, including our sales and marketing efforts;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costs of our sales and marketing activities associated with, establishing adoption of and reimbursement for our current products, including our diagnostic tests and our data analytics products;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choose to advance, rate of progress in, and costs of our research and development activities associated with, products in development;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our international expansion;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costs of and delays in product development as a result of any existing or new regulatory oversight applicable to our products.</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no committed sources of capital. We may seek to sell equity or convertible securities, enter into a credit facility or another form of third-party funding, or seek other debt financing. The various ways we could raise additional capital carry potential risks. If we raise funds by issuing equity or convertible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or products or grant licenses on terms that are not favorable to us. These alternatives of raising additional capital may not be available to us on acceptable or commercially reasonable terms, if at all, or in amounts sufficient to meet our needs. The failure to obtain any required future financing may require us to reduce or eliminate certain existing operations and could contribute to negative market perceptions about us or our securities.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40"/>
          </w:cols>
          <w:pgMar w:left="320" w:top="448"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Algos product line is nascent.</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of December 31, 2021, we had only three commercialized Algos. While we have a number of additional Algos in development, we may not be successful in developing and commercializing these or future Algos, or in attaining our Algo development targets. Further, the scope and robustness of the Algos that we can offer our customers depend significantly on the continued success of our Genomics product line and access to third-party data, of which there can be no assurance. We also cannot accurately estimate how our future Algos will be priced, whether reimbursement can be obtained or whether we will generate any revenue from such Algos. Further, the use of diagnostics that are entirely algorithmic in nature is novel and today represent only a small proportion of the diagnostics market. While we believe Algos represent a significant long-term opportunity for us, there can be no assurances that a robust and sustained market for such diagnostics will develop or that we will successfully compete in any such market.</w:t>
      </w:r>
    </w:p>
    <w:p>
      <w:pPr>
        <w:spacing w:after="0" w:line="290"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and commercialization involve a lengthy and complex process and we may be unable to develop or commercialize new products on a timely basis, or at all.</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Products that are under development have taken time and considerable resources to develop, and we may not be able to complete the development and commercialization of such products on a timely basis, or at all.</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Before we can commercialize any new Genomics or Algos diagnostic products, we will need to expend significant funds in order to:</w:t>
      </w:r>
    </w:p>
    <w:p>
      <w:pPr>
        <w:spacing w:after="0" w:line="121" w:lineRule="exact"/>
        <w:rPr>
          <w:sz w:val="20"/>
          <w:szCs w:val="20"/>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 including validation studies and, in some cases,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laboratory or algorithmic processes to accommodate diagnostic tests in additional disease areas;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 to be able to analyze increasingly large amounts of data.</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diagnostic product development process involves a high degree of risk, and product development efforts may fail for many reasons, including:</w:t>
      </w:r>
    </w:p>
    <w:p>
      <w:pPr>
        <w:spacing w:after="0" w:line="121" w:lineRule="exact"/>
        <w:rPr>
          <w:sz w:val="20"/>
          <w:szCs w:val="20"/>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diagnostic product to perform as expected, including defects and errors;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validation data;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the clinical utility of the diagnostic test.</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Expanding the offerings of our Data business is also a speculative and risky endeavor and may require us to:</w:t>
      </w:r>
    </w:p>
    <w:p>
      <w:pPr>
        <w:spacing w:after="0" w:line="121" w:lineRule="exact"/>
        <w:rPr>
          <w:sz w:val="20"/>
          <w:szCs w:val="20"/>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additional access to patient healthcare information that is relevant to the products we offer;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development plan involves using data and analytical insights generated from our current products to foster research and development in our future products. However, if we are unable to generate additional or compatible data and insights, then we may not be able to advance our products under development as quickly, or at all, or without significant additional investment.</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we develop our products, we have made and will have to make significant investments in Platform development, marketing and selling resources, which could adversely affect our future cash flows. We may also rely on third parties to develop new products that we may license and include in our overall offering, particularly with respect to our Algos business, and we may exert limited or no control over such development efforts.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40"/>
          </w:cols>
          <w:pgMar w:left="320" w:top="448"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in our development and commercialization plans for our business lines, we may forego other opportunities that may provide greater revenue or be more profitable. For example, while we expect to provide diagnostic and data technologies to pharmaceutical and biotechnology companies (including companies in which our Chief Executive Officer, Founder, and Chairman, Eric Lefkofsky, or our other executive officers, directors or significant stockholders may have significant or controlling voting and economic interests) developing therapeutics for various diseases, including cancers, we do not currently expect to conduct development of therapeutics ourselves. As a result, even if our development efforts result in commercially viable products, our business and results of operations could underperform in comparison to our customers and competitors.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updating or otherwise enhancing our Platform and products.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December 31, 2021, we had developed eight genomics diagnostics tests across oncology, infectious diseases, and neuropsychology, and four algorithmic diagnostic tests across oncology and cardiology. A major part of our strategy is bringing new high-value enhancements to our customers through updates to our Platform and existing products, which may include expanding our existing products with additional features, applications and data modalities. We expect to make significant investments to advance these efforts.</w:t>
      </w:r>
    </w:p>
    <w:p>
      <w:pPr>
        <w:spacing w:after="0" w:line="184"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Enhancing our Platform and products is a speculative and risky endeavor. Features, applications and data modalities that initially show promise may fail to achieve the desired results or may not achieve acceptable levels of analytical accuracy or utility. We may need to alter our products in development and repeat studies before we identify a potentially successful update. Product development is expensive, may take years to complete and can have uncertain outcomes. Failure can occur at any stage of the development. Even if we confirm that our products can be successfully updated for additional features, applications and data modalities, those features, applications and data modalities may be limited in scope to only some diseases, disease segments, patient markets or geographies. If, after development, an updated product appears successful, we may, depending on the nature of the update, need to obtain FDA’s, EMA’s and other regulatory clearances, authorizations or approvals before we can market the updated product. The FDA’s and EMA’s clearance, authorization or approval pathways are likely to require significant time and expenditures. The FDA, EMA or other applicable regulatory authority may not clear, authorize or approve any product update we develop and may even change the applicable regulations or the application of those regulations in ways that would impact our existing products or services, including our Platform. Even if we develop a product update that receives regulatory clearance, authorization or approval, we or our collaborators would need to commit substantial resources to commercialize, sell and market the updated product, which may never achieve significant market acceptance among various stakeholders and be commercially successful.</w:t>
      </w:r>
    </w:p>
    <w:p>
      <w:pPr>
        <w:spacing w:after="0" w:line="19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we generally sell our products in industries that are characterized by rapid technological changes, frequent new product introductions and changing industry standards. If we do not develop Platform and product enhancements based on technological innovation on a timely basis, our Platform and products may become obsolete over time and our financial and competitive position will suffer. Our success will depend on several factors, including our ability to:</w:t>
      </w:r>
    </w:p>
    <w:p>
      <w:pPr>
        <w:spacing w:after="0" w:line="92" w:lineRule="exact"/>
        <w:rPr>
          <w:sz w:val="20"/>
          <w:szCs w:val="20"/>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and develop new technologies and applications, and acquire or obtain rights to third-party technologies that may have valuable applications in the markets we serve;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commercialize new technologies and applications in a timely manner;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convince customers to adopt new technologies and applications.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40"/>
          </w:cols>
          <w:pgMar w:left="320" w:top="448"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expenses or losses associated with unsuccessful expansion of our Platform could adversely affect our business, financial condition and results of operations.</w:t>
      </w:r>
    </w:p>
    <w:p>
      <w:pPr>
        <w:spacing w:after="0" w:line="27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leveraging our Platform to identify, develop and commercialize additional genomic and algorithmic tests, our ability to expand our business and achieve our strategic objectives would be impaired.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 key element of our strategy is to leverage our Platform to identify, develop and potentially commercialize genomic and algorithmic tests beyond our current portfolio to diagnose various types of diseases. Identifying new genomic and algorithmic tests requires substantial technical, financial and human resources, whether or not any genomic or algorithmic tests are ultimately developed and commercialized. We may pursue what we believe is a promising opportunity to leverage our Platform only to discover that certain of our risk or resource allocation decisions were incorrect or insufficient, or that individual genomic or algorithmic tests have limitations that were previously unknown or underappreciated.</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strategy of pursuing the value of our Platform to develop genomic and algorithmic tests over a long time horizon and across a broad array of human diseases may not be effective. In the event that material decisions in any of these areas turn out to be incorrect or sub-optimal, we may experience a material adverse impact on our business and ability to fund our operations, and we may never realize what we believe is the potential of our Platform for developing and commercializing genomic and algorithmic tests.</w:t>
      </w:r>
    </w:p>
    <w:p>
      <w:pPr>
        <w:spacing w:after="0" w:line="285" w:lineRule="exact"/>
        <w:rPr>
          <w:sz w:val="20"/>
          <w:szCs w:val="20"/>
          <w:color w:val="auto"/>
        </w:rPr>
      </w:pPr>
    </w:p>
    <w:p>
      <w:pPr>
        <w:ind w:left="460" w:right="2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and new products fail to achieve and sustain sufficient scientific acceptance, we will not generate expected revenue and our prospects may be harmed.</w:t>
      </w:r>
    </w:p>
    <w:p>
      <w:pPr>
        <w:spacing w:after="0" w:line="6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The life sciences scientific community is comprised of a small number of early adopters and key opinion leaders who significantly influence the rest of the community. The success of life sciences products is due, in large part, to acceptance by the scientific community and their adoption of certain products as best practice in the applicable field of research. The current system of academic and scientific research views publishing in a peer-reviewed journal as a measure of success. In such journal publications, the researchers will describe not only their discoveries but also the methods and typically the products used to fuel such discoveries. Mentions in peer-reviewed journal publications is a good barometer for the general acceptance of our products as best practices. Ensuring that early adopters and key opinion leaders publish research involving the use of our products is critical to ensuring our products gain widespread acceptance and market growth. Continuing to maintain good relationships with such key opinion leaders is vital to growing our market. The number of times our products were mentioned in peer-reviewed publications has increased significantly in recent years. As of December 31, 2021, our products have been mentioned in 59 peer-reviewed articles published in major journals, including 40 that were Tempus-authored. We cannot assure investors, however, that our products will continue to be mentioned in peer-reviewed articles with any frequency or that any new products that we introduce in the future will be mentioned in peer-reviewed articles. In addition, self-authored journal publications that mention our products may present an actual, potential or perceived conflict of interest and, therefore, the number of publications in which our products are mentioned may not be indicative of the level of acceptance of our products. If too few researchers describe the use of our products, too many researchers shift to a competing product and publish research outlining their use of that product or too many researchers negatively describe the use or usability of our products in publications, it may drive existing and potential customers away from our products, which could harm our operating results. Any decrease in the frequency at which our products are mentioned in peer reviewed journals may negatively impact our prospects.</w:t>
      </w:r>
    </w:p>
    <w:p>
      <w:pPr>
        <w:spacing w:after="0" w:line="200" w:lineRule="exact"/>
        <w:rPr>
          <w:sz w:val="20"/>
          <w:szCs w:val="20"/>
          <w:color w:val="auto"/>
        </w:rPr>
      </w:pPr>
    </w:p>
    <w:p>
      <w:pPr>
        <w:spacing w:after="0" w:line="278" w:lineRule="exact"/>
        <w:rPr>
          <w:sz w:val="20"/>
          <w:szCs w:val="20"/>
          <w:color w:val="auto"/>
        </w:rPr>
      </w:pPr>
    </w:p>
    <w:p>
      <w:pPr>
        <w:ind w:left="460" w:right="3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diagnostic products, or our competitors’ diagnostic products, could have defects or errors or otherwise fail to meet the expectations of patients, physicians and third-party payers; in such cases our operating results, reputation and business could suffer.</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success of our Genomics and Algos products depends in part on patients’, physicians’ and third-party payers’ confidence that our Platform can provide reliable, high-quality intelligent diagnostics that will improve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40"/>
          </w:cols>
          <w:pgMar w:left="320" w:top="448"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clinical outcomes and lower healthcare costs, as well as our ability to comply with applicable privacy and data security requirements. We believe that patients, physicians and third-party payers are likely to be particularly sensitive to product defects and errors in the use of our products, including if our products fail to detect genomic alterations or other clinical relevant information with high accuracy from samples, if we fail to list or inaccurately include certain treatment options and available clinical trials in our test reports, or if we fail to comply with applicable privacy and data security laws, and there can be no guarantee that we will be successful in this regard. Furthermore, if our competitors’ diagnostic products do not perform to expectations or if they fail to comply with applicable laws and regulations, it may result in lower confidence in us as well. As a result, the failure of our diagnostic products or our competitors’ diagnostic products to perform as expected, or failure by us or our competitors to comply with applicable laws and regulations, could significantly impair our operating results and our reputation. In addition, we may be subject to legal claims arising from any such failures, including claims that defects or errors in our diagnostic products led to injury or death. Confidence in us, as well as the strength of our brand and reputation, could also be eroded by perceived failures by us or our competitors, even absent any evidence of failure or wrongdoing.</w:t>
      </w:r>
    </w:p>
    <w:p>
      <w:pPr>
        <w:spacing w:after="0" w:line="290" w:lineRule="exact"/>
        <w:rPr>
          <w:sz w:val="20"/>
          <w:szCs w:val="20"/>
          <w:color w:val="auto"/>
        </w:rPr>
      </w:pPr>
    </w:p>
    <w:p>
      <w:pPr>
        <w:ind w:left="460" w:right="4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current and future Genomics product line, including ensuring that we have adequate capacity to meet increased demand, or we are unable to successfully manage our anticipated growth, our business could suffer.</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the volume of our Genomics product line sales grows, we will need to continue to increase our workflow capacity for sample intake, customer service, billing and general process improvements, expand our internal quality assurance program and extend our Platform to support comprehensive genomic analysis at a larger scale within expected turnaround times. We will need additional certified laboratory scientists and other scientific and technical personnel to process higher volumes of our Genomics tests. Portions of our process are not automated and will require additional personnel to scale. We will also need to purchase additional equipment, some of which can take several months or more to procure, set up and validate, and increase our software and computing capacity to meet increased demand. There can be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we commercialize additional Genomics products, we will need to incorporate new equipment, implement new technology systems and laboratory processes, and hire new personnel with different qualifications.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our ability to manage our growth properly will require us to continue to improve our operational, financial and management controls, as well as our reporting systems and procedures. The time and resources required to implement these new systems and procedures is uncertain and could be demanding, and failure to complete this in a timely and efficient manner could adversely affect our business, financial condition and results of operations.</w:t>
      </w:r>
    </w:p>
    <w:p>
      <w:pPr>
        <w:spacing w:after="0" w:line="281"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third-party payers, including commercial payers and government healthcare programs, do not provide coverage of, or adequate reimbursement for, our tests, our business, financial condition and results of operations will be negatively affected.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received payment on approximately 45% of our clinical oncology NGS tests across all payors performed from January 1, 2020 through June 30, 2021. We calculated this metric on a trailing two-quarter basis based on payor adjudication timing. However, we continued to perform our NGS tests through December 31, 2021. For the years ended December 31, 2020 and 2021, our average reimbursement for NGS tests billed to insurance in oncology was approximately $1,100. In addition, we receive a substantial portion of our diagnostic revenue from</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40"/>
          </w:cols>
          <w:pgMar w:left="320" w:top="448"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 limited number of third-party commercial payers, most of which have not contracted with us to be a participating provider. We also receive reimbursement from Medicare for claims submitted with respect to our various diagnostic tests. Approximately 29% and 29% of our clinical tests were for Medicare beneficiaries in the years 2020 and 2021, respectively. Our revenue and commercial success depend on achieving 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because our Genomics and Algos diagnostic tests represent new approaches to the diagnosis of diseases, we cannot accurately estimate how they would be priced, whether reimbursement could be obtained or any potential revenue generated. Coverage determinations by a payer may depend on a number of factors, including but not limited to a payer’s determination that a test is appropriate, medically necessary or cost-effective. If we are unable to provide payers with sufficient evidence of the clinical utility and validity of our test, they may not provide coverage, may provide limited coverage or may terminate coverage, which will adversely affect our business, financial condition and results of operations. To the extent that more competitors enter our markets, the availability of coverage and the reimbursement rate for our tests may decrease as we encounter pricing pressure from our competitors.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Each payer makes its own decision as to whether to provide coverage for our tests, whether to enter into a contract with us and the reimbursement rate for a test. Negotiating with payers is time-consuming, and payers often insist on their standard form contracts, which may allow payers to terminate coverage on short notice, impose significant obligations on us and create additional regulatory and compliance hurdles for us. There can be no guarantee that a payer will provide adequate coverage or reimbursement for our tests or that we can reach an agreement with the payer on reasonable terms without being subject to additional regulatory and compliance risks. In cases where there is no coverage, or we do not have a contracted rate for reimbursement with the payer, the patient is typically responsible for a greater share of the cost of the test, which may result in delay of revenue, increase collection costs or decrease the likelihood of collection. We maintain a financial assistance program under which we assess patient financial need and offer discounted or no-cost tests to certain patients who meet the financial and other eligibility criteria of the program. This may result in scrutiny by payers of our financial assistance program and could result in recoupment actions or termination of coverage of our tests.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claims for reimbursement have in the past been denied and may again in the future be denied, and we have needed, and again may need, to appeal such denials in order to get paid. Such appeals may not result in payment. Payers may perform audits of historically paid claims and attempt to recoup funds years after the funds were initially distributed if the payers believe the funds were paid in error or determine that our tests were medically unnecessary. If a payer’s audit of our claims results in a negative finding, and we are unable to reverse the finding through appeal, any subsequent recoupment could result in a material adverse effect on our revenue. Additionally, in some cases commercial payers for whom we are not a participating provider may elect at any time to review claims previously paid and determine the amount they paid was excessive. In these situations, the payer typically notifies us of its decision and then offsets the amount it determines to be overpaid against amounts it owes us on current claims. We do not have a mechanism to dispute these retroactive adjustments, and we cannot predict when, or how often, a payer might engage in these reviews, as historic success and payments are not indicative of future success of and payments from such appeals.</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efforts to become a participating provider of a number of commercial payers may not be successful. When we contract with a payer as a participating provider, reimbursements by the payer are generally made pursuant to a negotiated fee schedule and are limited to only covered indications or where prior approval has been obtained.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Although we are a participating provider with an extremely small number of commercial payers, other large, national commercial payers, including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Anthem, Aetna and Humana, have issued non-coverage policies that consider tissue and liquid comprehensive genomic profile testing, including certain of our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Genomics tests, as experimental or investigational. If we are not successful in obtaining coverage from such payers, or if other</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40"/>
          </w:cols>
          <w:pgMar w:left="320" w:top="44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payers issue similar non-coverage policies, our business, financial condition and results of operations could be materially and adversely affected.</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Coverage and reimbursement are ever changing, and we are not in control of how our competitors’ coverage and pricing strategies are established. Some of our competitors have widespread brand recognition and substantially greater financial and technical resources and development, production and marketing capabilities than we do. Others may develop lower-priced, less complex tests that payers and healthcare professionals could view as functionally equivalent to our products, which could force us to lower the list price of our tests and impact our operating margins and our ability to achieve and maintain profitability. Payers may compare our products to our competitors and utilize them as precedents, which may impact our coverage and reimbursement. In addition, technological innovations that result in the creation of enhanced diagnostic tools that are more effective than ours may enable other clinical laboratories, hospitals, medical personnel or medical providers to provide specialized diagnostic tests similar to ours in a more patient-friendly, efficient or cost-effective manner than is currently possible.</w:t>
      </w:r>
    </w:p>
    <w:p>
      <w:pPr>
        <w:spacing w:after="0" w:line="18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It is difficult to predict what CMS or the applicable MACs will decide with respect to reimbursement for novel diagnostic products such as ours.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Medicare’s NCD for next generation sequencing, or NGS, first established in 2018 and subsequently updated in 2020, states that NGS oncology tests (such as our Tempus|xT and Tempus|xF tests), would be covered by Medicare nationally if and when: (1) performed in a Clinical Laboratory Improvement Amendments, or CLIA, 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The NGS NCD also states that each MAC may provide local coverage of other next-generation sequencing tests for cancer patients only when the test is performed by a CLIA-certified laboratory, ordered by a treating physician and the patient meets the same clinical and treatment criteria required of nationally covered next-generation sequencing tests under the NGS NCD. An NGS test is typically not covered by Medicare when cancer patients do not have the above-noted indications for cancer under either an NCD or LCD.</w:t>
      </w:r>
    </w:p>
    <w:p>
      <w:pPr>
        <w:spacing w:after="0" w:line="19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National Government Services, Inc., or the Local MAC, is the MAC that makes local coverage determinations, or LCDs, for tests conducted at our Chicago laboratory. The Local MAC has issued two LCDs related to genetic testing in cancer, each of which currently requires claims to be submitted under a single current procedural terminology, or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In addition to claims submitted after the March 25, 2021 guidance, on July 23, 2021, the Local MAC issued revised instructions for CPT coding, which may be applicable to our NGS oncology tests performed after the date of the revised guidance, and further updated those instructions on July 29, 2021. We have sought additional clarification on this guidance from the Local MAC in order to understand its impact on our coding procedures. We are also attempting to assess the impact of this updated guidance on the payments we may receive for Medicare claims submitted to the Local MAC. Claims submitted under the March 2021 and July 2021 guidance were summarily denied and we are in the process of appealing these denials, but the process is typically slow and costly, and multiple levels of appeal may be required for adjudication of outstanding claims.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40"/>
          </w:cols>
          <w:pgMar w:left="320" w:top="448"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February 10, 2022, the Local MAC jurisdiction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are in the process of assessing the impact of the LCD on any claims submitted after April 1, 2022, as well as monitoring any impact the LCD has on the claims currently in the appeal process.</w:t>
      </w:r>
    </w:p>
    <w:p>
      <w:pPr>
        <w:spacing w:after="0" w:line="187"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Beginning in the second quarter of 2021, we estimated the reimbursement rate for tests performed within our contractual allowances with a significantly reduced percent expected reimbursement for these tests, equating to $0 for the second quarter of 2021, $0.4 million for the third quarter of 2021, and $1.1 million for the fourth quarter of 2021. These estimates were guided by the updated Local MAC guidance and appeal outcomes through December 31, 2021. During the fourth quarter of 2021, we began receiving favorable results on outstanding level 2 claims that were adjudicated and have received payment on a subset of these claims as a result of the appeal process. As of December 31, 2021, Medicare claims represent 29% of our clinical testing volume.</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 If we fail to establish and maintain broad adoption of, and coverage and reimbursement for, our tests, our ability to generate revenue could be harmed and our business, financial condition and results of operations could suffer.</w:t>
      </w:r>
    </w:p>
    <w:p>
      <w:pPr>
        <w:spacing w:after="0" w:line="290"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adequate reimbursement for our Genomics product line outside of the United States, our ability to expand internationally will be compromised.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substantial portion of our Genomics product line revenues come from third-party payer reimbursement. In many countries outside of the United States, various coverage, pricing and reimbursement approvals are required for our tests to be available to patients in significant volume. We expect that it will take several years to establish broad coverage and reimbursement for our tests with payers in countries outside of the United States, and our efforts may not be successful.</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Even if public or private reimbursement is obtained, it may cover competing tests, or the reimbursement may be limited to a subset of the eligible patient population or conditioned upon local performance of the tests or other requirements we may have difficulty satisfying.</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40"/>
          </w:cols>
          <w:pgMar w:left="320" w:top="44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Reimbursement levels outside of the United States may vary considerably from the domestic reimbursement amounts we receive. We may also be negatively affected by the financial instability of, and austerity measures implemented by, several countries in the European Union, or EU, and elsewhere.</w:t>
      </w:r>
    </w:p>
    <w:p>
      <w:pPr>
        <w:spacing w:after="0" w:line="271" w:lineRule="exact"/>
        <w:rPr>
          <w:sz w:val="20"/>
          <w:szCs w:val="20"/>
          <w:color w:val="auto"/>
        </w:rPr>
      </w:pPr>
    </w:p>
    <w:p>
      <w:pPr>
        <w:ind w:left="460" w:right="2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Failure of, or defects in, our Platform’s artificial intelligence software, or increased regulation in this space, could impair our ability to process our data, develop products, or provide test results, and harm our business, financial condition and results of operations.</w:t>
      </w:r>
    </w:p>
    <w:p>
      <w:pPr>
        <w:spacing w:after="0" w:line="6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Artificial intelligence is enabled by or integrated into our Platform and, as a result, our diagnostic and data products and is a significant element of our current business and our future strategy. As with many developing technologies, artificial intelligence presents risks and challenges that could affect its further development, adoption, and use, and therefore our business. Algorithms may be flawed or biased, and datasets may be insufficient, of poor quality or contain biased information. Overcoming technical obstacles and correcting defects or errors could prove to be impossible or impracticable, and the costs incurred may be substantial and adversely affect our results of operations. If the diagnoses, recommendations, forecasts or analyses that our Platform’s artificial intelligence applications assist in producing are deficient or inaccurate, we could be subjected to competitive harm, potential legal liability and brand or reputational harm.</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inappropriate or controversial data practices by data scientists, engineers and end-users of our or our competitors’ products could impair the acceptance of artificial intelligence products. Though our business practices are designed to mitigate many of these risks, if we enable or offer artificial intelligence products that are controversial because of their purported or real impact on human rights, privacy, employment, or other social issues, we may experience brand or reputational harm. Additionally, regulation in the artificial intelligence space is constantly changing and increasing, and may make it difficult for us to continue using our artificial intelligence approach to diagnostics and data analysis.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our Platform does not function reliably, fails to meet expectations in terms of performance, or cannot be fully utilized due to increasing regulation or reputational concerns, we may be unable to provide or our customers may stop using our products.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challenges with the acquisition, development, enhancement or deployment of technology necessary for our businesses.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Platform requires sophisticated computer systems and software in order to accurately and efficiently capture, service and process increasing volumes of health data, in particular a growing number of genomic profiles generated by our customers through various NGS test kits, sequencers and sample materials from different manufacturers. Some of the technologies are changing rapidly and we must continue to adapt to these changes in a timely and effective manner at an acceptable cost. There can be no assurance that we will be able to develop, acquire, enhance, deploy or integrate new technologies, including technologies needed to integrate genomics data into our Platform, that these new technologies will be effective and efficient, will meet our needs or achieve our expected goals or that we will be able to do so as quickly or cost effectively as our competitors.</w:t>
      </w:r>
    </w:p>
    <w:p>
      <w:pPr>
        <w:spacing w:after="0" w:line="288" w:lineRule="exact"/>
        <w:rPr>
          <w:sz w:val="20"/>
          <w:szCs w:val="20"/>
          <w:color w:val="auto"/>
        </w:rPr>
      </w:pPr>
    </w:p>
    <w:p>
      <w:pPr>
        <w:ind w:left="460" w:right="8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compete successfully with our competitors, we may be unable to increase or sustain our revenue or to achieve and then sustain profitability.</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Growing understanding of the importance of biomarkers linked with therapy selection and response is leading to more companies offering products in genomic testing, including NGS diagnostics and PCR profiling. In addition, there are a number of healthcare technology companies providing data analysis products, including artificial intelligence-driven data platforms and diagnostic products.</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competitors with respect to our Genomics products include certain diagnostic companies, such as Foundation Medicine, Inc., which was acquired by Roche Holdings, Inc., Caris Life Sciences, Guardant Health, Inc., Neogenomics, and ResolutionBio, which was acquired by Agilent, among others, with respect to our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40"/>
          </w:cols>
          <w:pgMar w:left="320" w:top="448"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currently marketed precision oncology tests, and legacy diagnostic laboratories, such as Quest and LabCorp. In addition, our competitors for our pharmacogenetic test in neuropsychology include Myriad Genetics, Inc. and Genomind, Inc.</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competitors with respect to our Data products include Flatiron Health, Inc., IQVIA Holdings Inc., and ConcertAI, among others. Furthermore, our Data products also face competition from CROs, such as Covance, ICON, Syneos, PPD, and others, who provide data and clinical trial matching services to pharmaceutical and biotechnology companies.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competitors with respect to our Algos products include Roche Holdings, Inc., Caris Life Sciences, Guardant Health, Inc., Illumina, Inc., and others, with respect to our TO test, and Myriad Genetics, Inc., Caris Life Sciences, and others, with respect to our HRD test. We may also compete with companies developing or commercializing algorithm-based diagnostics using a variety of different data modalities, including digital pathology companies such as PathAI, Inc. and PaigeAI. In cardiology, we believe our competitors may include HeartFlow Inc. and Eko Devices, Inc. In addition, we are aware that academic medical centers may be developing their own Algos and may decide to enter this market.</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Some of our competitors and potential competitors may have longer operating histories; larger customer bases; greater brand recognition and market penetration; substantially greater financial, technological and research and development resources and selling and marketing capabilities; and more experience dealing with third-party payers. As a result, they may be able to respond more quickly to changes in customer requirements, devote greater resources to the development, promotion and sale of their products than we do or sell their products at prices designed to win significant levels of market share. We may not be able to compete effectively against these organizations. Increased competition and cost-saving initiatives on the part of governmental entities and other third-party payers are likely to result in pricing pressures, which could harm our sales or ability to gain market share. 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product development than we can. In addition, companies or governments that control access to genetic testing through umbrella contracts or regional preferences could promote our competitors or prevent us from selling certain products. If we are unable to compete successfully against current and future competitors, we may be unable to increase market acceptance and sales of our tests, which could prevent us from increasing our revenue or achieving profitability and could cause our stock price to decline.</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current and future products have not been established with precision, and may be smaller than we estimate.</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estimates of the annual total addressable markets for our current products and products under development are based on a number of internal and third-party estimates, including, without limitation, the number of patients profiled with genomic diagnostics in the diseases we test, the assumed prices for genomic and algorithmic testing products, the number of genomic and algorithmic tests that we are able to successfully develop and commercialize, and the existing market for multimodal patient data and clinical trial matching services.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patients who would benefit from our products, the price at which we can sell our products, the number of genomic or algorithmic tests we are able to successfully develop and commercialize, or the annual total addressable market for our products is smaller than we have estimated, it may impair our sales growth and have an adverse impact on our business, financial condition and results of operations.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40"/>
          </w:cols>
          <w:pgMar w:left="320" w:top="448"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subject to rapid change, which could make our Platform, our current products and any future products we may develop obsolete.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healthcare diagnostic and data industries are characterized by rapid changes, including technological and scientific breakthroughs, frequent new product introductions and enhancements and evolving industry standards, any of which could make our current and future products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genomic diagnostic testing, as well as advances in the application of artificial intelligence to healthcare diagnostics and decision-making. We must continuously enhance our Platform and our existing diagnostic, data and analytics products and develop new products to keep pace with evolving standards of care. If we do not update our product offerings to reflect new scientific knowledge about disease biology, information about new therapies or relevant clinical trials, or insights regarding the current treatment landscape for applicable indications and advances in computational biology, software development, and artificial intelligence, our Platform and products could become obsolete and sales of our current products and any new products we may develop could decline or fail to grow as expected. Further, to the extent that pharmaceutical or biotechnology companies are able to develop therapies or technologies that eradicate or substantially limit the incidence of diseases for which we sell diagnostics, the market for our applicable products could disappear entirely.</w:t>
      </w:r>
    </w:p>
    <w:p>
      <w:pPr>
        <w:spacing w:after="0" w:line="297"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strategy emphasizes rapid innovation and advancement of successful hires who may not have prior industry expertise, and we frequently prioritize patient care and customer satisfaction over short-term financial results. If we cannot maintain or properly manage our culture as we grow, our business may be harmed.</w:t>
      </w:r>
    </w:p>
    <w:p>
      <w:pPr>
        <w:spacing w:after="0" w:line="7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a research and development strategy that encourages employees to quickly develop and launch technologies intended to solve our customers’ most important problems and prioritizes the advancement of Platform and product development, technology and engineering employees to positions of significant responsibility based on merit despite, in some cases, limited prior work or industry experience. Successful entry-level hires are often quickly advanced and rewarded with significant responsibilities, including in important customer-facing roles as project managers, development leads, and product managers. As our business grows and becomes more complex, our cultural emphasis on moving quickly and staffing research and development personnel, including certain customer-facing employees, without significant industry experience may result in unintended outcomes or in decisions that are poorly received by customers or other stakeholders. For example, in many cases we launch, at our expense, pilot deployments with customers without a long-term contract in place, and some of those deployments have not resulted in the customer’s adoption or expansion of its use of our products, or the generation of significant, or any, revenue or payments. In addition, as we continue to grow, including geographically, and as we develop a public company infrastructure, we may find it difficult to maintain our culture.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culture also prioritizes patient care and customer satisfaction over short-term financial results, and we frequently make product decisions that may reduce our short-term revenue or cash flow if we believe that the decisions are consistent with our mission and thereby have the potential to improve our financial performance over the long term. These decisions may not produce the long-term benefits and results that we expect or may be poorly received in the short term by the public markets, in which case our customer growth and our business, financial condition and results of operations may be harmed.</w:t>
      </w:r>
    </w:p>
    <w:p>
      <w:pPr>
        <w:spacing w:after="0" w:line="285"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market, sell or distribute our products, and if we are unable to expand our sales organization to adequately address our customers’ needs, our business, financial condition and results of operations may be adversely affected.</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may not be able to market, sell or distribute our data products and diagnostic tests, and other products we may develop effectively enough to support our planned growth. We currently sell our Genomics and Algos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40"/>
          </w:cols>
          <w:pgMar w:left="320" w:top="448"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tests to clinicians and hospital systems in the United States through our own sales organization, and we sell our Data products to pharmaceutical and biotechnology companies through our business development team.</w:t>
      </w:r>
    </w:p>
    <w:p>
      <w:pPr>
        <w:spacing w:after="0" w:line="17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Each of our target markets is large, distinctive and diverse. As a result, we believe it is necessary for many of our sales representatives and business development managers to have established diagnostic- or healthcare data-focused expertise. Competition for such employees within the precision diagnostics and healthcare data analytics industries is intense. We may not be able to attract and retain personnel or be able to build an efficient and effective sales organization or business development team, which could negatively impact sales and market acceptance of our products and limit our revenue growth and potential profitability.</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expected future growth will impose significant added responsibilities on members of management, including the need to identify, recruit, maintain and integrate additional employees. Our future financial performance and our ability to commercialize our products, to increase our sales and to compete effectively will depend, in part, on our ability to manage this potential future growth effectively, without compromising quality.</w:t>
      </w:r>
    </w:p>
    <w:p>
      <w:pPr>
        <w:spacing w:after="0" w:line="281" w:lineRule="exact"/>
        <w:rPr>
          <w:sz w:val="20"/>
          <w:szCs w:val="20"/>
          <w:color w:val="auto"/>
        </w:rPr>
      </w:pPr>
    </w:p>
    <w:p>
      <w:pPr>
        <w:ind w:left="460" w:right="3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executing our strategy to increase sales of our Data products to large pharmaceutical and biotechnology customers, our results of operations may suffer.</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Data products, and in particular our Insights product, to large pharmaceutical and biotechnology companies. Sales to large companies involve risks that may not be present (or that are present to a lesser extent) with sales to small-to-mid-sized entities. These risks include:</w:t>
      </w:r>
    </w:p>
    <w:p>
      <w:pPr>
        <w:spacing w:after="0" w:line="89" w:lineRule="exact"/>
        <w:rPr>
          <w:sz w:val="20"/>
          <w:szCs w:val="20"/>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leverage held by large customers in negotiating contractual arrangements with us;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decisionmakers within these organizations that may negatively impact our ability to negotiate in the future;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employees may perceive that our products pose a threat to their internal control and advocate for internally developed solutions over our product;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resources may be spent on a potential customer that ultimately elects not to purchase our products;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requirements in our service contracts, including stricter service response times, and increased penalties for any failure to meet service requirements;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larger competitors that traditionally target large enterprises and government entities;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predictability in completing some of our sales than we do with smaller customers.</w:t>
      </w:r>
    </w:p>
    <w:p>
      <w:pPr>
        <w:spacing w:after="0" w:line="213"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Sales to large pharmaceutical and biotechnology companies is often a lengthy process, generally taking several months and sometimes longer. Following the establishment of the relationship, the negotiation of purchase terms can be time-consuming, and a potential customer may require an extended evaluation and testing period. Due to the length, size, scope, and requirements of these evaluations, we frequently provide short-term pilot deployments of our Data products at no or low cost. We sometimes spend substantial time, effort and money in our sales efforts without producing any sales. The success of the investments that we make to acquire customers depends on factors such as our ability to identify potential customers for which our data products have an opportunity to add significant value to the customer’s business, our ability to identify and agree with the potential customer on an appropriate pilot deployment to demonstrate the value of our products, and whether we successfully execute on such pilot deployment. Even if the pilot deployment is successful, we or the customer could choose not to enter into a larger contract for a variety of reasons. For example, product purchases by large companies are frequently subject to budget constraints, leadership changes, multiple approvals, and unplanned administrative, processing, and other delays, any of which could significantly delay or entirely prevent our realization of sales. As a result, in the event a sale is not completed or is canceled or delayed, we may have incurred substantial expenses, making it more difficult for us to become profitable or otherwise negatively impacting our financial results.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40"/>
          </w:cols>
          <w:pgMar w:left="320" w:top="448"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Finally, large companies typically (i) have longer implementation cycles, (ii) require greater product functionality and scalability and a broader range of services, including design services, (iii) demand that vendors take on a larger share of risks, (iv) sometimes require acceptance provisions that can lead to a delay in revenue recognition and (v) expect greater payment flexibility from vendors.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All of these factors can add further risk to business conducted with these customers. If sales expected from a large customer for a particular quarter are not realized in that quarter or at all, our business, financial condition and results of operations could be materially and adversely affected.</w:t>
      </w:r>
    </w:p>
    <w:p>
      <w:pPr>
        <w:spacing w:after="0" w:line="271"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customers do not renew their licenses, do not buy additional products from us, or renew at lower prices, our business and operating results will suffer.</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For the year ended December 31, 2021, we derived $35.4 million, or approximately 56%, of our Data product line revenue from three customers. After removing the impact of COVID-19 testing revenue, we derived $34.1 million, or approximately 21%, of total revenue from the same three customers for the year ended December 31, 2021. We expect to continue to derive a significant portion of our Data product line revenues from renewal of existing agreements. As a result, maintaining the renewal rate of our existing customers and selling additional products to them is critical to our future operating results. Factors that may affect the renewal rate for our customers and our ability to sell additional products to them include:</w:t>
      </w:r>
    </w:p>
    <w:p>
      <w:pPr>
        <w:spacing w:after="0" w:line="95" w:lineRule="exact"/>
        <w:rPr>
          <w:sz w:val="20"/>
          <w:szCs w:val="20"/>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performance, and functionality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performance, and functionality of competing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support services;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complementary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performance, and security of our technological infrastructure;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environment of our customers.</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deliver our Insights product through license agreements that allow our customers to use de-identified datasets for a specified term or for specified uses. Our customers have no obligation to renew their licenses for our Data products after the license ends, and many of our contracts may be terminated or reduced in scope either immediately or upon notice. In addition, our customers may negotiate terms less advantageous to us upon renewal, which may reduce our revenues from these customers. Factors that are not within our control may contribute to a reduction in our Data product line revenues. For instance, our customers may change the indications in which they are conducting research and development, which could result in a reduced demand for our products and thus a lower aggregate renewal fee. The loss, reduction in scope, or delay of a large contract, or the loss or delay of multiple contracts, could materially adversely affect our business, financial condition and results of operations.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future operating results also depend, in part, on our ability to sell expanded products to our existing customers. For example, the willingness of existing customers to expand their use of our Insights product will depend on our ability to deliver meaningful information and insights relevant to our customers’ research and development endeavors, which we may not do successfully. If our customers fail to renew their agreements, renew their agreements upon less favorable terms or at lower fee levels, or fail to purchase expanded licenses from us, our revenues may decline and our future revenues may be constrained.</w:t>
      </w:r>
    </w:p>
    <w:p>
      <w:pPr>
        <w:spacing w:after="0" w:line="288"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Data product line revenues are generated by sales to life sciences industry customers, and factors that adversely affect this industry could also adversely affect our Data business sales.</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A significant portion of our current Data products sales are to customers in the life sciences industry, in particular the pharmaceutical and biotechnology industry. Demand for our Data products could be affected by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40"/>
          </w:cols>
          <w:pgMar w:left="320" w:top="448"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factors that adversely affect the life sciences industry. The life sciences industry is highly regulated and competitive and has experienced periods of considerable consolidation. Consolidation among our customers could cause us to lose customers, decrease the available market for our products, and adversely affect our business, financial condition and results of operations. In addition, changes in regulations that make investment in the life sciences industry less attractive or drug development more expensive could adversely impact the demand for our data analytics products. For these reasons and others, selling data analytics products to life sciences companies can be competitive, expensive, and time consuming, often requiring significant upfront time and expense without any assurance that we will successfully complete a sale. Accordingly, our operating results and our ability to efficiently provide our products to life sciences companies and to grow or maintain our customer base could be adversely affected as a result of factors that affect the life sciences industry generally.</w:t>
      </w:r>
    </w:p>
    <w:p>
      <w:pPr>
        <w:spacing w:after="0" w:line="263" w:lineRule="exact"/>
        <w:rPr>
          <w:sz w:val="20"/>
          <w:szCs w:val="20"/>
          <w:color w:val="auto"/>
        </w:rPr>
      </w:pPr>
    </w:p>
    <w:p>
      <w:pPr>
        <w:jc w:val="both"/>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have invested and expect to continue to invest in research and development efforts that further enhance our data analytics. Such investments may affect our operating results, and, if the return on these investments is lower or develops more slowly than we expect, our revenue and operating results may suffer.</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invested and expect to continue to invest in research and development efforts that further enhance our data analytics, often in response to our customers’ requirements. These investments may involve significant time, risks, and uncertainties, including the risk that the expenses associated with these investments may affect our margins and operating results and that such investments may not generate sufficient revenues to offset liabilities assumed and expenses associated with these new investments. The healthcare data analytics industry changes rapidly as a result of technological and product developments, which may render our Platform and products less desirable. We believe that we must continue to invest a significant amount of time and resources in our Platform and products to maintain and improve our competitive position. If we do not achieve the benefits anticipated from these investments, if the achievement of these benefits is delayed, or if a slowdown in general computing power impacts the rate at which we expect our physics-based simulations to increase in power and domain applicability, our revenue and operating results may be adversely affected.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collect receivables from our customers, our operating results may be adversely affected.</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While the majority of our current customers are well-established large companies and hospital systems, we also provide our Data products to smaller institutions and companies and our Genomics product line to individuals. Our financial success depends upon the creditworthiness and ultimate collection of amounts due from our customers, including our smaller customers with fewer financial resources. If we are not able to collect amounts due from our customers, we may be required to write-off significant accounts receivable and recognize bad debt expenses, which could materially and adversely affect our operating results.</w:t>
      </w:r>
    </w:p>
    <w:p>
      <w:pPr>
        <w:spacing w:after="0" w:line="288"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sole suppliers, for some of our laboratory instruments and materials and may not be able to find replacements or promptly transition to alternative suppliers.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rely on a limited number of suppliers or, in some cases, sole suppliers, including Illumina Inc., or Illumina, for certain sequencers, reagents, blood tubes and other equipment, instruments and materials that we use in our laboratory operations. Purchases from this supplier accounted for approximately 23% and 25% of total vendor payments for the year ended December 31, 2020 and 2021, respectively. Amounts due to this supplier approximated $5.3 million and $0.9 million at December 31, 2020 and 2021, respectively. An interruption in our laboratory operations could occur if we encounter delays or difficulties in securing these laboratory equipment, instruments or materials, and if we cannot then obtain an acceptable substitute. Any such interruption could significantly and adversely affect our business, financial condition and results of operations. We rely on Illumina as the sole supplier of the sequencers and as the sole provider of maintenance and repair services for these sequencers. Any disruption in operations of Illumina or other sole or limited suppliers or termination or suspension of our relationships with them could materially and adversely impact our supply chain and laboratory operations of our diagnostic testing business and thus our ability to conduct our business and generate revenue.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40"/>
          </w:cols>
          <w:pgMar w:left="320" w:top="448"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These limited or sole suppliers could engage in diverse types of businesses, including selling products in competition with us, and there can be no assurance that we can continue to receive required equipment, instruments or materials from them.</w:t>
      </w:r>
    </w:p>
    <w:p>
      <w:pPr>
        <w:spacing w:after="0" w:line="17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believe that there are only a limited number of manufacturers that are capable of supplying and servicing the equipment and materials necessary for our laboratory operations, including sequencers and various associated reagents, and potentially replacing our current suppliers. The use of equipment or materials furnished by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There can be no assurance that we will be able to secure alternative equipment, reagents and other materials, bring such equipment, reagents and materials online, and revalidate our tests without experiencing interruptions in our workflow. In the case of an alternative supplier for Illumina, for example, there can be no assurance that replacement sequencers and various associated reagents will be available or will meet our quality control and performance requirements for our laboratory operations. If we should encounter delays or difficulties in securing, reconfiguring or integrating the equipment and reagents we require for our products or in revalidating our products, our business, financial condition and results of operations could be materially and adversely affected.</w:t>
      </w:r>
    </w:p>
    <w:p>
      <w:pPr>
        <w:spacing w:after="0" w:line="263" w:lineRule="exact"/>
        <w:rPr>
          <w:sz w:val="20"/>
          <w:szCs w:val="20"/>
          <w:color w:val="auto"/>
        </w:rPr>
      </w:pPr>
    </w:p>
    <w:p>
      <w:pPr>
        <w:ind w:left="460" w:right="1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disruptions in supply of, and changes in the competitive environment for, raw materials and components integral to the manufacturing of our products may adversely affect our ability to achieve and maintain profitability.</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use a broad range of materials and supplies, including chemicals and other electronic components, in our Genomics product line. A significant disruption in the supply of these materials, including disruptions stemming from the COVID-19 pandemic, could decrease production and shipping levels, materially increase our operating costs and materially adversely affect our profit margins. Shortages of materials or interruptions in transportation systems, labor strikes, work stoppages, infectious disease, epidemics or pandemics including COVID-19, outbreaks, conflict (including the armed conflict between Russia and Ukraine), civil unrest, acts of terrorism or other interruptions to or difficulties in the employment of labor or transportation in the markets in which we purchase materials, components and supplies for the production of our diagnostic tests, in each case may adversely affect our ability to maintain our testing capacity. Unforeseen end-of-life or unavailability for certain components, such as enzymes, could cause backorders as we modify our product specifications to accommodate replacement components. If we were to experience a significant disruption in the supply of, or prolonged shortage of, critical components from any of our suppliers and could not procure the components from other sources, we would be unable to sustain our testing capacity, which would adversely affect our sales, margins and customer relations.</w:t>
      </w:r>
    </w:p>
    <w:p>
      <w:pPr>
        <w:spacing w:after="0" w:line="290"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currently derive nearly all of our diagnostic revenue from tests performed at laboratory facilities located in Chicago, Illinois and Atlanta, Georgia, and these facilities generally do not have redundant capabilities. Further, while we are currently in the process of validating our new laboratory facility in Raleigh, North Carolina, there is no assurance that we will successfully complete such validation in a timely manner or at all, and we will not be able to operationalize this facility until such validation is complete. Our facilities and equipment could be harmed or rendered inoperable by natural or man-made disasters, including war, fire, earthquake, power loss, communications failure or terrorism, which may render it difficult or impossible for us to operate our Genomics product line for some period of time and which may also cause us to lose valuable stored tissue samples, including organoids. The inability to perform our tests or to reduce the backlog that could develop if a facility is inoperable for even a short period of time, may result in the loss of customers or harm to our reputation, and we may be unable to regain those customers or repair our reputation. Furthermore, our facilities and the equipment we use to perform our research and development work could be unavailable or costly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40"/>
          </w:cols>
          <w:pgMar w:left="320" w:top="448"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time-consuming to repair or replace. It would be difficult, time-consuming and expensive to rebuild a 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carry insurance for damage to our property and disruption of our business, but this insurance may not cover all of the risks associated with damage or disruption to our facilities and business, may not provide coverage in amounts sufficient to cover our potential losses and may not continue to be available to us on acceptable terms, if at all.</w:t>
      </w:r>
    </w:p>
    <w:p>
      <w:pPr>
        <w:spacing w:after="0" w:line="281" w:lineRule="exact"/>
        <w:rPr>
          <w:sz w:val="20"/>
          <w:szCs w:val="20"/>
          <w:color w:val="auto"/>
        </w:rPr>
      </w:pPr>
    </w:p>
    <w:p>
      <w:pPr>
        <w:ind w:left="460" w:right="5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commercial courier delivery services to transport samples to our laboratory facility in a timely and cost-efficient manner and if these delivery services are disrupted, our business will be harmed.</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business depends on our ability to deliver test results quickly and reliably to our customers. Blood and tissue samples sent from the United States by patients, physicians or hospital pathology departments are typically received within days for analysis at our Chicago or Atlanta facilities. Disruptions in delivery services to transport samples to that facility, whether due to labor disruptions, bad weather, natural disaster, terrorist acts or threats or for other reasons could adversely affect specimen integrity and our ability to process samples in a timely manner, delay our provision of test results to our customers, and ultimately our reputation and our business. In addition, if we are unable to continue to obtain expedited delivery services to transport samples to us on commercially reasonable terms, our business, financial condition and results of operations may be adversely affected.</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If we cannot provide quality technical support and services for our Data products, we could lose customers and our business and prospects will suffer.</w:t>
      </w:r>
    </w:p>
    <w:p>
      <w:pPr>
        <w:spacing w:after="0" w:line="13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ability to provide relevant information to customers of our Data business, and in particular of our Insights product, depends substantially on our ability to provide quality technical support and services during the term of their license. Accordingly, we need highly trained technical support and services personnel. Hiring support and services personnel is very competitive in our industry due to the limited number of people available with the necessary scientific and technical backgrounds and ability to understand our products and the needs of our customers. To effectively support new customers and the expanding needs of current customers, we will need to substantially expand our support and services staff and develop our support infrastructure and processes. If we are unable to attract, train or retain the number of highly qualified technical services personnel that our business needs, our business and prospects will suffer.</w:t>
      </w: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revenue and results of operations.</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that there are significant seasonal factors which may cause sales of our products, such as our Insights product and our infectious disease tests, to vary on a quarterly or yearly basis and increase the magnitude of quarterly or annual fluctuations in our operating results. We believe that this seasonality results from a number of factors, including the procurement and budgeting cycles of many of our customers, especially pharmaceutical and biotechnology customers. These customers typically have calendar year fiscal years, which result in a disproportionate amount of their purchasing activity occurring during our fourth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and results of operations. Additionally, impacts of the COVID-19 pandemic could cause unpredictable temporary or permanent fluctuations in seasonal or cyclical variations, including seasonal demand for COVID-19 tests.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40"/>
          </w:cols>
          <w:pgMar w:left="320" w:top="448"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Highly Regulated Industry</w:t>
      </w:r>
    </w:p>
    <w:p>
      <w:pPr>
        <w:spacing w:after="0" w:line="106"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7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stored, maintained, received or transmitted, including electronically, is a major issue in the United States and abroad. We collect, process, maintain, retain, evaluate, utilize and distribute large amounts of personal health and financial information and other confidential and sensitive data about our customers, employees and others in the ordinary course of our business. Concerns about and claims challenging our practices with regard to the collection, use, retention, disclosure or security of personally identifiable information or other privacy-related matters, even if unfounded and even if we are in compliance with applicable laws, could damage our reputation and harm our business, financial condition and results of operations.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Numerous federal, state and foreign laws and regulations govern collection, dissemination, use and confidentiality of personally identifiable information and protected health information, including HIPAA; state privacy and confidentiality laws (including state laws requiring disclosure of breaches); federal and state consumer protection and employment laws; and European and other foreign data protection laws. A range of enforcement agencies exist at both the state and federal levels that can enforce these laws and regulations. New privacy legislation may create additional rights for consumers and impose additional requirements on businesses. As these laws and regulations increase in complexity and number, they may change frequently, sometimes conflict and increase our compliance efforts, costs and risks.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HIPAA, as amended by HITECH, establishes a set of national privacy and security standards for the protection of PHI by health plans, healthcare clearinghouses, and certain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and their covered subcontractors. We are a covered entity under HIPAA, and also routinely receive large amounts of PHI as a business associate under HIPAA, and therefore must comply with its requirements to protect the privacy and security of health information and must provide individuals with certain rights with respect to their health information. If we engage a business associate to help us carry out healthcare activities and functions, we must have a written business associate contract or other arrangement with the business associate that establishes specifically what the business associate has been engaged to do and requires the business associate to comply with the same requirements.</w:t>
      </w:r>
    </w:p>
    <w:p>
      <w:pPr>
        <w:spacing w:after="0" w:line="186"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Penalties for violations of these laws vary. For instance, a single breach incident can result in findings of violations of multiple HIPAA provisions. Penalties for failure to comply with a requirement of HIPAA and HITECH vary significantly, and include civil monetary penalties for each provision of HIPAA that is violated and, in certain circumstances, criminal penalties, including imprisonment and/or additional fines. A person who knowingly obtains or discloses individually identifiable health information in violation of HIPAA may face additional fines and up to one-year imprisonment. The criminal penalties increase if the wrongful conduct involves false pretenses or the intent to sell, transfer, or use identifiable health information for commercial advantage, personal gain, or malicious harm. In addition, any allegation that we have violated HIPAA, regardless of its merit, could harm our reputation and consume significant internal resources.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6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Data privacy remains an evolving landscape at both the domestic and international level, with new regulations coming into effect. For example, various states, such as California and Massachusetts, have implemented similar privacy laws and regulations, such as the California Confidentiality of Medical Information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40"/>
          </w:cols>
          <w:pgMar w:left="320" w:top="448"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Act, that impose restrictive requirements regulating the use and disclosure of health information and other personally identifiable information, and the California Consumer Privacy Act, which came into effect on January 1, 2020, and creates new data privacy rights for users. For example, the CCPA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data), imposes new operational requirements for covered businesses, provides for civil penalties for violations as well as a private right of action for data breaches and statutory damages (that is expected to increase data breach class action litigation and result in significant exposure to costly legal judgements and settlements). Aspects of the CCPA and its interpretation and enforcement remain uncertain. In addition, it is anticipated that the CCPA will be expanded on January 1, 2023, when the California Privacy Rights Act of 2020, or CPRA, becomes operative.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CPRA. Although there are limited exemptions for clinical trial data under the CCPA, the CCPA and other similar laws could impact our business activities depending on how they are interpreted. New legislation proposed or enacted in various other states will continue to shape the data privacy environment nationally. For example, Virginia recently passed its Consumer Data Protection Act, and Colorado recently passed the Colorado Privacy Act, both of which differ from the CPRA and become effective in 2023.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3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addition, all 50 U.S. states and the District of Columbia have enacted breach notification laws that may require us to notify patients, customers,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These laws and regulations are not necessarily preempted by HIPAA, particularly if a state affords greater protection to individuals than HIPAA. Where state laws are more protective, we may have to comply with the stricter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other types of sensitive personally identifiable information, or PII, or increased demands for enhanced data security infrastructure applied to personally identifiable information, could greatly increase our costs of providing our products, decrease demand for our products, reduce our revenue and/or subject us to additional risks.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40"/>
          </w:cols>
          <w:pgMar w:left="320" w:top="448"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76" w:lineRule="auto"/>
        <w:rPr>
          <w:sz w:val="20"/>
          <w:szCs w:val="20"/>
          <w:color w:val="auto"/>
        </w:rPr>
      </w:pPr>
      <w:r>
        <w:rPr>
          <w:rFonts w:ascii="Times New Roman" w:cs="Times New Roman" w:eastAsia="Times New Roman" w:hAnsi="Times New Roman"/>
          <w:sz w:val="16"/>
          <w:szCs w:val="16"/>
          <w:color w:val="auto"/>
        </w:rPr>
        <w:t>In addition, the interpretation and application of consumer, health-related, and data protection laws, especially with respect to genetic samples and data, in the United States, the EU (including all countries in the EEA), and elsewhere are often uncertain, contradictory, and in flux. We may operate in a number of countries outside of the United States whose laws may in some cases be more stringent than the requirements in the United States. For example, EU member countries have specific requirements relating to cross-border transfers of personal data to certain jurisdictions, including to the United States where our laboratory resides. In addition, some countries have stricter consumer notice and/or consent requirements relating to personal data collection, use or sharing, more stringent requirements relating to organizations’ privacy programs and provide stronger individual rights. Moreover, international privacy and data security regulations continue to become more complex and have greater consequences. For instance, the General Data Protection Regulation, or GDPR, went into effect in May 2018 and imposes stringent data protection requirements for controllers and processors of personal data of persons within the EU.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higher standards for obtaining consent from individuals to process their personal data, more robust disclosures to individuals and a strengthened individual data rights regime, timelines for data breach notifications as short as 72 hours for notification to supervisory authorities, limitations on retention of information, increased requirements pertaining to health data, other special categories of personal sequencing and pseudonymised (i.e., key-coded) data and additional obligations when we contract third-party processors in connection with the processing of the personal data. The GDPR provides that EU member states may make their own further laws and regulations limiting the processing of personal data, including genetic, biometric or health data, which could limit our ability to use and share personal data or could cause our costs to increase, and harm our business, financial condition and results of operations. Failure to comply with the requirements of GDPR may result in significant fines of up to €20,000,000 or up to 4% of the total worldwide annual turnover of the preceding financial year, whichever is higher, and other administrative penalties. The GDPR also confers a private right of action on data subjects and consumer associations to lodge complaints with supervisory authorities, seek judicial remedies, and obtain compensation for damages resulting from violations of the GDPR. Failure to comply with the GDPR and other applicable privacy or data security-related laws, rules or regulations could result in material penalties imposed by regulators, affect our compliance with client contracts and have an adverse effect on our business, financial condition and results of operations.</w:t>
      </w:r>
    </w:p>
    <w:p>
      <w:pPr>
        <w:spacing w:after="0" w:line="39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European data protection law, including the GDPR, also imposes strict rules on the transfer of personal data from Europe to the United States and other countries unless the parties to the transfer have implemented specific safeguards to protect the transferred personal data. These obligations may be interpreted and applied in a manner that is inconsistent from one jurisdiction to another and may conflict with other requirements or our practices. In addition, these rules are constantly under scrutiny. For example, the EU-US Privacy Shield and the Swiss-US Privacy Shield were both invalidated by the Court of Justice of the EU, in a case known colloquially as “Schrems II,” and the Swiss Commissioner, respectively. Further, the EU Standard Contractual Clauses are the subject of legal challenges in European courts and the Standard Contractual Clauses as well as any successor version(s) of those clauses may face additional challenges in the future and be found similarly invalidated, and the absence of successor safeguards for continued data transfer could require us to create duplicative, and potentially expensive, information technology infrastructure and business operations in Europe or limit our ability to collect and use personal information collected in Europe. Notwithstanding the foregoing challenges, the use of the EU Standard Contractual Clauses has also been called into question by the European courts.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the decision in Schrems II and subsequent draft guidance from the European Data Protection Board, or EDPB, may require the parties to that transfer to implement certain supplementary technical, organizational and/or contractual measures to rely on the standard contractual clauses as a GDPR-compliant ‘transfer mechanism.’ However, the aforementioned draft guidance from the EDPB on such supplementary technical, organizational</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40"/>
          </w:cols>
          <w:pgMar w:left="320" w:top="448"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and/or contractual measures appears to conclude that no combination of such measures could be sufficient to allow effective reliance on the standard contractual clauses in the context of transfers of personal data ‘in the clear’ to recipients in countries where the power granted to public authorities to access the transferred data goes beyond that which is ‘necessary and proportionate in a democratic society’—which may, following the CJEU’s conclusions in Schrems II on relevant powers of U.S. public authorities and commentary in that draft EDPB guidance, include the United States in certain circumstances (e.g., where Section 702 of the US Foreign Intelligence Surveillance Act applies). If we are unable to implement a valid compliance mechanism for cross-border personal data transfers, we may face increased exposure to regulatory actions, substantial fines and injunctions against processing or transferring personal data from Europe.</w:t>
      </w:r>
    </w:p>
    <w:p>
      <w:pPr>
        <w:spacing w:after="0" w:line="159"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Furthermore, in June 2021, the European Commission adopted new standard contractual clauses under the GDPR for transfers of personal data outside the EEA to countries that the European Commission has not deemed to provide an adequate level of protection for such personal data. If we elect to rely on the new standard contractual clauses for personal data transfers out of Europe, we may be required to expend significant resources to update our contractual arrangements and to meet the obligations the new standard contractual clauses impose; for example, we may be required to conduct transfer impact assessments for such cross-border personal data transfers and implement additional security measures. In addition, the EU Commission has proposed a new ePrivacy Regulation that would address various matters, including provisions specifically aimed at the use of cookies to identify an individual’s online behavior, and any such ePrivacy Regulation may provide for new compliance obligations and significant penalties. Any of these changes to EU data protection law or its interpretation could disrupt and harm our business. We rely on a mixture of safeguards to transfer personal data from the EU to the United States, and could be impacted by changes in law as a result of a future review of these transfer mechanisms by European regulators or current challenges to these mechanisms in the European courts.</w:t>
      </w:r>
    </w:p>
    <w:p>
      <w:pPr>
        <w:spacing w:after="0" w:line="16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On June 28, 2021, the European Commission issued an adequacy decision under the GDPR which allows personal data transfers (other than those carried out for the purposes of United Kingdom immigration control) from the EEA to the United Kingdom to continue without restriction for four years (ending June 27, 2025). After that period, the adequacy decision may be renewed, only if the United Kingdom continues to ensure an adequate level of data protection. During these four years, the European Commission will continue to monitor the situation in the United Kingdom and could intervene at any point if the United Kingdom deviates from the level of data protection in place at the time of the issuance of the adequacy decision. If the adequacy decision is withdrawn or not renewed, transfers of personal data from the EEA to the United Kingdom will require a valid ‘transfer mechanism’ and we may be required to implement new processes and put new agreements in place, such as standard contractual clauses, to enable transfers of personal data form the EEA to the United Kingdom to continue.</w:t>
      </w:r>
    </w:p>
    <w:p>
      <w:pPr>
        <w:spacing w:after="0" w:line="19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exceptions and safe harbors, it is possible that our current practices could be challenged under one or more of such laws, or that we will have to modify our business practices substantially to begin operating in these areas. The scope and enforcement of each of these laws is uncertain and subject to rapid change in the current environment of healthcare reform. Federal, state and foreign enforcement bodies have increased their scrutiny of interactions between healthcare companies and healthcare providers, which has led to a number of investigations, prosecutions, convictions and settlements in the healthcare industry.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40"/>
          </w:cols>
          <w:pgMar w:left="320" w:top="448"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With the GDPR, CCPA, CPRA,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Additionally, if third parties we work with, such as vendors or service providers, violate applicable laws or regulations or our policies, such violations may also put our or our customers’ data at risk and could in turn have an adverse effect on our business, financial condition and results of operations. Any failure or perceived failure by us or our service providers to comply with our applicable policies or notices relating to privacy or data protection, our contractual or other obligations to third parties, or any of our other legal obligations relating to privacy or data protection, may result in governmental investigations or enforcement actions, litigation, claims and other proceedings, harm our reputation, and could result in significant liability.</w:t>
      </w:r>
    </w:p>
    <w:p>
      <w:pPr>
        <w:spacing w:after="0" w:line="287"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6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The diagnostic testing industry is highly regulated, and there can be no assurance that the regulatory environment in which we operate will not change significantly and adversely to us in the future. Areas of the regulatory environment that may affect our ability to conduct business include, without limitation:</w:t>
      </w:r>
    </w:p>
    <w:p>
      <w:pPr>
        <w:spacing w:after="0" w:line="31" w:lineRule="exact"/>
        <w:rPr>
          <w:sz w:val="20"/>
          <w:szCs w:val="20"/>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applicable to test ordering, documentation of tests ordered, billing practices and claims payment and/or regulatory agencies enforcing those laws and regulations;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 care fraud and abuse laws;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laboratory anti-mark-up laws;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levels by Medicare, Medicaid, other governmental payers and private insurers;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of and reimbursement for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governing laboratory testing, including CLIA, and state licensing laws;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development, use and distribution of diagnostic medical devices, including laboratory developed tests, or LDTs;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use of artificial intelligence in analyzing data, including data in healthcare related areas;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laws governing the handling and disposal of medical and hazardous waste;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Occupational Safety and Health Administration rules and regulations;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and similar state data privacy and security laws;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protection laws.</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particular, the laws and regulations governing the marketing of diagnostic tests are complex, and there are often no sufficient regulatory or judicial interpretations of these laws and regulations. For example, some of our diagnostic tests are actively regulated by the FDA pursuant to the medical device provisions of the Federal Food, Drug and Cosmetic Act, or FDCA. The FDA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Many of our genomic and algorithmic diagnostic tests are likely to be considered by the FDA to be medical devices. Among other things, pursuant to the FDCA and its implementing regulations, the FDA regulates the research, design, testing, manufacturing,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40"/>
          </w:cols>
          <w:pgMar w:left="320" w:top="448"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safety, labeling, storage, recordkeeping, premarket clearance or approval, marketing and promotion and sales and distribution of medical devices in the United States to ensure that medical devices distributed domestically are safe and effective for their intended uses. In addition, the FDA regulates the import and export of medical devices. If we do not comply with these requirements or fail to adequately comply, our business, financial condition and results of operations may be harmed.</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Changes in the current regulatory framework for algorithmic diagnostic products and services can impose additional regulatory burdens on us. On September 27, 2019, the FDA’s Center for Devices and Radiological Health released a draft guidance on clinical decision support software to describe their planned regulatory approach for certain healthcare software functions. The FDA is also currently considering the development of novel regulatory pathways for artificial intelligence technologies and other software. As the regulatory framework evolves, we may incur substantial costs to ensure compliance with new or amended laws and regulations. Failure to comply with any of these laws and regulations could result in enforcement actions against us, damage to our reputation and loss of goodwill, any of which could have a material adverse effect on our business, financial condition and results of operations.</w:t>
      </w:r>
    </w:p>
    <w:p>
      <w:pPr>
        <w:spacing w:after="0" w:line="288"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tests are currently marketed as LDTs, and future changes in FDA enforcement discretion for LDTs could subject our operations to much more significant regulatory requirements.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FDA has a policy of enforcement discretion with respect to LDTs whereby the FDA does not actively enforce its regulatory requirements for such tests. However, the FDA has stated its intention to modify its enforcement discretion policy with respect to LDTs. If there are changes in FDA policy, or if the FDA disagrees that we are marketing our tests as LDTs within the scope of its policy of enforcement discretion, we may become subject to extensive regulatory requirements and may be required to stop selling our existing tests or launching any other tests we may develop and to conduct additional clinical trials or take other actions prior to continuing to market our tests. This could significantly increase the costs and expenses of conducting, or otherwise harm, our business, financial condition and results of operations. Additionally, because our Platform and other software applications we make available include functionality related to the reporting of results from the LDTs we run, the FDA could attempt to regulate the software applications, including portions of our Platform, that we utilize to provides results of the LDTs to our customers and this may require costly modifications, additional development or the reduction in functionality in our offerings which could, in turn, make them less attractive to our customers.</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market some of our tests as LDTs. While we believe that we are in material compliance with applicable laws and regulations, we cannot assure that the FDA will agree with us.</w:t>
      </w:r>
    </w:p>
    <w:p>
      <w:pPr>
        <w:spacing w:after="0" w:line="17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On July 31, 2014, the FDA notified Congress of its intent to modify its policy of enforcement discretion with respect to LDTs. On October 3, 2014, FDA issued two draft guidances, entitled “Framework for Regulatory Oversight of Laboratory Developed Tests (LDTs),” or the Framework Guidance, and “FDA Notification and Medical Device Reporting for Laboratory Developed Tests (LDTs).” The Framework Guidance stated that the FDA intended to modify its policy of enforcement discretion with respect to LDTs in a risk-based manner consistent with the existing classification of medical devices. Thus, pursuant to the Framework Guidance, the FDA planned to begin to enforce its medical device requirements, including premarket submission requirements, on LDTs that have historically been marketed without FDA premarket review and oversight. The FDA could ultimately modify its current approach to LDTs (including the various software components we use to prepare and deliver the results of the LDTs) in a way that would subject our products marketed as LDTs to the enforcement of regulatory requirements. If such changes to the regulatory framework occur, we could be subject to enforcement of regulatory requirements as a device manufacturer such as registration and listing requirements, medical device reporting requirements and the requirements of the FDA’s Quality System Regulation. Additionally, if the FDA begins to enforce its premarket submission regulations with respect to LDTs, we may be required to obtain premarket clearance or approval for our products we plan to commercialize as LDTs.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40"/>
          </w:cols>
          <w:pgMar w:left="320" w:top="448"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FDA will grant 510(k) clearance or a premarket approval of our products and failure to obtain necessary clearances or approvals for our products would adversely affect our ability to grow our business.</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 xml:space="preserve">Before we begin to label and market certain of our products for use as clinical diagnostics in the United States, including as companion diagnostics, we may be required to obtain either 510(k) clearance or a premarket approval, or supplemental premarket approval, or respectively, PMA or sPMA, from the FDA, unless an exemption applies or FDA exercises its enforcement discretion and refrains from enforcing its medical device requirements. For example, the FDA has a policy of refraining from enforcing such requirements with respect to LDTs, which the FDA considers to be a type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test that is designed, manufactured and used within a single laboratory. The FDA has also largely refrained from regulating pharmacogenomic tests like those we perform in our neuropsychology business.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process of obtaining a PMA is a rigorous, costly, lengthy and uncertain process. In the PMA process, the FDA must determine that a proposed device is safe and effective for its intended use based, in part, on extensive data, including, but not limited to, technical, pre-clinical, clinical trial, manufacturing and labeling data.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a substantial equivalence determination.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121" w:lineRule="exact"/>
        <w:rPr>
          <w:sz w:val="20"/>
          <w:szCs w:val="20"/>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that our products are safe or effective for their intended uses;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conduct or implementation of our clinical trials or the analysis or interpretation of data from our pre-clinical studies or clinical trials;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effects experienced by participants in our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any of our tests outweigh the risks;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committee, if convened by the FDA, may recommend against approval of our PMA or other application for any of our tests or may recommend that the FDA require, as a condition of approval, additional pre-clinical studies or clinical trials, limitations on approved labeling or distribution and use restrictions, or even if an advisory committee, if convened, makes a favorable recommendation, the FDA may still not approve the test;</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identify deficiencies in our marketing application, and in our manufacturing processes, facilities or analytical methods or those of our third-party contract manufacturers;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to change significantly in a manner rendering our clinical data or regulatory filings insufficient for the clearance or approval;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audit our clinical trial data and conclude that the data is not sufficiently reliable to support a PMA application.</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foreign jurisdictions, we may be required to procure similar regulatory approvals or clearances prior to marketing our diagnostic products. For example, in the Europe Union, we would need to comply with the new Medical Device Regulation 2017/745 and In Vitro Diagnostic Regulation 2017/746, which became effective May 26, 2017, with application dates of May 26, 2021 (postponed from 2020) and May 26, 2022, respectively. Obtaining the requisite regulatory approvals or clearances in foreign jurisdictions can be expensive and may involve considerable delay.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40"/>
          </w:cols>
          <w:pgMar w:left="320" w:top="448"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delay or failure to obtain necessary regulatory approvals or clearances would have a material adverse effect on our business, financial condition and results of operations.</w:t>
      </w:r>
    </w:p>
    <w:p>
      <w:pPr>
        <w:spacing w:after="0" w:line="271"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FDA-cleared or approved products may require new 510(k) clearances or premarket approvals, or may require us to cease marketing or recall the modified products until clearances are obtained.</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For any product approved pursuant to a PMA, we are required to seek supplemental approval for many types of changes to the approved product, for which we will need to determine whether a PMA supplement or other regulatory filing is needed or whether the change may be reported via the PMA Annual Report. Similarly, any modification to a 510(k)-cleared device that could significantly affect its safety or effectiveness, or that would constitute a major change in its intended use, design, or manufacture, requires new 510(k) clearance or, possibly, approval of a new PMA. If the FDA requires us to seek approvals or clearances for modifications to our previously approved or cleared products, for which we concluded that new approvals or clearances are unnecessary, we may be required to cease marketing or distribution of our products or to recall the modified product until we obtain the approval or clearance, and we may be subject to significant regulatory fines or penalties.</w:t>
      </w:r>
    </w:p>
    <w:p>
      <w:pPr>
        <w:spacing w:after="0" w:line="290"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may in the future be subject to product recalls. A recall of our products, either voluntarily or at the direction of the FDA or another governmental authority, or the discovery of serious safety issues with our products, could have a significant adverse impact on us.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FDA has the authority to require the recall of commercialized products that are subject to FDA regulation in the event of material deficiencies or defects in design or manufacture. We may also, on our own initiative, recall a product. The FDA requires that certain classifications of recalls be reported to the FDA within ten working days after the recall is initiated. In the case of FDA-approved tests, a government-mandated or voluntary recall by us or one of our distributors could occur as a result of an unacceptable risk to health, component failures, malfunctions, manufacturing errors, design or labeling defects or other deficiencies and issues. Recalls of any of our products could impair our ability to produce our products in a cost-effective and timely manner, which would have an adverse effect on our reputation, business, financial condition and results of operations. We may be subject to liability claims, may be required to bear costs or may take other actions that may have a negative impact on our future sales and our ability to generate profits. We may initiate voluntary recalls involving our products in the future that we determine do not require notification to the FDA. If the FDA disagrees with our determinations, the FDA could require us to report those actions and take enforcement action for failing to report the recalls when they were conducted. A future recall announcement could harm our reputation with customers and negatively affect our business, financial condition and results of operations.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If we initiate a correction or removal for one of our tests, issue a safety alert or undertake a field action or recall to reduce a risk to health imposed by the test, this could lead to increased scrutiny by the FDA and our customers regarding the quality and safety of our tests and to negative publicity, including FDA alerts, press releases or administrative or judicial actions. Furthermore, circulation of any such negative publicity could harm our reputation, be used by competitors against us in competitive situations and cause customers to delay purchase decisions or cancel orders.</w:t>
      </w:r>
    </w:p>
    <w:p>
      <w:pPr>
        <w:spacing w:after="0" w:line="285" w:lineRule="exact"/>
        <w:rPr>
          <w:sz w:val="20"/>
          <w:szCs w:val="20"/>
          <w:color w:val="auto"/>
        </w:rPr>
      </w:pPr>
    </w:p>
    <w:p>
      <w:pPr>
        <w:jc w:val="both"/>
        <w:ind w:left="460" w:right="1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use only” and any potential “investigational use only” products could become subject to more onerous regulation by the FDA or other regulatory agencies in the future, which could increase our costs and delay our commercialization efforts, thereby materially and adversely affecting our business, financial condition and results of operations.</w:t>
      </w:r>
    </w:p>
    <w:p>
      <w:pPr>
        <w:spacing w:after="0" w:line="7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the United States, some of our products are currently available, or may become available, for research use only, or RUO, or for investigational use only, or IUO, depending on the proposed application. We make our RUO and IUO products available to a variety of parties, including pharmaceutical and biotechnology companies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40"/>
          </w:cols>
          <w:pgMar w:left="320" w:top="448"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and research institutes. Because RUO and IUO products are not intended for use in clinical practice and cannot be advertised or promoted for clinical or diagnostic claims, they are exempt from many regulatory requirements otherwise applicable to medical devices. In particular, while the FDA regulations require that RUO products be labeled “For Research Use Only. Not for use in diagnostic procedures,” and that IUO products be labeled “For Investigational Use Only. The performance characteristics of this product have not been established,” such products are not subject to the FDA’s pre- and post-market controls for medical devices.</w:t>
      </w:r>
    </w:p>
    <w:p>
      <w:pPr>
        <w:spacing w:after="0" w:line="187"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A significant change in the laws governing RUO or IUO products or how they are enforced may require us to change our business model in order to maintain compliance. For instance, in November 2013 the FDA issued a guidance document entitled “Distribution of In Vitro Diagnostic Products Labeled for Research Use Only or Investigational Use Only,” or the RUO/IUO Guidance, which highlights the FDA’s interpretation that distribution of RUO or IUO products with any labeling, advertising or promotion that suggests that clinical laboratories can validate the test through their own procedures and subsequently offer it for clinical diagnostic use as an LDT is in conflict with the RUO or IUO status. The RUO/IUO Guidance further articulates the FDA’s position that any assistance offered in performing clinical validation or verification, or similar specialized technical support, to clinical laboratories, is in conflict with RUO or IUO status. If we engage in any activities that the FDA deems to be in conflict with the RUO or IUO status held by any of our products so labeled, we may be subject to immediate, severe and broad FDA enforcement action that would adversely affect our ability to continue operations. Accordingly, if the FDA finds that we are distributing our RUO or IUO products in a manner that is inconsistent with its RUO/IUO Guidance, we may be forced to stop distribution of our RUO/IUO tests until we are in compliance, which would reduce our revenue, increase our costs and adversely affect our business, financial condition and results of operations.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products, we will continue to be subject to extensive regulatory oversight.</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Medical devices are subject to extensive regulation by the FDA in the United States, the European Commission, European Economic Area, or EEA, Competent Authorities, and comparable regulatory agencies in other territories where we do or may do business. If any of our products are approved by the FDA, the European Commission, EEA Competent Authorities, or other comparable foreign regulatory agencies, we will be required to timely file various reports. If these reports are not filed timely, regulators may impose sanctions and sales of our products may suffer, and we may be subject to product liability or regulatory enforcement actions, all of which could harm our business, financial condition and results of operations. In addition, 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financial condition and results of operations.</w:t>
      </w:r>
    </w:p>
    <w:p>
      <w:pPr>
        <w:spacing w:after="0" w:line="19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FDA and the Federal Trade Commission, or FTC, also regulate the advertising and promotion of medical devices to ensure that their promotional claims made are consistent with the applicable marketing authorizations, that there are adequate and reasonable data to substantiate the claims, and that the promotional labeling and advertising is neither false nor misleading in any respect. If the FDA or FTC determines that any of our promotional claims are false, misleading, not substantiated or not permissible, we may be subject to enforcement actions and we may be required to revise our promotional claims and make other corrections or restitutions.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40"/>
          </w:cols>
          <w:pgMar w:left="320" w:top="448"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FDA, state and foreign authorities have broad enforcement powers. Our failure to comply with applicable regulatory requirements could result in enforcement action by the FDA, state or foreign regulatory agencies, which may include any of the following sanctions:</w:t>
      </w:r>
    </w:p>
    <w:p>
      <w:pPr>
        <w:spacing w:after="0" w:line="78" w:lineRule="exact"/>
        <w:rPr>
          <w:sz w:val="20"/>
          <w:szCs w:val="20"/>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recalls, termination of distribution, administrative detention or seizures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clearances or approvals of new products, new intended uses or modifications to existing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of current clearances or approvals, resulting in prohibitions on sales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issue certificates needed to export products for sale in other countries;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of these sanctions could also result in higher than anticipated costs or lower than anticipated sales of our products and have a material adverse effect on our business, financial condition and results of operations.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approval or clearance of our current or future products under development. For example, in November 2018, FDA officials announced forthcoming steps that the FDA intends to take to modernize the premarket notification pathway under Section 510(k) of the FDCA.</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 financial condition and results of operations.</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 financial condition and results of operations.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new statutes, regulations or revisions or reinterpretations of existing regulations may impose additional costs or lengthen review times of our current or future products or make it more difficult to obtain clearance or approval for, manufacture, market or distribute our products.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regulatory clearance or approval of our diagnostic tests.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40"/>
          </w:cols>
          <w:pgMar w:left="320" w:top="448"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w:t>
      </w:r>
    </w:p>
    <w:p>
      <w:pPr>
        <w:spacing w:after="0" w:line="271" w:lineRule="exact"/>
        <w:rPr>
          <w:sz w:val="20"/>
          <w:szCs w:val="20"/>
          <w:color w:val="auto"/>
        </w:rPr>
      </w:pPr>
    </w:p>
    <w:p>
      <w:pPr>
        <w:ind w:left="460" w:right="8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never obtain approval in the EU or in any other foreign country for any of our products and, even if we do, we may never be able to commercialize them in any other jurisdiction, which would limit our ability to realize their full market potential.</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order to eventually market any of our current or future products in any particular foreign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Approval processes vary among countries and can involve additional product testing and validation and additional administrative review periods.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Seeking foreign regulatory clearance, authorization or approval could result in difficulties and costs for us and require additional studies, trials or investigations which could be costly and time-consuming. Regulatory 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will be unrealized.</w:t>
      </w:r>
    </w:p>
    <w:p>
      <w:pPr>
        <w:spacing w:after="0" w:line="288" w:lineRule="exact"/>
        <w:rPr>
          <w:sz w:val="20"/>
          <w:szCs w:val="20"/>
          <w:color w:val="auto"/>
        </w:rPr>
      </w:pPr>
    </w:p>
    <w:p>
      <w:pPr>
        <w:ind w:left="460" w:right="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subject to the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Any testing subject to CLIA regulation must be performed in a CLIA certified laboratory. CLIA certification is also required in order for us to be eligible to bill state and federal healthcare programs, as well as commercial payers, for our tests. We have a current CLIA certificate to perform our tests at our laboratories in Chicago, Illinois, Atlanta, Georgia and Raleigh, North Carolina. To maintain this certificate, we are subject to survey and inspection every two years. Moreover, CLIA inspectors may make random inspections of our laboratory from time to time.</w:t>
      </w:r>
    </w:p>
    <w:p>
      <w:pPr>
        <w:spacing w:after="0" w:line="18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also required to maintain clinical laboratory licenses to perform testing in Illinois and Georgia, and we will be required to maintain these licenses to perform testing at our proposed facility in Raleigh, North Carolina. State laboratory laws establish standards for day-to-day operation of our clinical laboratories, including the training and skills required of personnel and quality control. In addition, some other states require our laboratories to be licensed in the state in order to test specimens from those states. In addition to Illinois and Georgia, our laboratories are licensed in California, Rhode Island, Pennsylvania, New York and Maryland. Although we have obtained licenses from states where we believe we are required to be licensed, it is possible that other states we are not aware of currently require out-of-state laboratories to obtain licensure in order to test specimens from the state, and that other states may adopt similar requirements in the future.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may also be subject to regulations in foreign jurisdictions as we seek to expand international utilization of our tests or as such jurisdictions adopt new licensure requirements, which may require review of our tests in order to offer them or may have other limitations such as restrictions on the transport of specimens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40"/>
          </w:cols>
          <w:pgMar w:left="320" w:top="448"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inability to receive reimbursement from Medicare, Medicaid and commercial payers,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order to test specimens from New York, LDTs must be approved by the New York State Department of Health, or NYSDOH, on a product-by-product basis before they are offered, and a version of our Tempus|xT test has been approved by NYSDOH. We will need to seek NYSDOH approval of any future LDTs we develop and want to offer for clinical testing to New York residents, and there can be no assurance that we will be able to obtain such approval. As a result, we are subject to periodic inspection by the NYSDOH and are required to demonstrate ongoing compliance with NYSDOH regulations and standards. To the extent NYSDOH identifies any non-compliance and we are unable to implement satisfactory corrective actions to remedy such non-compliance, the State of New York could withdraw approval for our tests.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and Atlanta laboratories, and we expect to apply for CAP accreditation for our planned Raleigh, North Carolina laboratory.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8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federal and state healthcare statutes and regulations; complying with such laws pertaining to our business is an expensive and time-consuming process, and any failure to comply could result in substantial penalties and a material adverse effect to our business, financial condition and results of operations.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may include, among others:</w:t>
      </w:r>
    </w:p>
    <w:p>
      <w:pPr>
        <w:spacing w:after="0" w:line="78" w:lineRule="exact"/>
        <w:rPr>
          <w:sz w:val="20"/>
          <w:szCs w:val="20"/>
          <w:color w:val="auto"/>
        </w:rPr>
      </w:pPr>
    </w:p>
    <w:p>
      <w:pPr>
        <w:jc w:val="both"/>
        <w:ind w:left="1000" w:hanging="549"/>
        <w:spacing w:after="0" w:line="245"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Anti-Kickback Statute, or AKS, which prohibits knowingly and willfully offering, paying, soliciting or receiving remuneration, directly or indirectly, overtly or covertly, in cash or in kind (e.g. provision of free or discounted goods, services or items), in return for or to induce such person to refer an individual, or to purchase, lease, order, arrange for or recommend purchasing, leasing or ordering, any good, facility, item or service that is reimbursable, in whole or in part, under a federal healthcare program. The term ‘‘remuneration’’ has been broadly interpreted to include anything of value, such as phlebotomy kits.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referrals, purchases or recommendations of covered items or services may be subject to scrutiny if they do not qualify for an exception or safe harbor. Failure to meet all of the requirements of a particular applicable statutory exception or regulatory safe harbor does not make the conduct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illegal under the AKS. Instead, the legality of the arrangement will be evaluated on a case-by-case basis based on a cumulative review of all its facts and circumstances. Several courts have held that if any one purpose of an arrangement involving remuneration is to induce referrals of federal healthcare covered business, the AKS has been violated. Moreover, a person or entity does not need to</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40"/>
          </w:cols>
          <w:pgMar w:left="320" w:top="448"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20"/>
        <w:spacing w:after="0" w:line="302" w:lineRule="auto"/>
        <w:rPr>
          <w:sz w:val="20"/>
          <w:szCs w:val="20"/>
          <w:color w:val="auto"/>
        </w:rPr>
      </w:pPr>
      <w:r>
        <w:rPr>
          <w:rFonts w:ascii="Times New Roman" w:cs="Times New Roman" w:eastAsia="Times New Roman" w:hAnsi="Times New Roman"/>
          <w:sz w:val="16"/>
          <w:szCs w:val="16"/>
          <w:color w:val="auto"/>
        </w:rPr>
        <w:t>have actual knowledge of the statute or specific intent to violate it in order to have committed a violation. Violations are subject to significant civil monetary penalties, plus up to three times the remuneration involved. Violations of the AKS may also result in criminal penalties, including additional fines and imprisonment of up to ten years, and exclusion from Medicare, Medicaid or other governmental healthcare programs;</w:t>
      </w:r>
    </w:p>
    <w:p>
      <w:pPr>
        <w:spacing w:after="0" w:line="54" w:lineRule="exact"/>
        <w:rPr>
          <w:sz w:val="20"/>
          <w:szCs w:val="20"/>
          <w:color w:val="auto"/>
        </w:rPr>
      </w:pPr>
    </w:p>
    <w:p>
      <w:pPr>
        <w:jc w:val="both"/>
        <w:ind w:left="1000" w:hanging="549"/>
        <w:spacing w:after="0" w:line="245"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or EKRA, which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10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 Accordingly, we cannot guarantee that our relationships with providers, sales representatives, or customers will not be subject to scrutiny or will withstand regulatory challenge under EKRA;</w:t>
      </w:r>
    </w:p>
    <w:p>
      <w:pPr>
        <w:spacing w:after="0" w:line="104"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Stark Law,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 causing to be presented a claim for the designated health services furnished pursuant to the prohibited referral, unless an exception applies. Sanctions for violating the Stark Law include denial of payment, significant civil monetary penalties (on a per claim basis and additional penalties for a circumvention scheme), and exclusion from the federal healthcare programs;</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Violations can result in significant civil monetary penalties for each wrongful act;</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“Anti-Markup” rules, which, among other things, typically prohibit a physician or supplier billing for clinical or diagnostic tests (with certain exceptions) from marking up the price of a purchased test performed by another physician or supplier that does not “share a practice” with the billing physician or supplier;</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4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biologicals, and kits, medical devices or supplies that require premarket approval by or notification to the FDA, and for which payment is available under Medicare, Medicaid or the Children’s Health Insurance Program to report annually to CMS, information related to (i) payments and other transfers of value to physicians (defined to include doctors, dentists, optometrists, podiatrists and chiropractors) and teaching hospitals, and, beginning in 2022, payments and other transfers of value provided to physician assistants, nurse practitioners, clinical nurse specialists, certified registered nurse anesthetists and certified nurse midwives during the previous year; and (ii) ownership and investment interests in such manufacturers held by physicians and their immediate family members. Failure to submit required information may result in significant civil monetary penalties for any payments, transfers of value or ownership or investment interests that are not timely, accurately, and completely reported in an annual submission, and may result in liability under other federal laws or regulations;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40"/>
          </w:cols>
          <w:pgMar w:left="320" w:top="448"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45"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government may bring a lawsuit under the False Claims Act, or the FCA, against any party whom it believes has knowingly or recklessly presented, or caused to be presented, a false or fraudulent request for payment from the federal government, or who has made a false statement or used a false record to get a claim for payment approved. The federal government and a number of courts have taken the position that claims presented in violation of certain other statutes, including the AKS or the Stark Law, can also be considered a violation of the FCA based on the theory that a provider impliedly certifies compliance with all applicable laws, regulations, and other rules when submitting claims for reimbursement. An FCA violation may provide the basis for the imposition of administrative penalties as well as exclusion from participation in governmental healthcare programs, including Medicare and Medicaid. A number of states including California have enacted laws that are similar to the federal FCA. Private individuals can bring FCA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actions, on behalf of the government and such individuals, commonly known as “whistleblowers,” may share in amounts paid by the entity to the government in fines or settlement. When an entity is determined to have violated the FCA, the government may impose civil fines and penalties for each false claim, plus treble damages, and exclude the entity from participation in federal healthcare programs;</w:t>
      </w:r>
    </w:p>
    <w:p>
      <w:pPr>
        <w:spacing w:after="0" w:line="104"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and abuse provisions, which created federal criminal statutes that prohibit, among other things, knowingly and willfully executing, or attempting to execute, a scheme to defraud any healthcare benefit program, including private insurers,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and their covered subcontractors;</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related to, among other things, unlawful schemes to defraud, excessive fees for services, unlawful trade practices, insurance fraud, kickbacks, patient inducement and statutory or common law fraud restrict the provision of products, services or items for free or at reduced charge to government or non-government healthcare program beneficiaries. These laws and regulations relating to the provision of items or services for free are complex and are subject to interpretation by the courts and by government agencies;</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state anti-kickback, self-referrals, false claims and anti-markup laws, any of which may extend to services reimbursable by any payer, including private insurers;</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302" w:lineRule="auto"/>
        <w:tabs>
          <w:tab w:leader="none" w:pos="10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laws that prohibit other specified practices, such as billing physicians for tests that they order; providing tests at no or discounted cost to induce adoption; waiving co-insurance, co-payments, deductibles or other amounts owed by patients; billing a state healthcare program at a price that is higher than what is charged to other payers; or employing, exercising control over or splitting fees with licensed medical professionals; and</w:t>
      </w:r>
    </w:p>
    <w:p>
      <w:pPr>
        <w:spacing w:after="0" w:line="53"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in the countries in which we operate or may operate in the future.</w:t>
      </w:r>
    </w:p>
    <w:p>
      <w:pPr>
        <w:spacing w:after="0" w:line="213"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As a clinical laboratory, our business practices may face additional scrutiny from various government agencies such as the Department of Justice, the U.S. Department of Health and Human Services Office of Inspector General, or OIG, and CMS. Certain arrangements between clinical laboratories and referring</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40"/>
          </w:cols>
          <w:pgMar w:left="320" w:top="448"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physicians have been identified in fraud alerts issued by the OIG as implicating the AKS. The OIG has stated that it is particularly concerned about these types of arrangements because the choice of laboratory and the decision to order laboratory tests typically are made or strongly influenced by the physician, with little or no patient input. Moreover, the provision of payments or other items of value by a clinical laboratory to a referral source could be prohibited under the Stark Law unless the arrangement meets all criteria of an exception. The government has been active in enforcement of these laws against clinical laboratories.</w:t>
      </w:r>
    </w:p>
    <w:p>
      <w:pPr>
        <w:spacing w:after="0" w:line="15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Numerous states have enacted laws prohibiting business corporations, such as us, from practicing medicine and from employing or engaging physicians and other medical professionals (generally referred to as the prohibition against the corporate practice of medicine), which could include physician laboratory directors. These laws are designed to prevent interference in the medical decision-making process by anyone who is not a licensed medical professional. For example, the medical boards of certain states have indicated that determining the appropriate diagnostic tests for a particular condition and taking responsibility for the ultimate overall care of a patient, including making treatment options available to the patient, would constitute the unlicensed practice of medicine if performed by an unlicensed person. Violation of these laws may result in sanctions and civil or criminal penalties. It is possible that governmental authorities may conclude that our business practices, including our consulting and advisory board arrangements with physicians and other healthcare providers, a small number of whom may receive stock or stock options as compensation for services provided, do not comply with current or future corporate practice of medicine statutes, regulations, agency guidance or case law.</w:t>
      </w:r>
    </w:p>
    <w:p>
      <w:pPr>
        <w:spacing w:after="0" w:line="19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growth and international expansion of our business may increase the potential of violating applicable laws and regulations. The risk is further increased by the fact that many such laws and regulations have not been fully interpreted by the regulatory authorities or the courts, and their provisions are open to a variety of interpretations. Efforts to ensure that our internal operations and business arrangements with third parties comply with applicable laws and regulations will involve substantial costs.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financial condition and results of operations. To the extent our business operations are found to be in violation of any of these laws or regulations, we may be subject to significant civil, criminal and administrative penalties, including, without limitation, damages, monetary fines, individual imprisonment, disgorgement of profits, possible exclusion from participation in Medicare, Medicaid and other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healthcare providers or other parties with whom we interact or may interact in the future, are found not to be in compliance with applicable laws and regulations, they may be subject to criminal, civil or administrative sanctions, including exclusions from participation in various healthcare programs, which could also negatively affect our business, financial condition and results of operations.</w:t>
      </w:r>
    </w:p>
    <w:p>
      <w:pPr>
        <w:spacing w:after="0" w:line="294" w:lineRule="exact"/>
        <w:rPr>
          <w:sz w:val="20"/>
          <w:szCs w:val="20"/>
          <w:color w:val="auto"/>
        </w:rPr>
      </w:pPr>
    </w:p>
    <w:p>
      <w:pPr>
        <w:ind w:left="460" w:right="1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the validity of an informed consent from patients regarding our tests was challenged, we could be forced to stop offering our products or using our resources, and our business, financial condition and results of operations could be negatively affected.</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seek to ensure that all data and biological samples that we receive from our customers have been collected from patients, subjects or participants who have provided the necessary informed consent for purposes that extend to our development activities. In many instances, this requires the physician or hospital system ordering the diagnostic system to obtain the consent of the patient. We also have certain relationships where data and samples, and certain data licensed to us by third parties, are provided to us in a de-identified manner. The collection and analysis of data and samples in many different jurisdictions results in complex legal questions regarding the adequacy of informed consent and the status of genetic material under a large number of different legal systems. Therefore, with respect to data and samples received from our customers, we rely on physicians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40"/>
          </w:cols>
          <w:pgMar w:left="320" w:top="448"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and hospital systems to comply, and with regard to data received from our suppliers, we rely on these third parties to comply, with the informed consent requirements and with applicable local law regarding informed consent. The subject’s informed consent obtained in any particular jurisdiction could be challenged in the future, and that consent could prove invalid, unlawful or otherwise inadequate for our purposes. Any findings against us, or our customers or suppliers, could deny us access to or force us to stop using some of our data and clinical samples, which would hinder our product development efforts, potentially involve us in costly and prolonged litigation, result in reputational harm and adversely affect our business, financial condition and results of operations.</w:t>
      </w:r>
    </w:p>
    <w:p>
      <w:pPr>
        <w:spacing w:after="0" w:line="288"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licensure requirements, or legal liability, if it is determined that through our test reports we are practicing medicine without a license.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Many of our test reports delivered to physicians provide information regarding therapies and clinical trials that physicians may use in making treatment decisions for their patients and certain other reports provide pharmacogenomic information. We make members of our organization available to discuss the information provided in the reports. Certain state laws prohibit the practice of medicine without a license. Our customer service representatives and medical affairs team provide support to our customers, including assistance in interpreting the test report results. A governmental authority or other parties could allege that the identification of available therapies and clinical trials in our reports and the related customer service we provide constitute the practice of medicine. A state may seek to have us discontinue the inclusion of certain aspects of our test reports or the related services we provide, or subject us to fines, penalties, or licensure requirements. Any determination that we are practicing medicine without a license may result in significant liability to us, and our business, financial condition and results of operations would be harmed.</w:t>
      </w:r>
    </w:p>
    <w:p>
      <w:pPr>
        <w:spacing w:after="0" w:line="287" w:lineRule="exact"/>
        <w:rPr>
          <w:sz w:val="20"/>
          <w:szCs w:val="20"/>
          <w:color w:val="auto"/>
        </w:rPr>
      </w:pPr>
    </w:p>
    <w:p>
      <w:pPr>
        <w:ind w:left="460" w:right="3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billing and claim processing are complex and time-consuming, and any delay in submitting claims or failure to comply with applicable billing requirements could hinder collection and have an adverse effect on our revenue.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Billing for our diagnostic tests is complex, time-consuming and expensive. Depending on the billing arrangement and applicable law, we bill various payers, such as Medicare, Medicaid, health plans, insurance companies, hospital systems, providers, and patients, all of which may have different billing requirements. Several factors make the billing process complex, including:</w:t>
      </w:r>
    </w:p>
    <w:p>
      <w:pPr>
        <w:spacing w:after="0" w:line="89" w:lineRule="exact"/>
        <w:rPr>
          <w:sz w:val="20"/>
          <w:szCs w:val="20"/>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prices for our tests and the reimbursement rates of payers;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 to the extent our tests are covered by such programs;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payers and the effect of patient co-payments or co-insurance;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pre-authorization and other billing requirements among payers;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codes and coding instructions governing our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 appeals process.</w:t>
      </w:r>
    </w:p>
    <w:p>
      <w:pPr>
        <w:spacing w:after="0" w:line="213"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business, financial condition and results of operations.</w:t>
      </w:r>
    </w:p>
    <w:p>
      <w:pPr>
        <w:spacing w:after="0" w:line="14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the coding procedure used by third-party payers to identify various procedures, including our tests, during the billing process is complex, does not adapt well to our tests and may not enable coverage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40"/>
          </w:cols>
          <w:pgMar w:left="320" w:top="448"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adequate reimbursement rates. Third-party payers usually require us to identify the test for which we are seeking reimbursement using a CPT code. CPT coding plays a significant role in how our diagnostic tests are reimbursed both from commercial and governmental payers. For example, no CPT code comprehensively describes our NGS oncology tests, so we have historically submitted claims using individual codes or combinations of codes based on the cancer subtype profiled. However, providers, such as the Local MAC, have in the past and may in the future disagree with our CPT code selection and instruct us to submit our claims using a different designated CPT code. Any disputes over appropriate coding, or requirements that we submit claims under codes with lower reimbursement rates, may materially adversely affect our business financial condition and results of operations,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Use of coding for billing our products that does not describe a specific test, requires the claim to be examined to determine what test was provided, whether the test was appropriate and medically necessary, and whether payment should be rendered, which may require a letter of medical necessity from the ordering physician. This process has in the past and may in the future result in a delay in processing the claim, a lower reimbursement amount or denial of the claim. For example, we are currently disputing denials of a substantial number of our NGS oncology tests by the Local MAC. Because billing third-party payers for our tests is an unpredictable, challenging, time-consuming and costly process, we may face long collection cycles and the risk that we may never collect at all, either of which could adversely affect our business, financial condition and results of operations, and we may have to increase collection efforts and incur additional costs.</w:t>
      </w:r>
    </w:p>
    <w:p>
      <w:pPr>
        <w:spacing w:after="0" w:line="290"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laws, regulations and policies could increase our costs, decrease our sales and revenues and negatively impact reimbursement for our tests.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Affordability Reconciliation Act, or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 Our business, financial condition and results of operations have been and will continue to be affected by the ACA, including in ways we cannot currently predict.</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It is unclear how any such challenges and litigation, and the healthcare reform measures of the Biden administration will impact the ACA and our business.</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2030, with a temporary suspension from May 1, 2020 through December 31, 2021 due to the COVID-19 pandemic, unless additional Congressional action is taken.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anticipate there will continue to be proposals by legislators at both the federal and state levels, regulators and commercial and government payers to reduce healthcare costs while expanding individual</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40"/>
          </w:cols>
          <w:pgMar w:left="320" w:top="448"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healthcare benefits. Certain of these changes could impose additional limitations on the prices we will be able to charge for our tests, the coverage of, or the amounts of reimbursement available for our tests from commercial and government payers. Further, it is possible that additional governmental action will be taken in response to the COVID-19 pandemic.</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handling of hazardous materials and other regulations governing environmental safety.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in manufacturing and in our products, and the generation, transportation and storage of waste. We could discover that we or our suppliers are not in material compliance with these regulations. Existing laws and regulations may also be revised or reinterpreted, or new laws and regulations may become applicable to us, whether retroactively or prospectively, that may have a negative effect on our business, financial condition and results of operations. It is also impossible to eliminate completely the risk of accidental environmental contamination or injury to individuals. In such an event, we could be liable for any damages that result, which could adversely affect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6" w:lineRule="exact"/>
        <w:rPr>
          <w:sz w:val="20"/>
          <w:szCs w:val="20"/>
          <w:color w:val="auto"/>
        </w:rPr>
      </w:pPr>
    </w:p>
    <w:p>
      <w:pPr>
        <w:ind w:left="460" w:right="3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7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rely on patent protection as well as trademark, copyright, trade secret and other intellectual property rights protection and contractual restrictions to protect our Platform, products and other proprietary technologies, all of which provide limited protection and may not adequately protect our rights or permit us to gain or keep any competitive advantage. If we fail to protect our intellectual property, third parties may be able to compete more effectively against us. In addition, we have incurred and may continue to incur substantial litigation costs in our attempts to recover or restrict use of our intellectual property.</w:t>
      </w:r>
    </w:p>
    <w:p>
      <w:pPr>
        <w:spacing w:after="0" w:line="15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and results of operations. Both the patent application process and the process of managing patent disputes can be time-consuming and expensive. Our pending and future owned and licensed patent applications may not result in patents being issued which protect our technology, effectively prevent others from commercializing competitive technologies or otherwise provide any competitive advantage. In fact, patent applications may not issue as patents at all. In addition, the coverage claimed in a patent application can be significantly reduced before the patent is issued, and its scope can be reinterpreted after issuance.</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depends in part on our ability to obtain and maintain protection of the intellectual property we own solely and may own jointly with others or we have licensed and may continue to license from others, particularly patents, in the United States and other countries with respect to our products and technologies. We apply for patents covering our products and technologies and uses thereof, as we deem appropriate. However, obtaining and enforcing patents, and specifically biotechnology patents, is costly, time-consuming and complex, and we may fail to apply for patents on important products, services and technologies in a timely fashion or at all, or we may fail to apply for patents in potentially relevant jurisdictions. We may not be able to obtain or maintain patent applications and patents due to the subject matter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40"/>
          </w:cols>
          <w:pgMar w:left="320" w:top="448"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claimed in such patent applications and patents being in disclosures in the public domain. In some cases, the inventions we attempt to patent may have been previously discovered by others and entered the public domain, which may preclude our ability to obtain patent protection for such inventions.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Moreover, we may not have the right to control the preparation, filing and prosecution of patent applications, or to maintain the rights to patents licensed to us. Therefore, these patents and applications may not be prosecuted and enforced in a manner consistent with the best interests of our business.</w:t>
      </w:r>
    </w:p>
    <w:p>
      <w:pPr>
        <w:spacing w:after="0" w:line="189"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own or license numerous U.S. patents and pending U.S. patent applications, with international counterparts in certain countries. It is possible that our or our licensors’ pending patent applications will not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to circumvent our owned or licensed patents by developing similar or alternative technologies or therapeutics in a non-infringing manner. If the patent protection provided by the patents and patent applications we own or license is not sufficiently broad to impede such competition, our ability to successfully commercialize our products could be negatively affected, which could have a material adverse effect on our business, financial condition and results of operations. Some of our patent rights may be challenged in the future, including at the United States Patent and Trademark Office, or USPTO, in post-grant proceedings, at the European Patent Office, or EPO, in opposition proceedings. We may not be successful in defending any such challenges made against our owned or licensed patents or patent applications. Any successful third-party challenge to such patent rights could result in their unenforceability or invalidity and increased competition to our business. We have challenged and may choose to challenge the patents or patent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37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As a result, the issuance, scope, validity, enforceability and commercial value of any patent rights are highly uncertain.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 sequences.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particular, the patent positions of companies engaged in the development and commercialization of genomic and algorithmic diagnostic tests, like our current products and services, and our future products, are particularly uncertain. Various courts, including the U.S.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an abstract idea, natural phenomenon or law of nature is uncertain, and it is possible that certain aspects of genetic or algorithmic diagnostics tests would be found not patentable. Accordingly, the evolving legal and administrative standards around the world, including in the United States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40"/>
          </w:cols>
          <w:pgMar w:left="320" w:top="448"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may adversely affect our ability to obtain patents and may facilitate third-party challenges to any owned or licensed patents. The laws of some foreign jurisdictions do not protect intellectual property rights to the same extent as the laws of the United States, and we may encounter difficulties in protecting and defending such rights in foreign jurisdictions. The legal systems of many foreign jurisdictions do not favor the enforcement of patent rights and other intellectual property protection, particularly those relating to biotechnology, which could make it difficult for us to stop the infringement of our patent rights and other violations of our intellectual property rights thereunder. Proceedings to enforce our patent rights and other intellectual property protection in foreign jurisdictions could result in substantial cost and divert our efforts and attention from other aspects of our business.</w:t>
      </w:r>
    </w:p>
    <w:p>
      <w:pPr>
        <w:spacing w:after="0" w:line="288"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Platform and products.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or regions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America Invents Act, or the America Invents Act, enacted in September 16,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products or (ii) invent any of the inventions claimed in our or our licensor’s patents or patent applications.</w:t>
      </w:r>
    </w:p>
    <w:p>
      <w:pPr>
        <w:spacing w:after="0" w:line="16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 xml:space="preserve">The America Invents Act also includes a number of significant changes that affect the way patent applications are prosecuted and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to attack the validity of a patent.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might not be sufficient to invalidate the claim if presented in a district court action. Accordingly, third parties have used and may continue to use the USPTO proceedings to invalidate our patent claims that would not have been invalidated if first challenged by the third party in a district court action. Therefore, the America Invents Act and its implementation could increase the uncertainties and costs surrounding our or our licensors’ prosecution of patent applications and enforcement or defense of issued patents, all of which could have a material adverse effect on our business, financial condition and results of operations.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patent positions of companies engaged in the development and commercialization of biotechnology and software are particularly uncertain. Court rulings may narrow the scope of patent protection available in certain circumstances and weaken the rights of patent owners in certain situations. We cannot predict how decisions by the courts, the U.S. Congress or the USPTO may impact the value of our patents. Any similar adverse changes in the patent laws of other jurisdictions could also have a material adverse effect on our business, financial condition and results of operations. Depending on future actions by the U.S. Congress, the federal courts and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40"/>
          </w:cols>
          <w:pgMar w:left="320" w:top="448"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USPTO, the laws and regulations governing patents could change in unpredictable ways that could have a material adverse effect on our existing patent portfolio and our ability to protect and enforce our intellectual property in the future. Any of the foregoing could have a material adverse effect on our business, financial condition and results of operations.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Platform or products could be found invalid or unenforceable if challenged.</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owned and licensed patents and patent applications may be subject to priority, validity, inventorship and enforceability disputes. If we or our licensors are unsuccessful in any of these proceedings, such patents and patent applications may be narrowed, invalidated or held unenforceable and we may be required to obtain licenses from third parties, which may not be available on commercially reasonable terms or at all, or we may be required to cease the development, manufacture and commercialization the products we may develop. Any of the foregoing could have a material adverse effect on our business, financial condition and results of operations.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owned and licensed patents may be challenged in courts or patent offices in the United States and abroad. Some of our owned or licensed patent rights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and other similar proceedings in foreign jurisdictions. Any successful third-party challenge to our patent rights in this or any other proceeding could result in the narrowing, unenforceability or invalidity, in whole or in part, of such patent rights, which may lead to increased competition to our business, which could harm our business, financial condition and results of operations. In addition, if the breadth or strength of protection provided by our patents and patent applications is threatened, regardless of the outcome, it could dissuade companies from collaborating with us to license, develop or commercialize our current or future products.</w:t>
      </w:r>
    </w:p>
    <w:p>
      <w:pPr>
        <w:spacing w:after="0" w:line="189"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We may not be aware of all third-party intellectual property rights potentially relating to our Platform and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participate in interference proceedings, derivation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Our licensors may also license patent rights to others, and we may not be aware of such licenses before they are granted or such licenses may be subject to disputes or uncertainties that affect patent rights licensed by us or could limit our ability to enforce such patent rights. If third parties bring actions against our owned or licensed patent rights, we could experience significant costs and management distraction.</w:t>
      </w:r>
    </w:p>
    <w:p>
      <w:pPr>
        <w:spacing w:after="0" w:line="16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patent litigation in the United States or abroad, defendant counterclaims alleging invalidity or unenforceability are commonplace. Grounds for a validity challenge could be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relevant information from the USPTO or made a misleading statement during prosecution. Similar claims may also be raised before administrative bodies in the United States or abroad, even outside the context of litigation, through mechanisms including re-examination, post-grant review and equivalent proceedings in foreign jurisdictions (e.g., opposition proceedings). Such proceedings could result in revocation or amendment to our patent rights in such a way that they no longer cover our Platform and products. The outcome of patent litigation or patent office proceedings following assertions of invalidity and unenforceability is unpredictable. With respect to the validity question, for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40"/>
          </w:cols>
          <w:pgMar w:left="320" w:top="448"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example, we cannot be certain that there is no invalidating prior art, of which we and our licensing partners and the patent examiner were unaware during prosecution. If a third party were to prevail on a legal assertion of invalidity and/or unenforceability, we would lose at least part, and perhaps all, of the patent protection on our Platform and products. Such a loss of patent protection could have a material adverse impact on our business, financial condition and results of operations.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and our licensors may initiate or become involved in legal proceedings against a third party to enforce a patent covering our Platform or one of our products. Defendants in such proceedings could counterclaim that the patents covering our Platform or product are invalid or unenforceable and could institute legal proceedings to challenge such patents both in court and before patent offices.</w:t>
      </w:r>
    </w:p>
    <w:p>
      <w:pPr>
        <w:spacing w:after="0" w:line="28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to provide certain products, and if we lose these licenses or if our rights under these licenses are limited, then our business will be adversely impacted.</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and we may acquire companies that are, party to various license agreements that grant us rights to use certain intellectual property, including de-identified patient data, artificial intelligence software, and certain patents and patent applications, typically in certain specified fields of use. We may need to obtain additional licenses from others to advance our research, development and commercialization activities. Our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in the future. As a result, we may not be able to prevent competitors or other third parties from developing and commercializing competitive products, including in territories covered by our licenses.</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If these licenses are terminated, or if the underlying intellectual property rights fail to provide the intended rights and protections, our ability to develop and commercialize products and technology covered by these license agreements would be limited or lost, and our competitors or other third parties might have the freedom to develop, produce, seek regulatory approval of, or to market, products identical or similar to ours and we may be required to cease our development and commercialization activities. Our actual or potential licensors could also take action with respect to our licensed intellectual property that may decrease the value of such licensed intellectual property. Any of the foregoing could have a material adverse effect on our business, financial condition and results of operations.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Moreover, disputes could arise with respect to any aspect of our license agreements, including:</w:t>
      </w:r>
    </w:p>
    <w:p>
      <w:pPr>
        <w:spacing w:after="0" w:line="121" w:lineRule="exact"/>
        <w:rPr>
          <w:sz w:val="20"/>
          <w:szCs w:val="20"/>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Platform, products, and processes infringe, misappropriate, or otherwise violate the intellectual property of the licensor that is not subject to the licensing agreement;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of patent and other rights controlled by our licensors or developed under our collaborative development relationships to others;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licensed to us or resulting from the joint creation or use of intellectual property by our licensors, us and/or our partners;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enforceability or priority of licensed patent rights.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If we do not prevail in such disputes, we may lose any of such license agreements, the license agreements may not be meaningful for our business and operations, and we may be subject to unnecessary or additional payment obligations.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40"/>
          </w:cols>
          <w:pgMar w:left="320" w:top="448"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could be susceptible to multiple interpretations. The resolution of any such contract interpretation disagreement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and results of operations. Moreover, if disputes over licensed intellectual property impair our ability to enforce licensed intellectual property against third parties or use it to defend ourselves in litigation, the value of such licensed intellectual property may be diminished.</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Additionally, our licenses may be subject to certain rights of third parties, and, as a result, our current and future licenses may not provide us with exclusive rights to use the licensed intellectual property and technology. Such licenses may be subject to reservations of rights including certain non-commercial rights reserved by universities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87"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If we fail to maintain our current licensing arrangements on commercially acceptable terms, we may be unable to successfully develop and commercialize the affected product, which could have a material adverse effect on our business, financial condition and results of operations. If any of these license agreements is terminated, if the licensor fails to abide by the terms of the license agreement, if the licensor fails to prevent infringement, misappropriation, or other violations by third parties, or if the licensed patent or other rights are found to be invalid or unenforceable, we may lose our rights to develop and market our technology, may be unable to achieve our business goals and our results of operations and financial condition could be adversely affected.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Absent the license agreements, we could infringe, misappropriate or otherwise violate patents or other intellectual property rights subject to those agreements, and if the license agreements are terminated, we may be subject to litigation by the licensor. Litigation could result in substantial costs and be a distraction to management. If we do not prevail, we may be required to pay damages, including treble damages, attorneys’ fees, costs and expenses, royalties or, be enjoined from selling our products and services, including our tests, which could adversely affect our ability to offer products and our business, financial condition and results of operations.</w:t>
      </w:r>
    </w:p>
    <w:p>
      <w:pPr>
        <w:spacing w:after="0" w:line="200" w:lineRule="exact"/>
        <w:rPr>
          <w:sz w:val="20"/>
          <w:szCs w:val="20"/>
          <w:color w:val="auto"/>
        </w:rPr>
      </w:pPr>
    </w:p>
    <w:p>
      <w:pPr>
        <w:spacing w:after="0" w:line="279"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and maintain rights to use third-party intellectual property on reasonable terms, we may not be able to successfully commercialize our products. Our licensed or acquired technology may lose value or utility over time.</w:t>
      </w:r>
    </w:p>
    <w:p>
      <w:pPr>
        <w:spacing w:after="0" w:line="6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From time to time, we may identify third-party intellectual property we may need, including to develop or commercialize new products. We may also need to negotiate licenses before or after introducing a commercial product, and we may not be able to obtain necessary licenses to such intellectual property.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enter into the necessary licenses on acceptable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40"/>
          </w:cols>
          <w:pgMar w:left="320" w:top="448"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terms or at all, if any necessary licenses are subsequently terminated, if the licensors fail to abide by the terms of the licenses or fail to prevent infringement, misappropriation, or other violations by third parties, or if the licensed patents or other rights are found to be invalid or unenforceable, our business, financial condition and results of operations may suffer. In addition, any technology licensed or acquired by us may lose value or utility, including as a result of a change in the industry, in our business objectives, others’ technology, our dispute with the licensor, and other circumstances outside our control. In return for the use of a third party’s technology, we may agree to pay the licensor royalties based on sales of our products or services. Royalties are a component of the cost of products and affect the margins on our products. If we are unable to negotiate reasonable royalties or if we have to pay royalties on technology that becomes less useful for us or ceases to provide value to us, our profit margin will be reduced and we may suffer losses.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or enforce our intellectual property rights adequately throughout the world.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Filing, prosecuting and defending patents and trademarks on our Platform and products in all countries throughout the world would be prohibitively expensive, and our intellectual property rights in some territories outside the United States are less extensive than those in the United States. In some cases, we or our licensors may not be able to obtain patent or trademark protection for certain technology outside of the United States. In addition, the laws of some foreign countries and regions do not protect intellectual property rights to the same extent as the federal and state laws in the United States, and we may encounter difficulties in protecting and defending such rights in foreign jurisdictions where we do pursue patent or trademark protection. Consequently, we may not be able to prevent third parties from practicing our inventions in all jurisdictions, or from selling or importing products made using our inventions in and into the United States or other jurisdictions. Competitors may use our inventions in jurisdictions where we have not pursued and obtained patent protection to develop their own products and may also export otherwise infringing products to territories where we have patent protection, but enforcement is not as strong as that in the United States. These products may compete with our products. Our patents or other intellectual property rights existing outside the United States may not be effective or sufficient to prevent them from competing. Similarly, intellectual property rights may be exhausted in certain situations, and others could import our products sold abroad and compete with us domestically.</w:t>
      </w:r>
    </w:p>
    <w:p>
      <w:pPr>
        <w:spacing w:after="0" w:line="19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and regions, and particularly developing countries, do not favor the enforcement of patents, trademarks, trade secrets and other intellectual property protection, particularly those relating to biotechnology products, which could make it difficult for us to stop the infringement, misappropriation or other violations of our patents, trademarks or other intellectual property, or marketing of competing products in violation of our intellectual property rights generally in such jurisdictions. Proceedings to enforce our patent or other intellectual property rights in foreign jurisdictions could result in substantial costs and divert our efforts and attention from other aspects of our business, could put our patents or other intellectual property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 Accordingly, our efforts to enforce our intellectual property rights around the world may be inadequate to obtain a significant commercial advantage.</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and results of operations could be materially and adversely affected.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40"/>
          </w:cols>
          <w:pgMar w:left="320" w:top="448"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Platform and other technology could be materially adversely affected and our business could be harmed.</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In addition to pursuing patents on our Platform and other technology, we take steps to protect our intellectual property and proprietary know-how and technology that is not patentable or that we elect not to patent, including certain of our algorithms and software. We seek to protect our trade secrets and proprietary know-how and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use or disclosure. If we are required to assert our rights against such party, it could result in significant cost and distraction.</w:t>
      </w:r>
    </w:p>
    <w:p>
      <w:pPr>
        <w:spacing w:after="0" w:line="37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Monitoring unauthorized use or disclosure is difficult, and we do not know whether the steps we have taken to prevent such use or disclosure are, or will be, adequate. If we were to enforce a claim that a third party had illegally obtained and was using our trade secrets, it would be expensive and time-consuming, and the outcome would be unpredictable. In addition, trade secrets can be difficult to protect and some courts inside and outside the United States are less willing or unwilling to protect trade secrets.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proprietary information by maintaining physical security of our premises and physical and electronic security of our information technology systems, but it is possible that these security measures could be breached and we may not have adequate remedies for any breach. If any of our confidential proprietary information were to be lawfully obtained or independently developed by a competitor, absent patent protection, we would have no right to prevent such competitor from using that technology or information to compete with us, which could harm our competitive position.</w:t>
      </w:r>
    </w:p>
    <w:p>
      <w:pPr>
        <w:spacing w:after="0" w:line="288"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their former employers.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employed or engaged and expect to employ or engage individuals who were previously employed at or associated with universities or other companies, including our competitors or potential competitors. Although we try to ensure that our employees, consultants and independent contractors do not use the proprietary information or know-how of others in their work for us, we have in the past been, and may again in the future be, subject to claims that our employees, consultants or independent contractors have inadvertently or otherwise used or disclosed trade secrets or other proprietary information of their former employers or other third parties, or to claims that we have improperly used or obtained such trade secrets. Litigation may be necessary to defend against these claims. If we lose, in addition to paying monetary damages, we may be deprived of valuable intellectual property and face increased competition. A loss of key research personnel or work product could hamper or prevent our ability to commercialize potential products, which could harm our business. Even if we are successful in defending against these claims, litigation could result in damage to our reputation and substantial costs and be a distraction to management and affected individuals.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40"/>
          </w:cols>
          <w:pgMar w:left="320" w:top="448"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we could infringe or otherwise violate others’ trademarks and if our trademarks are not adequately protected, then we may not be able to build name recognition in our markets of interest.</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not yet registered trademarks in all of our potential markets, although we have registered Tempus and certain diagnostic test names for certain classes of goods and services in the United States. If we apply to register additional trademarks in the United States and other countries, our applications may not be allowed for registration in a timely fashion or at all, and our registered trademarks may not be maintained or enforced and our trademarks may be challenged, infringed, circumvented or declared generic or determined to be infringing on or otherwise violating another mark. For example, opposition or cancellation proceedings may be filed against our trademark applications and registrations, and our trademarks may not survive such proceedings. Such proceedings can be expensive and time-consuming, particularly for a company of our size. If we do not timely register and enforce marks used in connection with our Platform or products, we may encounter difficulty in enforcing them against third parties, and if these marks are registered by others, we could infringe or otherwise violate such trademarks.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which we need to build name recognition among potential partners or customers in our markets of interest. At times, competitors or other third parties may adopt trademarks similar to ours, thereby impeding our ability to build brand identity and possibly leading to market confusion. In addition, there could be potential trademark infringement or other violation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 Our efforts to enforce or protect our proprietary rights related to trademarks may be ineffective and could result in substantial costs and diversion of resources. Any of the foregoing could have a material adverse effect on our business, financial condition and results of operations.</w:t>
      </w:r>
    </w:p>
    <w:p>
      <w:pPr>
        <w:spacing w:after="0" w:line="290"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owned or licensed intellectual property or claims asserting ownership of what we regard as our own intellectual property.</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 material adverse effect on our business, financial condition and results of operations.</w:t>
      </w:r>
    </w:p>
    <w:p>
      <w:pPr>
        <w:spacing w:after="0" w:line="186"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or our licensors may be subject to claims that former employees, collaborators or other third parties have an interest in or right to our owned or licensed patents, trade secrets or other intellectual property. For example, we or our licensors may have inventorship disputes arise from conflicting obligations of employees, consultants or others who are involved in developing such intellectual property. Litigation may be necessary to defend against these and other claims challenging inventorship or ownership of our owned or licensed patents, trade secrets or other intellectual property. If we or our licensors fail in defending against any such claims, in addition to paying monetary damages, we may lose exclusive ownership of, or right to use, valuable intellectual property. An inability to incorporate such technologies or features would harm our business and may prevent us from successfully commercializing our products or at all. In addition, we may lose personnel as a result of such claims and any such litigation or the threat thereof may adversely affect our ability to hire employees or contract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40"/>
          </w:cols>
          <w:pgMar w:left="320" w:top="448"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independent contractors. A loss of key personnel or their work product could hamper or prevent our ability to commercialize our products. Even if we are successful in defending against such claims, litigation could result in damage to our reputation and substantial costs and be a distraction to management and other employees. Any of the foregoing could have a material adverse effect on our business, financial condition and results of operations.</w:t>
      </w:r>
    </w:p>
    <w:p>
      <w:pPr>
        <w:spacing w:after="0" w:line="281"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may become involved with litigation or USPTO actions with various third parties. We expect that the number of such claims may increase as the number of our products grows, and the level of competition in our industry segments increases. Given the vast number of patents in our field of technology, we cannot be certain or guarantee that we do not infringe existing patents or that we will not infringe patents that may be granted in the future. Many companies and institutions have filed, and continue to file, patent applications related to the development and commercialization of genomic and algorithmic diagnostic tests. Some of these patent applications have already been allowed or issued and others may issue in the future. Since this area is competitive and of strong interest to biotechnology companies, there will likely be additional patent applications filed and additional patents granted in the future, as well as additional research and development programs expected in the future. If a patent holder believes the manufacture, use, sale or importation of our products infringe its patent, the patent holder may sue us even if we own or have licensed other patent protection for our technology. The biotechnology industry is characterized by extensive and complex litigation regarding patents and other intellectual property rights. Moreover, we may face patent infringement claims from nonpracticing entities that have no relevant product revenue and against whom our owned or licensed patent portfolio may therefore have no deterrent effect. Any infringement claim, regardless of its validity, could harm our business by, among other things, resulting in time-consuming and costly litigation, diverting management’s time and attention from the development of our business, or requiring the payment of monetary damages (including treble damages, attorneys’ fees, costs and expenses if we are found to have willfully infringed) and ongoing royalties.</w:t>
      </w:r>
    </w:p>
    <w:p>
      <w:pPr>
        <w:spacing w:after="0" w:line="19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Litigation may be necessary for us to enforce our intellectual property and proprietary rights or to determine the scope, coverage and validity of the intellectual property and proprietary rights of others. The outcome of such lawsuits, as well as any other litigation or proceeding, is inherently uncertain and might not be favorable to us. Further, we could encounter delays in product introductions, or interruptions in the sale of products, as we develop alternative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If we do not prevail in such legal proceedings, we may be required to pay damages, and we may lose significant intellectual property protection for our products, such that competitors could copy our products. Any litigation that may be necessary in the future could result in substantial costs and diversion of resources and could have a material adverse effect on our business, financial condition and results of operations.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we move into new markets and applications for our Platform or products, incumbent participants in such markets may assert their patents and other intellectual property or proprietary rights against us as a means of slowing our entry into such markets or as a means to extract substantial license and royalty payments from us. As our business matures and our public profile grows, we may also be subject to an increased number of allegations of patent infringement, whether by our competitors or other patent owners, both in the United States and throughout the world wherever we seek to commercialize our products. Our competitors and others may have significantly larger and more mature patent portfolios than we have. In addition, while we can assert our own patents or other rights during litigation, our own patents may provide little or no deterrence or protection against patent holding companies or other patent owners who have no relevant product or service revenue. Therefore, our commercial success may depend in part on our non-infringement of the patents or other rights of third parties and on our success in defending ourselves in litigation.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40"/>
          </w:cols>
          <w:pgMar w:left="320" w:top="448"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 xml:space="preserve">However, our research, development and commercialization activities may be subject to claims that we infringe or otherwise violate patents or other intellectual property rights owned or controlled by third parties. 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proceedings before the USPTO, and corresponding proceedings before foreign patent offices. Numerous U.S. and foreign issued patents and pending patent applications, which are owned by third parties, exist in the fields in which we are developing products. As the intelligent medicine and healthcare data analytics industries expand and more patents are issued, the risk increases that our Platform or products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our competitors have asserted and may in the future assert that our Platform or products infringe, misappropriate or otherwise violate their intellectual property rights as part of a business strategy to impede our successful entry into or growth in those markets, and we may enforce our owned or licensed intellectual property rights against our competitors and other parties.</w:t>
      </w:r>
    </w:p>
    <w:p>
      <w:pPr>
        <w:spacing w:after="0" w:line="37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Third parties may assert that we are employing their patents, proprietary technology or trade secrets without authorization. By interacting with us, our licensors may learn more about our business or technology and could assert additional patent rights against us, such as patent rights that are not currently licensed to us or patent rights that may be obtained by any such licensors in the future, which may occur if such patent rights are not available for licensing or if they are not offered on acceptable or commercially reasonable terms. Because patent applications can take many years to issue and are not publicly available until a certain period of time passes from filing, there may be currently pending patent applications which may later result in issued patents that our current or future products and services may infringe. In addition, similar to what other companies in our industry have experienced, we expect our competitors and others may develop or obtain patents with our Platform or products in mind and claim that making, having made, using, selling, offering to sell or importing our products infringes these patents.</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Even if we believe such claims are without merit, a court of competent jurisdiction could hold that these third-party patents are valid, enforceable and infringed, which could adversely affect our ability to commercialize our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can be no assurance that a court of competent jurisdiction would invalidate the claims of any such U.S. patent or find that our technology did not infringe any such claims. Further, even if we were successful in defending against any such claims, such claims could require us to incur substantial costs and divert financial resources and the attention of our management and technical personnel in defending against any of these claims. Parties making claims against us may be able to sustain the costs of complex patent litigation more effectively than we can, for example, because they have substantially greater resources.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If any third-party patent were to be asserted against us, there can be no assurance that any defenses will be successful. If our defenses to such assertion were unsuccessful, the third-party making claims against us may be able to obtain injunctive or other relief, including by court order, which could block our ability to develop, commercialize and sell certain products,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and obtain one or more licenses from third parties, or be prohibited from selling certain products. Further, we may be required to redesign our technology in a non-infringing manner which may not be commercially feasible. We could also be required or may choose to obtain a license from such third party to continue developing, manufacturing and marketing our technology. However, we may not be able to obtain these licenses on acceptable or commercially reasonable terms, if at all, or these licenses may be non-exclusive, which</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40"/>
          </w:cols>
          <w:pgMar w:left="320" w:top="448"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could result in our competitors gaining access to the same intellectual property. In addition, we could encounter delays in product introductions while we attempt to develop alternative products to avoid infringing third-party patents or otherwise violating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Any of the foregoing could have a material adverse effect on our business, financial condition and results of operations.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scientific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28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and trademark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and trademarks and trademark applications will be due to be paid to the USPTO and various governmental patent agencies outside of the United States at several stages over the lifetime of the patents and/or applications and trademarks and trademark applications. We have systems in place to remind us to pay these fees, and we rely on our outside counsel to pay these fees due to U.S. and non-U.S. patent and trademark agencies. The USPTO and various foreign governmental patent and trademark agencies require compliance with a number of procedural, documentary, fee payment and other similar requirements during the patent and trademark application processes. In many cases, an inadvertent lapse can be cured by payment of a late fee or by other means in accordance with the applicable rules. However, there are situations in which non-compliance can result in abandonment or forfeiture of the patent or patent application or trademark or trademark application and thus the partial or complete loss of patent or trademark rights in the relevant jurisdiction. Such an event would allow our competitors to enter the unprotected market and have a material adverse effect on our business, financial condition and results of operations.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for an adequate amount of time.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Platform or products are obtained, once the patent life has expired, we may be open to competition. Given the amount of time required for the development, testing and regulatory review of our new products, patents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40"/>
          </w:cols>
          <w:pgMar w:left="320" w:top="448"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protecting them might expire before or shortly after they are commercialized. As a result, our owned and licensed patent portfolio may not provide us with a sufficient exclusivity period to exclude others from commercializing products similar or identical to ours.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8" w:lineRule="exact"/>
        <w:rPr>
          <w:sz w:val="20"/>
          <w:szCs w:val="20"/>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ours, but that are not covered by the claims of the patents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make the inventions covered by the issued patent or pending patent applications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file patent applications covering certain of our or their inventions;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now or in the future may be held invalid or unenforceable, including as a result of legal challenges by our competitors;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or</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104"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 or may require us to publicly disclose our proprietary software.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or other violation claims or the quality of the code. Some open source software licenses contain requirements that the licensee make its source code publicly available if the licensee creates modifications or derivative works using the open source software or provide software services at no cost to the user,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40"/>
          </w:cols>
          <w:pgMar w:left="320" w:top="448"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seeking enforcement of open source license provisions, asserting ownership of open source software incorporated in products and demanding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Platform and systems.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There is little legal precedent and the terms of many open source software licenses have not been interpreted by United States courts, and there is a risk that these licenses could be construed in a way that could impose unanticipated conditions or restrictions on our ability to commercialize our products. Moreover, we cannot assure investors that our processes for monitoring and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6"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COVID-19 global pandemic and the worldwide attempts to contain it could harm our business and our results of operations have been and could continue to be adversely impacted by such pandemic.</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COVID-19 global pandemic and the various attempts throughout the world to contain it, have created significant volatility, uncertainty and disruption. In response to government directives and guidelines, health care advisories and employee and customer concerns, we altered certain aspects of our operations. Many of our employees worked remotely from home and those on site followed social distance guidelines, which have impacted their productivity. Any resurgence of COVID-19 could cause us or government authorities to reimpose these operating restrictions.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also experienced significant reduction in access to our customers, including restrictions on our ability to market and distribute our tests and to collect samples. Our partners, vendors and customers similarly had their operations altered or temporarily suspended. Due to impacts and measures resulting from the COVID-19 pandemic, we experienced and could again experience unpredictable reductions in the demand for our tests as healthcare customers divert medical resources and priorities toward the treatment of the virus. To the extent the COVID-19 pandemic continues to cause or again causes severe disruption, vendors of equipment and reagents for our operations could also reduce production or even go out of business, resulting in supply constraints for us. The COVID-19 pandemic has resulted in, and could continue to cause, increased costs or delays to production and development of our products.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full extent to which the COVID-19 pandemic and the various responses to it impacts our business, operations and financial results will depend on numerous evolving factors that we may not be able to accurately predict, including: the duration and scope of the pandemic, including any resurgence in the United States; governmental, business and individuals’ actions that have been and continue to be taken in response to the pandemic; the availability, cost to access and effectiveness of COVID-19 tests, vaccines and medicines; the effect on our customers and customer demand for and ability to pay for our tests; restrictions on our employees’ ability to work and travel; disruptions related to the distribution of our tests, including impacts on logistics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40"/>
          </w:cols>
          <w:pgMar w:left="320" w:top="448"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shipping and receiving blood collection kits; and any stoppages, disruptions or increased costs associated with development, production and marketing of our products. During the COVID-19 pandemic, we may not be able to maintain the same level of customer outreach and service, which could negatively impact our customers’ perception of us. We will continue to actively monitor the issues raised by the COVID-19 pandemic and may take further actions that alter our operations, as may be required by federal, state, local or foreign authorities, or that we determine are in the best interests of our employees, customers and stockholders. It is not clear what the potential effects any such alterations or modifications may have on our business, including the effects on our financial results.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COVID-19 pandemic has also led to uncertainties related to our growth, forecast and trends. Our historic results such as revenues, operating margins, cash flows, tests performed, and other financial and operating metrics, may not be indicative of our results for future periods. For example, we expect our COVID-19 diagnostic testing revenue to decline substantially over time as the COVID-19 pandemic wanes and demand for testing subsides. In addition, increases in the number of diagnostic tests performed by us prior to the COVID-19 pandemic may reflect an acceleration of growth that we may not see during or after the COVID-19 pandemic. The COVID-19 pandemic and its future developments present uncertainties with respect to our performance, financial condition, volume of business, results of operations, and cash flows. Due to the uncertain scope and duration of the COVID-19 pandemic and uncertain timing of any recovery or normalization, we are currently unable to estimate the resulting impacts on our operations and financial results. In addition to the impacts to our business, the global economy is likely to be significantly weakened as a result of actions taken in response to the COVID-19 pandemic. To the extent that such a weakened global economy impacts customers’ ability or willingness to pay for our tests, our business, financial condition and results of operations could be negatively impacted.</w:t>
      </w:r>
    </w:p>
    <w:p>
      <w:pPr>
        <w:spacing w:after="0" w:line="290"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made acquisitions of businesses, technologies and assets and may pursue additional acquisitions in the future. We also may pursue strategic alliances and additional joint ventures that leverage our Platform and industry experience to expand our product offerings or distribution. We have limited experience with acquisitions and forming strategic partnerships. We compete for those 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If we make any acquisitions, we may not be able to integrate these acquisitions successfully into our existing business, and we could assume unknown or contingent liabilities. Difficulties in assimilating acquired businesses include redeployment or loss of key employees and their severance, combination of teams and processes in various functional areas, reorganization or closures of facilities, relocation or disposition of excess equipment, and increased litigation, regulatory and compliance risks, any of which could be expensive and time consuming and adversely affect us. Integration of an acquired business also may disrupt our ongoing operations and require management resources that we would otherwise focus on developing our existing business. In addition, any acquisition could result in the incurrence of debt, contingent liabilities or future write-offs of intangible assets or goodwill, any of which could have a material adverse effect on our financial condition, results of operations and cash flows. We may also experience losses related to investments in other companies, which could have a material negative effect on our business, financial condition and results of operations. We may not realize the anticipated benefits of any acquisition, technology license, strategic alliance or joint venture.</w:t>
      </w:r>
    </w:p>
    <w:p>
      <w:pPr>
        <w:spacing w:after="0" w:line="19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finance any acquisitions, joint ventures or investments, we may choose to issue shares of our common stock as consideration, which would dilute the ownership of our stockholders. Additional funds may not be available on terms that are favorable to us, or at all. If the price of our common stock is low or volatile, we may not be able to acquire other companies or fund a joint venture project using our stock as consideration.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40"/>
          </w:cols>
          <w:pgMar w:left="320" w:top="448"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incurred net losses since our inception and we may never achieve or sustain profitability. Generally, losses incurred will carry forward until such losses expire (for losses generated prior to January 1, 2018) or are used to offset future taxable income, if any. Under Sections 382 and 383 of the Internal Revenue Code of 1986, as amended, or the IRC, if a corporation undergoes an “ownership change,” generally defined as a greater than 50 percentage point change (by value) in its equity ownership by certain stockholders over a three-year period, the corporation’s ability to use its pre-change net operating loss, or NOL, carryforwards and other pre-change tax attributes (such as research tax credits) to offset its post-change income or taxes may be limited. We have not completed a study to assess whether one or more ownership change for purposes of Section 382 or 383 have occurred since our inception. For purposes of Section 382 or 383, we may have experienced ownership changes in the past and may experience ownership changes in the future as a result of shifts in our stock ownership (some of which shifts are outside our control). As a result, if we earn net taxable income, our ability to use our pre-change NOL carryforwards to offset such taxable income will be subject to limitations. Similar provisions of state tax law may also apply to limit our use of accumulated state tax attributes. Therefore, if we attain profitability, we may be unable to use a material portion of our NOL carryforwards and other tax attributes, which could adversely affect our future cash flows. In addition, the Tax Cuts and Jobs Act of 2017 imposes a reduction to the maximum deduction allowed for NOLs generated in tax years beginning after December 31, 2017. These changes may adversely affect our future cash flow.</w:t>
      </w:r>
    </w:p>
    <w:p>
      <w:pPr>
        <w:spacing w:after="0" w:line="296"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288" w:lineRule="exact"/>
        <w:rPr>
          <w:sz w:val="20"/>
          <w:szCs w:val="20"/>
          <w:color w:val="auto"/>
        </w:rPr>
      </w:pPr>
    </w:p>
    <w:p>
      <w:pPr>
        <w:jc w:val="both"/>
        <w:ind w:left="460" w:right="1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accounting principles generally accepted in the United States of America, or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Actual results could therefore differ materially from these estimates under different assumptions or conditions. For example, in connection with adopting and implementing the new revenue recognition standard,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management has made and will continue to make judgments and assumptions based on our interpretation of the new standard. The new revenue recognition standard is principle-based and interpretation of those principles may vary from company to company based on their unique circumstances. It is possible that interpretation, industry practice and guidance may evolve as we work toward implementing these new accounting standards.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common stock.</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40"/>
          </w:cols>
          <w:pgMar w:left="320" w:top="448"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jc w:val="both"/>
        <w:ind w:left="460" w:right="4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Eric Lefkofksy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7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success depends on the skills, experience and performance of key members of our senior management team. In particular, we are highly dependent on the services of Eric Lefkofsky, our Founder, Chief Executive Officer, and Chairman of our board of directors. Mr. Lefkofsky spends substantially all of his professional time with us, and he is highly active in our management; however, he does devote some of his time and attention to other endeavors. Mr. Lefkofsky is also a co-founder and serves as Executive Chairman of the board of Pathos AI, Inc., an AI-enabled drug development company that has entered into an agreement with us, is the managing partner and co-founder of Lightbank LLC, a private venture capital firm specializing in investments in technology companies that has invested in us, and is a member of the board of directors of Groupon, Inc., which he co-founded.</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individual and collective efforts of Mr. Lefkofsky and our other employees will be important as we continue to develop our Platform and additional products, and as we expand our commercial activities. The loss or incapacity of existing members of our executive management team could adversely affect our operations if we experience difficulties in hiring qualified successors. Our executive officers signed offer letters when first joining our company, and have entered into subsequent employment agreements, and we cannot guarantee their retention for any period of time. We do not maintain “key person” insurance on any of our employees, including Mr. Lefkofsky. Additionally, we have a number of key employees whose equity ownership in our company gives them a substantial amount of personal wealth. As a result, it may be difficult for us to continue to retain and motivate these employees, and this wealth could affect their decisions about whether or not they continue to work for us or at all.</w:t>
      </w:r>
    </w:p>
    <w:p>
      <w:pPr>
        <w:spacing w:after="0" w:line="18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laboratories in Chicago and Atlanta and our planned laboratory in Raleigh, North Carolina. We also face competition from universities and public and private research institutions in recruiting and retaining highly qualified scientific personnel. In addition, we may have difficulties locating, recruiting or retaining qualified sales representatives and business development managers, as well as software engineers. Recruiting and retention difficulties can limit our ability to support our research and development and sales programs. All of our employees are at-will, which means that either we or the employee may terminate their employment at any time.</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Further, certain macroeconomic conditions, which have been referred to as the Great Resignation, may result in higher than normal attrition in the sectors in which we operate, and in our business in particular. Our ability to manage human capital, and attract and retain the resources necessary to operate our business successfully, may suffer as a result.</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we identified a material weakness in our internal control over financial reporting as of December 31, 2021, as described below.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did not design or maintain an effective control environment due to an insufficient complement of personnel with the appropriate level of technical accounting and financial reporting knowledge and experience commensurate with our financial reporting requirements.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This material weakness did not result in a material misstatement to the financial statements. However, this material weakness could result in material misstatements potentially impacting one or more of the financial statement accounts and disclosures that would not be prevented or detected.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40"/>
          </w:cols>
          <w:pgMar w:left="320" w:top="448"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We have taken steps to remediate this material weakness by hiring a Chief Accounting Officer and other key technical accounting and financial reporting roles to further develop and document our accounting policies and financial reporting procedures, including ongoing senior management review. Management will continue to work to remediate this material weakness by hiring additional qualified accounting and financial reporting personnel, training existing personnel, and further evolving our accounting processes. At this time, we do not anticipate the costs associated with remediating this material weakness will be material. We expect that completion of the remediation of the material weakness could extend beyond December 31, 2022. There is no assurance that we will be able to remediate the material weakness in a timely manner or that in the future additional material weaknesses will not exist or otherwise be discovered. If we are not able to remedy this material weakness, we may not be able to manage our business effectively or accurately report our financial performance on a timely basis, which could cause a decline in our common stock price and adversely affect our business, financial condition, and results of operations.</w:t>
      </w:r>
    </w:p>
    <w:p>
      <w:pPr>
        <w:spacing w:after="0" w:line="262" w:lineRule="exact"/>
        <w:rPr>
          <w:sz w:val="20"/>
          <w:szCs w:val="20"/>
          <w:color w:val="auto"/>
        </w:rPr>
      </w:pPr>
    </w:p>
    <w:p>
      <w:pPr>
        <w:ind w:left="460" w:right="2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Upon completion of this offering, we will be required to document and test our internal controls over financial reporting pursuant to Section 404 of Sarbanes-Oxley Act of 2002, or Section 404, so that our management can certify as to the effectiveness of our internal controls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Jumpstart our Business Startups Act of 2012, or the JOBS Act. At such time, our independent registered public accounting firm may issue a report that is adverse if a material weakness is identified.</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expenses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 and to remediate our material weakness described above.</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If our management is unable to conclude that we have effective internal controls over financial reporting, or to certify the effectiveness of such controls, or if our independent registered public accounting firm cannot render an unqualified opinion on management’s assessment and the effectiveness of our internal control over financial reporting, or if we are unable to remediate our material weakness described above, or if material weaknesses in our internal controls are identified in the future, we could be subject to regulatory scrutiny and a loss of public confidence,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business, financial condition, and results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1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40"/>
          </w:cols>
          <w:pgMar w:left="320" w:top="448"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controls. Accordingly, because of the inherent limitations in our control system, misstatements due to error or fraud may occur and not be detected.</w:t>
      </w:r>
    </w:p>
    <w:p>
      <w:pPr>
        <w:spacing w:after="0" w:line="314"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0"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We are exposed to the risk of fraud or other misconduct by our employees, principal investigators, consultants and commercial partners. Misconduct by these parties could include intentional failures to comply with the regulations of the FDA, CMS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currently have a code of conduct applicable to all of our employees, but it is not always possible to identify and deter employee misconduct, and our code of conduct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from coverage of commercial payers,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could have a significantly adverse impact on our business, financial condition and results of operations. Whether or not we are successful in defending against such actions, we could incur substantial costs and expenses, including legal fees, and divert the attention of management from the operation of our business.</w:t>
      </w:r>
    </w:p>
    <w:p>
      <w:pPr>
        <w:spacing w:after="0" w:line="200" w:lineRule="exact"/>
        <w:rPr>
          <w:sz w:val="20"/>
          <w:szCs w:val="20"/>
          <w:color w:val="auto"/>
        </w:rPr>
      </w:pP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claims and proceedings could adversely impact our business.</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been and may in the future be subject to threatened or actual legal claims and regulatory proceedings. We consider our historical experiences with such claims and proceedings to be in the normal course of our business or typical for our industry; however, it is difficult to assess the outcome of these matters, and we may not prevail in any current or future proceedings or litigation. For example, we have received a demand from a significant stockholder to provide certain of our books and records pursuant to Section 220 of the Delaware Corporation Law, and any future litigation related to this request could materially adversely affect us. Regardless of their merit, any threatened or actual claims or proceedings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w:t>
      </w:r>
    </w:p>
    <w:p>
      <w:pPr>
        <w:spacing w:after="0" w:line="263"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officers, directors and principal stockholders may pursue corporate opportunities independent of us that could present conflicts with our and our stockholders’ interests.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Certain of our officers, directors and principal stockholders are in the business of making or advising on investments in companies and hold (and may from time to time in the future acquire) interests in or provide advice or services to businesses that may directly or indirectly compete with our business or be suppliers or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40"/>
          </w:cols>
          <w:pgMar w:left="320" w:top="448"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customers of ours. These persons may also pursue acquisitions that may be complementary to our business or enter into lines that we may otherwise be well positioned to enter, and, as a result, those acquisition opportunities may not be available to us. For example our Chief Executive Officer, Founder, and Chairman, Eric Lefkofsky, is a co-founder and serves as Executive Chairman of the board of Pathos AI, Inc., a company engaged in the discovery and development of therapeutics and with whom we have a commercial relationship, as well as Lightbank LLC, a private venture capital firm specializing in investments in technology companies. Our charter provides that none of our officers or directors who are also an officer, director, employee, partner, managing director, principal, independent contractor or other affiliate of our principal stockholders will be liable to us or our stockholders for breach of any fiduciary duty by reason of the fact that any such individual pursues or acquires a corporate opportunity for its own account or the account of an affiliate, as applicable, instead of us, directs a corporate opportunity to any other person, instead of us or does not communicate information regarding a corporate opportunity to us.</w:t>
      </w: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or professional liability, we could face substantial liabilities that exceed our resources.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were someone to allege that our products identified inaccurate or incomplete information regarding the sample or information analyzed, reported inaccurate or incomplete information concerning the available therapies for a disease, or otherwise failed to perform as designed. We may also 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liability lawsuit could damage our reputation or cause current clinical customers to terminate existing agreements with us and potential clinical customers to seek other partners, any of which could adversely impact our results of operations.</w:t>
      </w:r>
    </w:p>
    <w:p>
      <w:pPr>
        <w:spacing w:after="0" w:line="288"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depend on information technology systems, including on-premises, co-located and third-party data centers and platforms, and any interruptions of service or failures may impair and harm our business, financial condition and results of operations.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depend on information technology and telecommunications systems for significant elements of our operations, including our laboratory information management system, our computational biology system, our artificial intelligence algorithms, our knowledge management system, and our customer reporting. We have installed, and expect to expand, a number of enterprise software systems that affect a broad range of business processes and functional areas, including for example, systems handling human resources, financial controls and reporting, contract management, regulatory compliance and other infrastructure operations. In addition to the aforementioned business systems, we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provider of billing and collections services for late-stage clinical testing in the United States depends upon technology and telecommunications systems provided by its outside vendors.</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rely on on-premises, co-located and third-party infrastructure throughout the United States to perform computationally demanding analysis tasks for our algorithmic diagnostic products and our data business,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40"/>
          </w:cols>
          <w:pgMar w:left="320" w:top="448"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well as for our research and development program and for other business purposes. Information technology and telecommunications systems are vulnerable to damage from a variety of sources, including telecommunications or network failures, malicious human acts and natural disasters. Moreover, despite network security and back-up measures, some of the servers upon which we rely are potentially vulnerable to physical or electronic break-ins, computer viruses and similar disruptive problems. Despite the precautionary measures we have taken to prevent problems that could affect our information technology and telecommunications systems, failures or significant downtime of our information technology or telecommunications systems or those used by our third-party service providers could prevent us from preparing and providing reports to physicians, billing payers, processing reimbursement appeals, handling patient or physician inquiries, conducting research and development activities and managing the administrative aspects of our business.</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the event of any technical problems that may arise in connection with our on-premises, co-located or third-party data centers, we could experience interruptions in our ability to provide AI-enabled products to our customers or in our internal functions, including research and development, which rely on such services, or to operate the other administrative aspects of our business. Interruptions or failures may be caused by a variety of factors, including infrastructure changes, human or software errors, viruses, worms, ransomware, security attacks, fraud, spikes in customer usage and denial of service issues. Interruptions or failures in our data analytics operations may reduce our revenue, result in the loss of customers, adversely affect our ability to attract new customers or harm our reputation. Significant interruptions to our research and development programs could cause us to delay the introduction of new products or improvements to existing products, which could adversely impact our business, financial condition, results of operations and the competitiveness of our products. In such events, our insurance policies may not adequately compensate us for losses that we may incur but such events could subject us to liability and cause us to issue credits or cause customers to abandon our products.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addition, we currently use the Google Cloud Platform, or Google Cloud, for a substantial portion of our computing, storage, data processing, networking and other services. Any significant disruption of, or interference with, our use of Google Cloud could adversely affect our business, financial condition and results of operations. Google has broad discretion to change and interpret the terms of service and other policies with respect to us, and those actions may be unfavorable to our business operations. Google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If our arrangements with Google Cloud were terminated, we could experience interruptions in our ability to conduct our diagnostic tests or to make our data product available to customers, as well as delays and additional expenses in arranging for alternative cloud infrastructure services. Any transition to new cloud providers would be difficult to implement and would cause us to incur significant delays and expense.</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Additionally, we are vulnerable to service interruptions experienced by Google Cloud and other providers, and we expect to experience interruptions, delays or outages in service availability in the future due to a variety of factors, including infrastructure changes, human, hardware or software errors, hosting disruptions and capacity constraints. The level of service provided by these providers, or regular or prolonged interruptions in that service, could also affect the use of, and our customers’ satisfaction with, our products and could harm our business and reputation. In addition, hosting costs will increase as our customer base grows, which could harm our business if we are unable to grow our revenue faster than the cost of using these services or the services of other providers. Any of these factors could further reduce our revenue or subject us to liability, any of which could adversely affect our business, financial condition and results of operations.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40"/>
          </w:cols>
          <w:pgMar w:left="320" w:top="448"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3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Cyber-based attacks, security breaches, loss of data and other disruptions in relation to our information systems and computer networks could compromise sensitive information related to our business, prevent us from accessing it and expose us to substantial liability, which could adversely affect our business and reputation.</w:t>
      </w:r>
    </w:p>
    <w:p>
      <w:pPr>
        <w:spacing w:after="0" w:line="72" w:lineRule="exact"/>
        <w:rPr>
          <w:sz w:val="20"/>
          <w:szCs w:val="20"/>
          <w:color w:val="auto"/>
        </w:rPr>
      </w:pPr>
    </w:p>
    <w:p>
      <w:pPr>
        <w:jc w:val="both"/>
        <w:ind w:firstLine="454"/>
        <w:spacing w:after="0" w:line="276" w:lineRule="auto"/>
        <w:rPr>
          <w:sz w:val="20"/>
          <w:szCs w:val="20"/>
          <w:color w:val="auto"/>
        </w:rPr>
      </w:pPr>
      <w:r>
        <w:rPr>
          <w:rFonts w:ascii="Times New Roman" w:cs="Times New Roman" w:eastAsia="Times New Roman" w:hAnsi="Times New Roman"/>
          <w:sz w:val="16"/>
          <w:szCs w:val="16"/>
          <w:color w:val="auto"/>
        </w:rPr>
        <w:t>Cyber-attacks, security breaches, computer virus infections, malware execution, and other incidents could cause misappropriation, exposure, loss or other unauthorized disclosure of confidential data, personal information, materials or information, including those concerning our customers and employees. Increasingly complex methods have been used in cyber-attacks, including ransomware, phishing, supply chain attacks, structured query language injections and distributed denial-of-service attacks. A cyber-attack can also be in the form of unauthorized access to our network resources (or a blocking of authorized access). Ransomware attacks are becoming increasingly prevalent and severe and can lead to significant interruptions, delays, or outages in our operations,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ransomware attack victims may prefer to make payment demands, but if we were to be a victim of such an attack,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or disruption of our systems and networks or the systems or networks of third parties that support us. Despite the security controls we have in place, such attacks are difficult to avoid. Although we are not aware of any such breaches or incidents of our or our third-party vendors’ systems or information, we can provide no assurance that we or our vendors will be able to detect, prevent or contain the effects of such attacks or other information security risks, vulnerabilities or threats in the future. The costs of attempting to protect against the foregoing risks and the costs of responding to and remediating systems from a cyber-attack are significant. Large scale data breaches at other entities increase the challenge we and our vendors face in maintaining the security of our information technology systems and of our customers’ sensitive information. Following a cyber-attack, our and/or our vendors’ remediation efforts may not be successful, and a cyber-attack could result in interruptions, delays or cessation of service, and loss of existing or potential customers. In addition, breaches of our and/or our vendors’ security measures and the unauthorized dissemination or availability of sensitive personal information or proprietary information or confidential information about us, our customers or other third parties, could expose our customers’ private information and our customers to the risk of financial or medical identity theft, or expose us or other third parties to a risk of loss or misuse of this information, and result in investigations, regulatory enforcement actions, material fines and penalties, loss of customers, litigation or other actions which could have a material adverse effect on our business, financial condition and results of operations. In addition, if we fail to adhere to our privacy policy and other published statements about our privacy or cybersecurity practices, or applicable laws concerning our processing, use, transmission and disclosure of protected information, or if our statements or practices are found to be deceptive or misrepresentative, we could face regulatory actions, fines and other liability. See “Risk Factors—Risks Related to Our Highly Regulated Industry.”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200" w:lineRule="exact"/>
        <w:rPr>
          <w:sz w:val="20"/>
          <w:szCs w:val="20"/>
          <w:color w:val="auto"/>
        </w:rPr>
      </w:pPr>
    </w:p>
    <w:p>
      <w:pPr>
        <w:spacing w:after="0" w:line="39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PHI, personally identifiable information, credit card and other financial information, intellectual property and proprietary business information owned or controlled by us or other parties such as customers and payers. We manage and maintain our applications and data utilizing a combination of on-site systems and cloud-based data centers. We utilize external security and infrastructure vendors to manage parts of our data centers. We also communicate sensitive data, including patient data, through phone, Internet, facsimile, multiple third-party vendors and their subcontractors or integrations with third-party electronic medical records. These applications and data encompass a wide variety of information critical to our business, including research and development information, patient data, commercial information and business and financial information. We face a number of risks related to</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40"/>
          </w:cols>
          <w:pgMar w:left="320" w:top="448"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protecting this critical information, including loss of access, intentional or accidental inappropriate use or disclosure, unauthorized access, inappropriate modification and the risk of our being unable to adequately monitor, audit or modify our controls over such critical information. This risk extends to the third-party vendors and subcontractors we use to manage this sensitive data or otherwise process it on our behalf.</w:t>
      </w:r>
    </w:p>
    <w:p>
      <w:pPr>
        <w:spacing w:after="0" w:line="18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secure processing, storage, maintenance and transmission of this critical information are vital to our operations and business strategy, and we devote significant resources to a variety of mechanisms, including administrative, physical and technical measures, intended to protect such information. Although we take measures designed to protect sensitive data from unauthorized access, use, modification or disclosure, no security measures can be perfect or protect against all threats or vulnerabilities and our information technology infrastructure could be vulnerable to hackers, phishing scams, malware, viruses, security flaws, errors by employees or others who have authorized access to our network, and other malfeasance or inadvertent disruptions. Any breach or interruption of our security measures or information technology infrastructure could compromise our networks, and the information stored there could be accessed by unauthorized parties, publicly disclosed, lost or stolen. Any such access, breach, or other loss of information could result in legal claims or proceedings, and liability under federal, state or foreign laws that protect the privacy of personal information, such as HIPAA or HITECH, and regulatory penalties.</w:t>
      </w:r>
    </w:p>
    <w:p>
      <w:pPr>
        <w:spacing w:after="0" w:line="16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Notice of HIPAA breaches must be made to affected individuals, the Secretary of the Department of Health and Human Services or other state, federal or foreign regulators, including State Attorneys General, and for extensive breaches, notice may need to be made to the media. Such a notice could harm our reputation and our ability to compete. Although we have implemented security measures and an enterprise security program to prevent unauthorized access to patient data, such data is currently accessible through multiple channels, and there is no guarantee we can protect all data from breach or exposure. Unauthorized access, loss or dissemination could disrupt our operations (including our ability to perform our analysis, provide test results, bill payers or patients, process claims and appeals, provide customer assistance, conduct research and development, develop intellectual property, collect, process and prepare financial information, provide information about our tests and continue other patient and physician education and outreach efforts, and manage our business) and damage our reputation, any of which could adversely affect our business, financial condition and results of operations. For example, the loss of clinical trial data from completed or future clinical trials could result in delays in or cancellation of our regulatory approval efforts and significantly increase our costs to recover or reproduce the lost data. We may also rely on third parties for their products or services on which we depend, and similar events relating to their computer systems could also have a material adverse effect on our business, financial condition and results of operations. To the extent that any disruption or security incident were to result in any loss, destruction, or alteration of, or damage or unauthorized access to, our data or other information that is processed or maintained on our behalf, or inappropriate disclosure of or dissemination of any such information, the further development and commercialization of our product candidates could be delayed. We continue to prioritize security and the development of practices and controls to protect our systems. As cyber threats evolve, we may be required to expend significant additional resources to continue to modify or enhance our protective measures or to investigate and remediate any information security vulnerabilities, and these efforts may not be successful.</w:t>
      </w:r>
    </w:p>
    <w:p>
      <w:pPr>
        <w:spacing w:after="0" w:line="19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contingency plans and insurance coverage for certain potential claims, liabilities, and costs relating to security incidents that may arise from our business or operations; however, the coverage may not be sufficient to cover all claims, liabilities, and costs arising from the incidents, including fines and penalties. In addition, we cannot be certain that insurance for cybersecurity incidents will continue to be available to us on economically reasonable terms, or at all, or that any insurer will not deny coverage as to any future claim. It could be difficult to predict the ultimate resolution of any such incidents or to estimate the amounts or ranges of potential loss, if any, that could result therefrom. If we cannot successfully resolve a security incident or contain any potential loss, it could materially impact our business, financial condition and results of operations.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340"/>
          </w:cols>
          <w:pgMar w:left="320" w:top="448"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currently have limited international operations, but our business strategy incorporates potentially significant international expansion. We plan to conduct physician and patient association outreach activities, to extend laboratory capabilities, to expand payer relationships and to market our Data business to pharmaceutical and biotechnology customers outside of the United States. Doing business internationally involves a number of risks, including:</w:t>
      </w:r>
    </w:p>
    <w:p>
      <w:pPr>
        <w:spacing w:after="0" w:line="89" w:lineRule="exact"/>
        <w:rPr>
          <w:sz w:val="20"/>
          <w:szCs w:val="20"/>
          <w:color w:val="auto"/>
        </w:rPr>
      </w:pPr>
    </w:p>
    <w:p>
      <w:pPr>
        <w:jc w:val="both"/>
        <w:ind w:left="1000" w:hanging="549"/>
        <w:spacing w:after="0" w:line="302" w:lineRule="auto"/>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multiple, conflicting and changing laws and regulations such as privacy regulations, including regulations that limit our ability to collect and distribute de-identified patient data, tax laws, export and import restrictions, economic sanctions and embargoes, employment laws, healthcare regulatory requirements, including those governing diagnostic testing and reimbursement, and other governmental approvals, permits and licenses;</w:t>
      </w:r>
    </w:p>
    <w:p>
      <w:pPr>
        <w:spacing w:after="0" w:line="53"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distributors, our local partners to obtain regulatory approvals for the use of our products in various countries;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blocking or relevant third-party patent or other intellectual property rights;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and enforcing our intellectual property;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blood samples, including infrastructure conditions and transportation delays;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populations that are underrepresented in our databases;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 if we are not able to perform our tests locally;</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risks, such as longer payment cycles, difficulty collecting accounts receivable, the impact of local and regional financial crises on demand and payment for our products and exposure to foreign currency exchange rate fluctuations, currency controls and cash repatriation restrictions;</w:t>
      </w:r>
    </w:p>
    <w:p>
      <w:pPr>
        <w:spacing w:after="0" w:line="30"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(such as the armed conflict between Russia and Ukraine), terrorism, and political unrest, boycotts, curtailment of trade and other business restrictions;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or similar issues, such as epidemics or pandemics, including the current outbreak of COVID-19, that could cause business disruption,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Practices Act, or FCPA, its books and records provisions, or its anti-bribery provisions.</w:t>
      </w:r>
    </w:p>
    <w:p>
      <w:pPr>
        <w:spacing w:after="0" w:line="17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late February 2022, Russian military forces launched a significant military action against Ukraine, and sustained conflict and disruption in the region is likely.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damage or disrupt international commerce and the global economy, and could have a material adverse effect on our business and results of operations. While our business and operations are currently not impacted, it is not possible to predict the broader or longer-term consequences of this crisis. Consequences of the crisis could include further sanctions, embargoes, regional instability, geopolitical shifts and adverse effects on macroeconomic conditions, security conditions, currency exchange rates and financial markets. There can be no assurance that the Russia-Ukraine crisis, including any resulting sanctions, export controls or other restrictive actions, will not have a material adverse impact on our future operations and results.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40"/>
          </w:cols>
          <w:pgMar w:left="320" w:top="448"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Any of these factors could significantly harm our future international expansion and operations and, consequently, our revenue and results of operations.</w:t>
      </w:r>
    </w:p>
    <w:p>
      <w:pPr>
        <w:spacing w:after="0" w:line="3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existing debt may affect our flexibility in operating and developing our business and our ability to satisfy our obligations.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of December 31, 2020 and December 31, 2021, we had indebtedness of $250 million and $238.2 million, respectively, under the convertible promissory note, or Note, that we issued to Google LLC, or Google. For as long as the Note is outstanding, it may have significant negative effects on our future operations, including:</w:t>
      </w:r>
    </w:p>
    <w:p>
      <w:pPr>
        <w:spacing w:after="0" w:line="89" w:lineRule="exact"/>
        <w:rPr>
          <w:sz w:val="20"/>
          <w:szCs w:val="20"/>
          <w:color w:val="auto"/>
        </w:rPr>
      </w:pPr>
    </w:p>
    <w:p>
      <w:pPr>
        <w:ind w:left="1000" w:hanging="549"/>
        <w:spacing w:after="0" w:line="267"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 (or to obtain such financing on acceptable terms) for working capital, capital expenditures, acquisitions or other important needs;</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repay the principal and accrued interest on the Note if we terminate our agreement with Google for use of Google Cloud or as a result of an event of default under the operating covenants in the Note, which could impair our liquidity and reduce the availability of our cash flow to fund working capital, capital expenditures, acquisitions and other important needs;</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rapidly changing conditions in the industry, reducing our ability to withstand competitive pressures and making us more vulnerable to a downturn in general economic conditions or business than our competitors with relatively lower levels of debt.</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the Note contains restrictions on our ability to incur additional debt. Complying with these covenants may cause us to take actions that make it more difficult to successfully execute our business strategy and we may face competition from companies not subject to such restrictions.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FCPA and other anti-bribery laws.</w:t>
      </w:r>
    </w:p>
    <w:p>
      <w:pPr>
        <w:spacing w:after="0" w:line="11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as a result of our international operations.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cause us to incur significant costs and expenses, including legal fees, and result in a material adverse effect on our business, financial condition and results of operations. We could also suffer severe penalties, including criminal and civil penalties, disgorgement and other remedial measures.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06"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6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Class B common stock has 30 votes per share and our Class A common stock, which is the stock we are offering hereby, has one vote per share. Our Chief Executive Officer, Founder, and Chairman, Eric Lefkofsky, who, collectively with his controlled entities, holds all our outstanding shares of Class B</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common stock, will beneficially own shares representing approximately % of the voting power of our outstanding capital stock following the completion of this offering. As a result, Mr. Lefkofsky will have the ability to control the outcome of matters requiring stockholder approval, including the election of directors and approval of significant corporate transactions, such as a merger or other sale of our company or our assets, even if his stock ownership represents less than 50% of the outstanding aggregate number of shares of our capital stock. This concentration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40"/>
          </w:cols>
          <w:pgMar w:left="320" w:top="448"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of voting control will limit the ability of other stockholders to influence corporate matters and may cause us to make strategic decisions that could involve risks to you or that may not be aligned with your interests. In addition, Mr. Lefkofsky will serve as an observer on our nominating and corporate governance committee, and accordingly, may have substantial influence over the individuals nominated to serve as directors. As a board member, Mr. Lefkofsky owes a fiduciary duty to our stockholders and is legally obligated to act in good faith and in a manner he reasonably believes to be in the best interests of our stockholders. As a stockholder, Mr. Lefkofsky is entitled to vote his shares in his own interests, which may not always be in the interests of our stockholders generally. Mr. Lefkofsky’s control may adversely affect the market price of our Class A common stock.</w:t>
      </w:r>
    </w:p>
    <w:p>
      <w:pPr>
        <w:spacing w:after="0" w:line="288"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not elected to take advantage of the “controlled company” exemption to the corporate governance rules for publicly listed companies but may do so in the future.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Because our Chief Executive Officer, Founder, and Chairman, Eric Lefkofsky, who, collectively with his controlled entities, holds all our outstanding shares of Class B common stock, will beneficially own shares representing in excess of 50% of the voting power of our outstanding capital stock following the completion of this offering, we are eligible to elect the “controlled company” exemption to the corporate governance rules for publicly listed companies. We have not elected to do so. If we decide to become a “controlled company” under the corporate governance rules for publicly listed companies, we would not be required to have a majority of our board of directors be independent, nor would we be required to have a compensation committee or an independent nominating function. If we choose controlled company status in the future, our status as a controlled company could cause our Class A common stock to be less attractive to certain investors or otherwise harm our trading price.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Chief Executive Officer, Founder and Chairman, who beneficially owns all of the outstanding shares of our Class B common stock, will result in a lower or more volatile market price of our Class A common stock or in adverse publicity or other adverse consequences. Certain index providers have announced restrictions on including companies with multiple-class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87" w:lineRule="exact"/>
        <w:rPr>
          <w:sz w:val="20"/>
          <w:szCs w:val="20"/>
          <w:color w:val="auto"/>
        </w:rPr>
      </w:pPr>
    </w:p>
    <w:p>
      <w:pPr>
        <w:ind w:left="460" w:right="2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No public market for our Class A common stock currently exists, and an active public trading market may not develop or be sustained following this offering.</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 public market for our Class A common stock currently exists. An active public trading market for our Class A common stock may not develop following the completion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to us from this offering and may not use them effectively.</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will have broad discretion in the application of the net proceeds to us from this offering, including for any of the purposes described in the section titled “Use of Proceeds,” and you will not have the opportunity as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40"/>
          </w:cols>
          <w:pgMar w:left="320" w:top="448"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upon the judgment of our management with respect to the use of proceeds. Pending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We may use a portion of the net proceeds to acquire complementary businesses, products, services, or technologies. At this time, we do not have agreements or commitments to enter into any material acquisitions. If we do not use the net proceeds that we receive in this offering effectively, our business, financial condition and results of operations could be harmed and the market price of our Class A common stock could decline.</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of this offering,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or Rule 144, and shares subject to lock-up agreements described below.</w:t>
      </w:r>
    </w:p>
    <w:p>
      <w:pPr>
        <w:spacing w:after="0" w:line="180" w:lineRule="exact"/>
        <w:rPr>
          <w:sz w:val="20"/>
          <w:szCs w:val="20"/>
          <w:color w:val="auto"/>
        </w:rPr>
      </w:pPr>
    </w:p>
    <w:p>
      <w:pPr>
        <w:jc w:val="both"/>
        <w:ind w:firstLine="454"/>
        <w:spacing w:after="0" w:line="235" w:lineRule="auto"/>
        <w:rPr>
          <w:sz w:val="20"/>
          <w:szCs w:val="20"/>
          <w:color w:val="auto"/>
        </w:rPr>
      </w:pPr>
      <w:r>
        <w:rPr>
          <w:rFonts w:ascii="Times New Roman" w:cs="Times New Roman" w:eastAsia="Times New Roman" w:hAnsi="Times New Roman"/>
          <w:sz w:val="18"/>
          <w:szCs w:val="18"/>
          <w:color w:val="auto"/>
        </w:rPr>
        <w:t>All of our directors and executive officers, the selling stockholders, and the holders of substantially all of our Class A common stock, Class B common stock and securities exercisable for, or convertible into, our Class A common stock outstanding immediately on the closing of this offering, are subject to lock-up agreements with the underwriters or agreements with market stand-off provisions with us pursuant to which they have agreed that they will not, and will not publicly disclose an intention to, during the period ending o</w:t>
      </w:r>
      <w:r>
        <w:rPr>
          <w:rFonts w:ascii="Times New Roman" w:cs="Times New Roman" w:eastAsia="Times New Roman" w:hAnsi="Times New Roman"/>
          <w:sz w:val="26"/>
          <w:szCs w:val="26"/>
          <w:color w:val="auto"/>
          <w:vertAlign w:val="superscript"/>
        </w:rPr>
        <w:t>n</w:t>
      </w:r>
      <w:r>
        <w:rPr>
          <w:rFonts w:ascii="Times New Roman" w:cs="Times New Roman" w:eastAsia="Times New Roman" w:hAnsi="Times New Roman"/>
          <w:sz w:val="18"/>
          <w:szCs w:val="18"/>
          <w:color w:val="auto"/>
        </w:rPr>
        <w:t xml:space="preserve"> the 180th day after the date of this prospectus, or the restricted period, offer, pledge, sell, contract to sell, sell any option or contract to purchase, purchase any option or contract to sell, grant any option, right or warrant to purchase, lend, or otherwise transfer or dispose of, directly or indirectly, any of our shares of common stock, any options or warrants to purchase any of our shares of common stock or any securities convertible into or exchangeable for or that represent the right to receive shares of our common stock or enter into any swap or other arrangement that transfers to another, in whole or in part, any of the economic consequences of ownership of our common stock; provided that Morgan Stanley &amp; Co. LLC and J.P. Morgan Securities LLC on behalf of the underwriters may release any of the securities subject to these lock-up agreements at any time, subject to the applicable notice requirements.</w:t>
      </w:r>
    </w:p>
    <w:p>
      <w:pPr>
        <w:spacing w:after="0" w:line="19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the restricted period may be shortened with respect to a portion of the locked-up securities held by certain lock-up parties, and the lock-up agreements are subject to a number of exceptions. These agreements are further described in the sections titled “Shares Eligible for Future Sale” and “Underwriting.” If not earlier released, all of the shares of Class A common stock not sold in this offering will become eligible for sale upon expiration of the restricted period, except for any shares held by our affiliates as defined in Rule 144.</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there were 210,000 shares of Class A common stock issuable upon the exercise of a stock option outstanding as of December 31, 2021 and 10,344,419 shares of Class A common stock issuable upon the vesting and settlement of restricted stock units outstanding as of December 31, 2021. The shares of Class A common stock will become eligible for sale in the public market to the extent such options are exercised or restricted stock units vested and settled, subject to the lock-up agreements described above and compliance with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340"/>
          </w:cols>
          <w:pgMar w:left="320" w:top="448"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applicable securities laws. We intend to register all of the shares of Class A common stock issuable upon the vesting and settlement of outstanding restricted stock units, and other equity incentives we may grant in the future, for public resale under the Securities Act.</w:t>
      </w:r>
    </w:p>
    <w:p>
      <w:pPr>
        <w:spacing w:after="0" w:line="17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Further, based on shares outstanding as of December 31, 2021, holders of approximately shares of Class A common stock (assuming the issuance of the Additional Class A Conversion Shares, as discussed under “Prospectus Summary” above, and assuming no exercise of the underwriters’ option to purchase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 shares) and approximately shares of Class B common stock, or % of our capital stock after the completion of this offering, will have rights, subject to some conditions, to require us to file registration statements covering the sale of their shares or to include their shares in registration statements that we may file for ourselves or other stockholders.</w:t>
      </w:r>
    </w:p>
    <w:p>
      <w:pPr>
        <w:spacing w:after="0" w:line="188"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short sales, or hedging transactions involving our equity securities, whether before or after this offering and whether or not we believe them to be prohibited, could adversely affect the price of our Class A common stock.</w:t>
      </w:r>
    </w:p>
    <w:p>
      <w:pPr>
        <w:spacing w:after="0" w:line="27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6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The initial public offering price of our Class A common stock will be substantially higher than the pro forma net tangible book value per share of our common stock immediately after this offering. If you purchase shares of our Class A common stock in this offering, you will suffer immediate dilution of</w:t>
      </w:r>
    </w:p>
    <w:tbl>
      <w:tblPr>
        <w:tblLayout w:type="fixed"/>
        <w:tblInd w:w="0" w:type="dxa"/>
        <w:tblCellMar>
          <w:top w:w="0" w:type="dxa"/>
          <w:left w:w="0" w:type="dxa"/>
          <w:bottom w:w="0" w:type="dxa"/>
          <w:right w:w="0" w:type="dxa"/>
        </w:tblCellMar>
      </w:tblPr>
      <w:tr>
        <w:trPr>
          <w:trHeight w:val="194"/>
        </w:trPr>
        <w:tc>
          <w:tcPr>
            <w:tcW w:w="7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per share, or $</w:t>
            </w:r>
          </w:p>
        </w:tc>
        <w:tc>
          <w:tcPr>
            <w:tcW w:w="88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per share if the underwriters exercise their option to purchase additional shares in full, representing the difference between our</w:t>
            </w:r>
          </w:p>
        </w:tc>
      </w:tr>
      <w:tr>
        <w:trPr>
          <w:trHeight w:val="210"/>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as of</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 after giving effect to the sale of Class A common stock in this offering and the</w:t>
            </w:r>
          </w:p>
        </w:tc>
      </w:tr>
      <w:tr>
        <w:trPr>
          <w:trHeight w:val="210"/>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assumed public offering price of $</w:t>
            </w:r>
          </w:p>
        </w:tc>
        <w:tc>
          <w:tcPr>
            <w:tcW w:w="8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price range set forth on the cover page of this prospectus. See the section titled</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4"/>
              </w:rPr>
              <w:t>“Dilution.”</w:t>
            </w:r>
          </w:p>
        </w:tc>
        <w:tc>
          <w:tcPr>
            <w:tcW w:w="17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520" w:type="dxa"/>
            <w:vAlign w:val="bottom"/>
          </w:tcPr>
          <w:p>
            <w:pPr>
              <w:spacing w:after="0"/>
              <w:rPr>
                <w:sz w:val="19"/>
                <w:szCs w:val="19"/>
                <w:color w:val="auto"/>
              </w:rPr>
            </w:pPr>
          </w:p>
        </w:tc>
      </w:tr>
    </w:tbl>
    <w:p>
      <w:pPr>
        <w:spacing w:after="0" w:line="293" w:lineRule="exact"/>
        <w:rPr>
          <w:sz w:val="20"/>
          <w:szCs w:val="20"/>
          <w:color w:val="auto"/>
        </w:rPr>
      </w:pPr>
    </w:p>
    <w:p>
      <w:pPr>
        <w:ind w:left="460" w:right="6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While we have in the past paid dividends to holders of our convertible preferred stock,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81"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40"/>
          </w:cols>
          <w:pgMar w:left="320" w:top="448"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fiscal year following the fifth anniversary of this offering; (2) the last day of the first fiscal year in which our annual gross revenue is $1.07 billion or more; (3) the date on which we have, during the previous rolling three-year period, issued more than $1.0 billion in non-convertible debt securities; and (4) the last day of the fiscal year in which the market value of our Class A common stock held by non-affiliates exceeded $700 million as of June 30 of such fiscal year.</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if we choose to rely on these exemptions. If some investors find our Class A common stock less attractive, there may be a less active trading market for our Class A common stock and our stock price may be more volatile.</w:t>
      </w:r>
    </w:p>
    <w:p>
      <w:pPr>
        <w:spacing w:after="0" w:line="27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the effects of our dual class structure, provisions in our amended and restated certificate of incorporation and amended and restated bylaws, as they will be in effect upon the completion of this offering, may have the effect of delaying or preventing a change in control or changes in our management. Our amended and restated certificate of incorporation and amended and restated bylaws will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88" w:lineRule="exact"/>
        <w:rPr>
          <w:sz w:val="20"/>
          <w:szCs w:val="20"/>
          <w:color w:val="auto"/>
        </w:rPr>
      </w:pPr>
    </w:p>
    <w:p>
      <w:pPr>
        <w:ind w:left="460" w:right="1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as will be in effect upon the completion of this offering, will provide that the Court of Chancery of the State of Delaware is the exclusive forum for the following types of actions or proceedings under Delaware statutory or common law:</w:t>
      </w:r>
    </w:p>
    <w:p>
      <w:pPr>
        <w:spacing w:after="0" w:line="78" w:lineRule="exact"/>
        <w:rPr>
          <w:sz w:val="20"/>
          <w:szCs w:val="20"/>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brought on our behalf;</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asserting a breach of fiduciary duty;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arising under the Delaware General Corporation Law;</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arising under or seeking to interpret our amended and restated certificate of incorporation or our amended and restated bylaws;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that is governed by the internal affairs doctrine.</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provisions would not apply to suits brought to enforce a duty or liability created by the Securities Exchange Act of 1934,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40"/>
          </w:cols>
          <w:pgMar w:left="320" w:top="448"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restated certificate of incorporation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87"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and results of operations.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78" w:lineRule="exact"/>
        <w:rPr>
          <w:sz w:val="20"/>
          <w:szCs w:val="20"/>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 including changes in the regulation of data or in the structure of healthcare payment systems;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governmental investigations;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 as well as the anticipation of lock-up releases;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market conditions in general, or in our industry in particular.</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340"/>
          </w:cols>
          <w:pgMar w:left="320" w:top="448"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85"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following the completion of this offering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88" w:lineRule="exact"/>
        <w:rPr>
          <w:sz w:val="20"/>
          <w:szCs w:val="20"/>
          <w:color w:val="auto"/>
        </w:rPr>
      </w:pPr>
    </w:p>
    <w:p>
      <w:pPr>
        <w:ind w:left="460" w:right="7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Exchange Act, the listing requirements of the Nasdaq Stock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such as maintaining directors’ and officers’ liability insurance. We cannot predict or estimate the amount of additional costs we will incur as a public company or the specific timing of such costs, and any such costs may adversely affect our business, financial condition and results of operations.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40"/>
          </w:cols>
          <w:pgMar w:left="320" w:top="448"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95" w:lineRule="exact"/>
        <w:rPr>
          <w:sz w:val="20"/>
          <w:szCs w:val="20"/>
          <w:color w:val="auto"/>
        </w:rPr>
      </w:pPr>
    </w:p>
    <w:p>
      <w:pPr>
        <w:ind w:left="1000" w:hanging="549"/>
        <w:spacing w:after="0" w:line="26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treatment paradigm for cancer, including physicians’ use of molecular data and targeted oncology therapeutics and the market size for our current and future products;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beyond oncology into new disease areas;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and our expectations regarding our revenue, expenses, capital requirements and operating results;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including our goals and strategy regarding development and commercialization of Algos;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datasets, including in new disease areas and geographies;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the growth of our datasets will improve the quality of our products and services and accelerate their adoption;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capture, aggregate, analyze or otherwise utilize genomic data in new ways and in additional diagnostic modalities;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we will continue to commercialize de-identified records and license them to multiple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publications in peer-reviewed journals or of our presentations at scientific and medical conference presentations;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products, technologies and businesses;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Intelligent Diagnostics to be disruptive across a broad set of disease areas and the clinical trial process;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payer reimbursement and coverage decisions, including our strategy to increase reimbursement;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evolving and/or extensive government regulation;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340"/>
          </w:cols>
          <w:pgMar w:left="320" w:top="448"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 including our trade secret protected proprietary rights in our platform;</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cash needs and our needs for additional financing;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340"/>
          </w:cols>
          <w:pgMar w:left="320" w:top="448"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1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This prospectus contains statistical data, estimates and forecasts that are based on independent industry publications or other publicly available information, as well as other information based on our internal sources. While we believe the industry and market data included in this prospectus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The industry in which we operate is subject to a high degree of uncertainty and risk due to a variety of factors, including those described in the sections titled “Risk Factors” and “Special Note Regarding Forward-Looking Statements.” Among other items, certain of the market research included in this prospectus was published prior to the outbreak of the COVID-19 pandemic and did not anticipate the virus or the impact it has caused on our industry. We have utilized this pre-pandemic market research in the absence of updated sources. These and other factors could cause results to differ materially from those expressed in the projections and estimates made by the independent third parties and us. See the section titled “Risk Factors—Risks Related to Our Business and Strategy—The sizes of the markets for our current and future products have not been established with precision, and may be smaller than we estimate.”</w:t>
      </w:r>
    </w:p>
    <w:p>
      <w:pPr>
        <w:spacing w:after="0" w:line="19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sources of certain statistical data, estimates and forecasts contained in this prospectus are the following independent industry publications, reports and other publicly available information:</w:t>
      </w:r>
    </w:p>
    <w:p>
      <w:pPr>
        <w:spacing w:after="0" w:line="78" w:lineRule="exact"/>
        <w:rPr>
          <w:sz w:val="20"/>
          <w:szCs w:val="20"/>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Biomarkers Market—Growth, Trends, COVID-19 Impact, and Forecast (2021-2026),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Clinical Trials Market—Growth, Trends, COVID-19 Impact, and Forecast (2021-2026),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Pharma, World Preview 2020, Outlook to 2026, July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Clinical Laboratory Association, Value of Lab Testing,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Cancer Institute, Cancer Statistics, September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ClinicalTrials.gov database, 2020: U.S. National Library of Medicine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GLOBOCAN 2020 database, 2020: Global Cancer Observatory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Institute of Mental Health, Major Depression, September 2018</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Anxiety &amp; Depression Association of America, Facts &amp; Statistics,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Cancers (Basel), PARP Inhibitors in the Treatment of Early Breast Cancer: The Step Beyond?, June 2020</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Gynecologic Oncology, Frequencies of BRCA1 and BRCA2 Mutations Among 1,342 Unselected Patients with Invasive Ovarian Cancer, May 2011</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Journal of Oncology, BRCA Mutations in Prostate Cancer: Prognostic and Predictive Implications,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Journal of Urology, Efficacy of Routine Follow-up After First-Line Treatment of Testicular Cancer, October 2004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Economic Burden of Non-communicable Diseases, Harvard School of Public Health, World Economic Forum (September 2011)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Mental Health and Substance Use, Mental Health in the Workplace, World Health Organization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340"/>
          </w:cols>
          <w:pgMar w:left="320" w:top="448"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Cancer Report 2014, International Agency for Research on Cancer, World Health Organization (2014)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CoronavirusUpdate: COVID-19 likely to cost economy $1 trillion during 2020, says UN trade agency, United Nations, UN News (March 9, 2020)</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Cancer Society, Cancer Treatment &amp; Survivorship Facts &amp; Figures 2019-2021, 2019</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Cancer Atlas, The Burden of Cancer, 2019.</w:t>
      </w:r>
    </w:p>
    <w:p>
      <w:pPr>
        <w:spacing w:after="0" w:line="1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44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15" w:lineRule="exact"/>
        <w:rPr>
          <w:sz w:val="20"/>
          <w:szCs w:val="20"/>
          <w:color w:val="auto"/>
        </w:rPr>
      </w:pPr>
    </w:p>
    <w:p>
      <w:pPr>
        <w:ind w:left="460"/>
        <w:spacing w:after="0"/>
        <w:tabs>
          <w:tab w:leader="none" w:pos="7140" w:val="left"/>
        </w:tabs>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w:t>
      </w:r>
      <w:r>
        <w:rPr>
          <w:sz w:val="20"/>
          <w:szCs w:val="20"/>
          <w:color w:val="auto"/>
        </w:rPr>
        <w:tab/>
      </w:r>
      <w:r>
        <w:rPr>
          <w:rFonts w:ascii="Times New Roman" w:cs="Times New Roman" w:eastAsia="Times New Roman" w:hAnsi="Times New Roman"/>
          <w:sz w:val="16"/>
          <w:szCs w:val="16"/>
          <w:color w:val="auto"/>
        </w:rPr>
        <w:t>million based on an assumed initial public offering price of</w:t>
      </w:r>
    </w:p>
    <w:p>
      <w:pPr>
        <w:spacing w:after="0" w:line="21" w:lineRule="exact"/>
        <w:rPr>
          <w:sz w:val="20"/>
          <w:szCs w:val="20"/>
          <w:color w:val="auto"/>
        </w:rPr>
      </w:pPr>
    </w:p>
    <w:p>
      <w:pPr>
        <w:jc w:val="both"/>
        <w:ind w:firstLine="5"/>
        <w:spacing w:after="0" w:line="244" w:lineRule="auto"/>
        <w:tabs>
          <w:tab w:leader="none" w:pos="81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of Class A common stock, the midpoint of the estimated price range set forth on the cover page of this prospectus, after deducting estimated underwriting discounts and commissions and estimated offering expenses payable by us. We will not receive any of the proceeds from any sale of Class A common stock in this offering by the selling stockholders identified in this prospectus in the event that the underwriters exercise their option to purchase additional shares to cover over-allotments, although we will pay the expenses, other than the underwriting discounts and commissions, associated with the sale of those shares.</w:t>
      </w:r>
    </w:p>
    <w:p>
      <w:pPr>
        <w:spacing w:after="0" w:line="190" w:lineRule="exact"/>
        <w:rPr>
          <w:sz w:val="20"/>
          <w:szCs w:val="20"/>
          <w:color w:val="auto"/>
        </w:rPr>
      </w:pPr>
    </w:p>
    <w:p>
      <w:pPr>
        <w:ind w:firstLine="454"/>
        <w:spacing w:after="0" w:line="253" w:lineRule="auto"/>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 per share of Class A common stock, the midpoint of the estimated price range set forth on the cover page of this prospectus, would increase (decrease) the net proceeds to us from this offering by approximately</w:t>
      </w:r>
    </w:p>
    <w:p>
      <w:pPr>
        <w:spacing w:after="0" w:line="2" w:lineRule="exact"/>
        <w:rPr>
          <w:sz w:val="20"/>
          <w:szCs w:val="20"/>
          <w:color w:val="auto"/>
        </w:rPr>
      </w:pPr>
    </w:p>
    <w:p>
      <w:pPr>
        <w:ind w:left="1060" w:hanging="1055"/>
        <w:spacing w:after="0"/>
        <w:tabs>
          <w:tab w:leader="none" w:pos="10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assuming the number of shares offered by us, as set forth on the cover page of this prospectus, remains the same, and after deducting</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estimated underwriting discounts and commissions. Similarly, each increase (decrease) of 1,000,000 shares in the number of shares of Class A common stock</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offered by us would increase (decrease) the net proceeds to us from this offering by approximately $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At this time, we do not have agreements or commitments to enter into any material acquisitions.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will have broad discretion over how to use the net proceeds to us from this offering. We intend to invest the net proceeds to us from this offering that are not used as described above in investment-grade, interest-bearing instruments.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340"/>
          </w:cols>
          <w:pgMar w:left="320" w:top="448" w:right="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1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Since our incorporation in 2015, we have paid an aggregate of $21.2 million in cash dividends to holders of our preferred stock in satisfaction of dividend obligations accruing pursuant to our certificate of incorporation in effect prior to this offering. As of the date of this prospectus, shares of our convertible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preferred stock have accrued approximately $ million in unpaid dividends, which are payable, at our option, in cash or shares of our common stock. We expect to pay these dividends in shares of our common stock in connection with the closing of this offering. See “Prospectus Summary—The Offering” for more information about shares of common stock to be issued in satisfaction of these dividend obligations.</w:t>
      </w:r>
    </w:p>
    <w:p>
      <w:pPr>
        <w:spacing w:after="0" w:line="188"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in effect upon the closing of this offering will not provide for accruing dividends.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340"/>
          </w:cols>
          <w:pgMar w:left="320" w:top="448"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restricted cash and capitalization as of December 31, 2021:</w:t>
      </w:r>
    </w:p>
    <w:p>
      <w:pPr>
        <w:spacing w:after="0" w:line="121" w:lineRule="exact"/>
        <w:rPr>
          <w:sz w:val="20"/>
          <w:szCs w:val="20"/>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81" w:lineRule="auto"/>
        <w:tabs>
          <w:tab w:leader="none" w:pos="10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pro forma basis, giving effect to (1) the Series G-3 Financing; (2) the automatic conversion of all of our outstanding shares of Series B redeemable convertible preferred stock into 5,374,899 shares of Class B common stock, which will occur upon the closing of this offering; (3) the automatic conversion of all of our outstanding shares of redeemable convertible preferred stock, other than our Series B preferred stock, into</w:t>
      </w:r>
    </w:p>
    <w:tbl>
      <w:tblPr>
        <w:tblLayout w:type="fixed"/>
        <w:tblInd w:w="460" w:type="dxa"/>
        <w:tblCellMar>
          <w:top w:w="0" w:type="dxa"/>
          <w:left w:w="0" w:type="dxa"/>
          <w:bottom w:w="0" w:type="dxa"/>
          <w:right w:w="0" w:type="dxa"/>
        </w:tblCellMar>
      </w:tblPr>
      <w:tr>
        <w:trPr>
          <w:trHeight w:val="194"/>
        </w:trPr>
        <w:tc>
          <w:tcPr>
            <w:tcW w:w="300" w:type="dxa"/>
            <w:vAlign w:val="bottom"/>
          </w:tcPr>
          <w:p>
            <w:pPr>
              <w:spacing w:after="0"/>
              <w:rPr>
                <w:sz w:val="16"/>
                <w:szCs w:val="16"/>
                <w:color w:val="auto"/>
              </w:rPr>
            </w:pPr>
          </w:p>
        </w:tc>
        <w:tc>
          <w:tcPr>
            <w:tcW w:w="7040" w:type="dxa"/>
            <w:vAlign w:val="bottom"/>
            <w:gridSpan w:val="2"/>
          </w:tcPr>
          <w:p>
            <w:pPr>
              <w:ind w:left="1040"/>
              <w:spacing w:after="0" w:line="194" w:lineRule="exact"/>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5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9"/>
              </w:rPr>
              <w:t>range set forth on the cover page of this prospectus, which will occur upon the closing of this offering, which will occur upon the closing of this</w:t>
            </w:r>
          </w:p>
        </w:tc>
      </w:tr>
      <w:tr>
        <w:trPr>
          <w:trHeight w:val="210"/>
        </w:trPr>
        <w:tc>
          <w:tcPr>
            <w:tcW w:w="300" w:type="dxa"/>
            <w:vAlign w:val="bottom"/>
          </w:tcPr>
          <w:p>
            <w:pPr>
              <w:spacing w:after="0"/>
              <w:rPr>
                <w:sz w:val="18"/>
                <w:szCs w:val="18"/>
                <w:color w:val="auto"/>
              </w:rPr>
            </w:pPr>
          </w:p>
        </w:tc>
        <w:tc>
          <w:tcPr>
            <w:tcW w:w="2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offering; (4) the issuance of</w:t>
            </w:r>
          </w:p>
        </w:tc>
        <w:tc>
          <w:tcPr>
            <w:tcW w:w="6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Additional Class A Conversion Shares, assuming an initial public offering price of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w:t>
            </w:r>
          </w:p>
        </w:tc>
      </w:tr>
      <w:tr>
        <w:trPr>
          <w:trHeight w:val="210"/>
        </w:trPr>
        <w:tc>
          <w:tcPr>
            <w:tcW w:w="30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7"/>
              </w:rPr>
              <w:t>midpoint of the estimated price range set forth on the cover page of this prospectus, which will occur upon the conversion of all outstanding shares</w:t>
            </w:r>
          </w:p>
        </w:tc>
      </w:tr>
      <w:tr>
        <w:trPr>
          <w:trHeight w:val="210"/>
        </w:trPr>
        <w:tc>
          <w:tcPr>
            <w:tcW w:w="30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8"/>
              </w:rPr>
              <w:t>of our redeemable convertible preferred stock and upon the closing of this offering; (5) the automatic conversion of all of our nonvoting common</w:t>
            </w:r>
          </w:p>
        </w:tc>
      </w:tr>
      <w:tr>
        <w:trPr>
          <w:trHeight w:val="210"/>
        </w:trPr>
        <w:tc>
          <w:tcPr>
            <w:tcW w:w="300" w:type="dxa"/>
            <w:vAlign w:val="bottom"/>
          </w:tcPr>
          <w:p>
            <w:pPr>
              <w:spacing w:after="0"/>
              <w:rPr>
                <w:sz w:val="18"/>
                <w:szCs w:val="18"/>
                <w:color w:val="auto"/>
              </w:rPr>
            </w:pPr>
          </w:p>
        </w:tc>
        <w:tc>
          <w:tcPr>
            <w:tcW w:w="93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stock into 4,612,450 shares of Class A common stock, which will occur upon the closing of this offering; (6) the issuance of</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w:t>
            </w:r>
          </w:p>
        </w:tc>
      </w:tr>
      <w:tr>
        <w:trPr>
          <w:trHeight w:val="210"/>
        </w:trPr>
        <w:tc>
          <w:tcPr>
            <w:tcW w:w="300" w:type="dxa"/>
            <w:vAlign w:val="bottom"/>
          </w:tcPr>
          <w:p>
            <w:pPr>
              <w:spacing w:after="0"/>
              <w:rPr>
                <w:sz w:val="18"/>
                <w:szCs w:val="18"/>
                <w:color w:val="auto"/>
              </w:rPr>
            </w:pPr>
          </w:p>
        </w:tc>
        <w:tc>
          <w:tcPr>
            <w:tcW w:w="93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Class A common stock upon settlement of RSUs for which the service-based vesting condition was satisfied on or before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2022 and for</w:t>
            </w:r>
          </w:p>
        </w:tc>
      </w:tr>
      <w:tr>
        <w:trPr>
          <w:trHeight w:val="210"/>
        </w:trPr>
        <w:tc>
          <w:tcPr>
            <w:tcW w:w="30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6"/>
              </w:rPr>
              <w:t>which the performance-based vesting condition will be satisfied in connection with this offering, which settlement will occur upon the expiration of</w:t>
            </w:r>
          </w:p>
        </w:tc>
      </w:tr>
      <w:tr>
        <w:trPr>
          <w:trHeight w:val="210"/>
        </w:trPr>
        <w:tc>
          <w:tcPr>
            <w:tcW w:w="300" w:type="dxa"/>
            <w:vAlign w:val="bottom"/>
          </w:tcPr>
          <w:p>
            <w:pPr>
              <w:spacing w:after="0"/>
              <w:rPr>
                <w:sz w:val="18"/>
                <w:szCs w:val="18"/>
                <w:color w:val="auto"/>
              </w:rPr>
            </w:pPr>
          </w:p>
        </w:tc>
        <w:tc>
          <w:tcPr>
            <w:tcW w:w="8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the lock-up period in connection with this offering; (7) stock-based compensation expense of approximately $</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million related to the vesting</w:t>
            </w:r>
          </w:p>
        </w:tc>
      </w:tr>
      <w:tr>
        <w:trPr>
          <w:trHeight w:val="210"/>
        </w:trPr>
        <w:tc>
          <w:tcPr>
            <w:tcW w:w="300" w:type="dxa"/>
            <w:vAlign w:val="bottom"/>
          </w:tcPr>
          <w:p>
            <w:pPr>
              <w:spacing w:after="0"/>
              <w:rPr>
                <w:sz w:val="18"/>
                <w:szCs w:val="18"/>
                <w:color w:val="auto"/>
              </w:rPr>
            </w:pPr>
          </w:p>
        </w:tc>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of RSUs and PSUs for which the service-based vesting condition was satisfied on or before</w:t>
            </w:r>
          </w:p>
        </w:tc>
        <w:tc>
          <w:tcPr>
            <w:tcW w:w="3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 and for which the performance-based</w:t>
            </w:r>
          </w:p>
        </w:tc>
      </w:tr>
      <w:tr>
        <w:trPr>
          <w:trHeight w:val="210"/>
        </w:trPr>
        <w:tc>
          <w:tcPr>
            <w:tcW w:w="30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7"/>
              </w:rPr>
              <w:t>vesting condition will be satisfied in connection with this offering, as further described in Note 9 to our consolidated financial statements included</w:t>
            </w:r>
          </w:p>
        </w:tc>
      </w:tr>
      <w:tr>
        <w:trPr>
          <w:trHeight w:val="210"/>
        </w:trPr>
        <w:tc>
          <w:tcPr>
            <w:tcW w:w="30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9"/>
              </w:rPr>
              <w:t>elsewhere in this prospectus; and (8) the filing and effectiveness of our amended and restated certificate of incorporation, which will occur upon</w:t>
            </w:r>
          </w:p>
        </w:tc>
      </w:tr>
      <w:tr>
        <w:trPr>
          <w:trHeight w:val="228"/>
        </w:trPr>
        <w:tc>
          <w:tcPr>
            <w:tcW w:w="300" w:type="dxa"/>
            <w:vAlign w:val="bottom"/>
          </w:tcPr>
          <w:p>
            <w:pPr>
              <w:spacing w:after="0"/>
              <w:rPr>
                <w:sz w:val="19"/>
                <w:szCs w:val="19"/>
                <w:color w:val="auto"/>
              </w:rPr>
            </w:pPr>
          </w:p>
        </w:tc>
        <w:tc>
          <w:tcPr>
            <w:tcW w:w="2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closing of this offering; and</w:t>
            </w:r>
          </w:p>
        </w:tc>
        <w:tc>
          <w:tcPr>
            <w:tcW w:w="4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3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on a pro forma as adjusted basis, giving effect to (1) the pro forma adjustments set forth above and (2) our receipt of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 in net</w:t>
            </w:r>
          </w:p>
        </w:tc>
      </w:tr>
      <w:tr>
        <w:trPr>
          <w:trHeight w:val="210"/>
        </w:trPr>
        <w:tc>
          <w:tcPr>
            <w:tcW w:w="300" w:type="dxa"/>
            <w:vAlign w:val="bottom"/>
          </w:tcPr>
          <w:p>
            <w:pPr>
              <w:spacing w:after="0"/>
              <w:rPr>
                <w:sz w:val="18"/>
                <w:szCs w:val="18"/>
                <w:color w:val="auto"/>
              </w:rPr>
            </w:pPr>
          </w:p>
        </w:tc>
        <w:tc>
          <w:tcPr>
            <w:tcW w:w="93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proceeds from the sale of shares of Class A common stock that we are offering at an assumed initial public offering price of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w:t>
            </w:r>
          </w:p>
        </w:tc>
      </w:tr>
      <w:tr>
        <w:trPr>
          <w:trHeight w:val="210"/>
        </w:trPr>
        <w:tc>
          <w:tcPr>
            <w:tcW w:w="30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after deducting the estimated underwriting discounts and</w:t>
            </w:r>
          </w:p>
        </w:tc>
      </w:tr>
      <w:tr>
        <w:trPr>
          <w:trHeight w:val="228"/>
        </w:trPr>
        <w:tc>
          <w:tcPr>
            <w:tcW w:w="300" w:type="dxa"/>
            <w:vAlign w:val="bottom"/>
          </w:tcPr>
          <w:p>
            <w:pPr>
              <w:spacing w:after="0"/>
              <w:rPr>
                <w:sz w:val="19"/>
                <w:szCs w:val="19"/>
                <w:color w:val="auto"/>
              </w:rPr>
            </w:pPr>
          </w:p>
        </w:tc>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w:t>
            </w: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19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340"/>
          </w:cols>
          <w:pgMar w:left="320" w:top="448"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As of December 31, 2021</w:t>
            </w:r>
          </w:p>
        </w:tc>
        <w:tc>
          <w:tcPr>
            <w:tcW w:w="9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80" w:type="dxa"/>
            <w:vAlign w:val="bottom"/>
          </w:tcPr>
          <w:p>
            <w:pPr>
              <w:spacing w:after="0"/>
              <w:rPr>
                <w:sz w:val="9"/>
                <w:szCs w:val="9"/>
                <w:color w:val="auto"/>
              </w:rPr>
            </w:pPr>
          </w:p>
        </w:tc>
        <w:tc>
          <w:tcPr>
            <w:tcW w:w="144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4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As Adjusted</w:t>
            </w:r>
          </w:p>
        </w:tc>
        <w:tc>
          <w:tcPr>
            <w:tcW w:w="0" w:type="dxa"/>
            <w:vAlign w:val="bottom"/>
          </w:tcPr>
          <w:p>
            <w:pPr>
              <w:spacing w:after="0"/>
              <w:rPr>
                <w:sz w:val="1"/>
                <w:szCs w:val="1"/>
                <w:color w:val="auto"/>
              </w:rPr>
            </w:pPr>
          </w:p>
        </w:tc>
      </w:tr>
      <w:tr>
        <w:trPr>
          <w:trHeight w:val="138"/>
        </w:trPr>
        <w:tc>
          <w:tcPr>
            <w:tcW w:w="4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780" w:type="dxa"/>
            <w:vAlign w:val="bottom"/>
            <w:tcBorders>
              <w:top w:val="single" w:sz="8" w:color="auto"/>
            </w:tcBorders>
            <w:gridSpan w:val="6"/>
          </w:tcPr>
          <w:p>
            <w:pPr>
              <w:jc w:val="center"/>
              <w:ind w:right="93"/>
              <w:spacing w:after="0" w:line="138" w:lineRule="exact"/>
              <w:rPr>
                <w:sz w:val="20"/>
                <w:szCs w:val="20"/>
                <w:color w:val="auto"/>
              </w:rPr>
            </w:pPr>
            <w:r>
              <w:rPr>
                <w:rFonts w:ascii="Times New Roman" w:cs="Times New Roman" w:eastAsia="Times New Roman" w:hAnsi="Times New Roman"/>
                <w:sz w:val="14"/>
                <w:szCs w:val="14"/>
                <w:b w:val="1"/>
                <w:bCs w:val="1"/>
                <w:color w:val="auto"/>
                <w:w w:val="99"/>
              </w:rPr>
              <w:t>(in thousands except share and per share amounts)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278,466</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238,236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640" w:type="dxa"/>
            <w:vAlign w:val="bottom"/>
            <w:gridSpan w:val="3"/>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Redeemable convertible preferred stock, $0,0001 par value, 64,760,746 shares authorized,</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61,078,813 shares issued and outstanding, actual; no shares authorized, issued and</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pro forma and pro forma as adjusted</w:t>
            </w:r>
          </w:p>
        </w:tc>
        <w:tc>
          <w:tcPr>
            <w:tcW w:w="1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898,291</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640" w:type="dxa"/>
            <w:vAlign w:val="bottom"/>
            <w:gridSpan w:val="3"/>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w w:val="98"/>
              </w:rPr>
              <w:t>Preferred stock, $0.0001 par value, no shares authorized, issued and outstanding, actual;</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520" w:type="dxa"/>
            <w:vAlign w:val="bottom"/>
            <w:gridSpan w:val="5"/>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20,000,000 shares authorized, no shares issued and outstanding, pro forma and pro forma</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 adjusted</w:t>
            </w:r>
          </w:p>
        </w:tc>
        <w:tc>
          <w:tcPr>
            <w:tcW w:w="1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640" w:type="dxa"/>
            <w:vAlign w:val="bottom"/>
            <w:gridSpan w:val="3"/>
          </w:tcPr>
          <w:p>
            <w:pPr>
              <w:ind w:left="360"/>
              <w:spacing w:after="0" w:line="192" w:lineRule="exact"/>
              <w:rPr>
                <w:sz w:val="20"/>
                <w:szCs w:val="20"/>
                <w:color w:val="auto"/>
              </w:rPr>
            </w:pPr>
            <w:r>
              <w:rPr>
                <w:rFonts w:ascii="Times New Roman" w:cs="Times New Roman" w:eastAsia="Times New Roman" w:hAnsi="Times New Roman"/>
                <w:sz w:val="18"/>
                <w:szCs w:val="18"/>
                <w:color w:val="auto"/>
              </w:rPr>
              <w:t>Non-voting common stock, $0.001 par value, 63,946,627 shares authorized, 4,612,450</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6"/>
              </w:rPr>
              <w:t>shares issued and outstanding, actual; no shares authorized, issued and outstanding, pro</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forma and pro forma as adjusted</w:t>
            </w:r>
          </w:p>
        </w:tc>
        <w:tc>
          <w:tcPr>
            <w:tcW w:w="1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520" w:type="dxa"/>
            <w:vAlign w:val="bottom"/>
            <w:gridSpan w:val="5"/>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A common stock, $0.001 par value, 181,700,285 shares authorized, 58,367,961 shares</w:t>
            </w: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outstanding, actual; 1,000,000,000 shares authorized,</w:t>
            </w:r>
          </w:p>
        </w:tc>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5"/>
              </w:rPr>
              <w:t>shares issued and</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pro forma and shares issued and outstanding, pro forma as adjusted</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520" w:type="dxa"/>
            <w:vAlign w:val="bottom"/>
            <w:gridSpan w:val="5"/>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B common stock, $0.001 par value, 5,374,899 shares authorized, no shares issued and</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actual; 5,500,000 shares authorized,</w:t>
            </w:r>
          </w:p>
        </w:tc>
        <w:tc>
          <w:tcPr>
            <w:tcW w:w="3380" w:type="dxa"/>
            <w:vAlign w:val="bottom"/>
            <w:gridSpan w:val="4"/>
          </w:tcPr>
          <w:p>
            <w:pPr>
              <w:jc w:val="right"/>
              <w:ind w:right="698"/>
              <w:spacing w:after="0"/>
              <w:rPr>
                <w:sz w:val="20"/>
                <w:szCs w:val="20"/>
                <w:color w:val="auto"/>
              </w:rPr>
            </w:pPr>
            <w:r>
              <w:rPr>
                <w:rFonts w:ascii="Times New Roman" w:cs="Times New Roman" w:eastAsia="Times New Roman" w:hAnsi="Times New Roman"/>
                <w:sz w:val="18"/>
                <w:szCs w:val="18"/>
                <w:color w:val="auto"/>
              </w:rPr>
              <w:t>shares issued and outstanding, pro</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forma and pro forma as adjusted</w:t>
            </w:r>
          </w:p>
        </w:tc>
        <w:tc>
          <w:tcPr>
            <w:tcW w:w="1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(807,486)</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(807,491</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capitalization</w:t>
            </w:r>
          </w:p>
        </w:tc>
        <w:tc>
          <w:tcPr>
            <w:tcW w:w="1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329,036</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 $1.00 increase (decrease) in the assumed initial public offering price of $</w:t>
            </w:r>
          </w:p>
        </w:tc>
        <w:tc>
          <w:tcPr>
            <w:tcW w:w="470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8"/>
              </w:rPr>
              <w:t>per share of Class A common stock, the midpoint of the estimated</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price range set forth on the cover page of this prospectus, would increase (decrease) each of our pro forma as adjusted cash, cash equivalents and restricted cash,</w:t>
      </w:r>
    </w:p>
    <w:p>
      <w:pPr>
        <w:spacing w:after="0" w:line="2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3"/>
          <w:szCs w:val="13"/>
          <w:color w:val="auto"/>
        </w:rPr>
        <w:t>additional paid-in capital, total stockholders’ (deficit) equity and total capitalization by approximately $ million, assuming the number of shares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each of our pro forma as adjusted cash, cash equivalents and restricted cash, additional paid-in capital, total stockholders’ (deficit) equity and total capitalization by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number of shares of Class A common stock and Class B common stock that will be outstanding immediately after this offering as noted above is based</w:t>
      </w:r>
    </w:p>
    <w:p>
      <w:pPr>
        <w:spacing w:after="0" w:line="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shares of Class A common stock and 5,374,899 shares of Class B common stock outstanding as of (after giving effect to the Series G-3 Financing and assuming the conversion of all outstanding shares of redeemable convertible preferred stock, other than our Series B redeemable convertible preferred stock and non-voting common stock into Class A</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340"/>
          </w:cols>
          <w:pgMar w:left="320" w:top="448"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tabs>
          <w:tab w:leader="none" w:pos="5200" w:val="left"/>
        </w:tabs>
        <w:rPr>
          <w:sz w:val="20"/>
          <w:szCs w:val="20"/>
          <w:color w:val="auto"/>
        </w:rPr>
      </w:pPr>
      <w:r>
        <w:rPr>
          <w:rFonts w:ascii="Times New Roman" w:cs="Times New Roman" w:eastAsia="Times New Roman" w:hAnsi="Times New Roman"/>
          <w:sz w:val="18"/>
          <w:szCs w:val="18"/>
          <w:color w:val="auto"/>
        </w:rPr>
        <w:t>common stock, assuming an initial public offering price of $</w:t>
      </w:r>
      <w:r>
        <w:rPr>
          <w:sz w:val="20"/>
          <w:szCs w:val="20"/>
          <w:color w:val="auto"/>
        </w:rPr>
        <w:tab/>
      </w:r>
      <w:r>
        <w:rPr>
          <w:rFonts w:ascii="Times New Roman" w:cs="Times New Roman" w:eastAsia="Times New Roman" w:hAnsi="Times New Roman"/>
          <w:sz w:val="16"/>
          <w:szCs w:val="16"/>
          <w:color w:val="auto"/>
        </w:rPr>
        <w:t>per share, the midpoint of the estimated price range set forth on the cover page of this</w:t>
      </w:r>
    </w:p>
    <w:p>
      <w:pPr>
        <w:spacing w:after="0" w:line="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prospectus, which will occur upon the closing of this offering, and all outstanding shares of Series B redeemable convertible preferred stock into Class B common stock), and excludes:</w:t>
      </w:r>
    </w:p>
    <w:p>
      <w:pPr>
        <w:spacing w:after="0" w:line="94" w:lineRule="exact"/>
        <w:rPr>
          <w:sz w:val="20"/>
          <w:szCs w:val="20"/>
          <w:color w:val="auto"/>
        </w:rPr>
      </w:pPr>
    </w:p>
    <w:p>
      <w:pPr>
        <w:jc w:val="both"/>
        <w:ind w:left="1000" w:hanging="549"/>
        <w:spacing w:after="0" w:line="285" w:lineRule="auto"/>
        <w:tabs>
          <w:tab w:leader="none" w:pos="171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issuable on the vesting and settlement of RSUs outstanding as of December 31, 2021 under our 2015 Plan, for which the performance-based vesting condition will be satisfied in connection with this offering, but for which the service-based vesting</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condition will not be satisfied on or before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2022;</w:t>
            </w:r>
          </w:p>
        </w:tc>
      </w:tr>
    </w:tbl>
    <w:p>
      <w:pPr>
        <w:spacing w:after="0" w:line="82" w:lineRule="exact"/>
        <w:rPr>
          <w:sz w:val="20"/>
          <w:szCs w:val="20"/>
          <w:color w:val="auto"/>
        </w:rPr>
      </w:pPr>
    </w:p>
    <w:p>
      <w:pPr>
        <w:jc w:val="both"/>
        <w:ind w:left="1000" w:hanging="549"/>
        <w:spacing w:after="0" w:line="285" w:lineRule="auto"/>
        <w:tabs>
          <w:tab w:leader="none" w:pos="1603"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that may become issuable upon the vesting and settlement of PSUs outstanding as of December 31, 2021 under our 2015 Plan, for which the performance-based vesting condition may be satisfied in connection with this offering, but for which the</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service-based vesting condition will not be satisfied on or before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2022;</w:t>
            </w:r>
          </w:p>
        </w:tc>
      </w:tr>
    </w:tbl>
    <w:p>
      <w:pPr>
        <w:spacing w:after="0" w:line="82" w:lineRule="exact"/>
        <w:rPr>
          <w:sz w:val="20"/>
          <w:szCs w:val="20"/>
          <w:color w:val="auto"/>
        </w:rPr>
      </w:pPr>
    </w:p>
    <w:p>
      <w:pPr>
        <w:ind w:left="1000" w:hanging="549"/>
        <w:spacing w:after="0" w:line="267"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reserved for future issuance under our 2022 Plan, as well as any future increases, including annual automatic evergreen increases, in the number of shares of Class A common stock reserved for issuance under the 2022 Plan;</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the ESPP, as well as any future increases, including annual automatic evergreen increases, in the number of shares of Class A common stock reserved for issuance under the ESPP;</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December 31, 2021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an outstanding convertible promissory note, which is convertible beginning in March 2026 into a number of shares determined by dividing (i) the then outstanding principal amount of such note (which was $238.2 million as of December 31, 2021) plus accrued and unpaid interest by (ii) the average of the last trading price of the Company’s Class A common stock on each trading day during the twenty day period ending immediately prior to March 22, 2026, as more fully described in the section of this prospectus titled “Description of Capital Stock—Convertible Promissory Note”;</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range set forth on the cover page of this prospectus, issuable upon the exercise of the warrant issued to AstraZeneca with an exercise price equal to</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the initial public offering price, as more fully described in the section of this prospectus titled “Business—Operations—Our Strategic Collaboration</w:t>
            </w:r>
          </w:p>
        </w:tc>
      </w:tr>
      <w:tr>
        <w:trPr>
          <w:trHeight w:val="228"/>
        </w:trPr>
        <w:tc>
          <w:tcPr>
            <w:tcW w:w="300" w:type="dxa"/>
            <w:vAlign w:val="bottom"/>
          </w:tcPr>
          <w:p>
            <w:pPr>
              <w:spacing w:after="0"/>
              <w:rPr>
                <w:sz w:val="19"/>
                <w:szCs w:val="19"/>
                <w:color w:val="auto"/>
              </w:rPr>
            </w:pP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with AstraZeneca”;</w:t>
            </w:r>
          </w:p>
        </w:tc>
        <w:tc>
          <w:tcPr>
            <w:tcW w:w="116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w:t>
            </w:r>
          </w:p>
        </w:tc>
        <w:tc>
          <w:tcPr>
            <w:tcW w:w="7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 offering price of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 prospectus, issuable to one of our stockholders pursuant to a contingent payment right,</w:t>
            </w:r>
          </w:p>
        </w:tc>
      </w:tr>
      <w:tr>
        <w:trPr>
          <w:trHeight w:val="228"/>
        </w:trPr>
        <w:tc>
          <w:tcPr>
            <w:tcW w:w="300" w:type="dxa"/>
            <w:vAlign w:val="bottom"/>
          </w:tcPr>
          <w:p>
            <w:pPr>
              <w:spacing w:after="0"/>
              <w:rPr>
                <w:sz w:val="19"/>
                <w:szCs w:val="19"/>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which payment may be made in cash or shares of Class A common stock, upon mutual agreement of the Company and such stockholder;</w:t>
            </w:r>
          </w:p>
        </w:tc>
      </w:tr>
    </w:tbl>
    <w:p>
      <w:pPr>
        <w:spacing w:after="0" w:line="100" w:lineRule="exact"/>
        <w:rPr>
          <w:sz w:val="20"/>
          <w:szCs w:val="20"/>
          <w:color w:val="auto"/>
        </w:rPr>
      </w:pPr>
    </w:p>
    <w:p>
      <w:pPr>
        <w:jc w:val="both"/>
        <w:ind w:left="1000" w:hanging="549"/>
        <w:spacing w:after="0" w:line="255"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$4.0 million in shares of Class A common stock which may become issuable as contingent consideration in connection with our acquisition of Highline Consulting, LLC, as more fully described in the section of this prospectus titled “Management’s Discussion and Analysis of Financial Condition and Results of Operations—Acquisition of Highline Consulting, LLC”; and</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December 9, 2022 of 145,466 shares of Class A common stock to former stockholders of AKESOgen, Inc. in connection with our purchase of all of the outstanding shares of AKESOgen, Inc. See Note 3 to our consolidated financial statements included elsewhere in this prospectus.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340"/>
          </w:cols>
          <w:pgMar w:left="320" w:top="448"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1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you invest in our Class A common stock in this offering, your interest will be diluted to the extent of the difference between the initial public offering price per share of Class A common stock and the pro forma as adjusted net tangible book value per share immediately after this offering.</w:t>
      </w:r>
    </w:p>
    <w:p>
      <w:pPr>
        <w:spacing w:after="0" w:line="17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Our historical net tangible book value (deficit) as of December 31, 2021 was $(864.6) million, or $(13.73) per share. Our historical net tangible book value (deficit) per share represents the amount of our total tangible assets less our total liabilities and the carrying value of our redeemable convertible preferred stock, which is not included within stockholders’ equity, divided by the 62,980,411 shares of common stock outstanding as of December 31, 2021. Our pro forma net</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tangible book value as of December 31, 2021 was $ million, or $ per share. Our pro forma net tangible book value per share represents the amount of our total tangible assets less our total liabilities, divided by the number of our shares of common stock outstanding as of December 31, 2021, after giving effect to (1) the Series G-3 Financing; (2) the automatic conversion of all outstanding shares of our Series B redeemable preferred stock into 5,374,899 shares of Class B common stock, which will occur upon the closing of this offering; (3) the automatic conversion of all outstanding shares of our redeemable</w:t>
      </w:r>
    </w:p>
    <w:p>
      <w:pPr>
        <w:spacing w:after="0" w:line="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convertible preferred stock, other than our Series B preferred stock, into an aggregate of shares of Class A common stock, assuming an initial public offering price of $ per share, the midpoint of the estimated price range set forth on the cover page of this prospectus, which will occur upon the closing of this offering; (4) the issuance of Additional Class A Conversion Shares, assuming an initial public offering price of $ per share, the</w:t>
      </w:r>
    </w:p>
    <w:p>
      <w:pPr>
        <w:spacing w:after="0" w:line="1" w:lineRule="exact"/>
        <w:rPr>
          <w:sz w:val="20"/>
          <w:szCs w:val="20"/>
          <w:color w:val="auto"/>
        </w:rPr>
      </w:pPr>
    </w:p>
    <w:p>
      <w:pPr>
        <w:jc w:val="both"/>
        <w:spacing w:after="0" w:line="409" w:lineRule="auto"/>
        <w:rPr>
          <w:sz w:val="20"/>
          <w:szCs w:val="20"/>
          <w:color w:val="auto"/>
        </w:rPr>
      </w:pPr>
      <w:r>
        <w:rPr>
          <w:rFonts w:ascii="Times New Roman" w:cs="Times New Roman" w:eastAsia="Times New Roman" w:hAnsi="Times New Roman"/>
          <w:sz w:val="16"/>
          <w:szCs w:val="16"/>
          <w:color w:val="auto"/>
        </w:rPr>
        <w:t>midpoint of the estimated price range set forth on the cover page of this prospectus, which will occur upon the conversion of all outstanding shares of our redeemable convertible preferred stock and upon the closing of this offering; (5) the automatic conversion of all of our nonvoting common stock into 4,612,450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shares of Class A common stock, which will occur upon the closing of this offering; (6) the issuance of shares of Class A common stock upon settlement of RSUs for which the service-based vesting condition was satisfied on or before , 2022 and for which the performance-based vesting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condition will be satisfied in connection with this offering, which settlement will occur upon the expiration of the lock-up period in connection with this offering;</w:t>
      </w:r>
    </w:p>
    <w:p>
      <w:pPr>
        <w:spacing w:after="0" w:line="3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(7) stock-based compensation expense of approximately $ million related to the vesting of RSUs and PSUs for which the service-based vesting condition was satisfied on or before , 2022 and for which the performance-based vesting condition will be satisfied in connection with this offering, as further</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described in Note 9 to our consolidated financial statements included elsewhere in this prospectus; and (8) the filing and effectiveness of our amended and restated certificate of incorporation, which will occur upon the closing of this offering.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91" w:lineRule="exact"/>
        <w:rPr>
          <w:sz w:val="20"/>
          <w:szCs w:val="20"/>
          <w:color w:val="auto"/>
        </w:rPr>
      </w:pPr>
    </w:p>
    <w:p>
      <w:pPr>
        <w:ind w:left="460"/>
        <w:spacing w:after="0"/>
        <w:tabs>
          <w:tab w:leader="none" w:pos="4460" w:val="left"/>
        </w:tabs>
        <w:rPr>
          <w:sz w:val="20"/>
          <w:szCs w:val="20"/>
          <w:color w:val="auto"/>
        </w:rPr>
      </w:pPr>
      <w:r>
        <w:rPr>
          <w:rFonts w:ascii="Times New Roman" w:cs="Times New Roman" w:eastAsia="Times New Roman" w:hAnsi="Times New Roman"/>
          <w:sz w:val="18"/>
          <w:szCs w:val="18"/>
          <w:color w:val="auto"/>
        </w:rPr>
        <w:t>After giving effect to the sale by us of</w:t>
      </w:r>
      <w:r>
        <w:rPr>
          <w:sz w:val="20"/>
          <w:szCs w:val="20"/>
          <w:color w:val="auto"/>
        </w:rPr>
        <w:tab/>
      </w:r>
      <w:r>
        <w:rPr>
          <w:rFonts w:ascii="Times New Roman" w:cs="Times New Roman" w:eastAsia="Times New Roman" w:hAnsi="Times New Roman"/>
          <w:sz w:val="18"/>
          <w:szCs w:val="18"/>
          <w:color w:val="auto"/>
        </w:rPr>
        <w:t>shares of Class A common stock in this offering at an assumed initial public offering price of</w:t>
      </w:r>
    </w:p>
    <w:p>
      <w:pPr>
        <w:spacing w:after="0" w:line="21" w:lineRule="exact"/>
        <w:rPr>
          <w:sz w:val="20"/>
          <w:szCs w:val="20"/>
          <w:color w:val="auto"/>
        </w:rPr>
      </w:pPr>
    </w:p>
    <w:p>
      <w:pPr>
        <w:ind w:left="900" w:hanging="895"/>
        <w:spacing w:after="0"/>
        <w:tabs>
          <w:tab w:leader="none" w:pos="9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share, the midpoint of the estimated price range set forth on the cover page of this prospectus, after deducting estimated underwriting discounts</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commissions and estimated offering expenses payable by us, our pro forma as adjusted net tangible book value as of December 31, 2021 would have been</w:t>
      </w:r>
    </w:p>
    <w:p>
      <w:pPr>
        <w:spacing w:after="0" w:line="2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million, or $ per share. This amount represents an immediate increase in pro forma as adjusted net tangible book value of $ per share to our existing stockholders and an immediate dilution of $ per share to new investors purchasing Class A common stock in this offering. We determine dilution by subtracting the pro forma as adjusted net tangible book value per share after this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340"/>
          </w:cols>
          <w:pgMar w:left="320" w:top="448"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offering from the initial public offering price per share paid by investors purchasing Class A common stock in this offering. The following table illustrates this dilution on a per share basis: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15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December 31, 2021</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$(13.73)</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per share attributable to the pro forma adjustments described above</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per share as of December 31, 2021</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pro forma as adjusted net tangible book value per share attributable to new investors purchasing shares in this offering</w:t>
            </w:r>
          </w:p>
        </w:tc>
        <w:tc>
          <w:tcPr>
            <w:tcW w:w="56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giving effect to this offering</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15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dilution information discussed above is illustrative only and may change based on the actual initial public offering price and other terms of this</w:t>
      </w:r>
    </w:p>
    <w:p>
      <w:pPr>
        <w:spacing w:after="0" w:line="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offering. Each $1.00 increase (decrease) in the assumed initial public offering price of $ per share of Class A common stock, the midpoint of the estimated price range set forth on the cover page of this prospectus, would increase (decrease) our pro forma as adjusted net tangible book value per share by</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per share and increase (decrease) the dilution to new investors by $ per share, in each case assuming the number of shares of Class A common stock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w:t>
      </w:r>
    </w:p>
    <w:p>
      <w:pPr>
        <w:spacing w:after="0" w:line="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pro forma as adjusted net tangible book value by approximately $ per share and decrease (increase) the dilution to new investors by approximately $ per share, in each case assuming the assumed initial public offering price of $ per share of Class A common stock remains the same, and after deducting estimated underwriting discounts and commissions.</w:t>
      </w:r>
    </w:p>
    <w:p>
      <w:pPr>
        <w:spacing w:after="0" w:line="188"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following table summarizes, as of December 31, 2021, on a pro forma as adjusted basis as described above, the aggregate number of shares of our Class A common stock and Class B common stock, the total consideration and the average price per share (1) paid to us by existing stockholders, and (2) to be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paid by new investors acquiring our Class A common stock in this offering at an assumed initial public offering price of $ per share, the midpoint of the estimated price range set forth on the cover page of this prospectus, before deducting estimated underwriting discounts and commissions and estimated offering expenses payable by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140" w:type="dxa"/>
            <w:vAlign w:val="bottom"/>
            <w:gridSpan w:val="4"/>
            <w:vMerge w:val="restart"/>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080" w:type="dxa"/>
            <w:vAlign w:val="bottom"/>
            <w:gridSpan w:val="4"/>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8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140" w:type="dxa"/>
            <w:vAlign w:val="bottom"/>
            <w:gridSpan w:val="4"/>
            <w:vMerge w:val="continue"/>
          </w:tcPr>
          <w:p>
            <w:pPr>
              <w:spacing w:after="0"/>
              <w:rPr>
                <w:sz w:val="14"/>
                <w:szCs w:val="14"/>
                <w:color w:val="auto"/>
              </w:rPr>
            </w:pPr>
          </w:p>
        </w:tc>
        <w:tc>
          <w:tcPr>
            <w:tcW w:w="208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02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660" w:type="dxa"/>
            <w:vAlign w:val="bottom"/>
          </w:tcPr>
          <w:p>
            <w:pPr>
              <w:spacing w:after="0"/>
              <w:rPr>
                <w:sz w:val="11"/>
                <w:szCs w:val="11"/>
                <w:color w:val="auto"/>
              </w:rPr>
            </w:pPr>
          </w:p>
        </w:tc>
        <w:tc>
          <w:tcPr>
            <w:tcW w:w="680" w:type="dxa"/>
            <w:vAlign w:val="bottom"/>
            <w:tcBorders>
              <w:top w:val="single" w:sz="8" w:color="auto"/>
            </w:tcBorders>
          </w:tcPr>
          <w:p>
            <w:pPr>
              <w:jc w:val="right"/>
              <w:ind w:right="24"/>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Existing stockholders</w:t>
            </w: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jc w:val="right"/>
              <w:ind w:right="432"/>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jc w:val="right"/>
              <w:ind w:right="172"/>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CCEEFF"/>
            </w:tcBorders>
            <w:gridSpan w:val="2"/>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46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120" w:type="dxa"/>
            <w:vAlign w:val="bottom"/>
            <w:gridSpan w:val="2"/>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Sales by the selling stockholders upon the exercise in full of the underwriters’ option to purchase additional shares to cover over-allotments, if any, would</w:t>
      </w:r>
    </w:p>
    <w:p>
      <w:pPr>
        <w:spacing w:after="0" w:line="4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cause the number of shares held by existing stockholders to be reduced to shares, or % of the total number of shares of our capital stock outstanding following the closing of this offering, and would increase the number of shares held by new investors to shares, or % of the total number of shares of our capital stock outstanding following the closing of this offering.</w:t>
      </w:r>
    </w:p>
    <w:p>
      <w:pPr>
        <w:spacing w:after="0" w:line="188" w:lineRule="exact"/>
        <w:rPr>
          <w:sz w:val="20"/>
          <w:szCs w:val="20"/>
          <w:color w:val="auto"/>
        </w:rPr>
      </w:pPr>
    </w:p>
    <w:p>
      <w:pPr>
        <w:ind w:left="460"/>
        <w:spacing w:after="0"/>
        <w:tabs>
          <w:tab w:leader="none" w:pos="6800" w:val="left"/>
        </w:tabs>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w:t>
      </w:r>
      <w:r>
        <w:rPr>
          <w:sz w:val="20"/>
          <w:szCs w:val="20"/>
          <w:color w:val="auto"/>
        </w:rPr>
        <w:tab/>
      </w:r>
      <w:r>
        <w:rPr>
          <w:rFonts w:ascii="Times New Roman" w:cs="Times New Roman" w:eastAsia="Times New Roman" w:hAnsi="Times New Roman"/>
          <w:sz w:val="16"/>
          <w:szCs w:val="16"/>
          <w:color w:val="auto"/>
        </w:rPr>
        <w:t>per share, the midpoint of the estimated price range set forth on</w:t>
      </w:r>
    </w:p>
    <w:p>
      <w:pPr>
        <w:spacing w:after="0" w:line="21" w:lineRule="exact"/>
        <w:rPr>
          <w:sz w:val="20"/>
          <w:szCs w:val="20"/>
          <w:color w:val="auto"/>
        </w:rPr>
      </w:pPr>
    </w:p>
    <w:p>
      <w:pPr>
        <w:jc w:val="center"/>
        <w:ind w:right="400"/>
        <w:spacing w:after="0" w:line="414" w:lineRule="auto"/>
        <w:rPr>
          <w:sz w:val="20"/>
          <w:szCs w:val="20"/>
          <w:color w:val="auto"/>
        </w:rPr>
      </w:pPr>
      <w:r>
        <w:rPr>
          <w:rFonts w:ascii="Times New Roman" w:cs="Times New Roman" w:eastAsia="Times New Roman" w:hAnsi="Times New Roman"/>
          <w:sz w:val="18"/>
          <w:szCs w:val="18"/>
          <w:color w:val="auto"/>
        </w:rPr>
        <w:t>the cover page of this prospectus, would increase (decrease) the total consideration paid by new investors and total consideration paid by all stockholders by 103</w:t>
      </w:r>
    </w:p>
    <w:p>
      <w:pPr>
        <w:sectPr>
          <w:pgSz w:w="11900" w:h="16838" w:orient="portrait"/>
          <w:cols w:equalWidth="0" w:num="1">
            <w:col w:w="11340"/>
          </w:cols>
          <w:pgMar w:left="320" w:top="448"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5"/>
        <w:spacing w:after="0" w:line="285" w:lineRule="auto"/>
        <w:tabs>
          <w:tab w:leader="none" w:pos="92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million, assuming that the number of shares of Class A common stock offered by us, as set forth on the cover page of this prospectus, remains the same and after deducting estimated underwriting discounts and commissions. Similarly, each increase (decrease) of 1,000,000 shares in the number of shares of</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common stock offered by us would increase (decrease) the total consideration paid by new investors and total consideration paid by all stockholders by</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The number of shares of Class A common stock and Class B common stock that will be outstanding immediately after this offering as noted above is based on shares of Class A common stock and 5,374,899 shares of Class B common stock outstanding as of (after giving effect to the Series G-3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and assuming the conversion of all outstanding shares of redeemable convertible preferred stock, other than our Series B redeemable convertible</w:t>
      </w:r>
    </w:p>
    <w:p>
      <w:pPr>
        <w:spacing w:after="0" w:line="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preferred stock and non-voting common stock into Class A common stock, assuming an initial public offering price of $ per share, the midpoint of the estimated price range set forth on the cover page of this prospectus, and all outstanding shares of Series B redeemable convertible preferred stock into Class B common stock), and excludes:</w:t>
      </w:r>
    </w:p>
    <w:p>
      <w:pPr>
        <w:spacing w:after="0" w:line="97" w:lineRule="exact"/>
        <w:rPr>
          <w:sz w:val="20"/>
          <w:szCs w:val="20"/>
          <w:color w:val="auto"/>
        </w:rPr>
      </w:pPr>
    </w:p>
    <w:p>
      <w:pPr>
        <w:jc w:val="both"/>
        <w:ind w:left="1000" w:hanging="549"/>
        <w:spacing w:after="0" w:line="285" w:lineRule="auto"/>
        <w:tabs>
          <w:tab w:leader="none" w:pos="171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issuable on the vesting and settlement of RSUs outstanding as of December 31, 2021 under our 2015 Plan, for which the performance-based vesting condition will be satisfied in connection with this offering, but for which the service-based vesting</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condition will not be satisfied on or before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2022;</w:t>
            </w:r>
          </w:p>
        </w:tc>
      </w:tr>
    </w:tbl>
    <w:p>
      <w:pPr>
        <w:spacing w:after="0" w:line="82" w:lineRule="exact"/>
        <w:rPr>
          <w:sz w:val="20"/>
          <w:szCs w:val="20"/>
          <w:color w:val="auto"/>
        </w:rPr>
      </w:pPr>
    </w:p>
    <w:p>
      <w:pPr>
        <w:jc w:val="both"/>
        <w:ind w:left="1000" w:hanging="549"/>
        <w:spacing w:after="0" w:line="285" w:lineRule="auto"/>
        <w:tabs>
          <w:tab w:leader="none" w:pos="1603"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that may become issuable upon the vesting and settlement of PSUs outstanding as of December 31, 2021 under our 2015 Plan, for which the performance-based vesting condition may be satisfied in connection with this offering, but for which the</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service-based vesting condition will not be satisfied on or before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2022;</w:t>
            </w:r>
          </w:p>
        </w:tc>
      </w:tr>
    </w:tbl>
    <w:p>
      <w:pPr>
        <w:spacing w:after="0" w:line="82" w:lineRule="exact"/>
        <w:rPr>
          <w:sz w:val="20"/>
          <w:szCs w:val="20"/>
          <w:color w:val="auto"/>
        </w:rPr>
      </w:pPr>
    </w:p>
    <w:p>
      <w:pPr>
        <w:ind w:left="1000" w:hanging="549"/>
        <w:spacing w:after="0" w:line="267"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reserved for future issuance under our 2022 Plan, as well as any future increases, including annual automatic evergreen increases, in the number of shares of Class A common stock reserved for issuance under the 2022 Plan;</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the ESPP, as well as any future increases, including annual automatic evergreen increases, in the number of shares of Class A common stock reserved for issuance under the ESPP;</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December 31, 2021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an outstanding convertible promissory note, which is convertible beginning in March 2026 into a number of shares determined by dividing (i) the then outstanding principal amount of such note (which was $238.2 million as of December 31, 2021) plus accrued and unpaid interest by (ii) the average of the last trading price of the Company’s Class A common stock on each trading day during the twenty day period ending immediately prior to March 22, 2026, as more fully described in the section of this prospectus titled “Description of Capital Stock—Convertible Promissory Note”;</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60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range set forth on the cover page of this prospectus, issuable upon the exercise of the warrant issued to AstraZeneca with an exercise price equal to</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the initial public offering price, as more fully described in the section of this prospectus titled “Business—Operations—Our Strategic Collaboration</w:t>
            </w:r>
          </w:p>
        </w:tc>
      </w:tr>
      <w:tr>
        <w:trPr>
          <w:trHeight w:val="228"/>
        </w:trPr>
        <w:tc>
          <w:tcPr>
            <w:tcW w:w="300" w:type="dxa"/>
            <w:vAlign w:val="bottom"/>
          </w:tcPr>
          <w:p>
            <w:pPr>
              <w:spacing w:after="0"/>
              <w:rPr>
                <w:sz w:val="19"/>
                <w:szCs w:val="19"/>
                <w:color w:val="auto"/>
              </w:rPr>
            </w:pP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with AstraZeneca”;</w:t>
            </w:r>
          </w:p>
        </w:tc>
        <w:tc>
          <w:tcPr>
            <w:tcW w:w="11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w:t>
            </w:r>
          </w:p>
        </w:tc>
        <w:tc>
          <w:tcPr>
            <w:tcW w:w="7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 offering price of $</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 prospectus, issuable to one of our stockholders pursuant to a contingent payment right,</w:t>
            </w:r>
          </w:p>
        </w:tc>
      </w:tr>
      <w:tr>
        <w:trPr>
          <w:trHeight w:val="228"/>
        </w:trPr>
        <w:tc>
          <w:tcPr>
            <w:tcW w:w="300" w:type="dxa"/>
            <w:vAlign w:val="bottom"/>
          </w:tcPr>
          <w:p>
            <w:pPr>
              <w:spacing w:after="0"/>
              <w:rPr>
                <w:sz w:val="19"/>
                <w:szCs w:val="19"/>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which payment may be made in cash or shares of Class A common stock, upon mutual agreement of the Company and such stockholder;</w:t>
            </w:r>
          </w:p>
        </w:tc>
      </w:tr>
      <w:tr>
        <w:trPr>
          <w:trHeight w:val="354"/>
        </w:trPr>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80" w:type="dxa"/>
            <w:vAlign w:val="bottom"/>
          </w:tcPr>
          <w:p>
            <w:pPr>
              <w:jc w:val="right"/>
              <w:ind w:right="1852"/>
              <w:spacing w:after="0"/>
              <w:rPr>
                <w:sz w:val="20"/>
                <w:szCs w:val="20"/>
                <w:color w:val="auto"/>
              </w:rPr>
            </w:pPr>
            <w:r>
              <w:rPr>
                <w:rFonts w:ascii="Times New Roman" w:cs="Times New Roman" w:eastAsia="Times New Roman" w:hAnsi="Times New Roman"/>
                <w:sz w:val="18"/>
                <w:szCs w:val="18"/>
                <w:color w:val="auto"/>
              </w:rPr>
              <w:t>104</w:t>
            </w:r>
          </w:p>
        </w:tc>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55"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$4.0 million in shares of Class A common stock which may become issuable as contingent consideration in connection with our acquisition of Highline Consulting, LLC, as more fully described in the section of this prospectus titled “Management’s Discussion and Analysis of Financial Condition and Results of Operations—Acquisition of Highline Consulting, LLC”; and</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December 9, 2022 of 145,466 shares of Class A common stock to former stockholders of AKESOgen, Inc. in connection with our purchase of all of the outstanding shares of AKESOgen, Inc. See Note 3 to our consolidated financial statements included elsewhere in this prospectus.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To the extent that any outstanding options are exercised, outstanding RSUs vest and settle or new options or RSUs are issued under our stock-based compensation plans, or we issue additional shares of Class A common stock in the future, there will be further dilution to investors participating in this offering. If all outstanding options under the 2015 Plan and RSUs under the 2015 Plan as of December 31, 2021 were exercised or vested and settled, as applicable, then our existing stockholders, including the holders of these options and RSUs, would own % and our new investors would own % of the total number of shares of our Class A common stock and Class B common stock outstanding on the closing of this offering.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340"/>
          </w:cols>
          <w:pgMar w:left="320" w:top="448" w:right="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9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prospectus.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artificial intelligence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therapeutic companies, who provide data. Without this capability, we believe that data would continue to accumulate without impacting patient care. To accomplish this, we built both a technology platform to free healthcare data from silos and an operating system to make this data useful. We refer to the combination of those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primarily operate in the United States and generated total revenue of $188.0 million and $257.9 million in the years ended December 31, 2020 and 2021, respectively. In the year ended December 31, 2020, revenue from one customer accounted for approximately 16.6% of our total revenues. Revenues from this customer did not represent a significant portion of total revenues for the year ended December 31, 2021. We also incurred net losses of $209.9 million and $259.2 million in the years ended December 31, 2020 and 2021, respectively.</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currently offer three product lines: Genomics, Data, and Algos. Each product line is designed to enable and enhance the others, thereby creating network effects in each of the markets in which we operate. We are able to commercialize records multiple times, both at the time a test is run and thereafter. As a result, we differ from traditional diagnostic companies that need to focus on maximizing gross profit when performing a test. At its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340"/>
          </w:cols>
          <w:pgMar w:left="320" w:top="448"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core, our business model consists of generating, ingesting and structuring vast amounts of multimodal data through our Genomics product line and commercializing de-identified copies of such data through partnerships with our pharmaceutical customers to aid their drug discovery and development efforts.</w:t>
      </w:r>
    </w:p>
    <w:p>
      <w:pPr>
        <w:spacing w:after="0" w:line="12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invest in our database by generating high-quality molecular data and ingesting and structuring the longitudinal clinical records for many of the patients we sequence. While this investment in our business model comes with additional upfront costs, these investments benefit key stakeholders in the healthcare ecosystem over time:</w:t>
      </w:r>
    </w:p>
    <w:p>
      <w:pPr>
        <w:spacing w:after="0" w:line="89" w:lineRule="exact"/>
        <w:rPr>
          <w:sz w:val="20"/>
          <w:szCs w:val="20"/>
          <w:color w:val="auto"/>
        </w:rPr>
      </w:pPr>
    </w:p>
    <w:p>
      <w:pPr>
        <w:ind w:left="1000" w:hanging="549"/>
        <w:spacing w:after="0"/>
        <w:tabs>
          <w:tab w:leader="none" w:pos="10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Healthcare providers benefit from a tailored test result that provides information that can be used in routing patients to the most effective therapy.</w:t>
      </w:r>
    </w:p>
    <w:p>
      <w:pPr>
        <w:spacing w:after="0" w:line="144"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and biotechnology companies benefit by licensing deep molecular data and longitudinal clinical data that they can leverage in their drug development efforts.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benefit by leveraging the multimodal data to make our current tests more precise and/or to develop new algorithmic tests in the future.</w:t>
      </w:r>
    </w:p>
    <w:p>
      <w:pPr>
        <w:spacing w:after="0" w:line="213"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Although we are only five years old, the network effects described above have already been demonstrated with the cohort of records that were added to our database in 2018, 2019, 2020, and 2021. To evaluate the revenue stream in our Data product line, we rely on “Cohort Lifetime Value.” We define “Cohort Lifetime Value” as the cumulative revenue attributable to a specific cohort of de-identified records, including revenue derived both from the initial sequencing (Genomics) and licensing (Data and other), less the initial sequencing costs incurred to generate the data ultimately licensed. In 2018, the first full year that we operated a laboratory, we sequenced samples from approximately 7,500 patients. From that 2018 cohort of sequenced patients, through December 31, 2021, we generated $47.4 million of combined revenue from sequencing, data licensing of de-identified data derived from those records, and clinical trials matching, which is approximately 5.3 times the revenue we received from sequencing at the onset. The total cost to sequence the 2018 cohort was $17.4 million, of which $9.0 million was covered by reimbursement for the corresponding sequencing tests. We then generated $16.3 million of data revenue from that cohort in 2018, finishing the year with a “Cohort Lifetime Value” of $7.9 million. As more customers licensed de-identified records from the 2018 cohort in subsequent years, we generated additional revenue in 2019, 2020 and 2021 from the 2018 cohort, and as of December 31, 2021, the 2018 “Cohort Lifetime Value” for this cohort was $30.0 million. We maintained similar trends for the 2019, 2020 and 2021 cohorts. As of December 31, 2021, the 2019 “Cohort Lifetime Value” was $34.2 million, the 2020 “Cohort Lifetime Value” was $19.2 million and the 2021 “Cohort Lifetime Value” was $17.1 million.</w:t>
      </w:r>
    </w:p>
    <w:p>
      <w:pPr>
        <w:spacing w:after="0" w:line="378"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below charts which illustrate our 2018, 2019, 2020 and 2021 “Cohort Lifetime Values,” demonstrate that we are not only able to generate revenue when we run an assay, but that we are also able to continue to commercialize the de-identified records for years following running the initial test. As a result, our focus is driving growth in our Genomics product line, which creates the opportunity to drive further growth in our other product lines.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340"/>
          </w:cols>
          <w:pgMar w:left="320" w:top="448" w:right="2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205105</wp:posOffset>
            </wp:positionV>
            <wp:extent cx="6835775" cy="87617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5775" cy="8761730"/>
                    </a:xfrm>
                    <a:prstGeom prst="rect">
                      <a:avLst/>
                    </a:prstGeom>
                    <a:noFill/>
                  </pic:spPr>
                </pic:pic>
              </a:graphicData>
            </a:graphic>
          </wp:anchor>
        </w:drawing>
      </w:r>
    </w:p>
    <w:p>
      <w:pPr>
        <w:sectPr>
          <w:pgSz w:w="11900" w:h="16838" w:orient="portrait"/>
          <w:cols w:equalWidth="0" w:num="1">
            <w:col w:w="10139"/>
          </w:cols>
          <w:pgMar w:left="320" w:top="4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108</w:t>
      </w:r>
    </w:p>
    <w:p>
      <w:pPr>
        <w:sectPr>
          <w:pgSz w:w="11900" w:h="16838" w:orient="portrait"/>
          <w:cols w:equalWidth="0" w:num="1">
            <w:col w:w="10139"/>
          </w:cols>
          <w:pgMar w:left="320" w:top="448" w:right="1440"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205105</wp:posOffset>
            </wp:positionV>
            <wp:extent cx="6835775" cy="256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5775" cy="256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description of each product line: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providing services to healthcare providers, we typically bill commercial payers or government-funded programs (i.e., Medicare and Medicaid) after delivering a test result. We typically operate as an out-of-network provider and the amount that we charge varies depending on the assay being run, the party being billed and other information about the patient’s diagnosis. Revenue is generally recognized when we have met the performance obligation relating to an order. We have determined our sole performance obligation to be the delivery of the testing results to the ordering party.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When providing services to pharmaceutical companies, biotechnology companies, researchers, or other third parties, we will invoice the third party after delivering a test result. The amount that is invoiced and recognized as revenue is based on the sequencing of patient samples pursuant to contract terms.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Genomics revenue was $151.9 million and $195.0 million for the years ended December 31, 2020 and 2021, respectively. COVID-19 PCR testing accounted for $89.5 million and $94.7 million of revenue for the years ended December 31, 2020 and 2021, respectively.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products, Insights and Therapies.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Through our Insights product, we license libraries of linked clinical, molecular, and imaging de-identified data and provide a suite of analytical services to analytic and cloud-and-compute tools to pharmaceutical and biotechnology companies. Licensing fee prices are consistent across customers and priced based on the characteristics of the data being provided (i.e., number of clinical fields, type of data modalities, etc.). Revenue from our Insights product is generally recognized upon the delivery of licensed records or upon the completion of performance obligations for related services.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340"/>
          </w:cols>
          <w:pgMar w:left="320" w:top="448"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Therapies product is designed to leverage the broad network of physicians we work with in oncology to provide clinical trial matching services for pharmaceutical companies that are looking to reach hard-to-find and underserved patient populations. This product is built on top of our real-time data feeds and harnesses AI to accelerate the connection between patients, clinical trial providers (hospitals), and clinical trial sponsors (life sciences companies). The fees charged to sponsors are typically fixed and based on a per match and/or per enrollment basis. Revenue from our Therapies product is generally recognized upon a match between a patient and a trial in our network or upon enrollment of a patient that we matched to a trial in our network.</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Data revenue was $36.1 million and $62.8 million for the years ended December 31, 2020 and 2021, respectively. Our Data revenue is typically back-weighted towards the second half of the year based on the budgeting cycles of our customers.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Algos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newest product line, Algos, is focused on developing and providing diagnostics that are algorithmic in nature. Algos are tests that can be run without chemistry or biology; they are simply 0’s and 1’s running on digitized data derived from a laboratory test. Algos leverage AI-driven insights to produce clinically validated and actionable information for physicians.</w:t>
      </w:r>
    </w:p>
    <w:p>
      <w:pPr>
        <w:spacing w:after="0" w:line="18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launched our Algos product line in the fourth quarter of 2020 and currently offer three algorithmic tests in oncology: our Tumor Origin, TO, test, our Homologous Recombination Deficiency, HRD, test, and our Dihydropyrimidine Dehydrogenase Deficiency, DPYD, test. Similar to our Genomics product line, we typically bill commercial payers or government-funded programs (i.e., Medicare and Medicaid) after delivering a test result. The amount that we charge varies depending on the algorithms being run, the party being billed and other information about the patient’s diagnosis. Revenue is generally recognized based on estimated cash receipts determined by historical and current payment trends. We currently report our Algos revenue within our Data and Other product line.</w:t>
      </w:r>
    </w:p>
    <w:p>
      <w:pPr>
        <w:spacing w:after="0" w:line="15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Algos product line does not currently generate significant revenue, we believe it represents a significant opportunity for us and we will incur significant expenses over the next several years as we work to identify and develop algorithms that we can deploy into a clinical setting.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 with AstraZeneca</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2021, we entered into a Master Services Agreement, or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$200 million on such products and services during the term of the MSA. The term of the MSA will continue through December 31, 2026, unless terminated sooner. The minimum commitment may increase to $300 million upon the occurrence of any of the following events: (i) at AstraZeneca’s election on or before December 31, 2024, (ii) the date that AstraZeneca exercises the warrant issued pursuant to the terms thereof (as described below), or (iii) in the event of our initial public offering, if the average closing price of our common stock exceeds two times the offering price for any 30-day trading period following the one-year anniversary of such initial public offering.</w:t>
      </w:r>
    </w:p>
    <w:p>
      <w:pPr>
        <w:spacing w:after="0" w:line="18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Under the warrant, AstraZeneca has the right to purchase $100 million in shares of our Class A common stock at an exercise price equal to the price per share at which our common stock is valued in connection with the consummation of this initial public offering. The warrant may be exercised any time following the date that is 180 days following the pricing of our initial public offering. AstraZeneca will be entitled to substantially the same registration rights with respect to the shares under the warrant as those granted to holders of registrable securities pursuant to our Ninth Amended and Restated Investors’ Rights Agreement, dated November 19, 2020.</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340"/>
          </w:cols>
          <w:pgMar w:left="320" w:top="448"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See “Description of Capital Stock — Warrant.” The warrant will be automatically cancelled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$300 million. See “Business—Operations—Our Strategic Collaboration with AstraZeneca.”</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Highline Consulting, LLC</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January 4, 2022, we entered into a Unit Purchase Agreement with Highline Consulting, LLC, a California limited liability company, or Highline, Highline Consulting Parent, LLC, and the unitholders of Highline, or collectively, the Sellers, pursuant to which we acquired all of the issued and outstanding equity interests in Highline, which transaction we refer to as the “Highline Acquisition.”</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acquired Highline for a purchase price of $35.5 million, subject to customary cash and net working capital adjustments. In addition, following the closing, the Sellers will be entitled to receive contingent consideration from us in an aggregate amount of up to $5.0 million, payable in a combination of cash and shares of our Class A common stock, contingent upon certain individual Sellers remaining employed by us as of the first and second anniversary of the closing. In addition, we established a retention bonus pool of restricted stock units with an aggregate value of $4.0 million to be allocated among Highline employees retained by us. The retention bonus pool will be recorded as compensation expense over the requisite service period.</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preliminary valuation of the acquired assets and liabilities is not yet complete, and as such, we have not yet completed our allocation of the purchase price for the Highline Acquisition.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 See “Risk Factors” for more information.</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New Products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$45.4 million and $61.2 million during the years ended December 31, 2020 and 2021, respectively, in research and development. Our ability to develop new products, obtain regulatory approvals when required, launch them into the market, and drive adoption of these products by our customers will continue to play a key role in our results.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To grow our business requires both identifying new customers and expanding our partnerships with existing ones across each of our product lines. For Genomics, this entails our field salesforce developing relationships with individual physicians and hospital systems, demonstrating the power our Platform has in enabling them to provide personalized care to their patients. For Data, this entails our pharmaceutical business development teams demonstrating the power our Platform and database have in enabling drug discovery, development and clinical trial matching for our pharmaceutical partners. For Algos, this entails demonstrating the utility of these algorithms in a clinical setting. Since our inception, our offerings have been used by more than 5,000 oncologists and 40 pharmaceutical and biotechnology customers licensing data through our Insights product, including 16 of the 20 largest public pharmaceutical companies based on 2020 revenue. Our financial performance relies heavily on our ability to add customers to our Platform and expand the relationships with our current customers through adoption of our new products.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340"/>
          </w:cols>
          <w:pgMar w:left="320" w:top="448" w:right="2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Technology</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$45.9 million and $67.2 million during the years ended December 31, 2020 and 2021, 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Payer Coverage and Reimbursement</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We received payment on approximately 45% of our clinical oncology NGS tests across all payors performed from January 1, 2020 through June 30, 2021. We calculated this metric on a trailing two-quarter basis based on payor adjudication timing. However, we continued to perform our NGS tests through December 31, 2021. For the years ended December 31, 2020 and 2021, our average reimbursement for NGS tests billed to insurance in oncology was approximately $1,100.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COVID-19 Global Pandemic</w:t>
      </w:r>
    </w:p>
    <w:p>
      <w:pPr>
        <w:spacing w:after="0" w:line="112"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The global outbreak of the novel coronavirus in December 2019, or COVID-19, negatively affected our business in 2020 as testing was delayed due to patients delaying visits and our pharmaceutical partners delaying some of their drug development efforts due to office interruptions or paused clinical trial recruitment. In July 2020, we launched our iD test (COVID-19 PCR test) and received the FDA’s emergency use authorization for use in the detection of the COVID-19 and thereafter obtained additional emergency use authorizations for other similar tests, ran some COVID-19 testing as LDTs, and also licensed and used the Saliva Direct assay to perform other COVID-19 testing. This testing generated $89.5 million and $94.7 million of revenue for the years ended December 31, 2020 and 2021, respectively. Given the unpredictability surrounding the COVID-19 testing needs going forward, we are unable to predict testing volumes for our test on a go-forward basis, although there is a reasonable likelihood that levels will decline. We expect revenue from COVID-19 testing to decrease materially as a result of a lower prevalence of COVID-19 from successful containment efforts and the vaccination of a substantial majority of Americans, reduced testing needs of many of our clients, including as a result of the expiration and renegotiation of our COVID-19 testing agreement with CVS Pharmacy, Inc. in July 2021 and November 2021, respectively, and the entrance of other testing providers into the market. In addition, our agreement with CVS, which accounted for 24.0% of our revenue for the year ended December 31, 2020, expired in July 2021. Effective October 2021, we entered into a substantially similar agreement with CVS under which CVS has agreed to purchase certain COVID-19 testing products and services from us without a minimum purchase commitment. Sales of COVID-19 tests and related services to CVS accounted for 27.5% of our revenue for the year ended December 31, 2021.</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primarily derive our revenue from two product lines: (1) Genomics and (2) Data and Other.</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340"/>
          </w:cols>
          <w:pgMar w:left="320" w:top="448" w:right="2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Genomics primarily includes revenue from diagnostics, PCR profiling, and other anatomic and molecular pathology testing to healthcare providers, pharmaceutical companies, biotechnology companies, researchers, and other third parties.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Data and Other primarily includes revenue from de-identified data generated through our Genomics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 We currently report our Algos revenue within this line item as it is immaterial.</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incur costs to generate revenue for each of our two primary product lines. Cost of revenues for our Genomics product line is a higher percentage of the Genomics revenue than cost of revenues for Data and Other is as a percentage of Data and Other revenue. As revenue shifts between these product lines, total cost of revenue as a percentage of revenue will be impacted. Our total cost of revenues will also increase in the quarter in which this offering occurs due to stock-</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based compensation expenses of approximately million related to RSUs and PSUs for which the service-based vesting condition was satisfied and for which the performance-based vesting condition will be satisfied in connection with this offering.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Cost of revenues for Genomics primarily includes personnel lab expenses, including salaries, bonuses, employee benefits and stock-based compensation expenses (which we refer to as “personnel costs”), and amortization of intangible assets, cost of laboratory supplies and consumables, third-party administration fees associated with COVID-19 testing, depreciation of laboratory equipment and shipping costs. Costs associated with performing our tests are recorded as the tests are processed at the time of report delivery. We expect these costs will increase in absolute dollars as our Genomics revenue continues to grow.</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Data and Other</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for Data and Other primarily includes data acquisition and royalty fees, and personnel costs related to delivery of our data services and platform, and certain allocated overhead expenses. Costs associated with performing data product services are recorded as incurred. We expect these costs will increase in absolute dollars as our Data and Other revenues continue to grow. We currently report our Algos cost of revenue within this line item as it is immaterial.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Research and development expense primarily includes costs incurred to develop new assays and products, including validation costs, research and development and allocated lab personnel costs, salaries and benefits of the company’s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 Our research and development expense will increase in the</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quarter in which this offering occurs due to stock-based compensation expenses of approximately million related to RSUs and PSUs for which the service-based vesting condition was satisfied and for which the performance-based vesting condition will be satisfied in connection with this offering.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340"/>
          </w:cols>
          <w:pgMar w:left="320" w:top="448"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our technology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platform and applications and the research and development of new products that we hope to bring to the market. Technology research and development costs 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expensed as incurred. We plan to continue to invest in technology personnel to support our Platform and new algorithm development. We expect that technology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expenses will increase in absolute dollars for the foreseeable future as we continue to invest to support these activities. Our technology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 will increase in the quarter in which this offering occurs due to stock-based compensation expenses of approximately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related to RSUs and PSUs for which the service-based vesting condition was satisfied and for which the performance-based vesting condition will be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satisfied in connection with this offering.</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w:t>
      </w:r>
    </w:p>
    <w:p>
      <w:pPr>
        <w:spacing w:after="0" w:line="12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We expect that our selling, general and administrative expenses will continue to increase in absolute dollars after this offering,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Our selling, general and administrative expense will increase in the quarter in which this offering occurs due to</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stock-based compensation expenses of approximately million related to RSUs and PSUs for which the service-based vesting condition was satisfied and for which the performance-based vesting condition will be satisfied in connection with this offering.</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expense consists primarily of interest from our convertible debt, and capital leases. In 2020, we recorded a loss on extinguishment of debt relating to the conversion of convertible debt into Series G-2 preferred shares. Interest expense related to our convertible debt will continue, but should decrease over time as the principal amount decreases.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Other income (expense), net consists of foreign currency exchange gains and losses.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Provision for (benefit from)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340"/>
          </w:cols>
          <w:pgMar w:left="320" w:top="448"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Earnings (losses) from equity method investments consist of earnings from our joint venture entered during the third quarter of 2020.</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38"/>
        </w:trPr>
        <w:tc>
          <w:tcPr>
            <w:tcW w:w="20" w:type="dxa"/>
            <w:vAlign w:val="bottom"/>
          </w:tcPr>
          <w:p>
            <w:pPr>
              <w:spacing w:after="0"/>
              <w:rPr>
                <w:sz w:val="11"/>
                <w:szCs w:val="11"/>
                <w:color w:val="auto"/>
              </w:rPr>
            </w:pPr>
          </w:p>
        </w:tc>
        <w:tc>
          <w:tcPr>
            <w:tcW w:w="92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1"/>
                <w:szCs w:val="11"/>
                <w:color w:val="auto"/>
              </w:rPr>
            </w:pPr>
          </w:p>
        </w:tc>
      </w:tr>
      <w:tr>
        <w:trPr>
          <w:trHeight w:val="138"/>
        </w:trPr>
        <w:tc>
          <w:tcPr>
            <w:tcW w:w="20" w:type="dxa"/>
            <w:vAlign w:val="bottom"/>
          </w:tcPr>
          <w:p>
            <w:pPr>
              <w:spacing w:after="0"/>
              <w:rPr>
                <w:sz w:val="11"/>
                <w:szCs w:val="11"/>
                <w:color w:val="auto"/>
              </w:rPr>
            </w:pPr>
          </w:p>
        </w:tc>
        <w:tc>
          <w:tcPr>
            <w:tcW w:w="9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5"/>
          </w:tcPr>
          <w:p>
            <w:pPr>
              <w:jc w:val="right"/>
              <w:ind w:right="453"/>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Genomics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151,911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195,012</w:t>
            </w: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and Other</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36,093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62,841</w:t>
            </w:r>
          </w:p>
        </w:tc>
      </w:tr>
      <w:tr>
        <w:trPr>
          <w:trHeight w:val="223"/>
        </w:trPr>
        <w:tc>
          <w:tcPr>
            <w:tcW w:w="20" w:type="dxa"/>
            <w:vAlign w:val="bottom"/>
          </w:tcPr>
          <w:p>
            <w:pPr>
              <w:spacing w:after="0"/>
              <w:rPr>
                <w:sz w:val="19"/>
                <w:szCs w:val="19"/>
                <w:color w:val="auto"/>
              </w:rPr>
            </w:pPr>
          </w:p>
        </w:tc>
        <w:tc>
          <w:tcPr>
            <w:tcW w:w="9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188,004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257,853</w:t>
            </w: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2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152,198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162,276</w:t>
            </w: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data and other</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7,092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11,933</w:t>
            </w: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2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45,861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67,190</w:t>
            </w: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45,415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61,161</w:t>
            </w: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130,892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199,004</w:t>
            </w:r>
          </w:p>
        </w:tc>
      </w:tr>
      <w:tr>
        <w:trPr>
          <w:trHeight w:val="26"/>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381,458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501,564</w:t>
            </w:r>
          </w:p>
        </w:tc>
      </w:tr>
      <w:tr>
        <w:trPr>
          <w:trHeight w:val="223"/>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(193,454</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1,495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623</w:t>
            </w:r>
          </w:p>
        </w:tc>
      </w:tr>
      <w:tr>
        <w:trPr>
          <w:trHeight w:val="210"/>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(18,929)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(15,184)</w:t>
            </w: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3"/>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(211,354</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(258,588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(losses) from equity method investments</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99"/>
              </w:rPr>
              <w:t>(209,854)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(259,192)</w:t>
            </w: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2020 and 2021</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Total revenue was $188.0 million for the year ended December 31, 2020 compared to $257.9 million for the year ended December 31, 2021, an increase of $69.9 million, or 37.2%. Adjusted for the impact of COVID-19 PCR testing, revenue increased $64.6 million or 65.6%, from $98.5 million for the year ended December 31, 2020, compared to $163.1 million for the year ended December 31, 2021. The increase in revenue is due to increased volume of clinical oncology tests performed in Genomics and increased data deliveries in our Data product line.</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Genomics revenue increased $43.1 million, or 28.4%, from $151.9 million for the year ended December 31, 2020, compared to $195.0 million for the year ended December 31, 2021. This increase was primarily due to an additional $5.2 million of revenue from COVID-19 PCR testing primarily due to higher insurance reimbursement rates, and an increase in the number of next generation sequencing tests delivered in oncology, which increased from 44,667 tests for the year ended December 31, 2020 to 69,223 tests in the year ended December 31, 2021.</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340"/>
          </w:cols>
          <w:pgMar w:left="320" w:top="448" w:right="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Data and Other increased $26.7 million, or 74.1%, from $36.1 million for the year ended December 31, 2020, compared to $62.8 million for the year ended December 31, 2021. This increase was primarily due to increased demand for our Insights products. Across all Data and Other products, the increase was driven equally by adoption of our products and services within our existing customer base and adoption by approximately 50 new customers.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was $159.3 million for the year ended December 31, 2020 compared to $174.2 million for the year ended December 31, 2021, an increase of $14.9 million, or 9.4%. Adjusted for the impact of COVID-19 PCR testing, cost of revenue increased $25.7 million, or 31.2%, from $82.8 million for the year ended December 31, 2020, compared to $108.5 million for the year ended December 31, 2021. This increase was primarily due to an increase of $15.6 million of material and service costs and $3.1 million in personnel costs.</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Cost of revenues, Genomics was $152.2 million for the year ended December 31, 2020, compared to $162.3 million for the year ended December 31, 2021, an increase of $10.1 million, or 6.6%. This increase was primarily due to an additional $15.6 million of material and service costs, which corresponds to the increase in revenue year over year, and $1.8 million in inventory write-downs related to the expiration of oncology kits. This increase was partially offset by a $10.8 million decrease in Cost of revenues, Genomics associated with COVID-19 PCR testing, as a result of efficiencies gained from streamlining our testing process since its inception in the third quarter of 2020.</w:t>
      </w:r>
    </w:p>
    <w:p>
      <w:pPr>
        <w:spacing w:after="0" w:line="2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Data and Other</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Cost of revenues, Data and Other was $7.1 million for the year ended December 31, 2020 compared to $11.9 million for the year ended December 31, 2021, an increase of $4.8 million, or 68.2%. This increase was primarily due to an increase in personnel costs.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$45.4 million for the year ended December 31, 2020 compared to $61.2 million for the year ended December 31, 2021, an increase of $15.7 million, or 34.6%. This increase was primarily due to a $14.0 million increase in personnel-related costs for employees in our research and development group, as we increased our spend and headcount to support continued investment in our technology.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expenses were $45.9 million for the year ended December 31, 2020 compared to $67.2 million for the year ended December 31, 2021, an increase of $21.3 million, or 46.5%. This increase was primarily due to an increase in personnel-related costs associated with the investment in our cloud infrastructure and new lines of business.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Selling, general and administrative expenses were $130.9 million for the year ended December 31, 2020 compared to $199.0 million for the year ended December 31, 2021, an increase of $68.1 million, or 52.0%. This increase was primarily due to an increase of $27.1 million in personnel-related costs, inclusive of $7.0 million of software licenses, as a result of an increase in our headcount, an increase of $29.6 million related to cloud storage costs, an increase of $3.1 million in rent expense as a result of increased office space to accommodate our increased headcount, and an increase of $1.8 million professional service expenses related to accounting and marketing.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340"/>
          </w:cols>
          <w:pgMar w:left="320" w:top="448"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income was $1.5 million for the year ended December 31, 2020 compared to $0.6 million for the year ended December 31, 2021, a decrease of $0.9 million, or 58.3%. This decrease was primarily due to a significant decrease in interest rate as the U.S. Federal Reserve lowered the risk-free interest rate to nearly zero.</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expense was $18.9 million for the year ended December 31, 2020 compared to $15.2 million for the year ended December 31, 2021, a decrease of $3.7 million, or 19.8%. This decrease was primarily due to $8.9 million of loss on extinguishment of $80 million of our promissory note which was converted in November 2020, offset by a $5.1 million increase in interest expense.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2020, other expense was $0.5 million compared to other expense of $0.3 million for the year ended December 31, 2021, a decrease of $0.2 million, or 32.2%. The decrease was driven by a $0.2 million decrease in bad debt expense.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entered into a joint venture in September 2020, which had earnings of $1.5 million for the year ended December 31, 2020 compared to a loss of $0.6 million for the year ended December 31, 2021, resulting in a decrease of $2.1 million, or 140.3%. Losses from equity method investments consist of earnings from our joint venture into which we entered during the third quarter of 2020.</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Results of Operations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following table sets forth our unaudited quarterly consolidated statement of operations data for each of the eight quarters in the period ended December 31, 2021. The information for each of these quarters has been prepared in accordance with GAAP in the United States of America and on the same basis as our audited consolidated financial statements included elsewhere in this prospectus and, in the opinion of management, reflects all adjustments, which include only normal recurring adjustments, necessary for the fair presentation of our results of operations. This data should be read in conjunction with our audited financial statements and related notes included elsewhere in this prospectus. These quarterly operating results are not necessarily indicative of our operating results for the full year or any future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80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Pr>
          <w:p>
            <w:pPr>
              <w:spacing w:after="0"/>
              <w:rPr>
                <w:sz w:val="9"/>
                <w:szCs w:val="9"/>
                <w:color w:val="auto"/>
              </w:rPr>
            </w:pPr>
          </w:p>
        </w:tc>
        <w:tc>
          <w:tcPr>
            <w:tcW w:w="780" w:type="dxa"/>
            <w:vAlign w:val="bottom"/>
            <w:gridSpan w:val="3"/>
          </w:tcPr>
          <w:p>
            <w:pPr>
              <w:jc w:val="right"/>
              <w:ind w:right="199"/>
              <w:spacing w:after="0" w:line="113"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40" w:type="dxa"/>
            <w:vAlign w:val="bottom"/>
          </w:tcPr>
          <w:p>
            <w:pPr>
              <w:spacing w:after="0"/>
              <w:rPr>
                <w:sz w:val="9"/>
                <w:szCs w:val="9"/>
                <w:color w:val="auto"/>
              </w:rPr>
            </w:pPr>
          </w:p>
        </w:tc>
        <w:tc>
          <w:tcPr>
            <w:tcW w:w="104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9"/>
                <w:szCs w:val="9"/>
                <w:color w:val="auto"/>
              </w:rPr>
            </w:pPr>
          </w:p>
        </w:tc>
        <w:tc>
          <w:tcPr>
            <w:tcW w:w="100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9"/>
                <w:szCs w:val="9"/>
                <w:color w:val="auto"/>
              </w:rPr>
            </w:pPr>
          </w:p>
        </w:tc>
        <w:tc>
          <w:tcPr>
            <w:tcW w:w="80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9"/>
                <w:szCs w:val="9"/>
                <w:color w:val="auto"/>
              </w:rPr>
            </w:pPr>
          </w:p>
        </w:tc>
        <w:tc>
          <w:tcPr>
            <w:tcW w:w="840" w:type="dxa"/>
            <w:vAlign w:val="bottom"/>
            <w:gridSpan w:val="2"/>
          </w:tcPr>
          <w:p>
            <w:pPr>
              <w:jc w:val="right"/>
              <w:ind w:right="279"/>
              <w:spacing w:after="0" w:line="113"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16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20" w:type="dxa"/>
            <w:vAlign w:val="bottom"/>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6"/>
          </w:tcPr>
          <w:p>
            <w:pPr>
              <w:jc w:val="right"/>
              <w:ind w:right="539"/>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Net revenue</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Genomics(1)</w:t>
            </w:r>
          </w:p>
        </w:tc>
        <w:tc>
          <w:tcPr>
            <w:tcW w:w="1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13,645</w:t>
            </w:r>
          </w:p>
        </w:tc>
        <w:tc>
          <w:tcPr>
            <w:tcW w:w="260" w:type="dxa"/>
            <w:vAlign w:val="bottom"/>
            <w:gridSpan w:val="2"/>
          </w:tcPr>
          <w:p>
            <w:pPr>
              <w:jc w:val="right"/>
              <w:ind w:right="4"/>
              <w:spacing w:after="0" w:line="14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12,500</w:t>
            </w:r>
          </w:p>
        </w:tc>
        <w:tc>
          <w:tcPr>
            <w:tcW w:w="32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47,079</w:t>
            </w:r>
          </w:p>
        </w:tc>
        <w:tc>
          <w:tcPr>
            <w:tcW w:w="30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78,687</w:t>
            </w:r>
          </w:p>
        </w:tc>
        <w:tc>
          <w:tcPr>
            <w:tcW w:w="26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59,830</w:t>
            </w:r>
          </w:p>
        </w:tc>
        <w:tc>
          <w:tcPr>
            <w:tcW w:w="960" w:type="dxa"/>
            <w:vAlign w:val="bottom"/>
            <w:gridSpan w:val="3"/>
          </w:tcPr>
          <w:p>
            <w:pPr>
              <w:jc w:val="right"/>
              <w:ind w:right="279"/>
              <w:spacing w:after="0" w:line="145" w:lineRule="exact"/>
              <w:rPr>
                <w:sz w:val="20"/>
                <w:szCs w:val="20"/>
                <w:color w:val="auto"/>
              </w:rPr>
            </w:pPr>
            <w:r>
              <w:rPr>
                <w:rFonts w:ascii="Times New Roman" w:cs="Times New Roman" w:eastAsia="Times New Roman" w:hAnsi="Times New Roman"/>
                <w:sz w:val="14"/>
                <w:szCs w:val="14"/>
                <w:color w:val="auto"/>
              </w:rPr>
              <w:t>$ 53,070</w:t>
            </w:r>
          </w:p>
        </w:tc>
        <w:tc>
          <w:tcPr>
            <w:tcW w:w="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20"/>
              <w:spacing w:after="0" w:line="145" w:lineRule="exact"/>
              <w:rPr>
                <w:sz w:val="20"/>
                <w:szCs w:val="20"/>
                <w:color w:val="auto"/>
              </w:rPr>
            </w:pPr>
            <w:r>
              <w:rPr>
                <w:rFonts w:ascii="Times New Roman" w:cs="Times New Roman" w:eastAsia="Times New Roman" w:hAnsi="Times New Roman"/>
                <w:sz w:val="14"/>
                <w:szCs w:val="14"/>
                <w:color w:val="auto"/>
              </w:rPr>
              <w:t>41,614</w:t>
            </w:r>
          </w:p>
        </w:tc>
        <w:tc>
          <w:tcPr>
            <w:tcW w:w="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40,498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Data and Other</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4,597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5,677</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3,654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22,165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10,280</w:t>
            </w:r>
          </w:p>
        </w:tc>
        <w:tc>
          <w:tcPr>
            <w:tcW w:w="960" w:type="dxa"/>
            <w:vAlign w:val="bottom"/>
            <w:gridSpan w:val="3"/>
            <w:shd w:val="clear" w:color="auto" w:fill="CCEEFF"/>
          </w:tcPr>
          <w:p>
            <w:pPr>
              <w:jc w:val="right"/>
              <w:ind w:right="279"/>
              <w:spacing w:after="0" w:line="145" w:lineRule="exact"/>
              <w:rPr>
                <w:sz w:val="20"/>
                <w:szCs w:val="20"/>
                <w:color w:val="auto"/>
              </w:rPr>
            </w:pPr>
            <w:r>
              <w:rPr>
                <w:rFonts w:ascii="Times New Roman" w:cs="Times New Roman" w:eastAsia="Times New Roman" w:hAnsi="Times New Roman"/>
                <w:sz w:val="14"/>
                <w:szCs w:val="14"/>
                <w:color w:val="auto"/>
              </w:rPr>
              <w:t>8,915</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5" w:lineRule="exact"/>
              <w:rPr>
                <w:sz w:val="20"/>
                <w:szCs w:val="20"/>
                <w:color w:val="auto"/>
              </w:rPr>
            </w:pPr>
            <w:r>
              <w:rPr>
                <w:rFonts w:ascii="Times New Roman" w:cs="Times New Roman" w:eastAsia="Times New Roman" w:hAnsi="Times New Roman"/>
                <w:sz w:val="14"/>
                <w:szCs w:val="14"/>
                <w:color w:val="auto"/>
              </w:rPr>
              <w:t>10,834</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32,812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net revenue</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18,242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18,177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50,733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100,852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70,110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$ 61,985</w:t>
            </w:r>
          </w:p>
        </w:tc>
        <w:tc>
          <w:tcPr>
            <w:tcW w:w="320" w:type="dxa"/>
            <w:vAlign w:val="bottom"/>
          </w:tcPr>
          <w:p>
            <w:pPr>
              <w:spacing w:after="0"/>
              <w:rPr>
                <w:sz w:val="15"/>
                <w:szCs w:val="15"/>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52,448</w:t>
            </w:r>
          </w:p>
        </w:tc>
        <w:tc>
          <w:tcPr>
            <w:tcW w:w="320" w:type="dxa"/>
            <w:vAlign w:val="bottom"/>
          </w:tcPr>
          <w:p>
            <w:pPr>
              <w:spacing w:after="0"/>
              <w:rPr>
                <w:sz w:val="15"/>
                <w:szCs w:val="15"/>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Cost and operating expenses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Cost of revenues, genomics(1)</w:t>
            </w:r>
          </w:p>
        </w:tc>
        <w:tc>
          <w:tcPr>
            <w:tcW w:w="120" w:type="dxa"/>
            <w:vAlign w:val="bottom"/>
          </w:tcPr>
          <w:p>
            <w:pPr>
              <w:spacing w:after="0"/>
              <w:rPr>
                <w:sz w:val="12"/>
                <w:szCs w:val="12"/>
                <w:color w:val="auto"/>
              </w:rPr>
            </w:pPr>
          </w:p>
        </w:tc>
        <w:tc>
          <w:tcPr>
            <w:tcW w:w="68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16,832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17,226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46,358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71,782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58,152</w:t>
            </w:r>
          </w:p>
        </w:tc>
        <w:tc>
          <w:tcPr>
            <w:tcW w:w="960" w:type="dxa"/>
            <w:vAlign w:val="bottom"/>
            <w:gridSpan w:val="3"/>
          </w:tcPr>
          <w:p>
            <w:pPr>
              <w:jc w:val="right"/>
              <w:ind w:right="279"/>
              <w:spacing w:after="0" w:line="145" w:lineRule="exact"/>
              <w:rPr>
                <w:sz w:val="20"/>
                <w:szCs w:val="20"/>
                <w:color w:val="auto"/>
              </w:rPr>
            </w:pPr>
            <w:r>
              <w:rPr>
                <w:rFonts w:ascii="Times New Roman" w:cs="Times New Roman" w:eastAsia="Times New Roman" w:hAnsi="Times New Roman"/>
                <w:sz w:val="14"/>
                <w:szCs w:val="14"/>
                <w:color w:val="auto"/>
              </w:rPr>
              <w:t>39,351</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5" w:lineRule="exact"/>
              <w:rPr>
                <w:sz w:val="20"/>
                <w:szCs w:val="20"/>
                <w:color w:val="auto"/>
              </w:rPr>
            </w:pPr>
            <w:r>
              <w:rPr>
                <w:rFonts w:ascii="Times New Roman" w:cs="Times New Roman" w:eastAsia="Times New Roman" w:hAnsi="Times New Roman"/>
                <w:sz w:val="14"/>
                <w:szCs w:val="14"/>
                <w:color w:val="auto"/>
              </w:rPr>
              <w:t>31,780</w:t>
            </w:r>
          </w:p>
        </w:tc>
        <w:tc>
          <w:tcPr>
            <w:tcW w:w="180" w:type="dxa"/>
            <w:vAlign w:val="bottom"/>
          </w:tcPr>
          <w:p>
            <w:pPr>
              <w:spacing w:after="0"/>
              <w:rPr>
                <w:sz w:val="12"/>
                <w:szCs w:val="12"/>
                <w:color w:val="auto"/>
              </w:rPr>
            </w:pPr>
          </w:p>
        </w:tc>
        <w:tc>
          <w:tcPr>
            <w:tcW w:w="72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32,993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Cost of revenues, data products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1,411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1,478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2,139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2,064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2,249</w:t>
            </w:r>
          </w:p>
        </w:tc>
        <w:tc>
          <w:tcPr>
            <w:tcW w:w="960" w:type="dxa"/>
            <w:vAlign w:val="bottom"/>
            <w:gridSpan w:val="3"/>
            <w:shd w:val="clear" w:color="auto" w:fill="CCEEFF"/>
          </w:tcPr>
          <w:p>
            <w:pPr>
              <w:jc w:val="right"/>
              <w:ind w:right="279"/>
              <w:spacing w:after="0" w:line="145" w:lineRule="exact"/>
              <w:rPr>
                <w:sz w:val="20"/>
                <w:szCs w:val="20"/>
                <w:color w:val="auto"/>
              </w:rPr>
            </w:pPr>
            <w:r>
              <w:rPr>
                <w:rFonts w:ascii="Times New Roman" w:cs="Times New Roman" w:eastAsia="Times New Roman" w:hAnsi="Times New Roman"/>
                <w:sz w:val="14"/>
                <w:szCs w:val="14"/>
                <w:color w:val="auto"/>
              </w:rPr>
              <w:t>2,668</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5" w:lineRule="exact"/>
              <w:rPr>
                <w:sz w:val="20"/>
                <w:szCs w:val="20"/>
                <w:color w:val="auto"/>
              </w:rPr>
            </w:pPr>
            <w:r>
              <w:rPr>
                <w:rFonts w:ascii="Times New Roman" w:cs="Times New Roman" w:eastAsia="Times New Roman" w:hAnsi="Times New Roman"/>
                <w:sz w:val="14"/>
                <w:szCs w:val="14"/>
                <w:color w:val="auto"/>
              </w:rPr>
              <w:t>3,031</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3,985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40" w:type="dxa"/>
            <w:vAlign w:val="bottom"/>
          </w:tcPr>
          <w:p>
            <w:pPr>
              <w:ind w:left="120"/>
              <w:spacing w:after="0" w:line="151" w:lineRule="exact"/>
              <w:rPr>
                <w:sz w:val="20"/>
                <w:szCs w:val="20"/>
                <w:color w:val="auto"/>
              </w:rPr>
            </w:pPr>
            <w:r>
              <w:rPr>
                <w:rFonts w:ascii="Times New Roman" w:cs="Times New Roman" w:eastAsia="Times New Roman" w:hAnsi="Times New Roman"/>
                <w:sz w:val="14"/>
                <w:szCs w:val="14"/>
                <w:color w:val="auto"/>
              </w:rPr>
              <w:t>Loss from operations</w:t>
            </w:r>
          </w:p>
        </w:tc>
        <w:tc>
          <w:tcPr>
            <w:tcW w:w="12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(47,674</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(51,432</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(52,300)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(42,048)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(61,434</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(62,874</w:t>
            </w:r>
          </w:p>
        </w:tc>
        <w:tc>
          <w:tcPr>
            <w:tcW w:w="32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(64,607)</w:t>
            </w:r>
          </w:p>
        </w:tc>
        <w:tc>
          <w:tcPr>
            <w:tcW w:w="3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(54,796)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99"/>
              <w:spacing w:after="0" w:line="145" w:lineRule="exact"/>
              <w:rPr>
                <w:sz w:val="20"/>
                <w:szCs w:val="20"/>
                <w:color w:val="auto"/>
              </w:rPr>
            </w:pPr>
            <w:r>
              <w:rPr>
                <w:rFonts w:ascii="Times New Roman" w:cs="Times New Roman" w:eastAsia="Times New Roman" w:hAnsi="Times New Roman"/>
                <w:sz w:val="14"/>
                <w:szCs w:val="14"/>
                <w:color w:val="auto"/>
              </w:rPr>
              <w:t>(47,102)</w:t>
            </w:r>
          </w:p>
        </w:tc>
        <w:tc>
          <w:tcPr>
            <w:tcW w:w="260" w:type="dxa"/>
            <w:vAlign w:val="bottom"/>
            <w:gridSpan w:val="2"/>
            <w:shd w:val="clear" w:color="auto" w:fill="CCEEFF"/>
          </w:tcPr>
          <w:p>
            <w:pPr>
              <w:jc w:val="right"/>
              <w:ind w:right="4"/>
              <w:spacing w:after="0" w:line="14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99"/>
              <w:spacing w:after="0" w:line="145" w:lineRule="exact"/>
              <w:rPr>
                <w:sz w:val="20"/>
                <w:szCs w:val="20"/>
                <w:color w:val="auto"/>
              </w:rPr>
            </w:pPr>
            <w:r>
              <w:rPr>
                <w:rFonts w:ascii="Times New Roman" w:cs="Times New Roman" w:eastAsia="Times New Roman" w:hAnsi="Times New Roman"/>
                <w:sz w:val="14"/>
                <w:szCs w:val="14"/>
                <w:color w:val="auto"/>
              </w:rPr>
              <w:t>(51,100)</w:t>
            </w:r>
          </w:p>
        </w:tc>
        <w:tc>
          <w:tcPr>
            <w:tcW w:w="3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(57,510)</w:t>
            </w:r>
          </w:p>
        </w:tc>
        <w:tc>
          <w:tcPr>
            <w:tcW w:w="30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(54,142)</w:t>
            </w:r>
          </w:p>
        </w:tc>
        <w:tc>
          <w:tcPr>
            <w:tcW w:w="2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99"/>
              <w:spacing w:after="0" w:line="145" w:lineRule="exact"/>
              <w:rPr>
                <w:sz w:val="20"/>
                <w:szCs w:val="20"/>
                <w:color w:val="auto"/>
              </w:rPr>
            </w:pPr>
            <w:r>
              <w:rPr>
                <w:rFonts w:ascii="Times New Roman" w:cs="Times New Roman" w:eastAsia="Times New Roman" w:hAnsi="Times New Roman"/>
                <w:sz w:val="14"/>
                <w:szCs w:val="14"/>
                <w:color w:val="auto"/>
              </w:rPr>
              <w:t>(65,020)</w:t>
            </w:r>
          </w:p>
        </w:tc>
        <w:tc>
          <w:tcPr>
            <w:tcW w:w="960" w:type="dxa"/>
            <w:vAlign w:val="bottom"/>
            <w:gridSpan w:val="3"/>
            <w:shd w:val="clear" w:color="auto" w:fill="CCEEFF"/>
          </w:tcPr>
          <w:p>
            <w:pPr>
              <w:jc w:val="right"/>
              <w:ind w:right="239"/>
              <w:spacing w:after="0" w:line="145"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(66,849)</w:t>
            </w:r>
          </w:p>
        </w:tc>
        <w:tc>
          <w:tcPr>
            <w:tcW w:w="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60"/>
              <w:spacing w:after="0" w:line="145" w:lineRule="exact"/>
              <w:rPr>
                <w:sz w:val="20"/>
                <w:szCs w:val="20"/>
                <w:color w:val="auto"/>
              </w:rPr>
            </w:pPr>
            <w:r>
              <w:rPr>
                <w:rFonts w:ascii="Times New Roman" w:cs="Times New Roman" w:eastAsia="Times New Roman" w:hAnsi="Times New Roman"/>
                <w:sz w:val="14"/>
                <w:szCs w:val="14"/>
                <w:color w:val="auto"/>
              </w:rPr>
              <w:t>(68,342)</w:t>
            </w:r>
          </w:p>
        </w:tc>
        <w:tc>
          <w:tcPr>
            <w:tcW w:w="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(58,981)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918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84" w:lineRule="exact"/>
        <w:rPr>
          <w:sz w:val="20"/>
          <w:szCs w:val="20"/>
          <w:color w:val="auto"/>
        </w:rPr>
      </w:pPr>
    </w:p>
    <w:p>
      <w:pPr>
        <w:ind w:left="160" w:hanging="155"/>
        <w:spacing w:after="0"/>
        <w:tabs>
          <w:tab w:leader="none" w:pos="160" w:val="left"/>
        </w:tabs>
        <w:numPr>
          <w:ilvl w:val="0"/>
          <w:numId w:val="64"/>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4"/>
          <w:szCs w:val="14"/>
          <w:b w:val="1"/>
          <w:bCs w:val="1"/>
          <w:color w:val="auto"/>
        </w:rPr>
        <w:t>Revenue and cost of revenue from COVID-19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197725" cy="914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2"/>
        </w:trPr>
        <w:tc>
          <w:tcPr>
            <w:tcW w:w="274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Genomics</w:t>
            </w:r>
          </w:p>
        </w:tc>
        <w:tc>
          <w:tcPr>
            <w:tcW w:w="2080" w:type="dxa"/>
            <w:vAlign w:val="bottom"/>
          </w:tcPr>
          <w:p>
            <w:pPr>
              <w:ind w:left="16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2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50"/>
              <w:spacing w:after="0" w:line="153" w:lineRule="exact"/>
              <w:rPr>
                <w:sz w:val="20"/>
                <w:szCs w:val="20"/>
                <w:color w:val="auto"/>
              </w:rPr>
            </w:pPr>
            <w:r>
              <w:rPr>
                <w:rFonts w:ascii="Times New Roman" w:cs="Times New Roman" w:eastAsia="Times New Roman" w:hAnsi="Times New Roman"/>
                <w:sz w:val="14"/>
                <w:szCs w:val="14"/>
                <w:color w:val="auto"/>
              </w:rPr>
              <w:t>29,489</w:t>
            </w:r>
          </w:p>
        </w:tc>
        <w:tc>
          <w:tcPr>
            <w:tcW w:w="1020" w:type="dxa"/>
            <w:vAlign w:val="bottom"/>
          </w:tcPr>
          <w:p>
            <w:pPr>
              <w:jc w:val="right"/>
              <w:ind w:right="250"/>
              <w:spacing w:after="0" w:line="153" w:lineRule="exact"/>
              <w:rPr>
                <w:sz w:val="20"/>
                <w:szCs w:val="20"/>
                <w:color w:val="auto"/>
              </w:rPr>
            </w:pPr>
            <w:r>
              <w:rPr>
                <w:rFonts w:ascii="Times New Roman" w:cs="Times New Roman" w:eastAsia="Times New Roman" w:hAnsi="Times New Roman"/>
                <w:sz w:val="14"/>
                <w:szCs w:val="14"/>
                <w:color w:val="auto"/>
              </w:rPr>
              <w:t>60,015</w:t>
            </w:r>
          </w:p>
        </w:tc>
        <w:tc>
          <w:tcPr>
            <w:tcW w:w="1020" w:type="dxa"/>
            <w:vAlign w:val="bottom"/>
          </w:tcPr>
          <w:p>
            <w:pPr>
              <w:jc w:val="right"/>
              <w:ind w:right="250"/>
              <w:spacing w:after="0" w:line="153" w:lineRule="exact"/>
              <w:rPr>
                <w:sz w:val="20"/>
                <w:szCs w:val="20"/>
                <w:color w:val="auto"/>
              </w:rPr>
            </w:pPr>
            <w:r>
              <w:rPr>
                <w:rFonts w:ascii="Times New Roman" w:cs="Times New Roman" w:eastAsia="Times New Roman" w:hAnsi="Times New Roman"/>
                <w:sz w:val="14"/>
                <w:szCs w:val="14"/>
                <w:color w:val="auto"/>
              </w:rPr>
              <w:t>38,887</w:t>
            </w:r>
          </w:p>
        </w:tc>
        <w:tc>
          <w:tcPr>
            <w:tcW w:w="1040" w:type="dxa"/>
            <w:vAlign w:val="bottom"/>
          </w:tcPr>
          <w:p>
            <w:pPr>
              <w:jc w:val="right"/>
              <w:ind w:right="250"/>
              <w:spacing w:after="0" w:line="153" w:lineRule="exact"/>
              <w:rPr>
                <w:sz w:val="20"/>
                <w:szCs w:val="20"/>
                <w:color w:val="auto"/>
              </w:rPr>
            </w:pPr>
            <w:r>
              <w:rPr>
                <w:rFonts w:ascii="Times New Roman" w:cs="Times New Roman" w:eastAsia="Times New Roman" w:hAnsi="Times New Roman"/>
                <w:sz w:val="14"/>
                <w:szCs w:val="14"/>
                <w:color w:val="auto"/>
              </w:rPr>
              <w:t>32,680</w:t>
            </w:r>
          </w:p>
        </w:tc>
        <w:tc>
          <w:tcPr>
            <w:tcW w:w="1040" w:type="dxa"/>
            <w:vAlign w:val="bottom"/>
          </w:tcPr>
          <w:p>
            <w:pPr>
              <w:jc w:val="right"/>
              <w:ind w:right="250"/>
              <w:spacing w:after="0" w:line="153" w:lineRule="exact"/>
              <w:rPr>
                <w:sz w:val="20"/>
                <w:szCs w:val="20"/>
                <w:color w:val="auto"/>
              </w:rPr>
            </w:pPr>
            <w:r>
              <w:rPr>
                <w:rFonts w:ascii="Times New Roman" w:cs="Times New Roman" w:eastAsia="Times New Roman" w:hAnsi="Times New Roman"/>
                <w:sz w:val="14"/>
                <w:szCs w:val="14"/>
                <w:color w:val="auto"/>
              </w:rPr>
              <w:t>13,373</w:t>
            </w:r>
          </w:p>
        </w:tc>
        <w:tc>
          <w:tcPr>
            <w:tcW w:w="6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9,783</w:t>
            </w:r>
          </w:p>
        </w:tc>
        <w:tc>
          <w:tcPr>
            <w:tcW w:w="0" w:type="dxa"/>
            <w:vAlign w:val="bottom"/>
          </w:tcPr>
          <w:p>
            <w:pPr>
              <w:spacing w:after="0"/>
              <w:rPr>
                <w:sz w:val="1"/>
                <w:szCs w:val="1"/>
                <w:color w:val="auto"/>
              </w:rPr>
            </w:pPr>
          </w:p>
        </w:tc>
      </w:tr>
      <w:tr>
        <w:trPr>
          <w:trHeight w:val="122"/>
        </w:trPr>
        <w:tc>
          <w:tcPr>
            <w:tcW w:w="274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Cost of revenue,</w:t>
            </w:r>
          </w:p>
        </w:tc>
        <w:tc>
          <w:tcPr>
            <w:tcW w:w="2080" w:type="dxa"/>
            <w:vAlign w:val="bottom"/>
            <w:vMerge w:val="restart"/>
            <w:shd w:val="clear" w:color="auto" w:fill="CCEEFF"/>
          </w:tcPr>
          <w:p>
            <w:pPr>
              <w:ind w:left="16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26,367</w:t>
            </w:r>
          </w:p>
        </w:tc>
        <w:tc>
          <w:tcPr>
            <w:tcW w:w="102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50,120</w:t>
            </w:r>
          </w:p>
        </w:tc>
        <w:tc>
          <w:tcPr>
            <w:tcW w:w="102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36,095</w:t>
            </w:r>
          </w:p>
        </w:tc>
        <w:tc>
          <w:tcPr>
            <w:tcW w:w="10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17,740</w:t>
            </w:r>
          </w:p>
        </w:tc>
        <w:tc>
          <w:tcPr>
            <w:tcW w:w="10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6,498</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5,329</w:t>
            </w: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genomics</w:t>
            </w:r>
          </w:p>
        </w:tc>
        <w:tc>
          <w:tcPr>
            <w:tcW w:w="208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340"/>
          </w:cols>
          <w:pgMar w:left="320" w:top="448"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Revenue Trends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Beginning in the third quarter of 2020, revenue from COVID-19 testing impacted the Genomics revenue line as illustrated in the table above.</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Data and Other revenue experienced fluctuations due to seasonality driven by the procurement and budgeting cycles of many of our customers. As a result, the majority of our data deliveries occurred during the fourth quarter of 2020 and 2021, resulting in approximately 60% and 50% of Data and Other revenue for the years ended December 31, 2020 and 2021, respectively, recognized in the fourth quarter of the applicable year.</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Costs and Operating Expense Trends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Beginning in the third quarter of 2020, costs associated with COVID-19 testing impacted the Cost of revenues, genomics line as illustrated in the table above.</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costs and operating expenses primarily increased during the periods presented due to the addition of personnel in connection with the growth of our business. Cost of revenue, Genomics associated with COVID-19 testing relative to net revenue recorded from COVID-19 testing has decreased over time as a result of efficiencies gained from streamlining our testing process since its inception in the third quarter of 2020.</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and as of December 31, 2021, we had an accumulated deficit of $807.5 million.</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expect to incur additional operating losses in the near future and our operating expenses will increase as we continue to invest in clinical trials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funded our operations to date principally from the sale of stock, convertible debt and sales of our products. As of December 31, 2021, we had cash, cash equivalents and restricted cash of $278.5 million. On January 4, 2022, we funded through cash on hand, the $35.5 million acquisition of Highline Consulting, LLC (which purchase price is subject to customary cash and net working capital adjustments). From April 18 to April 22, 2022, we sold an aggregate of 1,483,242 shares of our Series G-3 convertible preferred stock at a price per share of $57.3069 for an aggregate purchase price of approximately $85.0 million in private placements to accredited investors.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Based on our current business plan, we believe our current cash and cash equivalents and anticipated cash flows from operations will be sufficient to meet our anticipated cash requirements for more than twelve months from the date of this prospectus. We will raise additional capital to expand our business, to pursue strategic investments, to take advantage of financing 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If our available cash and cash equivalents and anticipated cash flows from operations are insufficient to satisfy our liquidity requirements including because of lower demand for our products as a result of lower than currently expected rates of reimbursement from our customers or other risks described elsewhere in this prospectus, we may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340"/>
          </w:cols>
          <w:pgMar w:left="320" w:top="448"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 The failure to obtain any required future financing may require us to reduce or eliminate certain existing operations.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June 22, 2020, in connection with our entry into an agreement for use of Google LLC’s, or Google’s, Google Cloud Platform, we issued Google a convertible promissory note, or the Note, in the original principal amount of $330.0 million. On November 19, 2020, in connection with our Series G-2 convertible preferred stock financing, we issued Google $80 million of our Series G-2 preferred stock, at a 10% discount to the purchase price per share in such financing, in partial satisfaction of the outstanding principal amount under the Note, and we amended and restated the terms of the Note.</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us. We account for the principal reductions as an offset to our cloud and compute spend within selling, general and administrative expense in our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us of our Google Cloud Platform agreement. We generally may not prepay the Outstanding Amount, except that we may, at our option, prepay the Outstanding Amount in an amount such that the principal amount remaining outstanding after such repayment is $150.0 million.</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33" w:lineRule="exact"/>
        <w:rPr>
          <w:sz w:val="20"/>
          <w:szCs w:val="20"/>
          <w:color w:val="auto"/>
        </w:rPr>
      </w:pPr>
    </w:p>
    <w:p>
      <w:pPr>
        <w:jc w:val="center"/>
        <w:ind w:left="92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5080</wp:posOffset>
            </wp:positionV>
            <wp:extent cx="12172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ind w:left="9560"/>
        <w:spacing w:after="0"/>
        <w:tabs>
          <w:tab w:leader="none" w:pos="1066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-3810</wp:posOffset>
            </wp:positionV>
            <wp:extent cx="12172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ind w:left="9840"/>
        <w:spacing w:after="0" w:line="225"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 (206,562)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(211,984)</w:t>
            </w: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(13,416)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(21,724)</w:t>
            </w:r>
          </w:p>
        </w:tc>
      </w:tr>
      <w:tr>
        <w:trPr>
          <w:trHeight w:val="22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506,107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2020 was $206.6 million, which resulted from a net loss of $209.9 million and net change in our operating assets and liabilities of $35.5 million, offset by non-cash charges of $38.7 million. Non-cash charges primarily consisted of $23.1 million of depreciation and amortization and a $8.9 million relating to loss on extinguishment of convertible promissory notes. The net change in our operating assets and liabilities was primarily the result of a $55.8 million increase in accounts receivable primarily as a result of Genomics revenue, specifically COVID-19 sample testing, $29.3 million increase in inventory as a result of supplies for COVID kit tests.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2021 was $212.0 million, which resulted from a net loss of $259.2 million and net change in our operating assets and liabilities of $14.6 million, offset by non-cash charges of $32.7 million. Non-cash charges primarily consisted of $23.9 million 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340"/>
          </w:cols>
          <w:pgMar w:left="320" w:top="448"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depreciation and amortization and a $5.2 million change in fair value of contingent consideration. The net change in our operating assets and liabilities was primarily the result of a $14.6 million decrease in inventory as a result of reducing supplies for COVID-19 kit tests and the expiration of COVID-19 testing kits and oncology lab supplies. The remaining net change in our operating assets and liabilities is a result of a $9.5 million increase in deferred revenue primarily related to the volume and timing of our data contracts.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2020 was $13.4 million, which resulted entirely from purchases of property and equipment.</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2021 was $21.7 million, which resulted from investments in non-marketable security of $6.0 million, the release of escrow related to the AKESOgen purchase of $4.0 million, and purchases of property and equipment of $11.8 million.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2020 was $506.1 million which was primarily due to net proceeds of $189.9 million from the issuance of convertible preferred stock and net proceeds of $330.0 million from the issuance of a convertible promissory note.</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during the year ended December 31, 2021 was $2.0 million, which was primarily due to net proceeds of $8.9 million from the issuance of convertible preferred stock, offset by dividends of $5.6 million, payment of contingent consideration of $3.4 million, and payment of deferred offering costs of $1.1 million.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contractual commitments will have an impact on our future liquidity. These commitments include future payments on non-cancellable leases, purchase obligations related to data licenses and cloud computing services, and future payments on our convertible promissory note. Where applicable, we calculate our obligation based on termination fees that can be paid to exit the contract. The data license agreements include committed payments for access to certain data and additional payments contingent on the commercialization of such data.</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contractually committed future obligations as of December 31, 2021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1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1-</w:t>
            </w:r>
          </w:p>
        </w:tc>
        <w:tc>
          <w:tcPr>
            <w:tcW w:w="46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11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lease obligations</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60,313</w:t>
            </w:r>
          </w:p>
        </w:tc>
        <w:tc>
          <w:tcPr>
            <w:tcW w:w="4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8,444</w:t>
            </w:r>
          </w:p>
        </w:tc>
        <w:tc>
          <w:tcPr>
            <w:tcW w:w="4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6"/>
              </w:rPr>
              <w:t>17,253</w:t>
            </w: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14,433</w:t>
            </w:r>
          </w:p>
        </w:tc>
        <w:tc>
          <w:tcPr>
            <w:tcW w:w="4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20,183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136,812</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31,063</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60,710</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41,210</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Covertible Promissory Note*</w:t>
            </w: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261,326</w:t>
            </w:r>
          </w:p>
        </w:tc>
        <w:tc>
          <w:tcPr>
            <w:tcW w:w="14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261,326</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458,451</w:t>
            </w:r>
          </w:p>
        </w:tc>
        <w:tc>
          <w:tcPr>
            <w:tcW w:w="4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39,507</w:t>
            </w:r>
          </w:p>
        </w:tc>
        <w:tc>
          <w:tcPr>
            <w:tcW w:w="480" w:type="dxa"/>
            <w:vAlign w:val="bottom"/>
          </w:tcPr>
          <w:p>
            <w:pPr>
              <w:spacing w:after="0"/>
              <w:rPr>
                <w:sz w:val="19"/>
                <w:szCs w:val="19"/>
                <w:color w:val="auto"/>
              </w:rPr>
            </w:pPr>
          </w:p>
        </w:tc>
        <w:tc>
          <w:tcPr>
            <w:tcW w:w="5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77,963</w:t>
            </w:r>
          </w:p>
        </w:tc>
        <w:tc>
          <w:tcPr>
            <w:tcW w:w="4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316,969</w:t>
            </w:r>
          </w:p>
        </w:tc>
        <w:tc>
          <w:tcPr>
            <w:tcW w:w="46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$23,090 of interest payable.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prepared our consolidated financial statements in accordance with generally accepted accounting principles in the United States, or GAAP. Our preparation of these consolidated financial statements requires us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340"/>
          </w:cols>
          <w:pgMar w:left="320" w:top="448"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to make estimates, assumptions and judgments that affect the reported amounts of assets, liabilities, expenses and related disclosures at the date of the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included elsewhere in this prospectus, we believe the following accounting policies to be critical to the judgments and estimates used in the preparation of our financial statements.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derive Genomics revenue from selling lab services to physicians, academic research institutions, and other parties. We also derive Data and Other revenue from the commercialization of data generated in the lab through the licensing of de-identified datasets to third parties and from matching patients to clinical trials enrolled in its clinical trial network. The majority of our revenue is generated in North America.</w:t>
      </w:r>
    </w:p>
    <w:p>
      <w:pPr>
        <w:spacing w:after="0" w:line="178"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 xml:space="preserve">We account for our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commence revenue recognition when control of these products is transferred to customers in an amount that reflects the consideration we expect to be entitled to in exchange for such products. This principle is achieved by applying the following five-step approach: (i) we account for a contract when it has approval and commitment from both parties, (ii) the rights of the parties are identified, (iii) payment terms are identified, (iv) the contract has commercial substance and (v) collectability of consideration is probable. Revenue and any contract assets are not recognized until such time that the required conditions are met.</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For direct bill orders billed to research institutions, pharmaceutical companies, or other third parties, we determine the transaction prices based on established contractual rates with the customer, net of any applicable discounts. Payment is typically due between 30 and 60 days following the date of invoice.</w:t>
      </w:r>
    </w:p>
    <w:p>
      <w:pPr>
        <w:spacing w:after="0" w:line="123"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For clinical orders billed to Medicare, Medicaid, and commercial insurance, we determine the transaction price by reducing the standard charge by the estimated effects of any variable consideration, such as contractual allowance and implicit price concessions. We estimate contractual allowances and implicit price concessions based on historical collections in relation to established rates, as well as known current or anticipated reimbursement trends not reflected in the historical data. We monitor the estimated amount to be collected at each reporting period based on actual cash collections in order to assess whether a revision to the estimate is required. Payment is typically due after the claim has been processed by the payor, generally 30-120 days from date of service. While management believes that the estimates are accurate, actual results could differ, and the potential impact on the financial statements could be significant.</w:t>
      </w: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We recognize compensation expense for equity awards based on the grant-date fair value on a straight-line basis over the remaining requisite service period for the award. For those awards with a market condition, we utilize a Monte Carlo simulation model to estimate the fair value of the restricted stock units.</w:t>
      </w:r>
    </w:p>
    <w:p>
      <w:pPr>
        <w:spacing w:after="0" w:line="12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issue restricted stock units to certain of our employees. The general terms of the restricted stock units require both a service and performance condition to be satisfied prior to vesting. The service condition is satisfied upon the participant’s completion of a required period of continuous service from the vesting start date. The performance condition will be satisfied upon a liquidity event, which would result in recognition of stock-based compensation expense upon the consummation of this offering. For certain other units, a secondary performance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340"/>
          </w:cols>
          <w:pgMar w:left="320" w:top="448" w:right="2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condition exists to be vested, which will be satisfied upon achievement of a specific market condition, which could result in recognition of stock-based compensation expense upon the consummation of this offering.</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11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Prior to this offering our common stock was not publicly traded. As such, we were required to estimate the fair value of our common stock. Our board of directors considered numerous objective and subjective factors to determine the fair value of our common stock as awards were approved, including utilizing third-party valuations to assist with the determination of the estimated fair-market value and common stock price. Given the absence of a public trading market for our common stock, the valuations of common stock were determined in accordance with the guidance provided by the American Institute of Certified Public Accountants Practice Aid, Valuation of Privately-Held-Company Equity Securities Issued as Compensation, and our board of directors exercised reasonable judgment and considered numerous and subjective factors to determine the best estimate of fair value of our common stock, including the following factors:</w:t>
      </w:r>
    </w:p>
    <w:p>
      <w:pPr>
        <w:spacing w:after="0" w:line="68" w:lineRule="exact"/>
        <w:rPr>
          <w:sz w:val="20"/>
          <w:szCs w:val="20"/>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valuations performed by independent third-party specialists;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redeemable convertible preferred stock relative to those of our common stock;</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common or preferred stock sold to third-party investors by us and in secondary transactions or repurchased by us in arms-length transactions;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marketability of our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and financial performance;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or a merger or acquisition of our company given prevailing market conditions;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21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valuing our common stock, our board of directors determined the equity value of our business using various valuation methods including combinations of income and market approaches with input from management. The income approach estimates value based on the expectation of future cash flows that a company will generate. These future cash flows were discounted to their present values using a discount rate derived from an analysis of the cost of capital of comparable publicly traded companies in our industry or similar business operations as of each valuation date and adjusted to reflect the risks inherent in our cash flows.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For each valuation, the equity value determined by the income and market approaches was then allocated to the common stock. We performed this allocation using the option pricing method, or OPM, which treats the securities comprising our capital structure as call options with exercise prices based on the liquidation preferences of our various series of preferred stock and the exercise prices of our options and warrants, and a probability-weighted expected return method, or PWERM, which involves the estimation of multiple future potential outcomes for us, and estimates of the probability of each potential outcome. The per share value of our common stock determined using the PWERM approach is ultimately based upon probability-weighted per share values resulting from the various future scenarios, which include an initial public offering, merger or sale or continued operation as a private company.</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affect our valuations as of each valuation date and may have a material impact on the valuation of our common stock.</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340"/>
          </w:cols>
          <w:pgMar w:left="320" w:top="448" w:right="2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valuations after the completion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8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we expect to incur approximately $ million of stock-based compensation expense related to RSUs and PSUs granted through December 31, 2021, for which the service-based vesting condition was satisfied and for which the performance-based vesting condition will be</w:t>
      </w:r>
    </w:p>
    <w:p>
      <w:pPr>
        <w:spacing w:after="0" w:line="2" w:lineRule="exact"/>
        <w:rPr>
          <w:sz w:val="20"/>
          <w:szCs w:val="20"/>
          <w:color w:val="auto"/>
        </w:rPr>
      </w:pPr>
    </w:p>
    <w:p>
      <w:pPr>
        <w:spacing w:after="0"/>
        <w:tabs>
          <w:tab w:leader="none" w:pos="8000" w:val="left"/>
        </w:tabs>
        <w:rPr>
          <w:sz w:val="20"/>
          <w:szCs w:val="20"/>
          <w:color w:val="auto"/>
        </w:rPr>
      </w:pPr>
      <w:r>
        <w:rPr>
          <w:rFonts w:ascii="Times New Roman" w:cs="Times New Roman" w:eastAsia="Times New Roman" w:hAnsi="Times New Roman"/>
          <w:sz w:val="18"/>
          <w:szCs w:val="18"/>
          <w:color w:val="auto"/>
        </w:rPr>
        <w:t>satisfied in connection with this offering. In addition, based on RSUs and PSUs outstanding as of</w:t>
      </w:r>
      <w:r>
        <w:rPr>
          <w:sz w:val="20"/>
          <w:szCs w:val="20"/>
          <w:color w:val="auto"/>
        </w:rPr>
        <w:tab/>
      </w:r>
      <w:r>
        <w:rPr>
          <w:rFonts w:ascii="Times New Roman" w:cs="Times New Roman" w:eastAsia="Times New Roman" w:hAnsi="Times New Roman"/>
          <w:sz w:val="18"/>
          <w:szCs w:val="18"/>
          <w:color w:val="auto"/>
        </w:rPr>
        <w:t>, 2022, we expect to recognize approximately</w:t>
      </w:r>
    </w:p>
    <w:p>
      <w:pPr>
        <w:spacing w:after="0" w:line="3" w:lineRule="exact"/>
        <w:rPr>
          <w:sz w:val="20"/>
          <w:szCs w:val="20"/>
          <w:color w:val="auto"/>
        </w:rPr>
      </w:pPr>
    </w:p>
    <w:p>
      <w:pPr>
        <w:ind w:left="660" w:hanging="655"/>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of additional stock-based compensation expense related to these awards during the next twelve months.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cash equivalents and restricted cash, and our indebtedness. As of December 31, 2021, we had cash, cash equivalents and restricted cash of $278.5 million held primarily in cash deposits and money market funds.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majority of our revenue is generated in the United States. Through December 31, 2021,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December 31, 2021,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Under the JOBS Act, emerging growth companies can delay adopting new or revised accounting standards until such time as those standards apply to private companies. We have elected to use this exemption from new or revised accounting standards and, therefore, we will not be subject to the same new or revised accounting standards as other public companies that have not made this election.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 in Note 2 to our audited consolidated financial statements included elsewhere in this prospectus for more information.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340"/>
          </w:cols>
          <w:pgMar w:left="320" w:top="448"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We endeavor to unlock the true power of precision medicine by creating Intelligent Diagnostics through the practical application of artificial intelligence, or AI, in healthcare. Intelligent Diagnostics use AI to make laboratory tests more accurate, tailored, and personal. Unlike traditional laboratory tests, an Intelligent Diagnostic contextualizes the laboratory test result to a specific patient, by incorporating an individual’s longitudinal clinical data into the result. We believe Intelligent Diagnostics represents an emerging industry that we are pioneering. To accomplish this, we built both a technology platform to free healthcare data from silos and an operating system to make this data useful. We refer to the combination of those as the Tempus Platform. Our investment in this technology has allowed us to amass what we consider to be one of the largest libraries of oncology focused clinical and molecular data in the world. Our goal is to embed AI throughout every aspect of diagnostics to enable physicians and researchers to make data-driven decisions that improve patient care. We started in oncology in 2016 and have expanded into neuropsychology, infectious diseases, and cardiology, with aspirations to eventually be in all major disease areas.</w:t>
      </w:r>
    </w:p>
    <w:p>
      <w:pPr>
        <w:spacing w:after="0" w:line="16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make tests intelligent by connecting laboratory results to a patient’s own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advance personalized medicine. Unlike traditional diagnostic labs, we can incorporate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therapeutics. We believe their adoption could empower physicians to deliver better care and researchers to develop more precise therapies, with the potential to save millions of lives.</w:t>
      </w:r>
    </w:p>
    <w:p>
      <w:pPr>
        <w:spacing w:after="0" w:line="18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believe the foundation of how data flows throughout the ecosystem needs to be rebuilt. We established data pipes, going to and from providers, to allow for the free exchange of data between physicians, who interpret data, and diagnostic and therapeutic companies, who provide data. Without this capability, we believe that data would continue to accumulate without impacting patient care. Tempus has built this integrated Platform, and we are now deploying it at scale in oncology in the United States.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 We endeavor to help doctors find the best therapies for their patients, help life sciences companies make the best drugs possible, and enable patients to access emerging therapies and clinical trials when appropriate.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Platform includes proprietary software and dedicated data pipelines that create a network of healthcare institutions through more than 250 unique data connections, many of which supply us with complex multimodal data in near real time, across over 1,500 healthcare institutions that order our products and services. Healthcare institutions supply us with this data in our capacity as a covered entity (for example, when we provide Next Generation Sequencing, or NGS, services on behalf of a patient), or as a business associate (for example, when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340"/>
          </w:cols>
          <w:pgMar w:left="320" w:top="448"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We integrate this data into a unified software Platform through which we offer numerous analytical and decision support capabilities to our customers. We establish dedicated and integrated data connections with healthcare institutions to enhance the information we provide in our clinical reports, and to increase the effectiveness of our clinical trial matching services. In certain circumstances, we may cover the actual direct costs associated with the technical integrations needed to create a data connection.</w:t>
      </w:r>
    </w:p>
    <w:p>
      <w:pPr>
        <w:spacing w:after="0" w:line="187"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 xml:space="preserve">We have developed multiple products—each based on our Platform—that have allowed us to invest in structuring and harmonizing multimodal data, which is a necessary precursor for deploying AI at scale. Our products are organized under three product lines, </w:t>
      </w:r>
      <w:r>
        <w:rPr>
          <w:rFonts w:ascii="Times New Roman" w:cs="Times New Roman" w:eastAsia="Times New Roman" w:hAnsi="Times New Roman"/>
          <w:sz w:val="16"/>
          <w:szCs w:val="16"/>
          <w:i w:val="1"/>
          <w:iCs w:val="1"/>
          <w:color w:val="auto"/>
        </w:rPr>
        <w:t>Genomics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Data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Algos</w:t>
      </w:r>
      <w:r>
        <w:rPr>
          <w:rFonts w:ascii="Times New Roman" w:cs="Times New Roman" w:eastAsia="Times New Roman" w:hAnsi="Times New Roman"/>
          <w:sz w:val="16"/>
          <w:szCs w:val="16"/>
          <w:color w:val="auto"/>
        </w:rPr>
        <w:t>. Each product line is designed to enable and enhance the others, thereby creating network effects in each of the markets in which we operate. Our business model allows pharmaceutical and biotechnology companies to unlock value from the data we collect, and allows us to monetize a de-identified copy of that data, in different ways across our different product lines. We believe these network effects provide a unique advantage to our business as the compounding value of each data record in our database serves to enhance our competitive moat. The more data we collect, the smarter our tests become, the more applications we launch, the more physicians join our network, further growing our database, making our tests more precise for clinicians and our database more valuable for researchers.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130810</wp:posOffset>
            </wp:positionV>
            <wp:extent cx="7002780" cy="28676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02780" cy="286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Genomics</w:t>
      </w:r>
      <w:r>
        <w:rPr>
          <w:rFonts w:ascii="Times New Roman" w:cs="Times New Roman" w:eastAsia="Times New Roman" w:hAnsi="Times New Roman"/>
          <w:sz w:val="18"/>
          <w:szCs w:val="18"/>
          <w:color w:val="auto"/>
        </w:rPr>
        <w:t xml:space="preserve"> product line leverages our laboratories to provide NGS diagnostics, PCR profiling, and other anatomic and molecular pathology testing to healthcare providers, life sciences companies, researchers, and other third parties. However, unlike other laboratory diagnostic testing providers, many of our tests are connected to clinical data in some manner, which allows our suite of tests to be self-learning and become more accurate with each new test that we run. Our </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 xml:space="preserve"> product line facilitates drug discovery and development for life sciences companies through two primary products, Insights and Therapies. Through our Insights product, we license de-identified libraries of linked clinical, molecular, and imaging data and provide a suite of analytic and cloud-and-compute tools to pharmaceutical and biotechnology companies. Our second product within our Data product line, </w:t>
      </w:r>
      <w:r>
        <w:rPr>
          <w:rFonts w:ascii="Times New Roman" w:cs="Times New Roman" w:eastAsia="Times New Roman" w:hAnsi="Times New Roman"/>
          <w:sz w:val="18"/>
          <w:szCs w:val="18"/>
          <w:i w:val="1"/>
          <w:iCs w:val="1"/>
          <w:color w:val="auto"/>
        </w:rPr>
        <w:t>Therapies</w:t>
      </w:r>
      <w:r>
        <w:rPr>
          <w:rFonts w:ascii="Times New Roman" w:cs="Times New Roman" w:eastAsia="Times New Roman" w:hAnsi="Times New Roman"/>
          <w:sz w:val="18"/>
          <w:szCs w:val="18"/>
          <w:color w:val="auto"/>
        </w:rPr>
        <w:t xml:space="preserve">, leverages our broad network of oncologists to provide clinical trial matching services for pharmaceutical companies that are looking to reach hard-to-find and underserved patient populations. Our newest product line, </w:t>
      </w:r>
      <w:r>
        <w:rPr>
          <w:rFonts w:ascii="Times New Roman" w:cs="Times New Roman" w:eastAsia="Times New Roman" w:hAnsi="Times New Roman"/>
          <w:sz w:val="18"/>
          <w:szCs w:val="18"/>
          <w:i w:val="1"/>
          <w:iCs w:val="1"/>
          <w:color w:val="auto"/>
        </w:rPr>
        <w:t>Algos,</w:t>
      </w:r>
      <w:r>
        <w:rPr>
          <w:rFonts w:ascii="Times New Roman" w:cs="Times New Roman" w:eastAsia="Times New Roman" w:hAnsi="Times New Roman"/>
          <w:sz w:val="18"/>
          <w:szCs w:val="18"/>
          <w:color w:val="auto"/>
        </w:rPr>
        <w:t xml:space="preserve"> is focused on developing and providing diagnostics that are algorithmic in nature. We currently offer three Algos in oncology and are also developing Algos in other disease areas.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340"/>
          </w:cols>
          <w:pgMar w:left="320" w:top="448"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Limitations of Employing Technology, Data, and AI in Healthcare and Precision Medicine</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Technology has had a significant impact on almost every sector of our global economy. From the way we shop online, access information on the internet, or use GPS to navigate the world. We benefit from, and depend on, technology, data, and the vast computational and connective ecosystem that surrounds us. Yet healthcare has seemingly lagged other industries in embracing the power of technology and leveraging the ensuing computational revolution.</w:t>
      </w:r>
    </w:p>
    <w:p>
      <w:pPr>
        <w:spacing w:after="0" w:line="14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this is changing. Recent technological advancements have facilitated the deployment of modern computational methods, such as AI and machine learning, to improve healthcare. Breakthroughs in cloud computing, imaging technologies, and low-cost molecular profiling have made it easier and more cost effective to digitize, structure, harmonize, and store healthcare data, and analyze the resulting datasets at an unprecedented rate. These developments are expediting the adoption of AI, which we believe will impact all aspects of healthcare, from clinical diagnostic testing to the discovery and development of therapeutics, to healthcare delivery more broadly.</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Despite the accumulation of healthcare data, we believe the healthcare system still lacks the integrated networks and modern analytical tools necessary to facilitate data-driven care at scale. The vast majority of healthcare data created today remains locked in silos and lacks harmonization due to decentralized institutions using non-standardized methods for collecting data, in addition to a large percentage of the data being in unstructured formats like free text (such as physician progress notes) and non-digitized images (such as pathology slides). Clinical outcomes data, to the extent it even exists, often remains disconnected from diagnostic data, and traditional laboratory tests provide results that are often based only on a single data modality that lack patient context. In addition, clinical and research decisions are too often made based on small sample sizes of historic data.</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which we refer to as the Tempus Platform. We have established data pipes, going to and from providers, which allow for the free exchange of data between physicians, who interpret data, and diagnostic and therapeutic companies, who provide data. Harnessing the power of this data at scale required a Platform that could break down data silos, collect vast amounts of multimodal data, structure and harmonize it, and deploy AI to make it useful for physicians and researchers to make data-driven decisions in the clinic or at the lab bench, thereby advancing precision medicine. Without this Platform, we believe the data would continue to pile up at an increasing rate without improving patient care. We have built a version of this Platform and are now deploying it at scale in oncology in the United States, with other disease areas following.</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Importance of Multimodal Healthcare Data</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Technology is enabling the healthcare industry to collect data at an unprecedented scale, yet most datasets continue to be fractured or narrowly focused by disease type or data modality; almost none are comprehensive enough to provide a full picture of the patient and their clinically relevant characteristics. We set out to solve that problem by building a platform that collects broad datasets in near real time and at scale. Our Platform is differentiated in several ways. First, we collect data from multiple diagnostic modalities, including NGS, anatomic pathology slides, radiology images, and other laboratory tests. Second, the data we collect is often connected to EHR data, such as key phenotypic characteristics, therapeutic data, and clinical outcome and response data. Third, our Platform is multi-disease, spanning oncology, neurology, cardiology, and infectious disease. Our Platform is purpose built to deploy AI at scale, using multimodal datasets, across disease areas. We believe these differentiators have the potential to transform healthcare.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New Industry: Intelligent Diagnostics to Advance Precision Medicine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AI has the potential to broadly impact healthcare, we believe it will transform diagnostics first. Diagnostics, broadly defined, is the process of determining by examination or assessment the nature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340"/>
          </w:cols>
          <w:pgMar w:left="320" w:top="448"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circumstance of disease. Physicians use diagnostics all the time; they order blood tests, biopsies, scans, genomic tests, and others. Physicians rely on diagnostic results to make the vast majority of their treatment decisions. Researchers rely on diagnostic tests to better understand disease and make better decisions throughout their discovery processes.</w:t>
      </w:r>
    </w:p>
    <w:p>
      <w:pPr>
        <w:spacing w:after="0" w:line="18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ability to leverage AI on top of large, harmonized, multimodal datasets provides the opportunity to make diagnostic tests more personalized, and therefore more intelligent. Intelligent Diagnostics incorporate an individual patient’s longitudinal phenotypic, morphologic, and molecular data, including outcome data from the patient’s EHR, to give laboratory test results clinical context. In doing so, Intelligent Diagnostics can leverage AI to make laboratory tests more accurate, tailored, and personal. The test result itself is designed to be specific to each patient and their own unique patient journey. The result is also informed by our large dataset that enables association of clinical outcomes and therapeutic response for patients who are similar to the patient being treated.</w:t>
      </w:r>
    </w:p>
    <w:p>
      <w:pPr>
        <w:spacing w:after="0" w:line="15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process for making a diagnostic “intelligent” improves upon the process for performing genomic testing, by leveraging technology and data to add clinical context and therapeutic insights. An Intelligent Diagnostic requires the following: (i) perform a laboratory test or ingest results from a laboratory test;</w:t>
      </w:r>
    </w:p>
    <w:p>
      <w:pPr>
        <w:spacing w:after="0" w:line="1" w:lineRule="exact"/>
        <w:rPr>
          <w:sz w:val="20"/>
          <w:szCs w:val="20"/>
          <w:color w:val="auto"/>
        </w:rPr>
      </w:pPr>
    </w:p>
    <w:p>
      <w:pPr>
        <w:jc w:val="both"/>
        <w:ind w:firstLine="5"/>
        <w:spacing w:after="0" w:line="274" w:lineRule="auto"/>
        <w:tabs>
          <w:tab w:leader="none" w:pos="2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the test results on a stand-alone basis; (iii) combine the stand-alone results with other forms of relevant clinical data from that patient’s medical records; (iv) contextualize or reconfigure the stand-alone laboratory results to the extent necessary with the insight derived from that patient’s clinical history;</w:t>
      </w:r>
    </w:p>
    <w:p>
      <w:pPr>
        <w:jc w:val="both"/>
        <w:ind w:firstLine="5"/>
        <w:spacing w:after="0" w:line="245" w:lineRule="auto"/>
        <w:tabs>
          <w:tab w:leader="none" w:pos="25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the outcome and response data of patients who are similarly situated to the patient for whom the test was ordered; and (vi) use AI to derive analytical and clinically relevant insights and provide those to the physician and patient. See below for an illustration comparing an Intelligent Diagnostic to a standard genomic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147955</wp:posOffset>
            </wp:positionV>
            <wp:extent cx="7002780" cy="44018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02780" cy="440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 adoption and deployment of Intelligent Diagnostics will have a substantial impact on patient care. In oncology, for example, Intelligent Diagnostics have the potential to eventually incorporate insights using data from molecular and anatomic pathology, bioinformatics, genomic variant analysis, inherited cancer risk, computational biology, drug label data, noted adverse events, clinical trial data, research publications,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340"/>
          </w:cols>
          <w:pgMar w:left="320" w:top="448"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investigational studies, care pathways, real world evidentiary studies, and phenotypic and morphologic data. We already have the ability to incorporate many of these data elements today.</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consequence of incorporating multimodal data is to make precision medicine “personalized” as opposed to “targeted.” A targeted diagnostic test might find a specific condition or characteristic of a patient that is relevant to a particular therapy. For example, in cancer, a targeted diagnostic test may identify a genomic biomarker that could inform therapy selection, such as identifying a HER2 amplification that would allow a HER2 inhibitor to be prescribed to a breast cancer patient. The standard test to determine whether a HER2 amplification is present (other than at Tempus) is typically not designed to assess factors such as whether the patient is male or female, old or young, or has diabetes or a heart condition. Nor does the standard test consider the medication the patient has taken or is currently taking, or the adverse events the patient has experienced.</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Intelligent Diagnostic test, by contrast, might recommend specific therapies based not just on a singular characteristic, but on the comprehensive profile of the patient who will receive the proposed therapy. For example, an Intelligent Diagnostic might highlight that the breast cancer patient should consider immunotherapy before taking the HER2 inhibitor, or might highlight a series of adverse events the physician should be aware of based on other phenotypic characteristics for that patient, such as if the patient had a heart condition and therefore an elevated risk of a cardiac adverse event from taking the HER2 inhibitor. By linking multimodal data regarding both the disease, such as cancer or diabetes, and the host, our tests can provide a more comprehensive and holistic view of the patient and reconfigure results based in part on the clinical data we collect and the aggregate information in our database.</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Intelligent Diagnostics also have the potential to disrupt the clinical trial process. Today new therapies are typically approved based on randomized clinical trials that apply to broad populations and demonstrate incremental improvements over the existing standard of care. The current process suffers from several inherent flaws. First, clinical trials are generally expensive and slow to complete. Second, if and when therapeutics are approved, they can have less of an impact on the larger population than the trial population, given an inherent bias on who has access to academic medical centers and emerging studies. Third, many new therapies are only effective on a subset of patients that enter clinical trials.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Intelligent Diagnostics and technology can help solve these problems. We believe our ability to contextualize test results to individual patients, to incorporate real world evidence at scale, to identify patterns across similarly situated patients, will help physicians make better, data-driven decisions—which drug to prescribe, which trial to consider, and so 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Tempus set out to build proprietary technology to implement Intelligent Diagnostics and to facilitate access to, and use of, the resulting datasets. The Tempus Platform connects multiple stakeholders within the larger healthcare ecosystem and provides both the technical infrastructure for what we consider to be one of the world’s largest libraries of matched clinical and molecular data, and an operating system to make that information useful. Our Platform is end-to-end and vertically integrated. It allows us to ingest data from providers, perform</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340"/>
          </w:cols>
          <w:pgMar w:left="320" w:top="448"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diagnostic testing upon request, generate results leveraging our multimodal database, and provide clinical context for a specific patient. Below is a graphic illustrating our Platform’s core functionality.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135890</wp:posOffset>
            </wp:positionV>
            <wp:extent cx="7002780" cy="44183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02780" cy="441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believe our AI-enabled Platform can provide unique value whenever two conditions exist: a heterogeneous diseased population and a variety of therapeutics or therapeutic pathways, which are often prescribed based on trial and error. For example, in oncology, there is a diverse population diagnosed with cancer, and each subtype has different characteristics. The combination of unique patient characteristics and different cancer subtypes results in a variety of phenotypic attributes (old, young, male, female, black, white, etc.). In addition, there are hundreds of possible therapeutic paths to consider in cancer (surgery, radiotherapy, chemotherapy, targeted therapy, immunotherapy, etc.). These conditions create an ideal backdrop for the benefits of big data and AI.</w:t>
      </w:r>
    </w:p>
    <w:p>
      <w:pPr>
        <w:spacing w:after="0" w:line="156"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same is true in neuropsychology. A heterogeneous population suffers from numerous neurological disorder subtypes, such as depression, anxiety, bipolar disorder, and other psychiatric conditions. Like oncology, there is a diverse patient population and a number of prescribed antidepressants, often based on trial and error. Further, the complexity of oncology, neuropsychology, and many other major causes of morbidity necessitate a multimodal data approach, as any single modality (e.g., DNA-only) is unlikely to provide enough information to differentiate meaningful patient subgroups. We believe technology and AI should facilitate data associations and substantially reduce the guesswork associated with which drug to prescribe, in what amount, and in which order.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340"/>
          </w:cols>
          <w:pgMar w:left="320" w:top="448" w:right="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Facilitated by our relationships with many leading hospitals across the healthcare system in the United States, we believe we are well positioned to introduce precision medicine at scale across multiple disease categories and drive adoption of our Platform and novel AI solutions. We are leveraging our ability to collect, structure and harmonize data, and deploy AI on large datasets to facilitate precision medicine broadly. We initially deployed our Platform in oncology, expanded substantially within oncology, and recently extended into neuropsychology, infectious disease, and cardiology. Below is a timeline of our Platform’s evolution, both within oncology and into different disease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146685</wp:posOffset>
            </wp:positionV>
            <wp:extent cx="7002780" cy="43681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02780" cy="4368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Core Elements of our Platform</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Platform comprises multiple elements that work together to grow our database, generate Intelligent Diagnostics, and integrate the data we collect into clinical practice so that physicians and researchers can make data-driven decisions. Our technology stack allows us to ingest large amounts of multimodal healthcare data, which we then structure and harmonize into a common database that powers a variety of healthcare applications. Our scaled, interconnected provider network covers approximately 40% of U.S. oncologists and provides us with broad data rights, including the rights to longitudinally updated data from time to time. The combination of our Platform and vast provider network yields a powerful flywheel that continues to become more accurate and precise as more patients are added, thereby compounding the network effects of our offering. We believe each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340"/>
          </w:cols>
          <w:pgMar w:left="320" w:top="448" w:right="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these elements is difficult for competitors to replicate, and together provide us a significant advantage. The following diagram represents the different elements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135890</wp:posOffset>
            </wp:positionV>
            <wp:extent cx="7002780" cy="44100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02780" cy="441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Ingestion and Generation of Data</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ingest and generate healthcare data at scale through multiple methods into our Platform, including molecular, clinical, and imaging data. Between our sequencing and data collection efforts, we are connected in some way to approximately 40% of all oncologists practicing in the United States, along with a growing number of patients in neuropsychology, cardiology, and infectious disease. Our methods for collecting and creating data include the following:</w:t>
      </w:r>
    </w:p>
    <w:p>
      <w:pPr>
        <w:spacing w:after="0" w:line="178" w:lineRule="exact"/>
        <w:rPr>
          <w:sz w:val="20"/>
          <w:szCs w:val="20"/>
          <w:color w:val="auto"/>
        </w:rPr>
      </w:pPr>
    </w:p>
    <w:p>
      <w:pPr>
        <w:jc w:val="both"/>
        <w:ind w:left="460" w:firstLine="435"/>
        <w:spacing w:after="0" w:line="279" w:lineRule="auto"/>
        <w:rPr>
          <w:sz w:val="20"/>
          <w:szCs w:val="20"/>
          <w:color w:val="auto"/>
        </w:rPr>
      </w:pPr>
      <w:r>
        <w:rPr>
          <w:rFonts w:ascii="Times New Roman" w:cs="Times New Roman" w:eastAsia="Times New Roman" w:hAnsi="Times New Roman"/>
          <w:sz w:val="16"/>
          <w:szCs w:val="16"/>
          <w:i w:val="1"/>
          <w:iCs w:val="1"/>
          <w:color w:val="auto"/>
        </w:rPr>
        <w:t xml:space="preserve">Ingesting data through our relationships and partnerships with healthcare providers. </w:t>
      </w:r>
      <w:r>
        <w:rPr>
          <w:rFonts w:ascii="Times New Roman" w:cs="Times New Roman" w:eastAsia="Times New Roman" w:hAnsi="Times New Roman"/>
          <w:sz w:val="16"/>
          <w:szCs w:val="16"/>
          <w:color w:val="auto"/>
        </w:rPr>
        <w:t>We have developed proprietary tools to establish more than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250 direct data connections, many of which are bi-directional. We have established relationships with hundreds of provider networks, including approximately half of all academic medical centers in the United States. To obtain data from these sources, we use a variety of near real-time connections (e.g., HL7, FHIR) and batch data exchanges. Healthcare institutions supply us with this data in our capacity as a covered entity (for example, when we provide NGS services on behalf of a patient), or as a business associate (for example, when we provide clinical trial matching services or data de-identification and structuring services). We ingest and structure data using optical character recognition, or OCR, natural language processing, or NLP, and proprietary workflow tools along with manual data curation. Our proprietary tools connect to a provider’s EHR system, data warehouse, or their third-party data provider to pull out relevant structured and unstructured data that the provider has agreed to contribute to Tempus, including longitudinal follow-up data to the extent the provider has made such data available. To facilitate these data-sharing relationships, we have developed software products and services that align to our customers’ interests by helping providers use our software tools to improve patient care. In certain circumstances, we cover the actual direct costs associated with the technical integrations needed to create a data connection. We cover these costs to help facilitate providers’ contribution of data and their corresponding use of our products, which then makes our tests more intelligent and helps them to facilitate the delivery of better care. We generally retain the rights we acquire in de-identified data even if our contractual obligations expire or are terminated.</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340"/>
          </w:cols>
          <w:pgMar w:left="320" w:top="448" w:right="2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left="460" w:firstLine="43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Relationships with industry associations. </w:t>
      </w:r>
      <w:r>
        <w:rPr>
          <w:rFonts w:ascii="Times New Roman" w:cs="Times New Roman" w:eastAsia="Times New Roman" w:hAnsi="Times New Roman"/>
          <w:sz w:val="18"/>
          <w:szCs w:val="18"/>
          <w:color w:val="auto"/>
        </w:rPr>
        <w:t>In addition to healthcare providers, we work with numerous industry associations in the United States,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ASCO. Under our collaboration with ASCO, we structure and distribute the oncology data ASCO collects as part of CancerLinq, which is their oncology data effort. We work with other large associations such as Quality Cancer Care Alliance, or QCCA, and National Cancer Care Alliance, or NCCA, and have agreements in place with large integrated community practices. While our relationships in oncology are widespread, we are making inroads in other disease areas. For example, we hold a perpetual, royalty-bearing license from Geisinger to build algorithmic models and commercialize a de-identified dataset of approximately 3.2 million ECGs, across approximately 600,000 patients, with decades of longitudinal clinical data, including outcome and response data. We also have agreements with numerous other institutions through both our sequencing and data efforts to collect and structure multimodal infectious disease data, and have entered into a variety of partnerships and collaborations across neuropsychology, diabetes, and cardiology giving us access to additional clinical data.</w:t>
      </w:r>
    </w:p>
    <w:p>
      <w:pPr>
        <w:spacing w:after="0" w:line="191" w:lineRule="exact"/>
        <w:rPr>
          <w:sz w:val="20"/>
          <w:szCs w:val="20"/>
          <w:color w:val="auto"/>
        </w:rPr>
      </w:pPr>
    </w:p>
    <w:p>
      <w:pPr>
        <w:jc w:val="both"/>
        <w:ind w:left="460" w:firstLine="43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Laboratory diagnostics. </w:t>
      </w:r>
      <w:r>
        <w:rPr>
          <w:rFonts w:ascii="Times New Roman" w:cs="Times New Roman" w:eastAsia="Times New Roman" w:hAnsi="Times New Roman"/>
          <w:sz w:val="18"/>
          <w:szCs w:val="18"/>
          <w:color w:val="auto"/>
        </w:rPr>
        <w:t>In addition to our dedicated data pipelines, we generate data for our Platform from our two high-throughput diagnostic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labs in Chicago and Atlanta. We intend to expand these capabilities with a new genomics lab in Raleigh, North Carolina, which we are currently operationalizing and from which we expect to begin offering commercial laboratory tests in 2022. Our labs offer a range of anatomical and molecular NGS tests, including a broad portfolio of solid tumor and liquid biopsy cancer tests. Our laboratory offerings enable us to populate our database with connected and comprehensive molecular, clinical, and morphologic data that has been de-identified. We also make available an unrestricted copy of the raw files containing the rich data we generate in the laboratory, along with any clinical data we curate, to the providers who order our tests, to further enable their own research efforts.</w:t>
      </w:r>
    </w:p>
    <w:p>
      <w:pPr>
        <w:spacing w:after="0" w:line="191"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ingest and generate a variety of different types of data from different sources. The following represents selected data modalities that we collect and aggregate into our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135890</wp:posOffset>
            </wp:positionV>
            <wp:extent cx="7002780" cy="44018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02780" cy="440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340"/>
          </w:cols>
          <w:pgMar w:left="320" w:top="448"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Data Processing</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Once data is ingested, we apply AI and other technologies to organize millions of records into a common format that spans a variety of data types. For example, we organize clinical data from unstructured documents and structured EHR fields, and typically digitize whole-slide pathology images as part of our clinical workflow. We then combine this data with the molecular data that we generate in our labs or process from third parties, giving us a more comprehensive profile of patients. Unstructured data housed in physician notes and other documents is processed using OCR and NLP, mapped to Tempus’ Medical Ontology, and routed to data abstractors for further curation and quality control. Typically we receive identified data, either in our capacity as a covered entity under the Health Insurance Portability and Accountability Act, or HIPAA, or to the extent we have a business associate agreement with the provider. Following abstraction and structuring, we de-identify data and only retain the resulting de-identified dataset, other than through our obligations to retain selected identified data as a covered entity provided laboratory tests to clinicians. Many clinicians who order Tempus tests clinically are also involved in research related activities. By making this organized and structured data available to the clinicians (along with raw files associated with the testing we perform) we serve, those clinicians can use the data to further their own research efforts to help patients.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Multimodal Database</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molecular, clinical, and imaging data at scale. As our testing volume has grown, and as our dedicated data pipelines have expanded, the size of our database has increased exponentially. Since we launched our Platform in 2016, Tempus has amassed an oncology database that is approximately 19 times the size of The Cancer Genome Atlas, which we believe to be the largest public genomic dataset in oncology, based on the number of data points collected (and approximately 14 times the size based on petabytes of data). This represents what we consider to be one of the largest matched molecular libraries of cancer patients in the world. Our Platform, across all diseases, has ingested almost 500 million documents and contains more than 5.0 million de-identified patient records, including more than 950,000 with imaging data, more than 500,000 with matched clinical records linked with genomic information, and approximately 80,000 with full transcriptomic profiles. The breadth of our database, the quality and diversity of its data, as well as its regularly updating nature, allow us to offer a variety of AI-enabled solutions to the market. We also retain the rights to broadly commercialize the de-identified data we collect. As our database continues to grow from its current size of approximately 48 petabytes, we believe new AI applications and opportunities will</w:t>
      </w:r>
    </w:p>
    <w:p>
      <w:pPr>
        <w:spacing w:after="0" w:line="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emerge that are only possible with scale, driving innovations in patient treatment that were previously unattainable. The following diagram represents the growth of our database over time.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340"/>
          </w:cols>
          <w:pgMar w:left="320" w:top="448"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37598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02780" cy="375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Another valuable attribute of our dataset is the number of different data modalities represented. We believe multimodal data is a necessary predicate to successfully build and deploy AI-based applications given the complexity of disease and the various attributes across different forms of data (e.g., text, images, molecules, etc.). As of December 31, 2021, our database included the following types of data,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142875</wp:posOffset>
            </wp:positionV>
            <wp:extent cx="7002780" cy="44100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02780" cy="4410075"/>
                    </a:xfrm>
                    <a:prstGeom prst="rect">
                      <a:avLst/>
                    </a:prstGeom>
                    <a:noFill/>
                  </pic:spPr>
                </pic:pic>
              </a:graphicData>
            </a:graphic>
          </wp:anchor>
        </w:drawing>
      </w:r>
    </w:p>
    <w:p>
      <w:pPr>
        <w:sectPr>
          <w:pgSz w:w="11900" w:h="16838" w:orient="portrait"/>
          <w:cols w:equalWidth="0" w:num="1">
            <w:col w:w="11340"/>
          </w:cols>
          <w:pgMar w:left="320" w:top="448" w:right="239" w:bottom="10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ectPr>
          <w:pgSz w:w="11900" w:h="16838" w:orient="portrait"/>
          <w:cols w:equalWidth="0" w:num="1">
            <w:col w:w="11340"/>
          </w:cols>
          <w:pgMar w:left="320" w:top="448" w:right="239" w:bottom="1054"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Footnote: Our clinical data typically includes the following information to the extent provided and abstracted by Tempus: unique identifier; age; sex; race/ethnicity; histology; stage of disease; sample type (primary vs. metastatic); anatomical site of sample and method of procurement; cancer treatment history, including therapies administered; timing of relapse and timing of treatments, including cancer-related treatments and surgery; genomic profiling results (e.g., internal, external providers); tumor response; progression free survival; RECIST or equivalent; ECOG/Karnofsky scores, or equivalent; and adverse events.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Software Tools and Solutions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developed numerous software tools and applications to help make our services accessible to multiple constituencies within the healthcare ecosystem and support our various product lines. We believe this system architecture, which employs AI techniques such as neural networks, deep learning, and other statistical techniques, along with proprietary software tools and applications, represents a key competitive advantage that will be difficult for others to replicate. We describe below some of the core software applications that form part of our Platform.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Facing Applications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two primary software applications that serve as interfaces for different markets and allow our customers to interact with our Platform. Hub is our clinical application for physicians and other healthcare providers and is used primarily in our Genomics product line as an end-to-end application for healthcare providers who use our NGS tests. Lens is our application for life sciences customers, launched in May 2021. Lens is aligned with Insights, one of our products within Data, and allows users to identify, license, and ultimately analyze cohorts of data for research purposes. We typically enable our customers to access our software applications free of charge. However, in some cases we may charge for access to Lens when a customer is interested in some form of customization or Lens’ enhanced features.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Hub</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Hub can be accessed on the web or through our mobile applications. Hub enables physicians and other providers to interact with our Platform, place orders for our laboratory tests, track them through the sequencing process, view results, and develop treatment plans using the other information Tempus makes available. Hub streamlines and automates what previously required a significant investment of both time and resources for those ordering and delivering genomic reports.</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 physician’s experience, through Hub, typically begins with our online ordering feature, which presents providers with Tempus’ various test options and guides users through the ordering process. Once Tempus has processed an order and sequenced a specimen, Hub synthesizes information across our various tests, orders, and patients, and presents the information in a consumer-friendly interface. For example, Order Summary synthesizes information from various clinical orders, test results, and other information relevant to a patient’s course of treatment. A typical patient might have multiple sequencing events over time. Hub visually presents all of a patient’s results side-by-side, so a treating physician can comprehensively view how a patient’s disease has changed over time, including in response to therapy. Hub also provides care teams a robust set of search and filtering tools so they can navigate our Platform. Physicians can use Hub to identify similarly situated patients or patient sub-groups, including by specific molecular alteration. Physicians can also export and download the resulting dataset for further analysis.</w:t>
      </w:r>
    </w:p>
    <w:p>
      <w:pPr>
        <w:spacing w:after="0" w:line="18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Hub offers additional functionality that goes beyond ordering and presenting clinical results. Our clinical trial system, for example, handles the complexities of matching patients to clinical trials, by synthesizing clinical and molecular data matched against inclusion and exclusion criteria for the trial. It even allows physicians to activate their point of care as a clinical trial site, if approved by the trial sponsor, in order to easily enroll patients who would otherwise not have access to experimental therapies. The proprietary features within Hub put powerful analytics in the hands of physicians, allowing them to pursue research opportunities using accessible molecular data, and explore immune insights such as HLA type, TCR and BCR profiles, immune infiltrates and neoantigens. Finally,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340"/>
          </w:cols>
          <w:pgMar w:left="320" w:top="448"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Time on Therapy provides physicians a view into the Tempus Precision Medicine Library, which includes the treatment paths of thousands of patients who display similar molecular or phenotypic profiles to their own patients. These tools enable new patients to potentially benefit from the experience of those that came before.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include below some illustrations depicting some of Hub’s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163830</wp:posOffset>
            </wp:positionV>
            <wp:extent cx="7002780" cy="76193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136</w:t>
      </w:r>
    </w:p>
    <w:p>
      <w:pPr>
        <w:sectPr>
          <w:pgSz w:w="11900" w:h="16838" w:orient="portrait"/>
          <w:cols w:equalWidth="0" w:num="1">
            <w:col w:w="11340"/>
          </w:cols>
          <w:pgMar w:left="320" w:top="448" w:right="2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6193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139"/>
          </w:cols>
          <w:pgMar w:left="320" w:top="448"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6193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Lens is our software application for life sciences research. We designed Lens to expose our multimodal, de-identified dataset to two main constituencies: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clinicians interested in exploring data related both to their own patients and to similarly situated patients from the broader Tempus dataset, and</w:t>
      </w:r>
    </w:p>
    <w:p>
      <w:pPr>
        <w:spacing w:after="0" w:line="3" w:lineRule="exact"/>
        <w:rPr>
          <w:sz w:val="20"/>
          <w:szCs w:val="20"/>
          <w:color w:val="auto"/>
        </w:rPr>
      </w:pPr>
    </w:p>
    <w:p>
      <w:pPr>
        <w:ind w:firstLine="5"/>
        <w:spacing w:after="0" w:line="247" w:lineRule="auto"/>
        <w:tabs>
          <w:tab w:leader="none" w:pos="26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and biotechnology clients that are focused on drug discovery and development and want to explore our dataset and/or supplement their own analytics with our tools and data.</w:t>
      </w:r>
    </w:p>
    <w:p>
      <w:pPr>
        <w:spacing w:after="0" w:line="186"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With respect to the first constituency, Lens helps users filter our multimodal database to identify groups of patients that meet their research requirements. It allows browsing, segmenting, selecting, and analyzing cohorts</w:t>
      </w:r>
    </w:p>
    <w:p>
      <w:pPr>
        <w:sectPr>
          <w:pgSz w:w="11900" w:h="16838" w:orient="portrait"/>
          <w:cols w:equalWidth="0" w:num="1">
            <w:col w:w="11340"/>
          </w:cols>
          <w:pgMar w:left="320" w:top="448" w:right="239" w:bottom="897" w:gutter="0" w:footer="0" w:header="0"/>
        </w:sectPr>
      </w:pP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ectPr>
          <w:pgSz w:w="11900" w:h="16838" w:orient="portrait"/>
          <w:cols w:equalWidth="0" w:num="1">
            <w:col w:w="11340"/>
          </w:cols>
          <w:pgMar w:left="320" w:top="448" w:right="239" w:bottom="897"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of patients using a variety of clinical, molecular, and demographic characteristics. We generally make these aspects of Lens available to our customers without charge because such access helps our customers identify data cohorts of interest and facilitates data licensing opportunities.</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this basic functionality, Lens allows advanced computational users to perform robust analytics using our cloud-and-compute infrastructure and modeling tool set. We launched certain of these advanced features in May 2021, one of which is called Notebooks, a proprietary tool that allows users to run their own AI models within our cloud-and-compute environment, taking advantage of fast and streamlined access to our data and computational infrastructure, and saving researchers time and money. Over time, we intend to enter into separate subscription agreements, and charge separately, for expanded access to Lens and the increased functionality we intend to provide to our users.</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believe that as Lens evolves, it has the potential to redefine life sciences research as investigators can both use our tools for their computational needs and instantly download the data they need for their analysis. We are not aware of any other application in oncology, or any other major disease area, that allows researchers to build large multimodal cohorts, utilize advanced analytics capabilities to explore the data, and download data for deeper analysis in near real time.</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include below some illustrations depicting some of Lens’ current capabilities, which we expect to continue to expand and enhance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163830</wp:posOffset>
            </wp:positionV>
            <wp:extent cx="7002780" cy="37350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02780" cy="373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340"/>
          </w:cols>
          <w:pgMar w:left="320" w:top="448" w:right="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6193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139"/>
          </w:cols>
          <w:pgMar w:left="320" w:top="448"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37350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02780" cy="373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Software Applications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software applications extend beyond the oncology space. In the neuropsychiatry space, for example, we have built a series of proprietary and customized applications that are oriented around depression and other related psychiatric conditions. In addition, we licensed a customized software tool, which we call TempusPRO, that helps track patient reported outcomes, which we integrate into Hub. Patients use the mobile application to complete regular and systematic check-ins, while providers use the tool to view clinical reports and review the patient reported information. We have developed this application to empower providers to make data-driven, personalized treatment decisions, as well as collect outcome measurements on a regular, longitudinal basis in an effort to build one of the largest real-world multimodal datasets in psychiatry.</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also have developed a mobile application in the infectious disease space that we use to deliver COVID-19 test results directly to patients. The application allows patients to connect to Tempus and contribute their data in an effort to combine clinical and molecular data for COVID-19 patients. To date, we have more than 22,000 users who have agreed to contribute data to Tempus to advance research and other valuable use cases.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Google Cloud Agreement</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June 2020, we signed an agreement with Google to migrate most of our cloud-based infrastructure to the Google Cloud Platform, or GCP. The Agreement with Google has two components: (1) a Master Agreement through which Google provides us with cloud services, as well as other products and services, for a multi-year period during which we committed to make escalating minimum payments with certain termination rights, along with contractual penalties for early termination and (2) a Convertible Note, the balance of which is reduced based on the amount we spend on Google cloud services. We believe our strategic arrangement with Google offers Tempus a distinct competitive advantage because we believe it provides us with attractive cloud and computing rates, along with resources and teams at Google that are aligned to advancing elements of our product roadmap.</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products are organized under three product lines, with each product line designed to enable and enhance the others, thereby creating network effects in the markets in which we operate. Our Genomics product line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340"/>
          </w:cols>
          <w:pgMar w:left="320" w:top="448" w:right="2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provides a broad arrange of diagnostic testing services to healthcare providers. Our Data product line monetizes de-identified data that we collect and facilitates enrollment in clinical trials. Our Algos product line leverages our database to provide diagnostics entirely driven by data. Our three product lines and their corresponding product offerings are illustrated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142875</wp:posOffset>
            </wp:positionV>
            <wp:extent cx="7002780" cy="44932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002780" cy="449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 interrelated nature of our three product lines is unique. Our business model allows our clients to unlock value from our data, and allows us to monetize that data (in de-identified format), in different ways across our different product lines. We believe these network effects and the compounding impact on the value of each data record in our database enhance our competitive advantages.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launched our Genomics product line to provide a comprehensive suite of Intelligent Diagnostics to healthcare providers, and to generate a steady stream of molecular data to help fuel growth in our Data and Algos product lines. As we run more tests through our laboratories, and as those tests are linked to patient records and clinical outcomes, we grow our data assets and leverage them across our other product lines. We operate two laboratories that provide NGS diagnostics, PCR profiling, and other anatomic and molecular pathology tests, and we expect to operationalize a third laboratory in 2022. We have broad capabilities across genomic, transcriptomic, proteomic, microbiomic, epigenetic, and methylation-based assays, and our laboratory infrastructure allows us to operate as a high-quality, low-cost sequencing provider broadly serving the market. However, unlike traditional laboratory diagnostic tests, our tests can be connected to clinical data, in some manner, which allows our suite of diagnostic tests to be self-learning, becoming more accurate and precise with each test that we run. Furthermore, rather than providing a result based on a single data modality, such as a DNA mutation, our Platform leverages data from other modalities and other patients in an effort to be more comprehensive.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340"/>
          </w:cols>
          <w:pgMar w:left="320" w:top="448" w:right="2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are generally paid for our Genomics services by billing insurance companies, or patients directly, who reimburse us for the tests we run, or by billing providers or pharmaceutical companies directly. The following diagram represents a summary of our test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135890</wp:posOffset>
            </wp:positionV>
            <wp:extent cx="7002780" cy="47599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02780" cy="475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340"/>
          </w:cols>
          <w:pgMar w:left="320" w:top="448" w:right="2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Oncology Tests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Platform’s first application was in oncology, where we have built a versatile portfolio of cancer tests spanning across solid tumors and hematologic malignancies, germline and somatic variants, and tissue and liquid biopsies. Since our inception, our approach to precision oncology has been to provide comprehensive genomic profiling through NGS that enables us to both generate clinically relevant insights that may not be possible with narrower testing approaches, and contribute high-quality molecular information back to providers and to our database. We offer large-panel solid tumor and hematologic testing through multiple assays, with our core clinical assay (xT) offering large panel DNA, RNA full transcriptome, and incidental germline findings through normal blood or saliva analyses. Our current offerings also include liquid biopsy (xF), whole exome (xE), and hereditary cancer risk (xG). We are also currently validating a minimal residual disease assay which, if validated, we expect to launch commercially by the end of 2022. Our oncology tests are differentiated not only because of their breadth, but also because in many cases they are connected to clinical data, which allows us to account for the drugs the patient took historically, how they responded, and for which clinical trials they are actually eligible. We endeavor to not recommend drugs for which a patient has been previously prescribed in a prior line of therapy and failed, and not recommend clinical trials they are not eligible to participate in, based on the inclusion or exclusion criteria of the trial. The following table lists our current oncology test offerings: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 tests</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   Designed to detect actionable oncologic targets by sequencing tumor tissue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samples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 Typically associated with incidental germline testing for matched normal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saliva or blood samples, when available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 Fourth generation test that covers 648 genes at 500x coverage spanning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approximately 3.6 Mb of genomic space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 Includes full TCR, BCR, and HLA typing for immuno-oncology, or IO,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 Offered with full transcriptomic profiling at 50 million paired end reads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 The test has a 10-day quoted turnaround time.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 In our analytical validation, we demonstrated sensitivities &gt;98% for SNVs,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&gt;92% for rearrangements / fusions, &gt;92% for CNVs and indels, and 99.9%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MSI.</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 Submitted pre-market approval, or PMA, to the FDA in March 2021 for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variation (xT-Onco) based in substantial part on a recent version of the xT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assay</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Tempus|xE</w:t>
            </w:r>
          </w:p>
        </w:tc>
        <w:tc>
          <w:tcPr>
            <w:tcW w:w="760" w:type="dxa"/>
            <w:vAlign w:val="bottom"/>
            <w:shd w:val="clear" w:color="auto" w:fill="CCEEFF"/>
          </w:tcPr>
          <w:p>
            <w:pPr>
              <w:jc w:val="right"/>
              <w:ind w:right="238"/>
              <w:spacing w:after="0" w:line="192" w:lineRule="exact"/>
              <w:rPr>
                <w:sz w:val="20"/>
                <w:szCs w:val="20"/>
                <w:color w:val="auto"/>
              </w:rPr>
            </w:pPr>
            <w:r>
              <w:rPr>
                <w:rFonts w:ascii="Times New Roman" w:cs="Times New Roman" w:eastAsia="Times New Roman" w:hAnsi="Times New Roman"/>
                <w:sz w:val="18"/>
                <w:szCs w:val="18"/>
                <w:color w:val="auto"/>
              </w:rPr>
              <w:t>2018</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line="192" w:lineRule="exact"/>
              <w:rPr>
                <w:sz w:val="20"/>
                <w:szCs w:val="20"/>
                <w:color w:val="auto"/>
              </w:rPr>
            </w:pPr>
            <w:r>
              <w:rPr>
                <w:rFonts w:ascii="Times New Roman" w:cs="Times New Roman" w:eastAsia="Times New Roman" w:hAnsi="Times New Roman"/>
                <w:sz w:val="18"/>
                <w:szCs w:val="18"/>
                <w:color w:val="auto"/>
              </w:rPr>
              <w:t>   A whole exome cancer assay designed to identify actionable oncologic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variants as well as neoantigens across the exome from tissue samples, thus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enabling IO applications</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144</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Launch Year</w:t>
            </w:r>
          </w:p>
        </w:tc>
        <w:tc>
          <w:tcPr>
            <w:tcW w:w="480" w:type="dxa"/>
            <w:vAlign w:val="bottom"/>
          </w:tcPr>
          <w:p>
            <w:pPr>
              <w:spacing w:after="0"/>
              <w:rPr>
                <w:sz w:val="14"/>
                <w:szCs w:val="1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 Run at 500x coverage for approximately 650 of the most significant onco-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driving mutations and 250x depth of coverage for more than 19,000 genes 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panel</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 Offered with full transcriptomic profiling at 50 million paired end reads.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Includes full TCR, BCR, and HLA typing for immuno-oncology, or IO,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297"/>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Tempus|xF</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 Next-generation liquid biopsy assay covering 105 genes at approximately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20,000x coverage from peripheral blood samples for solid tumors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7"/>
              </w:rPr>
              <w:t>   Typically used for oncogenic and resistance mutations that can be detected in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cell free DNA, or cfDNA, from a peripheral blood draw</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 Currently validating an updated version of assay which covers 523 genes,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including bTMB, MSI, additional fusions and CNVs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our  analytical  validation,  for  0.5%  VAF  and  30ng  of  DNA,  we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demonstrated &gt;99.9% sensitivity for SNVs, 98.8% for indels, &gt;99.9%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CNVs, and 97.4% for rearrangements and fusions. xF also demonstrated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7"/>
              </w:rPr>
              <w:t>100% sensitivity concordance with Roche AVENIO ctDNA Expanded Kit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indels, CNVs, and rearrangements. We also demonstrated &gt;99.9% specificity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SNVs, indels, and fusions, and 96.2% specificity for CNVs</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Tempus|xG</w:t>
            </w:r>
          </w:p>
        </w:tc>
        <w:tc>
          <w:tcPr>
            <w:tcW w:w="250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2021</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line="192" w:lineRule="exact"/>
              <w:rPr>
                <w:sz w:val="20"/>
                <w:szCs w:val="20"/>
                <w:color w:val="auto"/>
              </w:rPr>
            </w:pPr>
            <w:r>
              <w:rPr>
                <w:rFonts w:ascii="Times New Roman" w:cs="Times New Roman" w:eastAsia="Times New Roman" w:hAnsi="Times New Roman"/>
                <w:sz w:val="18"/>
                <w:szCs w:val="18"/>
                <w:color w:val="auto"/>
                <w:w w:val="96"/>
              </w:rPr>
              <w:t>   52 gene inherited cancer germline panel run off whole exome platform at 75x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depth of coverage</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 Tests hereditary predisposition across common and well-described cancer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syndromes  such  as  breast,  ovarian,  prostate  cancer  (</w:t>
            </w:r>
            <w:r>
              <w:rPr>
                <w:rFonts w:ascii="Times New Roman" w:cs="Times New Roman" w:eastAsia="Times New Roman" w:hAnsi="Times New Roman"/>
                <w:sz w:val="18"/>
                <w:szCs w:val="18"/>
                <w:i w:val="1"/>
                <w:iCs w:val="1"/>
                <w:color w:val="auto"/>
              </w:rPr>
              <w:t>BRCA1,  BRCA2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pancreatic cancer (</w:t>
            </w:r>
            <w:r>
              <w:rPr>
                <w:rFonts w:ascii="Times New Roman" w:cs="Times New Roman" w:eastAsia="Times New Roman" w:hAnsi="Times New Roman"/>
                <w:sz w:val="18"/>
                <w:szCs w:val="18"/>
                <w:i w:val="1"/>
                <w:iCs w:val="1"/>
                <w:color w:val="auto"/>
                <w:w w:val="96"/>
              </w:rPr>
              <w:t>CDKN2A, PALB2</w:t>
            </w:r>
            <w:r>
              <w:rPr>
                <w:rFonts w:ascii="Times New Roman" w:cs="Times New Roman" w:eastAsia="Times New Roman" w:hAnsi="Times New Roman"/>
                <w:sz w:val="18"/>
                <w:szCs w:val="18"/>
                <w:color w:val="auto"/>
                <w:w w:val="96"/>
              </w:rPr>
              <w:t>), colorectal cancer (</w:t>
            </w:r>
            <w:r>
              <w:rPr>
                <w:rFonts w:ascii="Times New Roman" w:cs="Times New Roman" w:eastAsia="Times New Roman" w:hAnsi="Times New Roman"/>
                <w:sz w:val="18"/>
                <w:szCs w:val="18"/>
                <w:i w:val="1"/>
                <w:iCs w:val="1"/>
                <w:color w:val="auto"/>
                <w:w w:val="96"/>
              </w:rPr>
              <w:t>APC, BMPR1A</w:t>
            </w:r>
            <w:r>
              <w:rPr>
                <w:rFonts w:ascii="Times New Roman" w:cs="Times New Roman" w:eastAsia="Times New Roman" w:hAnsi="Times New Roman"/>
                <w:sz w:val="18"/>
                <w:szCs w:val="18"/>
                <w:color w:val="auto"/>
                <w:w w:val="96"/>
              </w:rPr>
              <w:t>),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Lynch Syndrome (</w:t>
            </w:r>
            <w:r>
              <w:rPr>
                <w:rFonts w:ascii="Times New Roman" w:cs="Times New Roman" w:eastAsia="Times New Roman" w:hAnsi="Times New Roman"/>
                <w:sz w:val="18"/>
                <w:szCs w:val="18"/>
                <w:i w:val="1"/>
                <w:iCs w:val="1"/>
                <w:color w:val="auto"/>
              </w:rPr>
              <w:t>MLH1, MSH2, MSH6, PMS2, EPCAM</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   Typically used in patients with a personal and / or family history suggestive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hereditary predisposition to cancer and can guide future diagnostic decisions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 The xG+ version is an 88 gene panel covering genes associated with both</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and rare hereditary cancers</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ind w:right="200"/>
        <w:spacing w:after="0" w:line="435" w:lineRule="auto"/>
        <w:rPr>
          <w:sz w:val="20"/>
          <w:szCs w:val="20"/>
          <w:color w:val="auto"/>
        </w:rPr>
      </w:pPr>
      <w:r>
        <w:rPr>
          <w:rFonts w:ascii="Times New Roman" w:cs="Times New Roman" w:eastAsia="Times New Roman" w:hAnsi="Times New Roman"/>
          <w:sz w:val="18"/>
          <w:szCs w:val="18"/>
          <w:color w:val="auto"/>
        </w:rPr>
        <w:t>We are also currently developing xM, a low pass whole genome + methylation for monitoring for cancer recurrence and minimal residual disease. 145</w:t>
      </w:r>
    </w:p>
    <w:p>
      <w:pPr>
        <w:sectPr>
          <w:pgSz w:w="11900" w:h="16838" w:orient="portrait"/>
          <w:cols w:equalWidth="0" w:num="1">
            <w:col w:w="11340"/>
          </w:cols>
          <w:pgMar w:left="320" w:top="448" w:right="2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incorporating clinical data in our diagnostic tests has widespread benefits. For example, combining clinical and molecular data resulted in improved therapy matching for patients in a study that we conducted, the results of which were published in Nature Bio in September 2019. In that study, using our sequencing results and matched clinical data from 500 patient samples across a range of tumor types, we observed that 96% of patients could be matched to at least one clinical trial. Approximately 77% of patients were matched to at least one clinical trial based on a gene variant. Of the patients who were not matched to a biomarker-based clinical trial, 19.4% were matched to at least one disease-based clinical trial from clinical data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146685</wp:posOffset>
            </wp:positionV>
            <wp:extent cx="7002780" cy="32512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02780" cy="325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results of the Nature Bio study indicated that paired tumor-normal DNA-seq and RNA profiling of patient cancer biopsies yielded high match rates to targeted therapies and clinical trials, and also underscored the value of integrating and contextualizing clinical and molecular data to provide physicians with distilled information regarding their patients’ disease and potentially actionable characteristics. In sum, our Platform demonstrated an ability to help maximize personalized therapeutic options for a broader proportion of patients with cancer, which typically cannot be attained through smaller tumor-only DNA-seq panels.</w:t>
      </w:r>
    </w:p>
    <w:p>
      <w:pPr>
        <w:spacing w:after="0" w:line="15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in a paper we published in Nature Precision Oncology in July 2021, we highlighted the benefits of performing both solid tumor and liquid biopsy profiling. We observed that the concordance of the results of tissue sequencing and liquid testing, even when concurrently profiled, was approximately 70% at most, with both liquid testing and tissue sequencing missing a selected number of potentially actionable mutations. Yet when both are performed, as Tempus often does, the coverage of potentially actionable mutations increases.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the market is recognizing the value of our products and their benefits, as they relate to sequencing both somatic and germline variants, running both solid tumor and liquid biopsies, broadly sequencing RNA in addition to DNA, making available raw files and structured clinical data, and matching the results to clinical data for the patient sequenced. As a result, our clinical volume in oncology rose from approximately 31,000 samples sequenced in 2018 to approximately 145,000 in 2021.</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340"/>
          </w:cols>
          <w:pgMar w:left="320" w:top="448" w:right="2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40265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02780" cy="402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Neuropsychology Tests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entered neuropsychology in 2019. We currently offer our proprietary nP assay for pharmacogenomic testing for patients with psychiatric conditions, such as depression, general anxiety disorder, bipolar disorder, and other relevant diagnoses. Despite the growing prevalence of depression and anxiety, their treatment remains largely the same as it has been for decades. Today, there are dozens of antidepressants that are often prescribed based on trial and error, where psychiatrists alter the dose and class of medications when one fails to work. The difficulties in prescribing medications leads many patients to take the wrong medications, in the wrong dose. Emerging evidence demonstrates that there are molecular mechanisms that suggest one drug, or class of drugs,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340"/>
          </w:cols>
          <w:pgMar w:left="320" w:top="448" w:right="2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may work better than another based on the genetic profile of the patient, and our assay is designed to elucidate these differences. The following table describes our nP assay.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Neuropsychology Test</w:t>
            </w:r>
          </w:p>
        </w:tc>
        <w:tc>
          <w:tcPr>
            <w:tcW w:w="198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Tempus|nP</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   • </w:t>
            </w:r>
          </w:p>
        </w:tc>
        <w:tc>
          <w:tcPr>
            <w:tcW w:w="6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 Pharmacogenomic profiling for patients with psychiatric conditions; primarily used for</w:t>
            </w:r>
          </w:p>
        </w:tc>
      </w:tr>
      <w:tr>
        <w:trPr>
          <w:trHeight w:val="228"/>
        </w:trPr>
        <w:tc>
          <w:tcPr>
            <w:tcW w:w="28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depression</w:t>
            </w:r>
          </w:p>
        </w:tc>
      </w:tr>
      <w:tr>
        <w:trPr>
          <w:trHeight w:val="328"/>
        </w:trPr>
        <w:tc>
          <w:tcPr>
            <w:tcW w:w="28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 Covers 13 validated genes and approximately 90 variants (e.g., CYP2D6)</w:t>
            </w:r>
          </w:p>
        </w:tc>
      </w:tr>
      <w:tr>
        <w:trPr>
          <w:trHeight w:val="310"/>
        </w:trPr>
        <w:tc>
          <w:tcPr>
            <w:tcW w:w="28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 Run off whole exome platform at 50x depth of coverage, with an average depth of</w:t>
            </w:r>
          </w:p>
        </w:tc>
      </w:tr>
      <w:tr>
        <w:trPr>
          <w:trHeight w:val="348"/>
        </w:trPr>
        <w:tc>
          <w:tcPr>
            <w:tcW w:w="2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coverage of approximately 1050x for clinically reported variants</w:t>
            </w:r>
            <w:r>
              <w:rPr>
                <w:rFonts w:ascii="Times New Roman" w:cs="Times New Roman" w:eastAsia="Times New Roman" w:hAnsi="Times New Roman"/>
                <w:sz w:val="26"/>
                <w:szCs w:val="26"/>
                <w:color w:val="auto"/>
                <w:vertAlign w:val="superscript"/>
              </w:rPr>
              <w:t>*</w:t>
            </w:r>
          </w:p>
        </w:tc>
      </w:tr>
    </w:tbl>
    <w:p>
      <w:pPr>
        <w:jc w:val="both"/>
        <w:ind w:left="5020" w:hanging="349"/>
        <w:spacing w:after="0" w:line="242" w:lineRule="auto"/>
        <w:rPr>
          <w:sz w:val="20"/>
          <w:szCs w:val="20"/>
          <w:color w:val="auto"/>
        </w:rPr>
      </w:pPr>
      <w:r>
        <w:rPr>
          <w:rFonts w:ascii="Times New Roman" w:cs="Times New Roman" w:eastAsia="Times New Roman" w:hAnsi="Times New Roman"/>
          <w:sz w:val="18"/>
          <w:szCs w:val="18"/>
          <w:color w:val="auto"/>
        </w:rPr>
        <w:t>•     Uses matrix-assisted laser desorption ionization-time of flight (MALDI-TOF) mass spectrometry to analyze approximately 90 pharmacogenetic variants and cover the exonic regions of approximately 20,000 genes at an average coverage of 50X, with an average depth of coverage of approximately 1050x for clinically reported variants</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an effort to bring AI to this field, we are not only performing pharmacogenomic profiling, we also regularly collect two additional data modalities:</w:t>
      </w:r>
    </w:p>
    <w:p>
      <w:pPr>
        <w:spacing w:after="0" w:line="16" w:lineRule="exact"/>
        <w:rPr>
          <w:sz w:val="20"/>
          <w:szCs w:val="20"/>
          <w:color w:val="auto"/>
        </w:rPr>
      </w:pPr>
    </w:p>
    <w:p>
      <w:pPr>
        <w:ind w:firstLine="5"/>
        <w:spacing w:after="0" w:line="247" w:lineRule="auto"/>
        <w:tabs>
          <w:tab w:leader="none" w:pos="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on therapy data from the patient’s EHR (or directly from the ordering physician), and (ii) patient reported outcome, or PRO, data through our TempusPRO mobile application.</w:t>
      </w:r>
    </w:p>
    <w:p>
      <w:pPr>
        <w:spacing w:after="0" w:line="18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TempusPRO is our patient-facing mobile application that collects PRO measurements on a longitudinal basis. We are also capturing passive lifestyle measurements through mobile sensory devices, such as daily steps and minutes spent exercising. These measurements serve as a quantitative, unbiased backbone to the more qualitative and subjective measures that are commonplace in psychiatry. As we continue to advance the field of psychiatric medicine, we believe our Platform is well suited to extend to additional neurological conditions beyond depression, anxiety, and bipolar disorder, including Alzheimer’s disease/dementia, epilepsy, ALS, multiple sclerosis, and others.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Infectious Disease Tests</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expanded into infectious diseases in 2020 due to the growing focus from healthcare providers and pharmaceutical companies on better understanding, diagnosing, and treating infectious diseases. Our strategy in infectious diseases is to offer a suite of tests that enable a better understanding of infectious disease, to use the data we collect while running tests to contribute to our Platform, and ultimately to make infectious disease tests intelligent over time.</w:t>
      </w:r>
    </w:p>
    <w:p>
      <w:pPr>
        <w:spacing w:after="0" w:line="14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COVID-19 heightened our collective awareness of how we might use our Platform to combat viruses and other pathogens. We believe there is a need in infectious disease for a more data-driven approach to diagnosis, therapy recommendation, and drug development. For example, there is a limited understanding of why some patients have minimal reactions to viruses and others become ill, why certain patients respond to pathogens and corresponding therapeutics differently, and why some patients have severe adverse reactions to certain drugs while others do not. Collecting sufficient data that provides a more complete picture of the pathogen could result in a better understanding of the disease and improve clinical decisions and therapeutic development. Furthermore, the growing problem of antimicrobial resistance might be addressable with data that helps facilitate a better understanding of pathogens and effective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918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24" w:lineRule="exact"/>
        <w:rPr>
          <w:sz w:val="20"/>
          <w:szCs w:val="20"/>
          <w:color w:val="auto"/>
        </w:rPr>
      </w:pPr>
    </w:p>
    <w:p>
      <w:pPr>
        <w:ind w:left="5540" w:right="1080" w:hanging="5535"/>
        <w:spacing w:after="0" w:line="437" w:lineRule="auto"/>
        <w:tabs>
          <w:tab w:leader="none" w:pos="223" w:val="left"/>
        </w:tabs>
        <w:numPr>
          <w:ilvl w:val="0"/>
          <w:numId w:val="7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i w:val="1"/>
          <w:iCs w:val="1"/>
          <w:color w:val="auto"/>
        </w:rPr>
        <w:t xml:space="preserve">Tempus is currently evaluating whether to transition the nP assay from a whole exome platform to a low-pass whole genome (LPWG) platform. </w:t>
      </w:r>
      <w:r>
        <w:rPr>
          <w:rFonts w:ascii="Times New Roman" w:cs="Times New Roman" w:eastAsia="Times New Roman" w:hAnsi="Times New Roman"/>
          <w:sz w:val="18"/>
          <w:szCs w:val="18"/>
          <w:color w:val="auto"/>
        </w:rPr>
        <w:t>148</w:t>
      </w:r>
    </w:p>
    <w:p>
      <w:pPr>
        <w:sectPr>
          <w:pgSz w:w="11900" w:h="16838" w:orient="portrait"/>
          <w:cols w:equalWidth="0" w:num="1">
            <w:col w:w="11340"/>
          </w:cols>
          <w:pgMar w:left="320" w:top="448" w:right="2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capitalized on the demand for COVID-19 testing to build our database by launching PCR and NGS tests for COVID-19. Our laboratory testing infrastructure and our relationships with a broad customer base enabled us to rapidly scale operations and deliver approximately 2.3 million COVID-19 clinical tests through December 31, 2021. We entered into clinical testing agreements with various clients, including pharmacies, urgent care centers, state departments of health, primary care providers, universities and schools, and corporate clients. In addition, as part of our multimodal data collection efforts, we launched a patient facing mobile application to return results to users and create a portal through which they could elect to contribute their clinical data to Tempus for research purposes.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COVID-19 testing has materially decreased in the United States in light of the broadly distributed vaccines and changes in CDC guidance as to whom should be tested, we have shifted resources away from COVID-19 testing and do not expect levels of COVID-19 testing to be material to our business going forward. As such, we are focusing our efforts on other infectious diseases areas and on broader respiratory pathogen testing.</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Data product line facilitates drug discovery and development for pharmaceutical and biotechnology companies through two primary products: Insights and Therapies. We also maintain a growing tumor-derived biological modeling (or organoid) laboratory, which allows us to provide modeling and screening services to our pharmaceutical and biotech clients.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Historically, the primary means for pharmaceutical and biotechnology companies to build a dataset for drug discovery and development was to run a preclinical study or clinical trial, and to leverage limited datasets such as medical claims data. We believe Tempus is changing the existing paradigm. We launched our Insights product to allow researchers to access large amounts of multimodal healthcare data that historically did not exist at scale in a single consolidated database. We have amassed a large connected dataset, which we organize in near real time across multiple modalities and multiple disease areas, allowing us to work with pharmaceutical and biotechnology companies broadly, from early-state research and development through commercialization.</w:t>
      </w:r>
    </w:p>
    <w:p>
      <w:pPr>
        <w:spacing w:after="0" w:line="15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For our Insights offering, we license libraries of linked, de-identified clinical, molecular, and imaging data, and provide a suite of analytic and cloud-and-compute tools for discovery, research, development, and other commercial purposes. Our primary customers are pharmaceutical and biotechnology companies. These customers either pay us on a per file basis or through multi-year data licensing agreements to use our de-identified patient database. In 2020, we worked with 16 of the 20 largest public pharmaceutical companies based on 2020 revenue and, as of December 31, 2021, we have signed contracts with a remaining total contract value, or Remaining TCV, of $428 million. We expect to deliver a majority of this contract value over the next several years.</w:t>
      </w:r>
    </w:p>
    <w:p>
      <w:pPr>
        <w:spacing w:after="0" w:line="187"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As of December 31, 2021, Remaining TCV is equal to the total potential value of signed contracts and assumes the exercise of all contract options, all discretionary opt-ins, and no early termination. Remaining TCV includes the total potential value of the company’s agreement with AstraZeneca (described in “Description of Capital Stock—Warrant”), which, although listed under the Data product line, could be satisfied by AstraZeneca’s purchase of any of the company’s products and services. Remaining TCV excludes any revenue recognized to date on these contracts or any future adjustments made to the contractual value as a result of amendments or terminations. Many of our agreements contain termination clauses, including the ability of our counterparty to terminate for convenience, and there can be no guarantee that contracts will not be terminated, that contractual options and discretionary opt-ins will be exercised, or that we will achieve the full amount of potential revenue represented by these contracts. Remaining TCV is not a calculation of revenue and should be viewed independently of revenue and deferred revenue, as Remaining TCV is not intended to be combined with or replace these items. Similarly, Remaining TCV is not a forecast of future revenue, which can be impacted by, among other things, contract start and end dates and the exercise of contractual options. Moreover, Remaining TCV may differ from similarly titled metrics presented by other companies and may not be comparable to such other metrics.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340"/>
          </w:cols>
          <w:pgMar w:left="320" w:top="448" w:right="2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we offer a unique value proposition to the industry as a cost-effective source of high-quality and comprehensive data on targeted patient populations. Our data is useful across the oncology drug development value chain, and our biotechnology and pharmaceutical customers are using the data to inform decisions in a variety of discovery and development applications, selected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142875</wp:posOffset>
            </wp:positionV>
            <wp:extent cx="7002780" cy="32429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02780" cy="324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To illustrate an example of how our data can be applied, in December 2020, we published a peer-reviewed study in ScienceDirect in which we analyzed longitudinal real-world data, or RWD, from a large cohort of patients with breast cancer (n = 4,000) to test whether results were consistent with previous clinical studies and to demonstrate the real-world evidence validity of our database. We also evaluated whole-transcriptome sequencing as a complementary diagnostic tool (n = 400). The conclusions of the study demonstrated that our database mirrored the overall population of patients with breast cancer in the United States, and that near real-time, RWD analyses are feasible in a large, highly heterogeneous database. Furthermore, the study demonstrated that molecular data may aid deficiencies and discrepancies observed from breast cancer clinical RWD.</w:t>
      </w:r>
    </w:p>
    <w:p>
      <w:pPr>
        <w:spacing w:after="0" w:line="12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many of our data profiles regularly update with clinical outcome and response data over time, the utility of a single de-identified record increases over time. As such, the files we generate by sequencing a patient, when connected to clinical data, are valuable to pharmaceutical and biotechnology companies, as they not only allow users to gain molecular insight into what is happening among cohorts of patients, but they also allow users to track those cohorts over time. As a result, our files behave as if they have a “lifetime value” that increases over time, in a manner similar to a content company where you pay to create content and then monetize the content over time as people subscribe to access the content.</w:t>
      </w:r>
    </w:p>
    <w:p>
      <w:pPr>
        <w:spacing w:after="0" w:line="12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To evaluate the revenue stream in our Data product line, we rely on “Cohort Lifetime Value.” We define “Cohort Lifetime Value” as the cumulative revenue attributable to a specific cohort of de-identified records, including revenue derived both from the initial sequencing (Genomics) and licensing (Data and other),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revenue is a component of data and other revenue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also does not include costs reported as cost of revenues, data</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340"/>
          </w:cols>
          <w:pgMar w:left="320" w:top="448" w:right="2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and other in the Consolidated Statement of Operations. Cost of revenues, data and other were $7.1 million and $11.9 million for the years ended December 31, 2020 and 2021, respectively. These costs represent 19.6% and 19.2% of data and other revenue for the years ended December 31, 2020 and 2021, respectively.</w:t>
      </w:r>
    </w:p>
    <w:p>
      <w:pPr>
        <w:spacing w:after="0" w:line="57"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In 2018, the first full year that we operated a laboratory, we sequenced samples from approximately 7,500 patients. From that 2018 cohort of sequenced patients, through December 31, 2021, we generated $47.4 million of combined revenue from sequencing, data licensing of de-identified data derived from those records, and clinical trials matching, which is approximately 5.3 times the revenue we received from sequencing at the onset. The total cost to sequence the 2018 cohort was $17.4 million, of which $9.0 million was covered by reimbursement for the corresponding sequencing tests. We then generated $16.3 million of data revenue from that cohort in 2018, finishing the year with a “Cohort Lifetime Value” of $7.9 million. As more customers licensed de-identified records from the 2018 cohort in subsequent years, we generated additional revenue in 2019, 2020 and 2021 from the 2018 cohort, and as of December 31, 2021, the 2018 “Cohort Lifetime Value” for this cohort was $30.0 million. We maintained similar trends for the 2019, 2020 and 2021 cohorts. As of December 31, 2021, the 2019 “Cohort Lifetime Value” was $34.2 million, the 2020 “Cohort Lifetime Value” was $19.2 million and the 2021 “Cohort Lifetime Value” was $17.1 million.</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“Cohort Lifetime Value” for the 2018, 2019, 2020 and 2021 data cohorts is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163830</wp:posOffset>
            </wp:positionV>
            <wp:extent cx="6835775" cy="59524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5775" cy="5952490"/>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151</w:t>
      </w:r>
    </w:p>
    <w:p>
      <w:pPr>
        <w:sectPr>
          <w:pgSz w:w="11900" w:h="16838" w:orient="portrait"/>
          <w:cols w:equalWidth="0" w:num="1">
            <w:col w:w="11340"/>
          </w:cols>
          <w:pgMar w:left="320" w:top="448" w:right="23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205105</wp:posOffset>
            </wp:positionV>
            <wp:extent cx="6835775" cy="53771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5775" cy="537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Therapies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Therapies is our second offering within our Data product line and leverages our broad network of oncologists to provide clinical trial matching services for pharmaceutical companies trying to reach hard-to-find and underserved patient populations. Our clinical trial matching product is built on top of our near real-time data feeds and harnesses AI to accelerate the connection between patients, clinical trial providers, and clinical trial sponsors. We empower both oncologists to help patients find clinical trials and pharmaceutical companies to populate their trials. We generate revenue from both matching a patient to the trial (through notices we send to physicians alerting them of potential trials that are a fit for their patients), and from the patient actually enrolling in the trial.</w:t>
      </w:r>
    </w:p>
    <w:p>
      <w:pPr>
        <w:spacing w:after="0" w:line="15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Therapies product is a bold initiative that we do not believe has been implemented at scale in the United States by any other organization. We are endeavoring to create a just-in-time network across a wide variety of academic medical centers and community providers, that can support hundreds or even thousands of trials, in which the administrative and logistical foundation is uniform across the entire network. This network allows us to identify a patient that is a match for a targeted trial and get that patient enrolled within days, even if the trial was not previously open at the hospital (assuming consent of the trial sponsor), anywhere in the United States. Prior to Tempus, we believe it would have been virtually impossible to even attempt to build this type of just-in-time program across oncology, as the required ingredients for success are unique to our Platform, namely: (i) a large genomic sequencing business that is widely adopted and allows for the identification of patients that are molecular matches to trials; (ii) the ability to structure clinical data for those patients in near real time to filter for inclusion and exclusion criteria; (iii) direct pipelines allowing data to be transferred to and from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340"/>
          </w:cols>
          <w:pgMar w:left="320" w:top="448" w:right="2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laboratory and provider; and (iv) an analytic engine able to stratify patients and follow each unique patient journey ensuring that patients actually enroll in the studies.</w:t>
      </w:r>
    </w:p>
    <w:p>
      <w:pPr>
        <w:spacing w:after="0" w:line="170" w:lineRule="exact"/>
        <w:rPr>
          <w:sz w:val="20"/>
          <w:szCs w:val="20"/>
          <w:color w:val="auto"/>
        </w:rPr>
      </w:pPr>
    </w:p>
    <w:p>
      <w:pPr>
        <w:jc w:val="both"/>
        <w:ind w:firstLine="454"/>
        <w:spacing w:after="0" w:line="223" w:lineRule="auto"/>
        <w:rPr>
          <w:sz w:val="20"/>
          <w:szCs w:val="20"/>
          <w:color w:val="auto"/>
        </w:rPr>
      </w:pPr>
      <w:r>
        <w:rPr>
          <w:rFonts w:ascii="Times New Roman" w:cs="Times New Roman" w:eastAsia="Times New Roman" w:hAnsi="Times New Roman"/>
          <w:sz w:val="18"/>
          <w:szCs w:val="18"/>
          <w:color w:val="auto"/>
        </w:rPr>
        <w:t>Our clinical trial matching product is called the TIME Trial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program, which we launched in June of 2019. Since its introduction, this program has gained significant traction and as of December 31, 2021, more than 180 provider networks and research institutions, representing more than 8,100 oncologists, have signed up to join the program. As of December 31, 2021, more than 1,500 oncologists were fully enrolled, more than 75 clinical trials were onboarded and active, and more than 5,800 patients were identified for potential enrollment into clinical trials in our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152400</wp:posOffset>
            </wp:positionV>
            <wp:extent cx="7002780" cy="4343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02780" cy="434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340"/>
          </w:cols>
          <w:pgMar w:left="320" w:top="448" w:right="2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One of the primary benefits of our Therapies product is our ability to facilitate the initiation of a clinical trial in a new location in a short amount of time. Third-party research suggests that it takes 6-12 months, on average, to initiate a new trial site for an ongoing clinical trial in the United States. We have been able to substantially streamline this process by leveraging technology and introducing a standard methodology, with activation of new sites through our Therapies product taking 9 days on average between April 2020 and December 2021. A comparison of our average time from site initiation to patient consent with the industry average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146685</wp:posOffset>
            </wp:positionV>
            <wp:extent cx="7002780" cy="37515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002780" cy="3751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Tumor Derived Biological Modeling—Organoids</w:t>
      </w:r>
    </w:p>
    <w:p>
      <w:pPr>
        <w:spacing w:after="0" w:line="11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In addition to our efforts to collect vast amounts of phenotypic, morphologic, and molecular data, we have built a large, biological modeling lab that allows us to test various theories in vitro through our large repository of tumor-derived organoids, or Organoids, and to perform drug screening for our various life sciences clients. Many of our Organoids are fully characterized and sequenced using our NGS panels, providing genomic and transcriptomic data for our models, allowing us to explore various hypotheses that enhance our data. Examples of hypotheses we are able to test in our Organoid lab include: (i) which therapeutics are most effective; (ii) differential levels of drug response by tumor type, genomic profile, or other targeted attributes; (iii) discovery of RNA signatures;</w:t>
      </w:r>
    </w:p>
    <w:p>
      <w:pPr>
        <w:spacing w:after="0" w:line="3" w:lineRule="exact"/>
        <w:rPr>
          <w:sz w:val="20"/>
          <w:szCs w:val="20"/>
          <w:color w:val="auto"/>
        </w:rPr>
      </w:pPr>
    </w:p>
    <w:p>
      <w:pPr>
        <w:jc w:val="both"/>
        <w:ind w:firstLine="5"/>
        <w:spacing w:after="0" w:line="245" w:lineRule="auto"/>
        <w:tabs>
          <w:tab w:leader="none" w:pos="34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attributes of responders and non-responders; and (v) response rates in therapy-resistant models. We work with numerous collaborators including biotechnology companies, pharmaceutical companies, academic institutions, and government labs. Since 2017, we have scaled our sample collection efforts materially, as shown in the graphic below.</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340"/>
          </w:cols>
          <w:pgMar w:left="320" w:top="448" w:right="2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40347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002780" cy="4034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These samples cover a wide range of cancer subtypes, allowing us to work on comprehensive drug screening applications across multiple epithelial based tumor types, such as breast, lung, colorectal, and pancreatic. One of the goals of this screening is to predict a series of therapeutic responses in our Organoids and then test whether or not patients are experiencing similar responses in the clinical setting.</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view biological models as another form of data. Our efforts to grow Organoids are part of our overall strategy to leverage the best of systems biology along with the best of AI to collect the requisite data needed to produce answers broadly throughout healthcare.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vastness of our dataset creates an opportunity to use data to algorithmically diagnose and treat patients. Our newest product line, Algos, is focused on developing diagnostics that are algorithmic in nature. We use data the same way legacy diagnostic companies use chemistry in the battle against disease, seeking to improve patient care by learning from all the patients who have come before, and tailoring test results based on each patient’s unique profile. Our Algos can be run without the need for additional chemistry or biology; they are simply 0’s and 1’s running on digitized data derived from a laboratory test. Algos leverage AI-driven insights to produce clinically validated and actionable information for physicians. For example, algorithmic diagnostics that integrate multimodal data can be used to create a more accurate risk profile for patients, leading to improved outcomes and reduced cost. Our repository of multimodal data allows us to find associations and patterns that are largely invisible through a single data modality, but readily apparent when combined. In addition, we find the strength of our analytic models, and our ability to deploy them clinically, improves as we add additional datasets.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340"/>
          </w:cols>
          <w:pgMar w:left="320" w:top="448" w:right="2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example diagram below represents how algorithm-based diagnostics work and the value of multimodal data as it relates to improved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163830</wp:posOffset>
            </wp:positionV>
            <wp:extent cx="7002780" cy="56686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02780" cy="566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Algorithm-based diagnostics are already being used in healthcare, but are not widespread. For example, algorithms exist today that leverage EHR data and lab results to predict early onset of hospital-borne infections, but these tools are still in the very early stages of adoption and validation. While Algos today represent only a small proportion of the diagnostics market, we expect their adoption to grow substantially in the future. We believe Algos represent a significant long-term opportunity that may be substantially larger than our other existing product lines. We believe our ability to launch Algos at scale is a key differentiator of our Platform.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340"/>
          </w:cols>
          <w:pgMar w:left="320" w:top="448" w:right="2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Algos Portfolio</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believe our robust, multimodal dataset creates an opportunity for Algos that otherwise would not be possible and allows us to build AI models at scale, clinically validate them, and deploy the resulting Algos into clinical practice. As of December 31, 2021, we have three commercialized Algos, and we have approximately 24 more in various stages of development. Some Algos will likely yield little to no reimbursement until their clinical utility is established, and some may obtain reimbursement at prevailing rates for comparable tests. Through December 31, 2021 our Algos have been ordered more than 13,600 times and have generated approximately $100 per test on average. Eventually, we would like to launch hundreds, if not thousands, of Algos. The following table represents our current Algos products, as well as our nearer term Algos in the pipeline: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Launch</w:t>
            </w:r>
          </w:p>
        </w:tc>
        <w:tc>
          <w:tcPr>
            <w:tcW w:w="340" w:type="dxa"/>
            <w:vAlign w:val="bottom"/>
          </w:tcPr>
          <w:p>
            <w:pPr>
              <w:spacing w:after="0"/>
              <w:rPr>
                <w:sz w:val="13"/>
                <w:szCs w:val="13"/>
                <w:color w:val="auto"/>
              </w:rPr>
            </w:pPr>
          </w:p>
        </w:tc>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40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40" w:type="dxa"/>
            <w:vAlign w:val="bottom"/>
          </w:tcPr>
          <w:p>
            <w:pPr>
              <w:spacing w:after="0"/>
              <w:rPr>
                <w:sz w:val="14"/>
                <w:szCs w:val="14"/>
                <w:color w:val="auto"/>
              </w:rPr>
            </w:pPr>
          </w:p>
        </w:tc>
        <w:tc>
          <w:tcPr>
            <w:tcW w:w="6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Tumor Origin (“TO”) Test</w:t>
            </w:r>
          </w:p>
        </w:tc>
        <w:tc>
          <w:tcPr>
            <w:tcW w:w="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 Predicts the site of origin for cancer patients whose primary tumor site is unknown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using tumor RNA expression results.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 Intended use of the TO test is for cancers of unknown primary, or CUPs, and may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help clinicians make more informed decisions where other clinical information like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imaging and immunohistochemistry results do not provide a definitive diagnosis.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 Uses information from analysis of nucleic acids by NGS performed as part of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separately ordered genomic or transcriptomic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 Built using a large internal database of more than 20,000 annotated tumors with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transcriptomic molecular data. By comparing the molecular profile (transcriptome)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of the patient’s cancer with profiles of other cancers in our database, we can help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pinpoint the origin of the patient’s cancer, potentially helping to inform the course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 For the year ended December 31, 2021 ordered on approximately 7% of our solid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tumor profiles.</w:t>
            </w: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280" w:type="dxa"/>
            <w:vAlign w:val="bottom"/>
          </w:tcPr>
          <w:p>
            <w:pPr>
              <w:spacing w:after="0"/>
              <w:rPr>
                <w:sz w:val="6"/>
                <w:szCs w:val="6"/>
                <w:color w:val="auto"/>
              </w:rPr>
            </w:pPr>
          </w:p>
        </w:tc>
        <w:tc>
          <w:tcPr>
            <w:tcW w:w="3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Homologous Recombination Deficiency (“HRD”) Test</w:t>
            </w:r>
          </w:p>
        </w:tc>
        <w:tc>
          <w:tcPr>
            <w:tcW w:w="7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 A DNA-based algorithmic test that helps identify if a patient has HRD, providing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comprehensive view into a patient’s ability to repair double-stranded DNA breaks.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 HRD status can be used to identify patients who may be sensitive to PARP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inhibitors and/or platinum-based chemotherapy.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 Takes into account results from our solid tumor profiling, giving a full view into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commonly mutated genes in the HR-pathway, along with a genome wide l LOH</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score, giving a clinician a complete view of HRD status.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 Can be ordered across all major cancer subtypes and does not require additional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tissue from the patient.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 Currently incorporating RNA into a second version of the algorithm, which is</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7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intended to improve prediction</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60" w:type="dxa"/>
            <w:vAlign w:val="bottom"/>
            <w:gridSpan w:val="2"/>
          </w:tcPr>
          <w:p>
            <w:pPr>
              <w:jc w:val="right"/>
              <w:ind w:right="554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64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340" w:type="dxa"/>
            <w:vAlign w:val="bottom"/>
          </w:tcPr>
          <w:p>
            <w:pPr>
              <w:spacing w:after="0"/>
              <w:rPr>
                <w:sz w:val="13"/>
                <w:szCs w:val="13"/>
                <w:color w:val="auto"/>
              </w:rPr>
            </w:pPr>
          </w:p>
        </w:tc>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368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340" w:type="dxa"/>
            <w:vAlign w:val="bottom"/>
          </w:tcPr>
          <w:p>
            <w:pPr>
              <w:spacing w:after="0"/>
              <w:rPr>
                <w:sz w:val="14"/>
                <w:szCs w:val="14"/>
                <w:color w:val="auto"/>
              </w:rPr>
            </w:pPr>
          </w:p>
        </w:tc>
        <w:tc>
          <w:tcPr>
            <w:tcW w:w="6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accuracy and increase the percentage of tumors that the algorithm can be run on.</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 For the year ended December 31, 2021, ordered on approximately 18% of all solid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tumor orders.</w:t>
            </w:r>
          </w:p>
        </w:tc>
        <w:tc>
          <w:tcPr>
            <w:tcW w:w="0" w:type="dxa"/>
            <w:vAlign w:val="bottom"/>
          </w:tcPr>
          <w:p>
            <w:pPr>
              <w:spacing w:after="0"/>
              <w:rPr>
                <w:sz w:val="1"/>
                <w:szCs w:val="1"/>
                <w:color w:val="auto"/>
              </w:rPr>
            </w:pPr>
          </w:p>
        </w:tc>
      </w:tr>
      <w:tr>
        <w:trPr>
          <w:trHeight w:val="257"/>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Dihydropyrimidine Dehydrogenase Deficiency</w:t>
            </w: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 Identifies certain alterations in the </w:t>
            </w:r>
            <w:r>
              <w:rPr>
                <w:rFonts w:ascii="Times New Roman" w:cs="Times New Roman" w:eastAsia="Times New Roman" w:hAnsi="Times New Roman"/>
                <w:sz w:val="18"/>
                <w:szCs w:val="18"/>
                <w:i w:val="1"/>
                <w:iCs w:val="1"/>
                <w:color w:val="auto"/>
              </w:rPr>
              <w:t>DPYD</w:t>
            </w:r>
            <w:r>
              <w:rPr>
                <w:rFonts w:ascii="Times New Roman" w:cs="Times New Roman" w:eastAsia="Times New Roman" w:hAnsi="Times New Roman"/>
                <w:sz w:val="18"/>
                <w:szCs w:val="18"/>
                <w:color w:val="auto"/>
              </w:rPr>
              <w:t xml:space="preserve"> gene, which may be associated with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(“DPYD”) Test</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patient’s potential toxicity to 5-FU/Capecitabine chemotherapy based on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associated drug labeling and guidelines from the Clinical Pharmacogenomics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Implementation Consortium (CPIC).</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 Provides insight into the potential likelihood of a patient developing severe or even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fatal toxicity of 5- FU/Capecitabine chemotherapy by covering five SNVs in </w:t>
            </w:r>
            <w:r>
              <w:rPr>
                <w:rFonts w:ascii="Times New Roman" w:cs="Times New Roman" w:eastAsia="Times New Roman" w:hAnsi="Times New Roman"/>
                <w:sz w:val="18"/>
                <w:szCs w:val="18"/>
                <w:i w:val="1"/>
                <w:iCs w:val="1"/>
                <w:color w:val="auto"/>
              </w:rPr>
              <w:t>DPYD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genes, providing a more complete patient profile. According to CPIC, 5-7%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patients test positive for DPD deficiency and should be considered for monitoring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 dose reduction.</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 This algorithm uses sequencing data generated as a part of a separately-ordered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Tempus|xT Solid Tumor + Normal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 Tempus DPYD is available pan-cancer although it is most relevant in colorectal,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breast, pancreatic and GI cancer patients who are being considered for treatment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 5-FU/Capecitabine chemotherapy.</w:t>
            </w:r>
          </w:p>
        </w:tc>
        <w:tc>
          <w:tcPr>
            <w:tcW w:w="0" w:type="dxa"/>
            <w:vAlign w:val="bottom"/>
          </w:tcPr>
          <w:p>
            <w:pPr>
              <w:spacing w:after="0"/>
              <w:rPr>
                <w:sz w:val="1"/>
                <w:szCs w:val="1"/>
                <w:color w:val="auto"/>
              </w:rPr>
            </w:pPr>
          </w:p>
        </w:tc>
      </w:tr>
      <w:tr>
        <w:trPr>
          <w:trHeight w:val="239"/>
        </w:trPr>
        <w:tc>
          <w:tcPr>
            <w:tcW w:w="3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64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340" w:type="dxa"/>
            <w:vAlign w:val="bottom"/>
          </w:tcPr>
          <w:p>
            <w:pPr>
              <w:spacing w:after="0"/>
              <w:rPr>
                <w:sz w:val="20"/>
                <w:szCs w:val="20"/>
                <w:color w:val="auto"/>
              </w:rPr>
            </w:pPr>
          </w:p>
        </w:tc>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368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340" w:type="dxa"/>
            <w:vAlign w:val="bottom"/>
          </w:tcPr>
          <w:p>
            <w:pPr>
              <w:spacing w:after="0"/>
              <w:rPr>
                <w:sz w:val="14"/>
                <w:szCs w:val="14"/>
                <w:color w:val="auto"/>
              </w:rPr>
            </w:pPr>
          </w:p>
        </w:tc>
        <w:tc>
          <w:tcPr>
            <w:tcW w:w="6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Cardiology</w:t>
            </w: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Atrial Fibrillation Test</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 We have developed an algorithm designed to predict AFib from a normal ECG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expected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certain populations.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launch</w:t>
            </w:r>
          </w:p>
        </w:tc>
        <w:tc>
          <w:tcPr>
            <w:tcW w:w="340" w:type="dxa"/>
            <w:vAlign w:val="bottom"/>
          </w:tcPr>
          <w:p>
            <w:pPr>
              <w:spacing w:after="0"/>
              <w:rPr>
                <w:sz w:val="19"/>
                <w:szCs w:val="19"/>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   About 3.5% of patients who receive ECGs appear not to have AFib but will develop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AFib, acute coronary syndrome, or similar condition within one year. This Algo is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designed to predict major cardiac trauma and stroke risk from these normal ECG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results.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 The Tempus AFib test received FDA breakthrough designation in March 2021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patients 40 years of age and older, without pre-existing or concurrent AFib or atrial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flutter, and who are at elevated risk of stroke based on a commonly used clinical</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stroke risk assessment tool (i.e., CHA</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-VASc score of ≥4).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 We are also advancing Algos that are designed to predict aortic stenosis, and we 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working on other disease areas within cardiology, such as low ejection fraction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familial hypercholesterolemia.</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Algos Collaboration with Geisinger</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Heart disease is the leading cause of death in the United States. About 630,000 Americans die from heart disease annually, with 11.7% of American adults diagnosed with heart disease and millions of patients suffering</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340"/>
          </w:cols>
          <w:pgMar w:left="320" w:top="448" w:right="2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from undiagnosed, life-threatening, yet highly treatable conditions such as AFib, cardiomyopathy, and valvular heart disease, to name a few. Tempus is working on solutions to find, diagnose, and help treat these patients earlier in order to improve patient outcomes, using routinely generated clinical data, such as data from a 12-lead ECG, a widely used and easily acquired medical test that measures the electrical activity of the heart, to screen patients who might be at high risk and help navigate them to the appropriate interventional therapy.</w:t>
      </w:r>
    </w:p>
    <w:p>
      <w:pPr>
        <w:spacing w:after="0" w:line="184" w:lineRule="exact"/>
        <w:rPr>
          <w:sz w:val="20"/>
          <w:szCs w:val="20"/>
          <w:color w:val="auto"/>
        </w:rPr>
      </w:pPr>
    </w:p>
    <w:p>
      <w:pPr>
        <w:jc w:val="both"/>
        <w:ind w:firstLine="454"/>
        <w:spacing w:after="0" w:line="227" w:lineRule="auto"/>
        <w:rPr>
          <w:sz w:val="20"/>
          <w:szCs w:val="20"/>
          <w:color w:val="auto"/>
        </w:rPr>
      </w:pPr>
      <w:r>
        <w:rPr>
          <w:rFonts w:ascii="Times New Roman" w:cs="Times New Roman" w:eastAsia="Times New Roman" w:hAnsi="Times New Roman"/>
          <w:sz w:val="18"/>
          <w:szCs w:val="18"/>
          <w:color w:val="auto"/>
        </w:rPr>
        <w:t>Our first cardiology products in development are a suite of algorithms that assess an individual’s risk of undiagnosed disease from an ECG. The FDA recently granted Tempus breakthrough status for our first ECG software device, which is designed to identify patients at high risk of developing AFib in certain populations (patients 40 years of age and older, without pre-existing or concurrent AFib or atrial flutter, and who are at elevated risk of stroke based on a commonly used clinical stroke risk assessment tool (i.e., CHA</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-VASc score of ≥4)).</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work in cardiology has been accelerated by a strategic collaboration with a multidisciplinary cardiovascular research team at Geisinger that leverages 25 years of valuable EHR data. We hold a perpetual, royalty-bearing license from Geisinger to build algorithmic models and commercialize a de-identified dataset of approximately 3.2 million ECGs, across approximately 600,000 patients, with decades of longitudinal clinical data, including outcome and response data.</w:t>
      </w:r>
    </w:p>
    <w:p>
      <w:pPr>
        <w:spacing w:after="0" w:line="184"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In parallel, we are working to build out a network of healthcare systems and clinical providers to deploy these clinical algorithms at scale. We believe we are well positioned to build such a network by leveraging the existing technical integrations in place through our current product lines in oncology and neurology.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Case Studies: Aligning the Interests of Key Stakeholders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designed our Platform to help unlock data from existing silos and facilitate data exchanges across healthcare providers. We believe our technological advancements, deep relationships with providers, and rapid commercial adoption demonstrate the value our Platform creates for the healthcare ecosystem. We benefit from a flywheel effect; the more data we collect, the smarter our tests become, the more applications we launch, the more physicians join our network, further growing our database, making our tests smarter for clinicians and our database more valuable for researchers.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describe below select case studies that demonstrate the value we deliver to the healthcare ecosystem, with the ultimate goal of helping patients and improving clinical outcomes.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Healthcare Provider and Patient Case Study</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is designed to help raise the standard of care in precision medicine by enabling physicians to make data-driven decisions. Physicians use our Intelligent Diagnostics, software solutions, and analytic support tools to bring clinically actionable insights to genetic analysis. We see the power of our Platform both in its widespread adoption and, most importantly, the impact it has on patients.</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 50-year old female patient was diagnosed with metastatic gastric cancer. The average life expectancy for someone with stage IV gastric cancer is less than one year, with approximately 5% of patients surviving for five years. The patient’s tumor harbored a mutation in a gene indicating that Epstein-Barr virus, or EBV, was involved in the pathogenesis. The tumor mutational burden was not high, but the tumor EBV made the patient a candidate for immunotherapy. Tempus’ NGS tests were used to evaluate the patient’s suitability for a cancer vaccine clinical trial, and two distinct aspects of Tempus’ tests led the treating physician to pursue new treatment recommendations. First, Tempus sequencing used paired tumor and normal specimens to make more accurate somatic mutation calls. Thus, Tempus’ test identified neoantigens that could be targeted by the immune system, while excluding germline variants of unknown significance that the immune system would not recognize as foreign. Second, Tempus used whole transcriptome RNA sequencing data to evaluate whether the neoantigens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340"/>
          </w:cols>
          <w:pgMar w:left="320" w:top="448" w:right="2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detected from the patient’s DNA were expressed in the cell. Ultimately, after evaluation for the vaccine trial, the treating physician recommended checkpoint inhibitor immunotherapy. While the patient responded well to immunotherapy, eventually side effects caused her to seek other treatment modalities. Additional testing identified a mutation downstream, which was used to match the patient into a clinical trial for an ERK inhibitor. Two other mutations indicating possible response to off-label therapies were also found, and the treating physician would be able to evaluate those therapies in the event of treatment failure.</w:t>
      </w: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Insights Case Study</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work with pharmaceutical and biotechnology companies in a number of ways, including (i) licensing de-identified data libraries on a one-time or limited duration basis; (ii) licensing de-identified data as part of a multi-year subscription; (iii) performing sequencing services for clinical trials on a bespoke basis or as part of a companion diagnostic, or CDx, claim; (iv) growing patient derived biological models (Organoids) to allow for high-throughput drug screening; and (v) helping companies identify and enroll patients for their clinical trials. Some companies may leverage one of our products, while our relationships with others are more comprehensive.</w:t>
      </w:r>
    </w:p>
    <w:p>
      <w:pPr>
        <w:spacing w:after="0" w:line="187"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Genmab is an example of a pharmaceutical company that has used many of our products and services. We signed a strategic collaboration with Genmab to help identify novel molecular and immune targets in cancer indications of interest. One aspect of the collaboration is a shared interest in developing new treatments for patients with pancreatic cancer. Tempus and Genmab data scientists collaborated to explore multiple indications in an effort to validate biomarkers and accelerate research and development using Tempus’ multimodal datasets. We analyzed de-identified data derived from over 2,000 pancreatic cancer patients with comprehensive DNA sequencing, full transcriptomic sequencing, longitudinal EHR data, and digital pathology slides to fuel their discovery efforts. We believe comparable multimodal datasets of this depth and breadth have not previously been assembled for pancreatic cancer. Fueled with a unique and larger dataset, computational biologists and data scientists from both organizations identified for further assessment select subtype-specific surfaceome gene targets that were highly expressed in pancreatic cancer samples but lowly expressed in normal tissue. Ultimately, several hundred potential drug discovery targets were identified and are currently being assessed by Genmab using antibody databases, cell-type analyses, immune infiltration, and biological mechanism pathway analyses. The Genmab collaboration demonstrates how Tempus can work as a partner in the target identification and validation process and highlights the valuable insights that can be garnered using Tempus’ data. With the shared goal to bring novel drugs to patients in need, Tempus is entitled to receive milestone and royalty payments for programs that advance through clinical development under this collaboration.</w:t>
      </w:r>
    </w:p>
    <w:p>
      <w:pPr>
        <w:spacing w:after="0" w:line="200" w:lineRule="exact"/>
        <w:rPr>
          <w:sz w:val="20"/>
          <w:szCs w:val="20"/>
          <w:color w:val="auto"/>
        </w:rPr>
      </w:pP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Therapies Case Study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created a dynamic marketplace for biopharmaceutical companies to leverage our data to identify eligible patients and activate appropriate sites to increase access to molecularly targeted clinical trials. We believe our offering is well suited for identifying patients for targeted trials. To detect specific mutations that may be the subject of a clinical trial, we offer solid tumor and liquid biopsy NGS panels that are able to detect specific molecular markers; however, we can also match patients tested through other sequencing companies via our direct EHR or clinical database integrations.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we identify a patient who meets the criteria of a participating clinical trial at one of our TIME Trial® program sites, we inform the patient’s treating physician of the trial and if the trial sponsor consents, we can rapidly activate the trial locally on-site. We have been able to substantially streamline the site activation process by leveraging technology and introducing a standard methodology, with Just-in-TIME activations taking nine days on average between April 2020 and December 2021.</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340"/>
          </w:cols>
          <w:pgMar w:left="320" w:top="448" w:right="2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5043805" cy="9004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04380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TIME Trial® program has national coverage, including numerous underserved community oncology clinics, allowing us to reach cancer patients who previously did not have access to investigational therapies.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Sermonix is a powerful example of the potential for our Therapies product to expand access to clinical trials and identify hard-to-reach patients. Sermonix, a pharmaceutical company focused on women’s oncology, opened a biomarker-driven trial and partnered with Tempus to identify ESR1-positive breast cancer patients. According to the Tempus database of de-identified patient data, ESR1 mutations develop in approximately 14% of all breast cancers. Before engaging Tempus, Sermonix targeted enrolling 24 patients in 18 months and estimated study completion in October 2022.</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After Sermonix enrolled in the Tempus TIME Trial® program, we were able to screen and enroll the first patient in September 2020, within weeks of the trial opening. Within the first month, we activated five TIME Trial® sites before the contract research organization, or CRO, with whom Sermonix was working was able to activate its first site. Ultimately, Tempus helped Sermonix activate ten new trial sites through the TIME Trial® program in an average of ten business days for each site. By comparison, it took on average 230 days for the CRO to open each new site. Tempus enrolled 14 of the ultimately 29 patients in the study, and helped shorten the full enrollment time down to ten months.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prescribed therapeutics or therapeutic pathways, often based on trial and error. When these conditions exist, we believe technology and AI have the potential to facilitate precision medicine through data associations that substantially reduce the guesswork associated with which drug to prescribe, in what amount, and in which order. We are currently focused on oncology, neuropsychology and specifically depression, cardiology and infectious diseases, in which there is over $4 trillion of economic burden according to publicly available sources.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oncology and neuropsychology. Our Data product line operates within a market in which life sciences companies spent an estimated $219 billion in 2020 on research and development according to Evaluate Pharma, and addresses needs within the $38 billion clinical trial services market, the $46 billion market for biomarker discovery, and the $29 billion market for “real world evidence”, according to Mordor Intelligence and our internal estimates. We believe that the potential market opportunity for our Algos product line could be substantially larger than our other product lines combined.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340"/>
          </w:cols>
          <w:pgMar w:left="320" w:top="448" w:right="2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42849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002780" cy="428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 Product Line Market Opportunity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automated lab infrastructure is capable of a variety of testing modalities and applications, spanning both anatomic and molecular diagnostics. We believe this infrastructure will enable us to address a wide range of emerging testing applications. We are currently focused on both liquid and tissue molecular testing in oncology, as well as tests for neuropsychology and infectious disease. In oncology alone, the market for NGS sequencing is expected to grow substantially over the next several decades.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Oncology Testing Market Opportunity</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At present, we offer three main assays in cancer, including solid tumor profiling, liquid biopsy, and inherited cancer risk screening, and expect to commercialize our fourth assay for cancer recurrence monitoring and measuring minimal residual disease in 2022. We believe our assays provide a comprehensive and holistic range of options for physicians and patients. Over time, we anticipate being able to address other emerging NGS oncology markets, such as early disease screening, as our most recent cancer recurrence and MRD assay (xM) is based on low pass whole genome plus methylation technology, an approach that other companies have used in early detection and disease monitoring.</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believe the oncology testing market is underpenetrated and represents an estimated $60 billion annual global market opportunity across the following testing applications on which we are focused.</w:t>
      </w:r>
    </w:p>
    <w:p>
      <w:pPr>
        <w:spacing w:after="0" w:line="168"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Therapy selection: </w:t>
      </w:r>
      <w:r>
        <w:rPr>
          <w:rFonts w:ascii="Times New Roman" w:cs="Times New Roman" w:eastAsia="Times New Roman" w:hAnsi="Times New Roman"/>
          <w:sz w:val="18"/>
          <w:szCs w:val="18"/>
          <w:color w:val="auto"/>
        </w:rPr>
        <w:t>We address the market for therapy selection with our current tissue and liquid biopsy assay offerings and immunohistochemistry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staining. We believe that NGS is increasingly becoming the standard of care to help physicians choose a therapy for their cancer patients across multiple cancer types. There were approximately 19.3 million patients estimated to be newly diagnosed with cancer globally in 2020 according to GLOBOCAN, and NGS was performed on only 2.3 million of these patients according to our estimates. Genomic markers are connected to FDA approved therapeutics for cancers including breast, cervical, cholangiocarcinoma, colorectal, skin, esophageal, stomach, head and neck, leukemia, certain other blood cancers,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340"/>
          </w:cols>
          <w:pgMar w:left="320" w:top="448" w:right="2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ovarian, prostate, sarcoma, melanoma, thyroid and urothelial. Moreover, there are additional FDA approved therapeutics that are pan-cancer in nature, for which the therapeutic agent may provide treatment options for patients with the identified targeted biomarker, no matter what type of cancer. In addition to newly diagnosed cancer patients, there is also the opportunity for NGS testing to profile patients participating in clinical trials. According to ClinicalTrials.gov, there are 107 immuno-oncology and 3,005 targeted oncology therapy programs ongoing with a total of 539,520 patients enrolled. Combined, we estimate that therapy selection accounted for 20 million tests globally in 2020 and believe that this will grow substantially as patients may be tested multiple times in the future to inform therapy. According to the National Cancer Institute, an estimated 1.8 million patients were diagnosed with new cancer in the United States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129540</wp:posOffset>
            </wp:positionV>
            <wp:extent cx="7002780" cy="37179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002780" cy="3717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Monitoring: </w:t>
      </w:r>
      <w:r>
        <w:rPr>
          <w:rFonts w:ascii="Times New Roman" w:cs="Times New Roman" w:eastAsia="Times New Roman" w:hAnsi="Times New Roman"/>
          <w:sz w:val="18"/>
          <w:szCs w:val="18"/>
          <w:color w:val="auto"/>
        </w:rPr>
        <w:t>We anticipate launching our liquid biopsy test for cancer recurrence monitoring and minimal residual disease in 2022. While this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is currently emerging, we anticipate that newly diagnosed cancer patients would benefit from a test that could monitor for cancer recurrence following surgical resection or first line therapy as well as monitor for minimal residual disease (MRD) while on therapy. For those estimated 19.3 million newly diagnosed cancer patients globally in 2020 according to GLOBOCAN, we believe that multiple tests within the first year following treatment to monitor for recurrence and minimal residual disease could improve clinical outcomes and become the standard of care for many subtypes in the future. In addition, we believe that a test to monitor for recurrence over a longer time period would also benefit a subset of cancer survivors that are at high risk of recurrence. According to our estimates, a substantial number of cancer patients across all cancers will recur within their lifetime and we estimate a higher percentage are at high risk of recurrence. There were approximately 43.8 million cancer survivors in 2018 globally that were diagnosed within the five years previous to 2018 and there are approximately 17 million cancer survivors in the United States in 2018. We anticipate that a majority of these patients would benefit from a periodic test over time to test for cancer recurrence and believe it may become standard to test these patients regularly as a means of monitoring their disease progression. Based on certain of our estimates and assumptions, we believe that in newly diagnosed patients alone our recurrence monitoring and minimal residual disease test had a more than 50 million test annual global opportunity in 2020.</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340"/>
          </w:cols>
          <w:pgMar w:left="320" w:top="448" w:right="2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Neuropsychology Market Opportunity</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estimate the market opportunity for our nP pharmacogenetic test to inform therapy for patients with depression, anxiety, and bipolar disorder was approximately $10 billion in 2020. In 2017, an estimated 12.5 million patients received treatment for major depressive disorder, or MDD, according to data provided by the National Institute of Mental Health. We believe the opportunity to bring AI to neuropsychology is significant and we are at the early stage of the market evolution. It is estimated that 40 million Americans alone suffer from anxiety, and over 16 million Americans have had an episode of depression in the last year alone according to the Anxiety &amp; Depression Association of America. Despite its growing prevalence, treating depression and anxiety remains difficult. Today, there are dozens of antidepressants that are typically prescribed in a trial and error format, where psychiatrists alter the dose and class of medications when one fails to work. The difficulties in prescribing medications leads to many patients taking the wrong medications in the wrong dose. Emerging evidence suggests that there are molecular mechanisms that suggest one drug, or class of drugs, may work better than another based on the genetic profile of the patient. This field, pharmacogenomics, has only recently emerged and has the potential to be as transformative in neuropsychology as it has been in oncology.</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Product Line Market Opportunity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Data product line provides pharmaceutical and biotechnology companies an alternative to acquire data that they would otherwise need to generate through other more expensive means, like running studies, to inform decisions across the drug development lifecycle. It also helps facilitate patient identification and recruitment for clinical trials. According to Evaluate Pharma, in 2020, an estimated $219 billion was spent on clinical development in the United States. Within this market, our Data product line addresses the following spending categories for biotechnology and pharmaceutical researchers:</w:t>
      </w:r>
    </w:p>
    <w:p>
      <w:pPr>
        <w:spacing w:after="0" w:line="92" w:lineRule="exact"/>
        <w:rPr>
          <w:sz w:val="20"/>
          <w:szCs w:val="20"/>
          <w:color w:val="auto"/>
        </w:rPr>
      </w:pPr>
    </w:p>
    <w:p>
      <w:pPr>
        <w:ind w:left="1000" w:hanging="549"/>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market: $38 billion spend in 2020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 discovery: $46 billion spend in 2021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world evidence: $29 billion spend in 2020 according to our estimates based on third-party research.</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 Product Line Market Opportunity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 xml:space="preserve">Over the longer term, we estimate that the potential market opportunity for our </w:t>
      </w:r>
      <w:r>
        <w:rPr>
          <w:rFonts w:ascii="Times New Roman" w:cs="Times New Roman" w:eastAsia="Times New Roman" w:hAnsi="Times New Roman"/>
          <w:sz w:val="18"/>
          <w:szCs w:val="18"/>
          <w:i w:val="1"/>
          <w:iCs w:val="1"/>
          <w:color w:val="auto"/>
        </w:rPr>
        <w:t>Algos</w:t>
      </w:r>
      <w:r>
        <w:rPr>
          <w:rFonts w:ascii="Times New Roman" w:cs="Times New Roman" w:eastAsia="Times New Roman" w:hAnsi="Times New Roman"/>
          <w:sz w:val="18"/>
          <w:szCs w:val="18"/>
          <w:color w:val="auto"/>
        </w:rPr>
        <w:t xml:space="preserve"> product line could be orders of magnitude larger than the current total combined market opportunity of our Genomics and Data product lines. Although such tests currently represent a small portion of laboratory testing volume today, we believe in the long-term, they could represent a significant percentage of the market, as more and more algorithms are developed that produce diagnostic insights. Within the United States, there are more than seven billion clinical diagnostic tests run annually according to the American Clinical Laboratory Association. We believe our integrated diagnostic Platform provides us with a differentiated foundation for the development and deployment of algorithmic diagnostics, uniquely positioning us to capitalize on this new and emerging market opportunity.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the combined power of technology, data, and AI will have a profound impact on the broader healthcare industry, transforming diagnostics, and enabling physicians and researchers to make data-driven decisions that improve clinical outcomes for patients. The industry today largely relies on diagnostics that are often based on a single source of data and do not employ datasets that are appropriate for many researchers and are frequently unable to provide adequate clinical context to inform personalized therapeutics. Tempus, on the other hand, has created an integrated Platform through which we can deploy AI, and has assembled what we consider to be one of the world’s largest libraries of clinical and molecular data, and an operating system to make our information useful for physicians and researchers. We believe our competitive advantages, which we describe below, will enable us to drive widespread commercial adoption of our Platform.</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340"/>
          </w:cols>
          <w:pgMar w:left="320" w:top="448" w:right="2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both a technology company and a healthcare company, allowing us to harness the advantages of both to advance precision medicine.</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the challenge of bringing technology, data, and AI to healthcare requires deep industry expertise across both healthcare and technology. We believe Tempus is well positioned as both a technology company, harnessing the power of data and analytics to help usher in a new era of personalized medicine and a healthcare company, providing AI-driven diagnostics across multiple disease areas. We bring technological capabilities across data and AI, which are rarely found among diagnostic companies and yet are necessary for precision medicine. We believe we are differentiated from potential technology competitors in that we have built our Platform to successfully operate in the highly regulated healthcare environment, perform diagnostic testing services as a covered entity, and ingest, collect, structure, and deploy patient data benefiting key stakeholders in the healthcare ecosystem. The team we have assembled has broad experience across technology and healthcare commensurate with the challenge we are undertaking. Our leadership has successfully founded, grown and held leadership positions at technology companies, healthcare providers, life sciences companies, and regulatory bodies such as the FDA. We have approximately 1,500 employees, including hundreds with diverse expertise in genetics, molecular and computational biology, bioinformatics, regulatory affairs, medical, product and engineering, and data science. Roughly one-third of our team is technical, with over 180 PhDs and MDs on staff. In addition, as a testament to our balanced workforce, we have roughly as many lab technicians as we have software engineers.</w:t>
      </w:r>
    </w:p>
    <w:p>
      <w:pPr>
        <w:spacing w:after="0" w:line="297"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built a Platform that is connected to hundreds of provider networks, allowing us to amass a large repository of multimodal data that we believe is essential for bringing AI to healthcare.</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believe we are the first to build an Intelligent Diagnostic platform at scale that is connected to vast amounts of multimodal data and an operating system to make that information useful for both physicians and researchers, with the ultimate goal of serving patients. Our Platform consists of integrated elements working together to grow our database, generate Intelligent Diagnostics, and help physicians make data-driven decisions in real time in the clinical setting. We have established dedicated data pipelines to ingest large amounts of complex multimodal data from healthcare institutions through more than 250 direct data connections, many of which supply us with data in near real time, across over 1,500 healthcare institutions that order our products and services. We also built a laboratory infrastructure that is capable of providing a robust suite of testing services, including tissue and liquid biopsy sequencing for our customers. Although our company was founded in late 2015, we have already demonstrated the ability to bring AI to healthcare and provide Intelligent Diagnostics to enable precision medicine at scale. We have amassed an oncology database that is over 48 Petabytes in size and is approximately 19 times the size of The Cancer Genome Atlas, the largest public genomic dataset that we know of in oncology. We also recently extended our Platform into neuropsychology, infectious disease, and cardiology. We believe each of the elements of our Platform is difficult for others to replicate.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Intelligent Diagnostics provide significant value to our customers, which has fostered broad adoption of many of our products.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Platform was designed to align the interests of, and benefit, key stakeholders across the healthcare ecosystem, with the ultimate goal of helping patients. For physicians and other healthcare providers, we offer a suite of products and services that enable them to accelerate their precision medicine efforts, regardless of whether they work in the community setting or within a large healthcare institution. We offer a comprehensive molecular testing portfolio that includes tissue and liquid biopsy NGS tests, which are intelligent, able to provide clinical context for patients, and may help inform therapeutic decisions as a result. In addition to Intelligent Diagnostics, we offer physicians and researchers numerous analytical and software tools to help them manage patients, perform analytics, and derive insights from being a part of our network. We make available to those providers and researchers the raw files that result from our sequencing together with structured clinical data we abstract related to that testing. Through our Therapies product offering, we also help oncologists identify patients eligible for clinical trials. Over time, we believe our Algos product line will offer physicians and patients unique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340"/>
          </w:cols>
          <w:pgMar w:left="320" w:top="448" w:right="2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and clinically actionable insights that are only possible by virtue of the data we have assembled. For pharmaceutical and biotechnology companies, we offer paid access to our de-identified database, with unique breadth, quality, and diversity of data, to inform drug discovery and development. We believe our dataset is the largest and most comprehensive to date in oncology (with other disease areas following), spanning multiple data modalities including: phenotypes, pathology slides, radiology scales, DNA, RNA, TCR/BCR, cfDNA, HLA types, immunohistochemistry, lab results, therapy outcome and response data, single cell sequencing, methylation, microbiomics, and epigenomes.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 has inherent network effects that help drive adoption and improve our data advantage with each new order placed.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Each of our three product lines is designed to collectively leverage our database, strengthen the other product lines, and create network effects and competitive advantages within our markets. Our Genomics product line, including our core diagnostics offering, serves as a foundation for our Data product line, which in turn drives our Algos product line. As we collect more data, our tests become more accurate, we launch more applications, and more physicians join our network, thereby growing our database even further to make our tests more precise for clinicians and our database more valuable for researchers. There are multiple network effects we believe will provide a significant competitive advantage and drive adoption of our Platform over time. First, as our Platform becomes more accurate and precise, we believe it inherently drives commercial adoption with physicians and other providers. The breadth and diversity of our multimodal database enables us to deploy AI to improve upon our current tests by making them more accurate and more precise. This helps drive new physicians onto our Platform which further increases the size of our database. As our database grows, it increases our ability to develop entirely new tests, such as Algos, which can further drive adoption among physicians. Second, the growth of our database inherently drives commercial adoption with pharmaceutical and biotechnology companies. An increasing number of physicians and other providers using our tests helps grow our database, which increases its value to researchers, as well as results in a larger customer network through which we can facilitate therapy selection and clinical trial recruitment. Unlike traditional laboratory diagnostics, we have the ability to monetize de-identified data in multiple ways, which provides an opportunity to drive revenue beyond just the revenue we receive for running a laboratory test. We believe this creates a competitive advantage as our business model allows us to offer genomic solutions and build proprietary datasets in ways other lab testing providers cannot, as many of them are focused on maximizing reimbursement and do not have ancillary revenue streams as we do. Moreover, the longitudinal nature of the data we collect further enhances our revenue opportunity as the records we collect have value over time, given that outcomes and response evolve as patients progress through treatment.</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Platform was built to collect, structure, harmonize and analyze large amounts of multimodal data.</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designed our Platform to be data agnostic. Our Platform can ingest and harmonize data from a wide variety of different healthcare data modalities. Unlike many other laboratory testing providers that focus on a specific modality of data, such as genomics, we currently ingest longitudinal clinical data from EHR including imaging data, generate DNA and RNA profiles along with other forms of molecular data, and perform anatomic pathology analysis. We are able to leverage multimodal data to deploy AI and provide Intelligent Diagnostics that generate insights that may be more powerful than insights provided by a single modality of data alone. We believe the healthcare industry is continuing to move towards using orthogonal and varied datasets to inform decision-making, and we are well positioned to be a partner of choice to facilitate this transformation.</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Platform is disease agnostic and facilitates rapid expansion into different disease categories.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While we started in oncology, our capabilities to collect, structure, and harmonize data, and deploy AI solutions, are applicable to other disease areas. We believe having a multi-disease focus enables us to engage with providers and pharmaceutical companies in a more comprehensive manner than if we were focused on a single disease. As institutions are often looking for ways to deploy precision medicine broadly across diseases, we believe we are well positioned to be their partner, particularly given our established traction within precision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340"/>
          </w:cols>
          <w:pgMar w:left="320" w:top="448" w:right="2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oncology and our emerging strength in other disease areas. We have successfully leveraged the core capabilities of our Platform to expand our offering beyond oncology as we entered into neuropsychology in 2020 (MDD, bipolar disease, anxiety), infectious disease (COVID-19 testing) in 2020, and hope to enter cardiology in the near future (ECG-based algorithms starting with AFib and Aortic Stenosis).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 of our database and the breadth of our multimodal data capabilities position us well to be able to launch Algos at scale.</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our Algos product line represents an emerging category of diagnostics and has the potential to be highly disruptive across a broad set of disease areas. Our Algos use data the same way laboratory diagnostic companies use chemistry in the battle against disease, improving patient care by learning from the patients who have come before, and tailoring test results based on each patient’s unique profile. We believe that as our database grows, we will be able to expand our Algos offering, with the goal of launching hundreds or thousands of Algos at some point in the future, representing a significant long-term opportunity that may be substantially larger than our other existing product lines. We believe our ability to launch Algos at scale is a key differentiator of our Platform. We currently offer three algorithmic tests in oncology, our TO test, our HRD test, and our DPYD test, and have ongoing development efforts in other disease areas, such as cardiology with our recent Afib algorithm that was awarded breakthrough designation by the FDA.</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Many of our products and services are already widely used throughout the healthcare ecosystem.</w:t>
      </w:r>
    </w:p>
    <w:p>
      <w:pPr>
        <w:spacing w:after="0" w:line="112"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We have established a network that we believe would be difficult for potential competitors to replicate. We have relationships with providers, life sciences companies, and leading industry associations that help provide key competitive advantages around our Platform. We work with hundreds of provider networks, including more than half of all academic medical centers in the United States. We have more than 250 direct unique data connections, many of which supply us with complex multimodal data in near real time, across over 1,500 healthcare institutions that order our products and services. In addition, we work with numerous industry associations, such as ASCO to structure and distribute the oncology data they collect as part of CancerLinq, which is their oncology data effort. To align interests with the healthcare providers who share data with us, we have developed software products and services that help our partners leverage data and benefit from being part of our network to improve patient care and research. These products have gained significant traction over the past five years, as our offerings are used by more than 5,000 oncologists in some way. The value of our products is further evidenced by our volume of repeat ordering from oncologists. Through December 2021, the 12-month retention rate for physicians ordering more than 5 oncology NGS tests was 92%. We define an active physician as those that have placed an oncology NGS test in the last 360 days. The 12-month retention rate is calculated by dividing the number of active physicians who have placed more than 5 oncology NGS tests by the total number of ordering physicians who have placed more than 5 oncology NGS tests. As of December 31, 2021, the number of active ordering physicians that had ordered more than 5 oncology NGS tests in the last 360 days was 2,509, and the number of physicians that had previously ordered more than 5 oncology NGS tests but had not ordered one in the last 360 days was 205. Between our sequencing and data collection efforts, we are connected in some way to approximately 40% of all oncologists practicing in the United States.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goal is to make the promise of precision medicine a reality, and dramatically improve outcomes for those most in need through the broad adoption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AI-enabled diagnostics. Our growth strategy is to:</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Grow our database and the number of providers connected to our Platform.</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database is core to our business model and our ability to deploy AI at scale to enable precision medicine and generate value for ourselves and our customers. We believe we have developed a unique leadership position in the industry, in the United States, given the data we have been able to amass and aim to continue to fuel this growth. We intend to do so by driving commercial adoption of our Platform with healthcare providers, expanding our data sharing relationships, and growing the number of our unique data connections and the hospitals with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340"/>
          </w:cols>
          <w:pgMar w:left="320" w:top="448" w:right="2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whom we share data. We also intend to expand our relationships and establish new relationships with industry bodies and associations to help them structure and harmonize their own data to facilitate improvements in patient care. We expect to invest in our laboratory capabilities to leverage the latest technologies and to expand into additional diagnostic modalities as they become adopted by our customers and relevant for helping patients find optimal therapeutics. We are agnostic as to where data originates so long as it enhances precision medicine. Over time, we may also use our Platform to help catalyze the value of data produced by other sources, including other labs. As such, we may evaluate business development opportunities to help grow and consolidate data, whether produced by us or others, both in the United States and abroad.</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Genomics product across healthcare providers.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serve clinical and research customers broadly through our Genomics product line. We are focused on driving market adoption with physicians by providing a complete portfolio of Intelligent Diagnostics and a suite of software applications that enable them to enhance their precision medicine efforts. We leverage customer feedback to inform product development, including making our tests more precise, and develop new tests and applications that help physicians deliver better clinical outcomes. In oncology, while we currently provide information to help physicians select the right therapy and make sure their patients have access to the most appropriate clinical trials, we are also expanding into other applications, such as disease monitoring and recurrence detection through our new minimal residual disease test, which is currently being validated. We also help clinicians practice precision medicine and provide genetic testing in other disease areas, including neuropsychology and infectious disease. We employ a direct sales force in the United States focused on driving adoption with the clinical community and raising awareness of the benefits of our Platform. For research, we aim to drive adoption of our Genomics product line with life sciences companies by supporting their testing needs for clinical trials and through the development of companion diagnostics. At present, we have approximately 159 sales representatives focused on our Genomics offering, and intend to significantly add resources to the team over time.</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data licensing and clinical trial matching products with pharmaceutical and biotechnology companies.</w:t>
      </w:r>
    </w:p>
    <w:p>
      <w:pPr>
        <w:spacing w:after="0" w:line="112"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As of December 31, 2021, we had 40 pharmaceutical and biotechnology customers licensing data through our Insights product, including 16 of the 20 largest public pharmaceutical companies based on 2020 revenue. Our goal is to provide our pharmaceutical and biotechnology customers with a Platform that helps them address challenges throughout their entire product lifecycle. Access to our database, provider network, and laboratory testing capabilities allow our customers to advance their research and clinical initiatives from biomarker discovery through commercialization. The value of multimodal data for informing drug discovery and development is becoming increasingly well understood by life sciences companies. We plan to take advantage of this trend and work to grow the number of companies purchasing de-identified data from us through our Insights product, both those that license data on a per-de-identified record basis as well as those that subscribe to our broader database. We also plan to continue to develop and commercialize software and analytic tools that make the products and services built on our Platform easier to use, including our Lens application that enhances cloud and compute analytical capabilities for researchers. For our Therapies product, we aim to grow the number of oncologists and the number of clinical trials participating in our network, and to increase the number of patients we identify to enroll into clinical trials. We are leveraging our direct sales force focused on providers to facilitate the onboarding of oncologists and have an enterprise sales team that focuses on pharmaceutical and biotechnology companies to increase the number of clinical trials in the network.</w:t>
      </w: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Validate and deploy Algos at scale.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currently have three Algos that we have commercially launched in oncology, our TO test, our HRD test, and our DPYD test. We seek to launch additional Algos in oncology and other disease categories, such as cardiology where we have multiple Algos in development. For example, we received breakthrough designation from the FDA for our AFib algorithm based largely on ECG data, and we have a number of other cardiology Algos in development that use ECG data as a primary predictor of potential indications and outcomes. We are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340"/>
          </w:cols>
          <w:pgMar w:left="320" w:top="448" w:right="2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commercializing our current Algos to physicians through our direct sales force focused on the clinical market. As more Algos are clinically validated, we expect to leverage this channel to sell additional Algo tests. Over time, we may open our database to third parties to allow them to develop their own Algos using our database, or add our Algos to their existing laboratory tests. We believe the size, breadth, and diversity of our data will ultimately facilitate development of Algos across multiple disease categories.</w:t>
      </w:r>
    </w:p>
    <w:p>
      <w:pPr>
        <w:spacing w:after="0" w:line="285"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Expand our capabilities and commercial traction outside of oncology, including in neuropsychology, infectious disease, cardiology, and other disease categories.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built our Platform to be disease agnostic, and we aim to grow adoption in disease categories in which connecting multimodal data and AI can improve decisions and analytics for physicians and researchers. We believe our AI-enabled Platform is uniquely positioned to generate insights when there exist both heterogeneous conditions among a diseased population and a variety of potential therapeutics or therapeutic pathways, often prescribed based on trial and error. In these disease categories, technology and AI have the potential to facilitate data associations and substantially reduce the guesswork as to which drug to prescribe, in what amount, and in which order. We believe these conditions exist in oncology, neuropsychology, infectious diseases, and cardiology, as well as numerous other life-threatening and chronic diseases. Through our existing relationships with providers and life science companies, we believe we have a high level of visibility into where key healthcare stakeholders desire to advance precision medicine. We believe our Platform is applicable across multiple disease categories, and we plan to extend our offering into additional disease areas. Over time, we believe AI enabled diagnostics will impact all disease categories, and our disease agnostic Platform, broad technology capabilities, and vast customer network, position us well.</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 internationally.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the opportunity to deploy data and AI in healthcare is global. In many geographies, we believe the healthcare infrastructure is ripe for AI, and in some cases, the ecosystem is even more developed than in the United States. Over time, we intend to expand our capabilities internationally. We are evaluating multiple expansion opportunities, both organic and inorganic. We may acquire or partner with an established entity to facilitate market entry, or we may choose an alternative path focused on organic expansion.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commercial efforts are generally focused on driving increased adoption of our various products and services, both by increasing the utilization of existing customers and securing new customers. We employ targeted sales and business development organizations, whose team members are engaged in direct sales and marketing efforts. Our commercial teams typically target healthcare providers and life sciences companies, which are the main purchasers of our products and services. We describe below our overall commercial strategy for each of our three products.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Genomics product line, largely made up of molecular testing, has two primary customers: physicians and bio-pharma companies. When we sell our tests to physicians we are typically providing them as part of routine clinical care and we are often billing insurance and seeking reimbursement on behalf of the patients for whom the test was ordered. When we sell our test to bio-pharma, we are typically being paid as a contract sequencing provider, either for the trials they are running or as a companion diagnostic to their drug. On the physician side, we commercialize our Genomics products in the United States to clinicians and healthcare providers largely through our dedicated clinical sales organization, that calls on individual doctors or medical practices. As of December 31, 2021, our clinical sales organization in the United States included approximately 150 sales representatives who are primarily contacting oncologists, psychiatrists, and other healthcare providers. Our sales representatives typically have backgrounds either in a particular disease area (such as oncology or neuropsychiatry) or in laboratory testing and therapeutics more generally. We supplement our commercial team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340"/>
          </w:cols>
          <w:pgMar w:left="320" w:top="448" w:right="2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clinical specialists with extensive medical affairs experience who provide molecular support in the field. As of December 31, 2021, we had approximately 140 sales executives in the field focused on oncology and neurology, and we also have a team of 12 sales reps, who largely call on customers virtually throughout our outbound call center, focused predominantly on infectious disease.</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oncology, which currently is our largest market, we are focused on driving adoption by targeting individual treating physicians, academic medical centers, community oncology practices, leading physician networks, and industry associations. We also are exploring relationships with third-party payers and governmental institutions. We have a land and expand strategy, by account, whereby we attempt to sign new accounts and increase adoption of our platform within these accounts over time. As such, we often begin a relationship that is transactional in nature, but seek over time, to work on a more comprehensive basis with healthcare providers, serving an ever increasing percentage of our molecular diagnostic needs over time. We find that once a physician starts using Tempus, if they order more than 5 oncology NGS tests from us, their 12-month retention rate is 92%.</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we believe that interactions among treating physicians help drive adoption of our products. We are focused on key opinion leaders in the industry through direct outreach and indirect marketing efforts. As of December 31, 2021, we have either published or been acknowledged in the following:</w:t>
      </w:r>
    </w:p>
    <w:p>
      <w:pPr>
        <w:spacing w:after="0" w:line="76" w:lineRule="exact"/>
        <w:rPr>
          <w:sz w:val="20"/>
          <w:szCs w:val="20"/>
          <w:color w:val="auto"/>
        </w:rPr>
      </w:pPr>
    </w:p>
    <w:p>
      <w:pPr>
        <w:ind w:left="1000" w:hanging="549"/>
        <w:spacing w:after="0" w:line="270"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59 total (40 Tempus-authored) peer-reviewed articles published or accepted for publication in major journals, including publications such as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Biotechnology, Clinical Breast Cancer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Nature Medicine,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Cell</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total (66 Tempus-authored) poster presentations based on clinical and research data that have been accepted and presented at major scientific conferences.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oral presentations at scientific meetings such as the ASCO, ASCO Gastrointestinal and Genitourinary Cancer Symposiums, San Antonio Breast Cancer Symposium, and the American Heart Association Scientific Sessions.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a similar strategy in neuropsychology, in which we aim to increase the commercial adoption of our nP test for depression as part of the rapidly growing market for pharmacogenomic testing, with a goal to better understand, diagnose and treat neuropsychiatric disorders. As it relates to infectious disease, we started offering COVID-19 testing through our iC test, and are in the midst of validating a respiratory pathogen test, iD, which is expected to cover a wider range of viruses such as Influenza, Respiratory Syncytial Virus, COVID-19, etc.</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commercial strategy for other disease areas is expected to follow our strategy in oncology, which is to focus on offering a broad range of molecular diagnostics to the market, that are connected to clinical data, so we can track how molecular results correlate with outcomes and responses, thereby making our tests smarter and more personalized overtime.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Testing</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 small component of our genomic testing involves testing performed in a research capacity. This type of testing is typically done under an agreed upon contracted arrangement for specific tests at specific prices and volumes. Typical customers in these arrangements are pharmaceutical companies engaged in testing for clinical trials, researchers who need genomic testing to further research activities, or a company marketing products or services of their own who elects to use us as a reference laboratory. In this type of research testing, the agreed upon rate for testing may vary significantly, and in some cases may even be offered as an in-kind service in exchange for other rights we obtain in the contracted relationship.</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it relates to selling our Genomic Products to bio-pharma, we have a dedicated team of sales executives focused on calling on biotech and pharmaceutical companies who use genomic sequencing services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340"/>
          </w:cols>
          <w:pgMar w:left="320" w:top="448" w:right="2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predominantly for the research they are conducting, the clinical trials they are running, or as a companion diagnostic to the extent their therapeutic relies on a bio-marker. To this group, we are typically selling retrospective and prospective sample testing services, as well as companion diagnostic development to support the approval and commercialization of therapeutics.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our field sales force, our Data products rely on a dedicated business development team focused on enterprise sales to pharmaceutical and biotechnology companies in the United States and abroad. Our strategy with each customer is to demonstrate the value proposition of our Platform and de-identified datasets, and to expand the utilization of our Data products across the organization from early-stage research through clinical development to commercialization. Given the broad and differentiated utility of our Platform, we believe we can support our pharmaceutical and biopharmaceutical customers across many applications, including:</w:t>
      </w:r>
    </w:p>
    <w:p>
      <w:pPr>
        <w:spacing w:after="0" w:line="95" w:lineRule="exact"/>
        <w:rPr>
          <w:sz w:val="20"/>
          <w:szCs w:val="20"/>
          <w:color w:val="auto"/>
        </w:rPr>
      </w:pPr>
    </w:p>
    <w:p>
      <w:pPr>
        <w:ind w:left="1000" w:hanging="549"/>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stage research and development;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new targets and mechanisms of acquired resistance;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patient identification and enrollment;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 services, including cloud and compute.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expect to be able to capture other commercial opportunities from our genomic data, which can be used in combination with clinical outcomes or claims data for multiple applications, including novel target identification, label expansion, and other commercial applications.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2021, we had approximately 33 sales executives in our Data product line development organization. We divide these individuals by both geography and strategic account to ensure consistency and coordination across our sales efforts.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develop Algos in three ways: (i) we may develop them internally based on our robust de-identified dataset; (ii) we may collaborate with a third party to develop Algos together; and (iii) we may license an existing Algo from a third party. Once we clinically validate an Algo, we typically bring it to market through our existing provider network by leveraging our Genomics sales force. For example, our HRD and TO Algos in oncology have been added to our standard requisition forms, online portal, and EHR integrations. Treating clinicians can order these Algos at the same time they place their standard clinical testing orders for our other Genomics products. We believe clinicians find significant value in being able to receive multiple answers from Tempus while only needing to provide one set of biospecimens, thereby reducing the burden on their patients and their staff. At present, we expect our Algos in other disease areas to go to market through our network of EHR integrations and clinical collaborations.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most instances, we bill Algos to third-party payers just like our other clinical tests. We expect reimbursement will be limited for most Algos at launch and may grow over time as we build additional evidence to support the clinical utility and benefit of each Algo. In addition, we work with pharmaceutical companies from time to time to deploy algorithms that they have developed or are interested in developing with us, typically collecting some amount of fees upfront and on a per test basis every time the algorithm is run.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increasing value of using data to inform clinical care and drug development decisions is leading more companies to attempt to develop offerings that are marketed in a manner that makes them appear comparable to ours. As a result, each of our products faces increasing competition from a number of other companies.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340"/>
          </w:cols>
          <w:pgMar w:left="320" w:top="448" w:right="2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Genomics products line primarily faces competition from diagnostic companies that profile genes in cancers and other disease areas, based on either single-marker or comprehensive genomic profile testing, using NGS to evaluate either blood or tissue. Our primary competitors for our currently marketed precision oncology tests include Foundation Medicine, Inc., which was acquired by Roche Holdings, Inc., Caris Life Sciences, Guardant Health, Inc., Neogenomics, and ResolutionBio, which was acquired by Agilent, and others. As we expand into other applications such as recurrence monitoring or minimal residual disease, as well as potentially testing for early detection in the future, we anticipate facing competition from a broader universe of companies. Legacy diagnostic laboratories, such as Quest and LabCorp may also pose competitive threats within the market. Competitors for our pharmacogenetic test in neuropsychology include Myriad Genetics, Inc. and Genomind, Inc.</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Data products primarily face competition from companies that help pharmaceutical and biotechnology companies acquire data to inform drug discovery and development. Our main competitors in this area are Flatiron Health, Inc., IQVIA Holdings Inc., ConcertAI, and others. Our Data products also face competition from CROs, such as Covance, ICON, Syneos, PPD, and others, who provide data and clinical trial matching services to pharmaceutical and biotechnology companies.</w:t>
      </w:r>
    </w:p>
    <w:p>
      <w:pPr>
        <w:spacing w:after="0" w:line="184"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Our Algos products face competition from providers that are focused on providing laboratory testing or algorithm-based diagnostics for the disease and application areas in which our Algos are focused. Our TO test competes with liquid or tissue-based diagnostic tests from Roche Holdings, Inc., Caris Life Sciences, Guardant Health, Inc. Illumina, Inc, and others. Our HRD test competes with tests from Myriad Genetics, Inc., Caris Life Sciences, and others. We may also compete with companies developing or commercializing algorithm-based diagnostics using a variety of different data modalities, including digital pathology companies such as PathAI, Inc. and PaigeAI. In cardiology we may compete with companies such as HeartFlow Inc. and Eko Devices, Inc. We expect other competitors to enter this market, including academic medical centers who develop their own Algos and are looking for new ways to commercialize them. We believe we are positioned well against this competition given our broad provider network and our ability to deploy AI solutions at scale through our Platform.</w:t>
      </w:r>
    </w:p>
    <w:p>
      <w:pPr>
        <w:spacing w:after="0" w:line="16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Many of our competitors may have substantially greater financial and other resources than us, including larger research and development staff, or more established marketing and sales forces. Other competitors are in the process of developing novel technologies for the diagnostics and healthcare data markets that may lead to products that rival or replace our products. While we cannot be certain as to how the market will evolve, today we believe we are substantially differentiated from our competitors for many reasons, including the network effects of our products, proprietary technologies, rigorous product development processes and scalable infrastructure, customer experience, and multidisciplinary teams.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further discussion of the risks we face relating to competition, see the section titled “Risk factors—Risks Related to Our Business and Strategy.”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Payer coverage and reimbursement</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Clinical Testing</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 majority of the genomic testing we perform is clinical in nature. We typically receive reimbursement for these tests from commercial payers and from government health benefits programs, such as Medicare and Medicaid. In almost all of our arrangements for clinical testing, we take on the obligation (and risk) to bill the patient’s insurance for the testing being provided, subject to other laws that may require us to directly bill the healthcare provider in limited circumstances. We also have a small number of “direct pay” arrangements where the provider may agree to pay us a specific amount and take on the billing obligation (and associated risk of payment) for the testing performed for that customer’s patients, or where a third-party advocacy group or government agency has arranged for and agreed to pay for testing.</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Laboratory tests such as our genomic tests, as with most other healthcare services, are classified for reimbursement purposes under a coding system maintained by the American Medical Association known as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340"/>
          </w:cols>
          <w:pgMar w:left="320" w:top="448" w:right="2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current procedure terminology, or CPT, which we use to bill and receive reimbursement for our tests. CPT codes are associated with the particular test that we have provided to the patient, but do not always precisely describe the testing offered.</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Once the American Medical Association establishes a CPT code, the Centers for Medicare &amp; Medicaid Services, or CMS, establish payment levels and coverage rules under Medicare (sometimes through national coverage determinations, or NCDs), although it delegates some of that authority to local Medicare administrative contractors, or MACs, who may have local coverage determinations, or LCDs, in place. Private payers establish their rates and coverage rules independently.</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received payment on approximately 45% of our clinical oncology NGS tests across all payors performed from January 1, 2020 through June 30, 2021. We calculated this metric on a trailing two-quarter basis based on payor adjudication timing. However, we continued to perform our NGS tests through December 31, 2021. For the years ended December 31, 2020 and 2021, our average reimbursement for NGS tests billed to insurance in oncology was approximately $1,100. Our strategy to improve reimbursement is as follows:</w:t>
      </w:r>
    </w:p>
    <w:p>
      <w:pPr>
        <w:spacing w:after="0" w:line="92" w:lineRule="exact"/>
        <w:rPr>
          <w:sz w:val="20"/>
          <w:szCs w:val="20"/>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NGS, our local MAC in Chicago, to improve coverage, and the amount they currently pay, for tests, through a reconsideration request for our main assays (xT, xF) and through various appeals when coverage is denied.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our new MAC, Palmetto, who will cover our tests when performed out of our newest lab in Raleigh, North Carolina, to get the technical assessment of our assays approved and coverage policy in place for reimbursement.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toward FDA approval of our main solid tumor assay, xT, for which we filed a PMA in early 2021, and once approved, work with CMS to apply a national coverage determination that covers our assay.</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commercial payers to both get in network and get our assay approved and reimbursement at a higher rate than it currently is.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At present, we have a team that is dedicated to the above, and if we are successful we would expect our reimbursement per assay to be more in line with other NGS providers who have adopted similar strategies, such as FMI and Guardant.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Because we expect the Algos we bring to market to provide value to a wide variety of stakeholders in the healthcare ecosystem, we anticipate that the payment we may be able to obtain will vary substantially. Value obtained is likely to depend on the nature of the underlying product or service developed, as well as the disease area and manner in which the product or service is made available. For example, while the current HRD and TO offerings are point-of-care ordered, we do not expect to be limited only to payment and reimbursement through the typical fee-for-service reimbursement model based solely on point-of-care clinical testing. We may also develop Algo’s in combination with life sciences companies in which we are paid directly or through alternative payment structures.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sum, we expect that reimbursement for our Genomics products and Algos may provide value to, and potentially be paid for by, pharmaceutical companies, health maintenance organizations, managed care organizations, pharmacy benefit managers, large employers, and integrated delivery network health systems, in addition to being reimbursed by government healthcare programs, private insurers and other third-party payers. Those arrangements may take many forms. Pharmaceutical companies have expressed interest in using some of our Algos to better identify, screen, stratify, and enroll patients in clinical trials, payers have expressed interest in Algos that could assist them in value-based care initiatives that reduce spending waste in the healthcare system, and large health systems have expressed interest in certain population health screening Algos that could assist them in providing higher quality care, better outcomes for patients, and/or in reducing costs.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340"/>
          </w:cols>
          <w:pgMar w:left="320" w:top="448" w:right="2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currently perform our laboratory tests, including our NGS and anatomic pathology tests in our clinical laboratories in Chicago and Atlanta. We intend to expand these capabilities with a new genomics lab in Raleigh, North Carolina, which we are currently operationalizing and from which we expect to begin offering commercial laboratory tests in 2022. Our Chicago and Atlanta laboratories are CAP-accredited and CLIA-certified, and licensed in other states including New York, California, Maryland, Pennsylvania, and Rhode Island.</w:t>
      </w:r>
    </w:p>
    <w:p>
      <w:pPr>
        <w:spacing w:after="0" w:line="46" w:lineRule="exact"/>
        <w:rPr>
          <w:sz w:val="20"/>
          <w:szCs w:val="20"/>
          <w:color w:val="auto"/>
        </w:rPr>
      </w:pPr>
    </w:p>
    <w:p>
      <w:pPr>
        <w:jc w:val="both"/>
        <w:ind w:firstLine="454"/>
        <w:spacing w:after="0" w:line="263" w:lineRule="auto"/>
        <w:rPr>
          <w:sz w:val="20"/>
          <w:szCs w:val="20"/>
          <w:color w:val="auto"/>
        </w:rPr>
      </w:pPr>
      <w:r>
        <w:rPr>
          <w:rFonts w:ascii="Times New Roman" w:cs="Times New Roman" w:eastAsia="Times New Roman" w:hAnsi="Times New Roman"/>
          <w:sz w:val="17"/>
          <w:szCs w:val="17"/>
          <w:color w:val="auto"/>
        </w:rPr>
        <w:t xml:space="preserve">The scale our laboratories have been able to achieve in the approximately 4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year period since we ran our first clinical test is a direct result of the quality and experience of our laboratory staff, our investment in technologies in the laboratory that assist with automation and workflow improvements, and the ability of our engineering staff to build fit for purpose applications in a rapid development environment to support the laboratory’s evolving needs. Our leadership staff in laboratory operations has decades of experience in running high-quality, high-throughput assays and have been instrumental in putting in place the necessary standard operating procedures to perform the volume of testing we do in a repeatable, reliable manner while constantly looking for opportunities to improve and refine our processes. The workflows in our laboratory are designed for high-throughput testing and numerous steps in the process are fully automated or semi-automated using robotics and other advanced workflow technologies. For our xT and xF tests, our laboratory workflows enable us to successfully deliver results over 95% of the time, assuming tissue is received that meets the minimum requirements we have outlined for our assays.</w:t>
      </w:r>
    </w:p>
    <w:p>
      <w:pPr>
        <w:spacing w:after="0" w:line="17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investments have allowed us to continuously drive turnaround time downward, to provide results to doctors and their patients in a timeframe that we believe now meets or exceeds many of our competitors who have been operating in the NGS space for longer. As of December 31, 2021, our average turnaround time for our xT assays was 10 days, and our average turnaround time for xF was seven days.</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that the strong foundational infrastructure in our laboratory operations, along with the technology used in our lab and the engineering expertise we have on hand is further differentiated when coupled with the connections we can rapidly deploy with our customers, and the experienced research scientists and doctors we employ, who are able to design and refine our highest volume assays in-house. We believe this unique combination will continue to allow us to rapidly respond to the changing needs of our customers and evolving market conditions. As an example of this, Tempus was able to stand up our COVID testing assays in both Atlanta and Chicago, obtain EUA approvals, make necessary modifications to our laboratory information systems and provide connectivity integrations to our largest customers (who were each running thousands of tests per day for a period of time) efficiently delivering results to them with turn around times and error rates that met or exceeded industry standards, during the peak of the pandemic in 2020 and early 2021.</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Strategic Collaboration with AstraZeneca</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2021, we entered into a Master Services Agreement, or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$200 million on such products and services during the term of the MSA. The minimum commitment may increase to $300 million upon the occurrence of any of the following events: (i) at AstraZeneca’s election on or before December 31, 2024, (ii) the date that AstraZeneca exercises the warrant issued pursuant to the terms thereof (as described below), or (iii) in the event of an initial public offering, if the average closing price of our common stock exceeds two times the offering price for any 30-day trading period following the one-year anniversary of such initial public offering. The term of the master services agreement will continue through December 31, 2026, unless terminated sooner.</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Under the warrant, AstraZeneca has the right to purchase up to $100 million in shares of our Class A common stock at an exercise price equal to the initial public offering price in this offering. The number of shares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340"/>
          </w:cols>
          <w:pgMar w:left="320" w:top="448" w:right="2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390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00"/>
        </w:trPr>
        <w:tc>
          <w:tcPr>
            <w:tcW w:w="10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Class A common stock issuable upon exercise of the warrant will be determined based on the initial public offering price in this offering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w:t>
            </w:r>
          </w:p>
        </w:tc>
      </w:tr>
      <w:tr>
        <w:trPr>
          <w:trHeight w:val="228"/>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 assuming an initial public offering price of $</w:t>
            </w:r>
          </w:p>
        </w:tc>
        <w:tc>
          <w:tcPr>
            <w:tcW w:w="6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 range set forth on the cover page of</w:t>
            </w:r>
          </w:p>
        </w:tc>
      </w:tr>
    </w:tbl>
    <w:p>
      <w:pPr>
        <w:jc w:val="both"/>
        <w:spacing w:after="0" w:line="24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this prospectus). The warrant may be exercised any time following the date that is 180 days following the pricing of our initial public offering through December 31, 2026. AstraZeneca will be entitled to substantially the same registration rights with respect to the shares under the warrant as those granted to holders of registrable securities pursuant to our Ninth Amended and Restated Investors’ Rights Agreement, dated November 19, 2020. See “Description of Capital Stock — Warrant.” The warrant will be automatically cancelled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$300 million.</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are committed to providing reliable and accurate molecular information to our customers. We have established sophisticated laboratory workflows and automated procedures to ensure accurate specimen identification, timely communication of results, and prompt discovery and correction of errors. We monitor our quality through a variety of methods, including objectively measured performance improvement indicators. Any quality concerns and incidents are subject to risk assessment, root cause analysis, and corrective action plans. Safeguarding protected health information, or PHI, is of primary importance.</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established a comprehensive quality assurance program for our laboratory. Our quality assurance program includes policies and procedures covering personnel qualifications and training requirements, process and test validation, quality control of reagents and test processes, proficiency testing, routine monitoring, and internal audit. We have implemented policies and procedures to adhere to applicable requirements necessary for federal and state licenses and accreditation for clinical diagnostic laboratories, including policies and procedures related to patient and employee safety, hazardous waste disposal, and general laboratory management.</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have a highly automatic system in place to manage our workflow called LIMS, which also connects to our various supply chain systems through which we ensure materials our ordered in a timely manner, and the logistics of each order are overseen to ensure we are delivering orders, in the shortest time possible, with the highest quality possible.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maintain significant inventory on hand of both laboratory consumables and other materials to avoid work stoppages and/or material delays. Our systems, processes, and procedures are designed to scale, as evidenced by the fact that we have become one of the largest sequences of cancer patients in the United States in just a few years and implemented COVID-19 testing in May of 2020, and have run approximately 2.3 million tests in the last twelve months ended December 31, 2021.</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rely on a limited number of suppliers, or, in some cases, sole suppliers to provide our products and services. Illumina, Inc., is our primary supplier of sequencers and laboratory reagents; however, we purchase laboratory supplies from other companies as well, such as Roche Holdings, Inc., Integrated DNA Technologies, and PerkinsElmer. We rely on standard commercial carriers for the delivery of samples to our laboratories.</w:t>
      </w:r>
    </w:p>
    <w:p>
      <w:pPr>
        <w:spacing w:after="0" w:line="18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In June 2021, we entered into a supply agreement with Illumina to provide products and services that can be used for certain research and clinical activities, including certain sequencers, reagents, and other consumables for use with the Illumina sequencers, as well as service contracts for the maintenance and repair of the sequencers. The supply agreement does not require us to order minimum amounts of hardware, or to use exclusively the Illumina platform for conducting our sequencing. The term of the supply agreement continues for a period of 12 years, unless either we or Illumina terminate the supply agreement for the other’s uncured material breach, bankruptcy or insolvency-related events, or in the event a regulatory authority notifies such party that continued performance under the supply agreement would violate applicable laws or regulations. Illumina may terminate the agreement in the event we consummate a change of control transaction with a sequencing products company, and we may terminate the supply agreement for convenience upon 90 days’ prior written notice.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340"/>
          </w:cols>
          <w:pgMar w:left="320" w:top="443" w:right="2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to suppliers who provide products supporting our provision of laboratory tests, we have cloud agreements with both AWS and Google. In June 2020, we signed a multi-year strategic partnership with Google that included an agreement through which Tempus procures extensive cloud services from Google. The cloud agreement includes a convertible note that is reduced as we procure services from Google and also contemplates co-innovation projects that we may work on with Google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Laboratory Workflow Applications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With respect to the provision of laboratory services, in addition to Hub, our consumer- facing application, we have developed multiple software tools that facilitate back-end processing, workflow, and report generation. Our back-office software stack was custom developed around our workflow, allowing us to automate material components of our laboratory and order generation process. The following diagram represents the software applications supporting our laboratory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145415</wp:posOffset>
            </wp:positionV>
            <wp:extent cx="7002780" cy="51517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02780" cy="515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We have also developed a series of tools that allow us to access our connected dataset and our internal workflow tools, as we seek to query our own data and make it available both internally and externally. In an effort to facilitate a connection between our providers and our data, we built an application called </w:t>
      </w:r>
      <w:r>
        <w:rPr>
          <w:rFonts w:ascii="Times New Roman" w:cs="Times New Roman" w:eastAsia="Times New Roman" w:hAnsi="Times New Roman"/>
          <w:sz w:val="18"/>
          <w:szCs w:val="18"/>
          <w:i w:val="1"/>
          <w:iCs w:val="1"/>
          <w:color w:val="auto"/>
        </w:rPr>
        <w:t xml:space="preserve">Tempus One, </w:t>
      </w:r>
      <w:r>
        <w:rPr>
          <w:rFonts w:ascii="Times New Roman" w:cs="Times New Roman" w:eastAsia="Times New Roman" w:hAnsi="Times New Roman"/>
          <w:sz w:val="18"/>
          <w:szCs w:val="18"/>
          <w:color w:val="auto"/>
        </w:rPr>
        <w:t>which is both a physical device and a mobile software application that relays information contained in our oncology reports and supporting database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physicians through voice activated interactions in real time. We believe Tempus One has the potential to create a more efficient workflow for healthcare professionals, reducing the time needed to review and process information, providing more time for them to focus on patient care. Over time, we intend to embed more insights into Tempus One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other similar applications we develop, thereby enhancing the amount of information readily available to our ordering physicians.</w:t>
      </w:r>
    </w:p>
    <w:p>
      <w:pPr>
        <w:sectPr>
          <w:pgSz w:w="11900" w:h="16838" w:orient="portrait"/>
          <w:cols w:equalWidth="0" w:num="1">
            <w:col w:w="11340"/>
          </w:cols>
          <w:pgMar w:left="320" w:top="448"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176</w:t>
      </w:r>
    </w:p>
    <w:p>
      <w:pPr>
        <w:sectPr>
          <w:pgSz w:w="11900" w:h="16838" w:orient="portrait"/>
          <w:cols w:equalWidth="0" w:num="1">
            <w:col w:w="11340"/>
          </w:cols>
          <w:pgMar w:left="320" w:top="448" w:right="239" w:bottom="1440" w:gutter="0" w:footer="0" w:header="0"/>
          <w:type w:val="continuous"/>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Structuring Applications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After we generate a clinical report through the provision of laboratory services, or once we obtain data through one of our dedicated connections to providers, we utilize a different suite of proprietary software applications to abstract, structure, and de-identify the resulting data to help augment our existing multimodal dataset and provide additional healthcare services to our customers. Our tools have become highly efficient over time allowing us to abstract data, often between 50-100 discrete data elements per patient case, in approximately an hour (or the cost equivalent), which do both onshore and offshore through dedicated teams we have established to perform the data curation and abstraction. In addition, we have the capability to perform enhanced abstraction, which can take several hours per patient case, allowing us to define a custom set of features over a defined period of time that we want abstracted. Each of our proprietary tools is designed to enhance our customers’ experience, either by creating useful information that assists in the treatment of patients, or by creating an efficient back-end infrastructure that allows us to deliver our services more quickly and efficiently.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Security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endeavor to maintain a robust information security program in an effort to protect all of the sensitive data we maintain, including PHI and PII and we take all threats to the availability, integrity and confidentiality of that data with the utmost seriousness. Our security program consists of a layered defense approach starting with appropriate data and system design through architectural principles that include security as a core component at every step of the process. This security by design approach is enhanced with physical security, host and endpoint device management, application security, and infrastructure and cloud security. In each of those areas, we utilize industry-standard third-party tools that are designed to assist our team of security professionals in their various tasks and we work closely with our vendors, including those who provide cloud computing services that make up substantial parts of our infrastructure (e.g., Google and Amazon)</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security program is operationalized through documented policies, procedures and required training for all staff in the entire company, with special emphasis on key teams in engineering and IT operations who develop, monitor and maintain the applications and systems used in our business. In an effort to ensure that these policies are adhered to and that no new vulnerabilities arise, we conduct regular auditing of a wide swath of our security related measures, including a mix of self-audits, external penetration testing, external application security audits and audits performed by our customers and partners. Our security team is also instrumental in maintaining our ISO 27001 certification and assisting the compliance and legal teams with other legally required audits and provides detailed reports regularly to upper management and the Board on security related matters.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and proprietary protection for our products and technology, defend and enforce our intellectual property rights, preserve the confidentiality of our trade secrets, and operate without infringing, misappropriating or otherwise violating valid and enforceable intellectual property and proprietary rights of others. We are actively involved in research and development and therefore seek to protect the investments we have made into the development of our products and technology by relying on a combination of patents, trademarks, trade secrets, know-how, and license agreements. We also seek to protect our proprietary technology, in part, by requiring our employees, consultants, contractors and other third parties to execute confidentiality agreements and invention assignment agreements and by implementing technological protections for our intellectual property.</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March 31, 2022, our patent portfolio included owned and in-licensed patents and patent applications, including 33 issued or allowed U.S. patents or pending applications and 71 pending U.S. non-provisional patent applications, 24 pending U.S. provisional patent applications, 28 pending Patent Cooperation Treaty (international) patent applications, and 8 issued foreign patents and 74 pending foreign patent applications. Our issued patents are expected to begin expiring in December 2029, assuming payment of all appropriate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340"/>
          </w:cols>
          <w:pgMar w:left="320" w:top="448" w:right="2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renewal, annuity or other governmental fees. These patents and applications generally fall into four broad categories:</w:t>
      </w:r>
    </w:p>
    <w:p>
      <w:pPr>
        <w:spacing w:after="0" w:line="121" w:lineRule="exact"/>
        <w:rPr>
          <w:sz w:val="20"/>
          <w:szCs w:val="20"/>
          <w:color w:val="auto"/>
        </w:rPr>
      </w:pPr>
    </w:p>
    <w:p>
      <w:pPr>
        <w:ind w:left="1000" w:hanging="549"/>
        <w:spacing w:after="0" w:line="267"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Platform, including claims directed to product ordering processes; data processing and multimodal data analytics;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Genomics business, including claims directed to detecting and monitoring cancer and other diseases by determining genetic variations and other biomarkers in biological samples;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Data business, including claims directed to analysis of healthcare records and patient outcomes;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related to our Algos business, including claims directed to machine learning diagnostics and predictions in cancer and cardiology.</w:t>
      </w:r>
    </w:p>
    <w:p>
      <w:pPr>
        <w:spacing w:after="0" w:line="17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or intend to file, including the United States, the patent term is 20 years from the earliest date of filing a non-provisional patent application. Additionally, a U.S. provisional patent application expires twelve months from its filing date, and its subject matter can only be claimed in an issued patent if, among other things, we timely file a non-provisional patent application making a valid priority claim to that provisional patent application before it expires. In the United States, a patent’s term may be lengthened by patent term adjustment, which compensates a patentee for administrative delays by the USPTO in examining and granting a patent, or may be shortened if a patent is terminally disclaimed over an earlier filed patent. We cannot be sure that patents will be granted with respect to any current pending patent application or with respect to any patent applications filed by us in the future, nor can we be sure that any current or future patents will be commercially useful in protecting our platform, products, services, technologies and processes. In addition, any patents that we may hold, whether owned or licensed, may be challenged, circumvented or invalidated by third parties.</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success of our business strategy also depends in part on our continued ability to protect our branded services, and we own registered trademarks on “TEMPUS” and product related brand names in the United States and worldwide.</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rely on trade secrets, including know-how, unpatented technology and other proprietary information, to strengthen our competitive position. We seek to protect trade secrets and confidential and unpatented know-how, in part, by entering into non-disclosure and confidentiality agreements with parties who have access to such knowledge, such as our employees, collaborators, manufacturers, consultants, advisors and other third parties. We also seek to enter into confidentiality and invention or patent assignment agreements with our employees and consultants that obligate them to maintain confidentiality and assign their inventions to us.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ability to stop third parties from making, using, selling, offering to sell or importing our Platform, services and products depends on the extent to which we have rights under valid and enforceable patents, trade secrets or other intellectual property and proprietary rights that cover these activities. We pursue intellectual property protection to the extent we believe it would advance our business objectives. Notwithstanding these efforts, there can be no assurance that we will adequately protect our intellectual property or provide any competitive advantage. For more information regarding risks relating to intellectual property, see “Risk Factors—Risks Related to Our Intellectual Property.”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Devices in the United States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diagnostic products and services are subject to extensive and ongoing regulation by the FDA under the Federal Food, Drug, and Cosmetic Act of 1938 and its implementing regulations, collectively referred to as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340"/>
          </w:cols>
          <w:pgMar w:left="320" w:top="448" w:right="2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FDCA, as well as other federal and state regulatory bodies in the United States. The laws and regulations govern, among other things, product design and development, pre-clinical and clinical testing, manufacturing, packaging, labeling, storage, record keeping and reporting, clearance or approval, marketing, distribution, promotion, import and export and post-marketing surveillance. Failure to comply with applicable requirements may subject a device and/or its manufacturer to a variety of administrative sanctions, such as FDA refusal to approve pending premarket applications, issuance of warning letters, mandatory product recalls, import detentions, civil monetary penalties, and/or judicial sanctions, such as product seizures, injunctions and criminal prosecution.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Unless an exemption applies, each medical device commercially distributed in the United States requires either FDA clearance of a 510(k) premarket notification, approval of a petition for premarket approval, or PMA, or grant of a de novo request for classification. During public emergencies, the FDA also may grant emergency use authorizations, or EUA, to allow commercial distribution of devices intended to address the public health emergency. Under the FDCA, medical devices are classified into one of three classes—Class I, Class II or Class III—depending on the degree of risk associated with each medical device and the extent of manufacturer and regulatory control needed to provide reasonable assurance of its safety and effectiveness. Classification of a device is important because the class to which a device is assigned determines, among other things, the necessity and type of FDA review required prior to marketing the device.</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 devices include those with the lowest risk to the patient and are those for which safety and effectiveness can be reasonably assured by adherence to the FDA’s ‘‘general controls’’ for medical devices, which include compliance with the applicable portions of the FDA’s Quality System Regulation, or QSR, facility registration and product listing, reporting of adverse medical events and malfunctions through the submission of Medical Device Reports, or MDRs, and appropriate, truthful and non-misleading labeling, advertising, and promotional materials. Some Class I devices also require 510(k) premarket notification clearance as described below.</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 devices are moderate risk devices subject to the FDA’s general controls, and any other ‘‘special controls’’ deemed necessary by the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process. The 510(k) submission must demonstrate that the device is ‘‘substantially equivalent’’ to a legally marketed predicate device, which in some cases may require submission of clinical data.</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life-sustaining, life-supporting or implantable devices and devices deemed not substantially equivalent to a predicate device following a 510(k) submission. The safety and effectiveness of Class III devices cannot be reasonably assured solely by general or special controls. Submission and FDA approval of a PMA application is required before marketing of a Class III device can proceed. A PMA application is intended to demonstrate that the device is reasonably safe and effective for its intended use and must be supported by extensive data, typically including data from pre-clinical studies and clinical trials.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Emergency Use Authorization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emergency situations, such as a pandemic, the FDA has the authority to allow unapproved medical products or unapproved uses of cleared or approved medical products to be used in an emergency to diagnose, treat or prevent serious or life-threatening diseases or conditions when there are no adequate, approved, and available alternatives.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Under this authority, the FDA may issue an EUA for an unapproved device if the following four statutory criteria have been met: (1) a serious or life-threatening condition exists; (2) evidence of effectiveness of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340"/>
          </w:cols>
          <w:pgMar w:left="320" w:top="448" w:right="2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device exists; (3) a risk-benefit analysis shows that the benefits of the product outweigh the risks; and (4) no other alternatives exist for diagnosing, preventing or treating the disease or condition. Evidence of effectiveness includes medical devices that ‘‘may be effective’’ to prevent, diagnose, or treat the disease or condition identified in a declaration of emergency issued by the Secretary of U.S. HHS. The ‘‘may be effective’’ standard for EUAs requires a lower level of evidence than the ‘‘effectiveness’’ standard that the FDA uses for product clearances or approvals in non-emergency situations. Once granted, an EUA will remain in effect and generally terminate on the earlier of (1) the determination by the Secretary of U.S.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Clinical trials are typically required to support a PMA and are sometimes required to support a 510(k)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the FDA requires the device sponsor to submit an IDE application to the FDA, which must be approved prior to commencing clinical trials. A significant risk device is one that presents a potential for serious risk to the health, safety or welfare of a patient and either is implanted, purported or represented to be used in supporting or sustaining human life, is for a use that is substantially important in diagnosing, curing, mitigating or treating disease or otherwise preventing impairment of human health, or otherwise presents a potential for serious risk to a subject.</w:t>
      </w:r>
    </w:p>
    <w:p>
      <w:pPr>
        <w:spacing w:after="0" w:line="18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IDE supplement must be submitted to, and approved by, the FDA before a sponsor or investigator may make a change to the investigational plan that may affect its scientific soundness, study plan or the rights, safety or welfare of human subjects. In addition, the clinical trials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clinical trials may begin at a specific number of investigational sites with a specific number of patients, as approved by the FDA. If the device is considered a ‘‘non-significant risk,’’ IDE submission to FDA is not required. Instead, only approval from the IRB overseeing the investigation at each clinical trial site is required.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Post-market Regulation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regulatory requirements continue to apply. These include:</w:t>
      </w:r>
    </w:p>
    <w:p>
      <w:pPr>
        <w:spacing w:after="0" w:line="121" w:lineRule="exact"/>
        <w:rPr>
          <w:sz w:val="20"/>
          <w:szCs w:val="20"/>
          <w:color w:val="auto"/>
        </w:rPr>
      </w:pPr>
    </w:p>
    <w:p>
      <w:pPr>
        <w:ind w:left="1000" w:hanging="549"/>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registration and device listing with the FDA;</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and contract manufacturers, including any third-party manufacturers, to follow stringent design, testing, control, documentation and other quality assurance procedures during all aspects of the design and manufacturing process;</w:t>
      </w:r>
    </w:p>
    <w:p>
      <w:pPr>
        <w:spacing w:after="0" w:line="77" w:lineRule="exact"/>
        <w:rPr>
          <w:rFonts w:ascii="Times New Roman" w:cs="Times New Roman" w:eastAsia="Times New Roman" w:hAnsi="Times New Roman"/>
          <w:sz w:val="18"/>
          <w:szCs w:val="18"/>
          <w:color w:val="auto"/>
        </w:rPr>
      </w:pPr>
    </w:p>
    <w:p>
      <w:pPr>
        <w:ind w:left="5540" w:right="200" w:hanging="5089"/>
        <w:spacing w:after="0" w:line="435" w:lineRule="auto"/>
        <w:tabs>
          <w:tab w:leader="none" w:pos="99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investigational products, or “off-label” uses of cleared or approved products; 180</w:t>
      </w:r>
    </w:p>
    <w:p>
      <w:pPr>
        <w:sectPr>
          <w:pgSz w:w="11900" w:h="16838" w:orient="portrait"/>
          <w:cols w:equalWidth="0" w:num="1">
            <w:col w:w="11340"/>
          </w:cols>
          <w:pgMar w:left="320" w:top="448" w:right="2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related to promotional activities;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 of a cleared device;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product removals or recalls if undertaken to reduce a risk to health posed by the device or to remedy a violation of the FDCA that may present a risk to health;</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78" w:lineRule="exact"/>
        <w:rPr>
          <w:sz w:val="20"/>
          <w:szCs w:val="20"/>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withdrawal, administrative detention or seizure;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or delay in granting our requests for 510(k) clearance or PMA approval of new tests or modified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PMA approvals that are already granted;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Laboratory-Developed Tests (LDTs)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LDTs have generally been considered to be tests that are designed, developed, validated and used within a single laboratory. The FDA takes the position that it has the authority to regulate such tests as medical devices under the FDCA. The FDA has historically exercised enforcement discretion and has not required clearance or approval of LDTs prior to marketing. In addition, the New York Clinical Laboratory Evaluation Program separately approves certain LDTs offered to New York State patients.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October 3, 2014, the FDA issued two draft guidance documents regarding oversight of LDTs. These draft guidance documents proposed more active review of LDTs. The draft guidance documents have been the subject of considerable controversy, and in November 2016, the FDA announced that it would not be finalizing the 2014 draft guidance documents. On January 13, 2017, the FDA issued a discussion paper which laid out elements of a possible revised future LDT regulatory framework, but did not establish any regulatory requirements.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340"/>
          </w:cols>
          <w:pgMar w:left="320" w:top="448" w:right="2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FDA’s efforts to regulate LDTs have prompted the drafting of legislation governing diagnostic products and services that sought to substantially revise the regulation of both LDTs and in vitro diagnostics, or IVDs. Congress may act to provide further direction to the FDA on the regulation of LDTs.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CLIA and State Laboratory Licensing</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Under the Clinical Laboratory Improvement Amendments, or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 We have a current CLIA certificate to perform our tests at our laboratories in Chicago, Illinois, Atlanta, Georgia and Raleigh, North Carolina. To renew our CLIA certificate, we are subject to survey and inspection every two years to assess compliance with program standards.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Laboratories performing high complexity testing are required to meet more stringent requirements than laboratories performing less complex tests. In addition, a laboratory that is certified as “high complexity” under CLIA may develop, manufacture, validate and use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8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w:t>
      </w:r>
      <w:r>
        <w:rPr>
          <w:rFonts w:ascii="Times New Roman" w:cs="Times New Roman" w:eastAsia="Times New Roman" w:hAnsi="Times New Roman"/>
          <w:sz w:val="16"/>
          <w:szCs w:val="16"/>
          <w:b w:val="1"/>
          <w:bCs w:val="1"/>
          <w:color w:val="auto"/>
        </w:rPr>
        <w:t>.</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Illinois and Atlanta, Georgia laboratories, and we expect to apply for CAP accreditation for our Raleigh, North Carolina laboratory.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Health Care Laws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Physician Self-Referral Prohibition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subject to the federal physician self-referral prohibition, commonly known as the Stark Law, and to comparable state laws. Together these restrictions generally prohibit us from billing a patient or governmental or private payer for certain designated health services, including clinical laboratory services, when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340"/>
          </w:cols>
          <w:pgMar w:left="320" w:top="448" w:right="2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physician ordering the service, or a member of such physician’s immediate family, has a financial relationship, such as an ownership or investment interest in or compensation arrangement, with us, unless the relationship meets an applicable exception to the prohibition. Several Stark Law exceptions are relevant to many common financial relationships involving clinical laboratories and referring physicians, including: (1) fair market value compensation for the provision of items or services; (2) payments by physicians to a laboratory for clinical laboratory services; (3) space and equipment rental arrangements that satisfy certain requirements and (4) personal services arrangements that satisfy certain requirements. The laboratory cannot submit claims to the Medicare Part B program for services furnished in violation of the Stark Law, and Medicaid reimbursements may be at risk as well. These prohibitions apply regardless of any intent by the parties to induce or reward referrals or the reasons for the financial relationship and the referral. Penalties for violating the Stark Law include significant civil, criminal and administrative penalties, such as the return of funds received for all prohibited referrals, fines, civil monetary penalties, exclusion from the federal healthcare programs, integrity oversight and reporting obligations, and imprisonment. In addition, knowing violations of the Stark Law may also serve as the basis for liability under the federal False Claims Act, or FCA, which can result in additional civil and criminal penalties.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Anti-Kickback Law</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federal Anti-Kickback Statute, or AKS, makes it a felony for a person or entity, including a clinical laboratory, to knowingly and willfully offer, pay, solicit or receive any remuneration, directly or indirectly, overtly or covertly, in cash or in kind, in order to induce business that is reimbursable under any federal health care program.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 the AKS that apply to all payers. Penalties for violations of such state laws include imprisonment and significant monetary fines.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provisions of an applicable exception or safe harbor, it is deemed not to violate the AKS. An arrangement must fully comply with each element of an applicable exception or safe harbor in order to qualify for protection. Failure to meet the requirements of the safe harbor, however, does not render an arrangement illegal. Rather, the government may evaluate such arrangements on a case-by-case basis, taking into account all facts and circumstances.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 Care Laws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requirements discussed above, several other health care fraud and abuse laws could have an effect on our business.</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Several states have enacted comparable false claims laws which may be broader in scope and apply regardless of payer.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340"/>
          </w:cols>
          <w:pgMar w:left="320" w:top="448" w:right="2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statute. Moreover, in certain cases, providers who routinely waive copayments and deductibles for Medicare and Medicaid beneficiaries, for example, in connection with patient assistance programs, can also be held liable under the AKS and FCA. One of the statutory exceptions to the prohibition is non-routine, unadvertised waivers of copayments or deductible amounts based on individualized determinations of financial need or exhaustion of reasonable collection efforts. The Office of Inspector General of the HHS emphasizes, however, that this exception should only be used occasionally to address special financial needs of a particular patient.</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new federal criminal statutes that prohibit, among other actions,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Like the AKS, a person or entity does not need to have actual knowledge of the statute or specific intent to violate it in order to have committed a violation.</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Eliminating Kickbacks in Recovery Act of 2018, or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ten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civil actions.</w:t>
      </w:r>
    </w:p>
    <w:p>
      <w:pPr>
        <w:spacing w:after="0" w:line="189"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Physician Payments Sunshine Act, enacted as part of the Patient Protection and Affordable Care Act, as amended by the Health Care and Education Affordability Reconciliation Act, or the ACA, also imposed annual reporting requirements on manufacturers of certain devices, drugs and biologics for payments and other transfers of value by them during the previous year to physicians (defined to include doctors, dentists, optometrists, podiatrists and chiropractors) and teaching hospitals, as well as ownership and investment interests held by such physicians and their immediate family members. Beginning in 2022, applicable manufacturers also will be required to report such information regarding their payments and other transfers of value to physician assistants,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340"/>
          </w:cols>
          <w:pgMar w:left="320" w:top="448" w:right="2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nurse practitioners, clinical nurse specialists, anesthesiologist assistants, certified registered nurse anesthetists and certified nurse midwives during the previous year.</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Also, many states have laws similar to those listed above that may be broader in scope and may apply regardless of payer.</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Efforts to ensure that our internal operations and business arrangements with third parties comply with applicable laws and regulations involve substantial costs. Any action brought against us for violation of these or other laws or regulations, even if we successfully defend against it, could cause us to incur significant legal expenses and divert our management’s attention from the operation of our business. Additionally, certain of our business practices, including our consulting and advisory board arrangements with physicians and other healthcare providers, a small number of whom may receive stock or restricted stock units as compensation for services provided, may not comply with current or future corporate practice of medicine statutes, regulations, agency guidance or case law. If our operations are found to be in violation of any of the fraud and abuse laws described above or any other laws that apply to us, we may be subject to penalties, including potentially significant criminal, civil and administrative penalties, damages, fines, disgorgement, imprisonment, exclusion from participation in government healthcare programs, contractual damages, reputational harm, integrity oversight and reporting obligations, limitations to the sale of certain products or services, diminished profits and future earnings, and the curtailment or restructuring of our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are, or may become, subject to numerous federal, state, local and foreign laws, regulations, standards, and guidance regarding data privacy and security. For example, HIPAA, as mentioned above,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including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Even when HIPAA does not apply, failing to take appropriate steps to keep consumers’ personal information secure may constitute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In addition, certain state laws govern the privacy and security of personal information, including health information in certain circumstances, some of which are more stringent than HIPAA and many of which differ from each other in significant ways and may not have the same effect, thus complicating compliance efforts. Failure or perceived failure to comply with these laws, where applicable, can result in material adverse effects to our business, including the imposition of significant civil and/or criminal penalties and private litigation.</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California Consumer Privacy Act, or CCPA, which went into effect January 1, 2020, is an example of the increasingly stringent privacy laws at the state level in the United States. The CCPA, among other things, imposes several obligations on covered companies, including requiring specific disclosures related to a</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340"/>
          </w:cols>
          <w:pgMar w:left="320" w:top="448" w:right="2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business’s collection, use and sharing of personal information and requirements to respond to requests related to their personal information (e.g. requests to understand personal information collection practices, to delete personal information, and to opt out of certain disclosures of their information). The CCPA also created a private right of action with statutory damages for certain data breaches, thereby potentially increasing risks associated with a data breach.</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Additionally, in November 2020, California voters passed the California Privacy Rights Act of 2020, or CPRA. The CPRA, which is expected to take effect on January 1, 2023 and create additional obligations with respect to certain data relating to consumers,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 In addition to the CCPA, numerous other states’ legislatures have passed or are considering similar laws that will require ongoing compliance efforts and investment. For example, Virginia passed its Consumer Data Protection Act, and Colorado passed the Colorado Privacy act, both of which differ from the CPRA and become effective in 2023.</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Outside the United States, there are an increasing number of laws and regulations governing the collection, use and processing of personal data. For example, the European Union’s General Data Protection Regulation, or EU GDPR applies to any company established in the European Economic Area, or EEA, and to companies established outside the EEA that process personal information in connection with the offering of goods or services to data subjects in the EEA or the monitoring of the behavior of data subjects in the EEA. These regulations are often more restrictive than those in the United States and may restrict transfers of personal data from the EEA to the United States and other countries unless certain requirements are met. The EU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substantially similar form in the United Kingdom’s national law. Failure to comply with any of these obligations could expose us to material adverse effects, including significant fines.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more information regarding risks relating to data privacy and security, see “Risk Factors – Risks related to our highly regulated industry –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Reform</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March 2010,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w:t>
      </w:r>
    </w:p>
    <w:p>
      <w:pPr>
        <w:spacing w:after="0" w:line="14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340"/>
          </w:cols>
          <w:pgMar w:left="320" w:top="448" w:right="2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It is unclear how any such challenges and litigation, and the healthcare reform measures of the Biden administration will impact the ACA.</w:t>
      </w:r>
    </w:p>
    <w:p>
      <w:pPr>
        <w:spacing w:after="0" w:line="15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2030, with a temporary suspension from May 1, 2020 through December 31, 2021 due to the COVID-19 pandemic, unless additional Congressional action is taken.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expect that additional state, federal, and foreign healthcare reform measures will be adopted in the future. It is also possible that additional governmental action will be taken in response to the COVID-19 pandemic.</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availability and extent of reimbursement by governmental and private payers is essential for most patients to be able to afford our current and future diagnostic products. Each payer makes its own decision as to whether to provide coverage for our tests, whether to enter into a contract with us and the reimbursement rate for a test. Coverage determinations by a payer may depend on a number of factors, including but not limited to a payer’s determination that a test is appropriate, medically necessary or cost-effective. Negotiating with payers is time-consuming, and payers often insist on their standard form contracts, which may allow payers to terminate coverage on short notice, impose significant obligations on us and create additional regulatory and compliance hurdles for us. Further, when we contract with a payer as a participating provider, reimbursements by the payer are generally made pursuant to a negotiated fee schedule and are limited to only covered indications or where prior approval has been obtained. Becoming a participating provider can result in higher reimbursement amounts for covered uses of our tests and, potentially, no reimbursement for non-covered uses identified under the payer’s policies or the contract.</w:t>
      </w:r>
    </w:p>
    <w:p>
      <w:pPr>
        <w:spacing w:after="0" w:line="16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Although we are a participating provider with a limited number of commercial payers, certain other large, national commercial payers, including Anthem, Aetna and Humana, have issued non-coverage policies that consider tissue and liquid comprehensive genomic profile testing, including certain of our Genomics tests, as experimental or investigational.</w:t>
      </w:r>
    </w:p>
    <w:p>
      <w:pPr>
        <w:spacing w:after="0" w:line="18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It is difficult to predict what CMS or the applicable MACs will decide with respect to reimbursement for novel diagnostic products such as ours. Medicare’s NCD for NGS, first established in 2018 and subsequently updated in 2020, states that NGS oncology tests (such as our Tempus xT and Tempus xF tests), would be covered by Medicare nationally if and when: (1) performed in a CLIA-certified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The NGS NCD also states that each MAC may provide local coverage of</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340"/>
          </w:cols>
          <w:pgMar w:left="320" w:top="448" w:right="2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NGS tests for cancer patients only when the test is performed by a CLIA-certified laboratory, ordered by a treating physician and the patient meets the same clinical and treatment criteria required of nationally covered NGS tests under the NGS NCD. An NGS typically test is not covered by Medicare when cancer patients do not have the above-noted indications for cancer under either an NCD or LCD.</w:t>
      </w:r>
    </w:p>
    <w:p>
      <w:pPr>
        <w:spacing w:after="0" w:line="18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National Government Services, Inc., or the Local MAC, is the MAC that makes local coverage determinations, or LCDs, for tests conducted at our Chicago laboratory. The Local MAC has issued two LCDs related to genetic testing in cancer, each of which currently requires claims to be submitted under a single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In addition to claims submitted after the March 25, 2021 guidance, on July 23, 2021, the Local MAC issued revised instructions for CPT coding, which may be applicable to our NGS oncology tests performed after the date of the revised guidance, and further updated those instructions on July 29, 2021. We have sought additional clarification on this guidance from the Local MAC in order to understand its impact on our coding procedures. We are also attempting to assess the impact of this updated guidance on the payments we may receive for Medicare claims submitted to the Local MAC. Claims submitted under the March 2021 and July 2021 guidance were summarily denied and we are in the process of appealing these denials, but the process is typically slow and costly, and multiple levels of appeal may be required for adjudication of outstanding claims.</w:t>
      </w:r>
    </w:p>
    <w:p>
      <w:pPr>
        <w:spacing w:after="0" w:line="16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February 10, 2022, the Local MAC jurisdiction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are in the process of assessing the impact of the LCD on any claims submitted after April 1, 2022, as well as monitoring any impact the LCD has on the claims currently in the appeal process.</w:t>
      </w:r>
    </w:p>
    <w:p>
      <w:pPr>
        <w:spacing w:after="0" w:line="187"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During the fourth quarter of 2021, we began receiving favorable results on outstanding level 2 claims that were adjudicated and have received payment on a subset of these claims as a result of the appeal process. As a result, beginning in the second quarter of 2021, we estimated the reimbursement rate for tests performed within our contractual allowances with a significantly reduced percent expected reimbursement for these tests, equating to $0 for the second quarter of 2021, $0.4 million for the third quarter of 2021, and $1.1 million for the fourth quarter of 2021. These estimates were guided by the updated Local MAC guidance and appeal outcomes through December 31, 2021. As of December 31, 2021, Medicare claims represent 29% of our clinical testing volume.</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340"/>
          </w:cols>
          <w:pgMar w:left="320" w:top="448" w:right="2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w:t>
      </w:r>
    </w:p>
    <w:p>
      <w:pPr>
        <w:spacing w:after="0" w:line="12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Outside the United States, the reimbursement process and timelines vary significantly. Certain countries, including a number of member states of the European Union, set prices and make reimbursement decisions for diagnostic products, with limited participation from the marketing authorization or CE mark holders, or may take decisions that are unfavorable to the authorization or CE mark holder where they have participated in the process. There can be no assurance that we can achieve acceptable prices and reimbursement decisions.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headquarters is located in Chicago, Illinois, where we lease approximately 180,000 square feet of laboratory and office space pursuant to a lease that expires in February 2029. We also lease an aggregate of approximately 25,000 square feet of laboratory and office space in Atlanta, Georgia pursuant to two leases that expire in September 2024 and September 2025, respectively. Our CLIA-certified laboratories are located in these facilities. We are currently operationalizing a new genomics lab in Raleigh, North Carolina. We also have offices in New York, New York and Redwood City, California. We do not own any real property. While we believe our existing facilities are adequate to meet our current requirements, we expect to expand our facilities as our operations grow over time. We believe we will be able to obtain such additional space on acceptable and commercially reasonable terms.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December 31, 2021, we had a total of 1,567 employees, of which 575 were technical and were engaged in product and engineering, and research and development. As of December 31, 2021, 830 employees were based at our headquarters in Chicago, Illinois, and 65 employees were based in Atlanta, Georgia. None of our employees are represented by a labor union or covered under a collective bargaining agreement, and we have never experienced a work stoppage. We consider our relationship with our employees to be positive.</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and other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340"/>
          </w:cols>
          <w:pgMar w:left="320" w:top="448" w:right="2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as of December 31, 2021, regarding our current executive officers and directors: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Eric Lefkofsky</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Executive Officer, Founder and 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Ryan Fukushima</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Erik Phelps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Administrative and Legal Officer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James Rogers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75"/>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Peter J. Barris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Eric D. Belcher</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Jennifer A. Doudna, Ph.D.</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Wayne A.I. Frederick,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Robert Ghenchev</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 Gottlieb,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Theodore J. Leonsis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Nadja West,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06"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b w:val="1"/>
          <w:bCs w:val="1"/>
          <w:i w:val="1"/>
          <w:iCs w:val="1"/>
          <w:color w:val="auto"/>
        </w:rPr>
        <w:t xml:space="preserve">Eric Lefkofsky </w:t>
      </w:r>
      <w:r>
        <w:rPr>
          <w:rFonts w:ascii="Times New Roman" w:cs="Times New Roman" w:eastAsia="Times New Roman" w:hAnsi="Times New Roman"/>
          <w:sz w:val="16"/>
          <w:szCs w:val="16"/>
          <w:color w:val="auto"/>
        </w:rPr>
        <w:t>is our Founder and has served as our Chief Executive Officer and a member of our board of directors since our inception. Before founding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Tempus, Mr. Lefkofsky co-founded Groupon, Inc. in 2008, where he held various roles, including Executive Chairman (through August 2013), Chief Executive Officer (August 2013 to November 2015), and Chairman of the board of directors (November 2015 to June 2020). He continues to serve as a member of Groupon’s board of directors. Mr. Lefkofsky also co-founded Lightbank LLC in 2008, a private venture capital firm specializing in investments in technology companies, and has served as its managing member since inception. Mr. Lefkofsky also co-founded InnerWorkings, Inc., Mediaocean, LLC, and Echo Global Logistics, Inc., and served on each company’s board of directors or board of managers. Mr. Lefkofsky holds a bachelor’s degree from the University of Michigan and a J.D. from the University of Michigan Law School. We believe that Mr. Lefkofsky is qualified to serve on our board of directors because of his perspective and experience as our Founder and Chief Executive Officer, and his extensive knowledge of the venture capital and technology industries.</w:t>
      </w:r>
    </w:p>
    <w:p>
      <w:pPr>
        <w:spacing w:after="0" w:line="161" w:lineRule="exact"/>
        <w:rPr>
          <w:sz w:val="20"/>
          <w:szCs w:val="20"/>
          <w:color w:val="auto"/>
        </w:rPr>
      </w:pPr>
    </w:p>
    <w:p>
      <w:pPr>
        <w:jc w:val="both"/>
        <w:ind w:firstLine="454"/>
        <w:spacing w:after="0" w:line="305" w:lineRule="auto"/>
        <w:rPr>
          <w:sz w:val="20"/>
          <w:szCs w:val="20"/>
          <w:color w:val="auto"/>
        </w:rPr>
      </w:pPr>
      <w:r>
        <w:rPr>
          <w:rFonts w:ascii="Times New Roman" w:cs="Times New Roman" w:eastAsia="Times New Roman" w:hAnsi="Times New Roman"/>
          <w:sz w:val="16"/>
          <w:szCs w:val="16"/>
          <w:b w:val="1"/>
          <w:bCs w:val="1"/>
          <w:i w:val="1"/>
          <w:iCs w:val="1"/>
          <w:color w:val="auto"/>
        </w:rPr>
        <w:t xml:space="preserve">Ryan Fukushima </w:t>
      </w:r>
      <w:r>
        <w:rPr>
          <w:rFonts w:ascii="Times New Roman" w:cs="Times New Roman" w:eastAsia="Times New Roman" w:hAnsi="Times New Roman"/>
          <w:sz w:val="16"/>
          <w:szCs w:val="16"/>
          <w:color w:val="auto"/>
        </w:rPr>
        <w:t>has served as our Chief Operating Officer since September 2015. Prior to joining us, Mr. Fukushima was an Entrepreneur-in-Residence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Vice President at Lightbank LLC, a private venture capital firm specializing in investments in technology companies, from February 2014 to September 2015. Mr. Fukushima holds a B.S. from California Polytechnic University and a M.B.A. from the Ross School of Business at the University of Michigan.</w:t>
      </w:r>
    </w:p>
    <w:p>
      <w:pPr>
        <w:spacing w:after="0" w:line="139"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Erik Phelps </w:t>
      </w:r>
      <w:r>
        <w:rPr>
          <w:rFonts w:ascii="Times New Roman" w:cs="Times New Roman" w:eastAsia="Times New Roman" w:hAnsi="Times New Roman"/>
          <w:sz w:val="18"/>
          <w:szCs w:val="18"/>
          <w:color w:val="auto"/>
        </w:rPr>
        <w:t>has served as our Executive Vice President and Chief Administrative and Legal Officer since June 2020. Prior to this, Mr. Phelps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Executive Vice President and General Counsel from March 2017 to June 2020. Prior to joining us, Mr. Phelps served as the General Counsel at Epic Systems Corporation, a software company that provides electronic health records for medical groups, hospitals and healthcare organizations, from May 2013 to March 2017. Mr. Phelps holds a B.A. from Beloit College and a J.D. from the George Washington University Law School.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340"/>
          </w:cols>
          <w:pgMar w:left="320" w:top="448" w:right="2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jc w:val="both"/>
        <w:ind w:firstLine="454"/>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 xml:space="preserve">James Rogers </w:t>
      </w:r>
      <w:r>
        <w:rPr>
          <w:rFonts w:ascii="Times New Roman" w:cs="Times New Roman" w:eastAsia="Times New Roman" w:hAnsi="Times New Roman"/>
          <w:sz w:val="16"/>
          <w:szCs w:val="16"/>
          <w:color w:val="auto"/>
        </w:rPr>
        <w:t>has served as our Chief Financial Officer since April 2021. Prior to this, Mr. Rogers served as our Vice President of Finance from February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2020 to April 2021, as our Senior Director of Finance from February 2018 to February 2020, and as our Director of Finance from August 2017 to February 2018. Prior to joining us, Mr. Rogers held various finance positions at Groupon from April 2011 to August 2017, including most recently leading financial planning and analysis for its North America business from February 2017 to August 2017 and serving as the financial controller of Asia Pacific operations from January 2015 to January 2017. Mr. Rogers holds a B.B.A. from the University of Notre Dame and an M.S. from Northern Illinois University.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0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J. Barris </w:t>
      </w:r>
      <w:r>
        <w:rPr>
          <w:rFonts w:ascii="Times New Roman" w:cs="Times New Roman" w:eastAsia="Times New Roman" w:hAnsi="Times New Roman"/>
          <w:sz w:val="18"/>
          <w:szCs w:val="18"/>
          <w:color w:val="auto"/>
        </w:rPr>
        <w:t>has served as a member of our board of directors since September 2017. Mr. Barris has also served on the boards of directors of Berkshire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Grey, Inc. since April 2016, Sprout Social, Inc. since February 2011 and Groupon since January 2008. Mr. Barris joined New Enterprise Associates, Inc., or NEA, a global venture capital fund investing in technology and healthcare, where he specialized in information technology investing, in 1992 and retired at the end of 2019. Prior to his retirement, Mr. Barris held several roles at NEA, including Managing General Partner from 1999 to 2017. After retiring in 2019, Mr. Barris now serves as Chairman of NEA. Mr. Barris holds a B.S. from Northwestern University and an M.B.A. from the Tuck School of Business at Dartmouth University. We believe that Mr. Barris is qualified to serve on our board of directors because of his investment management and financial expertise, and his experience serving on public company boards.</w:t>
      </w:r>
    </w:p>
    <w:p>
      <w:pPr>
        <w:spacing w:after="0" w:line="18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D. Belcher </w:t>
      </w:r>
      <w:r>
        <w:rPr>
          <w:rFonts w:ascii="Times New Roman" w:cs="Times New Roman" w:eastAsia="Times New Roman" w:hAnsi="Times New Roman"/>
          <w:sz w:val="18"/>
          <w:szCs w:val="18"/>
          <w:color w:val="auto"/>
        </w:rPr>
        <w:t>has served as a member of our board of directors since January 2019. Mr. Belcher has served as the Chief Executive Officer of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Track, LLC (d/b/a Numerator), a data and technology company in the market research industry, since June 2019. Mr. Belcher has also held various positions at InnerWorkings, Inc. since May 2005, including most recently serving as its Chief Executive Officer and President from January 2009 to April 2018. Mr. Belcher served as a member of the board of directors of InnerWorkings, Inc. from January 2009 to December 2018, including as the Chairman of its board of directors from April 2018 to September 2018. Mr. Belcher holds a bachelor’s degree from Bucknell University and an M.B.A. from the University of Chicago Booth School of Business. We believe that Mr. Belcher is qualified to serve on our board of directors because of his extensive experience in the technology industry and leading high growth companies.</w:t>
      </w:r>
    </w:p>
    <w:p>
      <w:pPr>
        <w:spacing w:after="0" w:line="18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Jennifer A. Doudna, Ph.D. </w:t>
      </w:r>
      <w:r>
        <w:rPr>
          <w:rFonts w:ascii="Times New Roman" w:cs="Times New Roman" w:eastAsia="Times New Roman" w:hAnsi="Times New Roman"/>
          <w:sz w:val="18"/>
          <w:szCs w:val="18"/>
          <w:color w:val="auto"/>
        </w:rPr>
        <w:t>has served as a member of our board of directors since April 2021. Dr. Doudna has also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Johnson &amp; Johnson since April 2018. Since July 2002, Dr. Doudna has served as a Professor of Biochemistry &amp; Molecular Biology at the University of California, Berkeley, where she directs the Innovative Genomics Institute, a joint UC Berkeley-UC San Francisco center, holds the Li Ka Shing Chancellor’s Professorship in Biomedical and Health, and is the Chair of the Chancellor’s Advisory Committee on Biology. Since 2002, Dr. Doudna has served as Principal Investigator at the Doudna Lab at UC Berkeley. Dr. Doudna has founded and served on the Scientific Advisory Boards of Caribou Biosciences, Inc. and Intellia Therapeutics, Inc., each of which are leading CRISPR genome engineering companies, since 2010. She has also been an Investigator with the Howard Hughes Medical Institute since 1997. Dr. Doudna is the recipient of numerous scientific awards in biochemistry and genetics, including the Nobel Prize in Chemistry in 2020. Dr. Doudna holds a bachelor’s degree from Pomona College and a Ph.D. from Harvard Medical School. We believe that Dr. Doudna is qualified to serve on our board of directors because of her expertise in scientific research and innovation.</w:t>
      </w:r>
    </w:p>
    <w:p>
      <w:pPr>
        <w:spacing w:after="0" w:line="183"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Wayne A.I. Frederick, M.D. </w:t>
      </w:r>
      <w:r>
        <w:rPr>
          <w:rFonts w:ascii="Times New Roman" w:cs="Times New Roman" w:eastAsia="Times New Roman" w:hAnsi="Times New Roman"/>
          <w:sz w:val="18"/>
          <w:szCs w:val="18"/>
          <w:color w:val="auto"/>
        </w:rPr>
        <w:t>has served as a member of our board of directors since October 2020. Dr. Frederick has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other public companies, including serving as a member of the board of directors of Insulet Corp since October 2020, Forma Therapeutics Holdings, Inc. since July 2020, and Humana Inc. since February 2020. He also serves on the boards of directors of privately held companies and charitable organizations. Dr. Frederick is the President of Howard University, having held this position since July 2014, and also serves as the Charles R. Drew Endowed Chair of Surgery at Howard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340"/>
          </w:cols>
          <w:pgMar w:left="320" w:top="448" w:right="2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University’s College of Medicine. Dr. Frederick holds a B.S./M.D. dual degree, and an M.B.A. from Howard University. We believe that Dr. Frederick is qualified to serve on our board of directors because of his vast experience in medical research, healthcare academics and business administration, and his service on the boards of multiple public companies.</w:t>
      </w:r>
    </w:p>
    <w:p>
      <w:pPr>
        <w:spacing w:after="0" w:line="17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Ghenchev </w:t>
      </w:r>
      <w:r>
        <w:rPr>
          <w:rFonts w:ascii="Times New Roman" w:cs="Times New Roman" w:eastAsia="Times New Roman" w:hAnsi="Times New Roman"/>
          <w:sz w:val="18"/>
          <w:szCs w:val="18"/>
          <w:color w:val="auto"/>
        </w:rPr>
        <w:t>has served as a member of our board of directors since May 2019 and is currently employed as Senior Partner at Novo Holdings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Inc. which provides consulting services to Novo Holdings A/S. Since January 2018, Mr. Ghenchev has also served as Head of Novo Growth at Novo Holdings A/S. Prior to joining Novo Holdings, Mr. Ghenchev served as a Senior Vice President at Moelis &amp; Company in London where he focused on mergers and acquisitions within the healthcare industry, from April 2010 to January 2018. Mr. Ghenchev also serves on the boards of directors of a European public company and other private companies. Mr. Ghenchev holds a B.A. in Economics and Finance from McGill University and an M.Sc. in Financial Economics from the University of Oxford. We believe that Mr. Ghenchev is qualified to serve on our board of directors because of his expertise in finance and the healthcare industry.</w:t>
      </w:r>
    </w:p>
    <w:p>
      <w:pPr>
        <w:spacing w:after="0" w:line="18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Gottlieb, M.D. </w:t>
      </w:r>
      <w:r>
        <w:rPr>
          <w:rFonts w:ascii="Times New Roman" w:cs="Times New Roman" w:eastAsia="Times New Roman" w:hAnsi="Times New Roman"/>
          <w:sz w:val="18"/>
          <w:szCs w:val="18"/>
          <w:color w:val="auto"/>
        </w:rPr>
        <w:t>has served as a member of our board of directors since October 2019. Dr. Gottlieb has also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Illumina, Inc. since February 2020 and Pfizer Inc. since June 2019. Dr. Gottlieb has served as a Special Partner on NEA’s healthcare investment team since April 2019, and a Resident Fellow at American Enterprise Institute since April 2021. Prior to that, he served as the 23rd Commissioner of the U.S. Food and Drug Administration from May 2017 to April 2019. Prior to serving as Commissioner, Dr. Gottlieb held several roles in the public and private sectors, including serving as a Venture Partner at NEA from January 2007 to May 2017, and a senior advisor to the Administrator of the Centers for Medicare and Medicaid Services in 2004. He is presently a contributor to CNBC and the CBS News program Face the Nation. Dr. Gottlieb holds a B.A. from Wesleyan University and an M.D. from Mount Sinai School of Medicine. We believe that Dr. Gottlieb is qualified to serve on our board of directors because of his extensive experience as a medical policy expert and public health advocate.</w:t>
      </w:r>
    </w:p>
    <w:p>
      <w:pPr>
        <w:spacing w:after="0" w:line="186"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Theodore J. Leonsis </w:t>
      </w:r>
      <w:r>
        <w:rPr>
          <w:rFonts w:ascii="Times New Roman" w:cs="Times New Roman" w:eastAsia="Times New Roman" w:hAnsi="Times New Roman"/>
          <w:sz w:val="16"/>
          <w:szCs w:val="16"/>
          <w:color w:val="auto"/>
        </w:rPr>
        <w:t>has served as a member of our board of directors since January 2019. In November 2011, Mr. Leonsis co-founded Revolution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Growth, a private investment firm, and has served as a General Partner thereof since that time. Since 1999, Mr. Leonsis has served as the Founder, Chairman, Majority Owner, and Chief Executive Officer of Monumental Sports &amp; Entertainment, LLC, a sports, entertainment, media, and technology company that owns the NBA’s Washington Wizards, the NHL’s Washington Capitals, the WNBA’s Washington Mystics, the Capital City Go-Go, Wizards District Gaming, Caps Gaming, and the Capital One Arena in Washington, D.C. Mr. Leonsis has served as a director of American Express Co. since July 2010. Mr. Leonsis has also served on the board of directors of Groupon, Inc. since June 2009, including as Chairman of the board of directors from August 2013 to November 2015 and, again, since June 2020. Mr. Leonsis also serves on the boards of directors of several private internet and technology companies, as well as charitable organizations. Mr. Leonsis holds a bachelor’s degree from Georgetown University. We believe that Mr. Leonsis is qualified to serve on our board of directors because of his significant operational, investment and financial experience, and his service on the boards of two public companies.</w:t>
      </w:r>
    </w:p>
    <w:p>
      <w:pPr>
        <w:spacing w:after="0" w:line="37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Nadja West, M.D. </w:t>
      </w:r>
      <w:r>
        <w:rPr>
          <w:rFonts w:ascii="Times New Roman" w:cs="Times New Roman" w:eastAsia="Times New Roman" w:hAnsi="Times New Roman"/>
          <w:sz w:val="18"/>
          <w:szCs w:val="18"/>
          <w:color w:val="auto"/>
        </w:rPr>
        <w:t>has served as a member of our board of directors since April 2021. Dr. West has also served on the boards of directors of several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companies, including serving as a member of the board of directors of Johnson &amp; Johnson since December 2020, Tenet Healthcare Corp since October 2019, and Nucor Corporation since September 2019. From December 2015 to October 2019, Dr. West served as the 44th Surgeon General of the U.S. Army, and the Commanding General of the U.S. Army Medical Command. Dr. West currently serves as Trustee of both the National Recreation Foundation and Mount St. Mary’s University, and board member of Americares and The Woodruff Foundation. She was recently appointed an independent member of the NCAA Board of Governors. Dr. West holds a B.S. from the United States Military Academy at West Point, an M.D. from the George Washington University School of Medicine, and an M.S. from National War College. We believe that Dr. West is qualified to serve on our board of directors because of her executive and operational leadership and expertise with strategic planning and healthcare management.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340"/>
          </w:cols>
          <w:pgMar w:left="320" w:top="448" w:right="2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business and affairs are managed under the direction of our board of directors. We currently have nine directors. Each director is elected to the board of directors for a one-year term, to serve until the election and qualification of a successor director at our annual meeting of stockholders, or until the director’s earlier removal, resignation, or death. All of our directors currently serve on the board of directors pursuant to the provisions of a voting agreement between us and several of our stockholders. This agreement will terminate upon the closing of this offering, after which there will be no further contractual obligations regarding the election of our directors. Following the closing of this offering, no stockholder will have any special rights regarding the election or designation of members of our board of directors. Our current directors will continue to serve as directors until their resignation, removal or successor is duly elected.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none of our directors, other than Mr. Lefkofsky, has any relationships that would interfere with the exercise of independent judgment in carrying out the responsibilities of a director and that each of these directors is “independent” as that term is defined under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 nominating and corporate governance committee and an executive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After this offering, our audit committee will consist of Eric D. Belcher, Peter J. Barris and Wayne A.I. Frederick. Our board of directors has determined that each of Messrs. Belcher, Barris and Frederick satisfies the independence requirements under the Nasdaq Stock Market listing standards and Rule 10A-3(b)(1) of the Exchange Act. The chair of our audit committee will be Mr. Belcher,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audit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21" w:lineRule="exact"/>
        <w:rPr>
          <w:rFonts w:ascii="Times New Roman" w:cs="Times New Roman" w:eastAsia="Times New Roman" w:hAnsi="Times New Roman"/>
          <w:sz w:val="18"/>
          <w:szCs w:val="18"/>
          <w:color w:val="auto"/>
        </w:rPr>
      </w:pPr>
    </w:p>
    <w:p>
      <w:pPr>
        <w:ind w:left="5540" w:right="340" w:hanging="5089"/>
        <w:spacing w:after="0" w:line="435" w:lineRule="auto"/>
        <w:tabs>
          <w:tab w:leader="none" w:pos="99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maintain and foster an open avenue of communication between management and the independent registered public accounting firm; 193</w:t>
      </w:r>
    </w:p>
    <w:p>
      <w:pPr>
        <w:sectPr>
          <w:pgSz w:w="11900" w:h="16838" w:orient="portrait"/>
          <w:cols w:equalWidth="0" w:num="1">
            <w:col w:w="11340"/>
          </w:cols>
          <w:pgMar w:left="320" w:top="448" w:right="2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30"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to be performed by the independent registered public accounting firm.</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audit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our compensation committee will consist of Peter J. Barris and Nadja West. The chair of our compensation committee will be Mr. Barris. Our board of directors has determined that each of Mr. Barris and Ms. West is independent under Nasdaq listing standards and a “non-employee director” as defined in Rule 16b-3 promulgated under the Exchange Act.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compensation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compensation consultants and outside service providers and advisors;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individual and corporate performance goals and objectives and other terms of employment of our executive officers, including evaluating the performance of our chief executive officer and, with his assistance, that of our other executive officers;</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and non-equity incentive plans;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of employee compensation as they relate to risk management and risk-taking incentives;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succession plans for the executive officers;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incentive compensation and equity plans;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 reviewing our overall compensation philosophy.</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compensation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After this offering, our nominating and corporate governance committee will consist of Theodore J. Leonsis, Jennifer A. Doudna and Scott Gottlieb. The chair of our nominating and corporate governance committee will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340"/>
          </w:cols>
          <w:pgMar w:left="320" w:top="448" w:right="2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331" w:lineRule="auto"/>
        <w:rPr>
          <w:sz w:val="20"/>
          <w:szCs w:val="20"/>
          <w:color w:val="auto"/>
        </w:rPr>
      </w:pPr>
      <w:r>
        <w:rPr>
          <w:rFonts w:ascii="Times New Roman" w:cs="Times New Roman" w:eastAsia="Times New Roman" w:hAnsi="Times New Roman"/>
          <w:sz w:val="16"/>
          <w:szCs w:val="16"/>
          <w:color w:val="auto"/>
        </w:rPr>
        <w:t>Mr. Leonsis. Our board of directors has determined that each member of the nominating and corporate governance committee is independent under the applicable listing standards of the Nasdaq Stock Market. In addition, Mr. Lefkofsky will serve as an observer on our nominating and corporate governance committee.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 among other things:</w:t>
      </w:r>
    </w:p>
    <w:p>
      <w:pPr>
        <w:spacing w:after="0" w:line="121" w:lineRule="exact"/>
        <w:rPr>
          <w:sz w:val="20"/>
          <w:szCs w:val="20"/>
          <w:color w:val="auto"/>
        </w:rPr>
      </w:pPr>
    </w:p>
    <w:p>
      <w:pPr>
        <w:ind w:left="1000" w:hanging="549"/>
        <w:spacing w:after="0" w:line="267"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of directors approve, nominees for election to our board of directors and its committees;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director search firms;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board’s performance.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nominating and corporate governance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executive committee comprised of Peter J. Barris, Theodore J. Leonsis and Eric Lefkofsky. The executive committee was formed to facilitate approval of certain corporate actions in the intervals between full meetings of the board. The executive committee has the authority to exercise the power and authority of the board, except with respect to matters which, under the Delaware General Corporation Law or the rules and regulations of the Nasdaq Stock Market, cannot be delegated by the board of directors to a committee.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www.tempus.com.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340"/>
          </w:cols>
          <w:pgMar w:left="320" w:top="448" w:right="2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information regarding compensation earned by or paid to our non-employee directors for the year ended December 31, 2021:</w:t>
      </w:r>
    </w:p>
    <w:p>
      <w:pPr>
        <w:spacing w:after="0" w:line="256"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560" w:type="dxa"/>
            <w:vAlign w:val="bottom"/>
            <w:vMerge w:val="restart"/>
          </w:tcPr>
          <w:p>
            <w:pPr>
              <w:spacing w:after="0"/>
              <w:rPr>
                <w:sz w:val="14"/>
                <w:szCs w:val="14"/>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4"/>
                <w:szCs w:val="14"/>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360" w:type="dxa"/>
            <w:vAlign w:val="bottom"/>
            <w:tcBorders>
              <w:bottom w:val="single" w:sz="8" w:color="auto"/>
            </w:tcBorders>
            <w:vMerge w:val="continue"/>
          </w:tcPr>
          <w:p>
            <w:pPr>
              <w:spacing w:after="0"/>
              <w:rPr>
                <w:sz w:val="13"/>
                <w:szCs w:val="13"/>
                <w:color w:val="auto"/>
              </w:rPr>
            </w:pPr>
          </w:p>
        </w:tc>
        <w:tc>
          <w:tcPr>
            <w:tcW w:w="4560" w:type="dxa"/>
            <w:vAlign w:val="bottom"/>
            <w:vMerge w:val="continue"/>
          </w:tcPr>
          <w:p>
            <w:pPr>
              <w:spacing w:after="0"/>
              <w:rPr>
                <w:sz w:val="13"/>
                <w:szCs w:val="13"/>
                <w:color w:val="auto"/>
              </w:rPr>
            </w:pPr>
          </w:p>
        </w:tc>
        <w:tc>
          <w:tcPr>
            <w:tcW w:w="1880" w:type="dxa"/>
            <w:vAlign w:val="bottom"/>
            <w:gridSpan w:val="3"/>
          </w:tcPr>
          <w:p>
            <w:pPr>
              <w:jc w:val="right"/>
              <w:ind w:right="1040"/>
              <w:spacing w:after="0" w:line="131"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60" w:type="dxa"/>
            <w:vAlign w:val="bottom"/>
          </w:tcPr>
          <w:p>
            <w:pPr>
              <w:spacing w:after="0"/>
              <w:rPr>
                <w:sz w:val="13"/>
                <w:szCs w:val="13"/>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(2)</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Barris</w:t>
            </w: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Jennifer A. Doudna, Ph.D.</w:t>
            </w:r>
            <w:r>
              <w:rPr>
                <w:rFonts w:ascii="Times New Roman" w:cs="Times New Roman" w:eastAsia="Times New Roman" w:hAnsi="Times New Roman"/>
                <w:sz w:val="24"/>
                <w:szCs w:val="24"/>
                <w:color w:val="auto"/>
                <w:vertAlign w:val="superscript"/>
              </w:rPr>
              <w:t>(3)</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75,000</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800,500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875,500</w:t>
            </w: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75,000</w:t>
            </w:r>
          </w:p>
        </w:tc>
        <w:tc>
          <w:tcPr>
            <w:tcW w:w="160" w:type="dxa"/>
            <w:vAlign w:val="bottom"/>
          </w:tcPr>
          <w:p>
            <w:pPr>
              <w:spacing w:after="0"/>
              <w:rPr>
                <w:sz w:val="18"/>
                <w:szCs w:val="18"/>
                <w:color w:val="auto"/>
              </w:rPr>
            </w:pPr>
          </w:p>
        </w:tc>
        <w:tc>
          <w:tcPr>
            <w:tcW w:w="18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800,500</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875,500</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8"/>
                <w:szCs w:val="18"/>
                <w:color w:val="auto"/>
              </w:rPr>
            </w:pPr>
          </w:p>
        </w:tc>
        <w:tc>
          <w:tcPr>
            <w:tcW w:w="1820" w:type="dxa"/>
            <w:vAlign w:val="bottom"/>
            <w:gridSpan w:val="2"/>
          </w:tcPr>
          <w:p>
            <w:pPr>
              <w:jc w:val="right"/>
              <w:ind w:right="880"/>
              <w:spacing w:after="0" w:line="210" w:lineRule="exact"/>
              <w:rPr>
                <w:sz w:val="20"/>
                <w:szCs w:val="20"/>
                <w:color w:val="auto"/>
              </w:rPr>
            </w:pPr>
            <w:r>
              <w:rPr>
                <w:rFonts w:ascii="Times New Roman" w:cs="Times New Roman" w:eastAsia="Times New Roman" w:hAnsi="Times New Roman"/>
                <w:sz w:val="16"/>
                <w:szCs w:val="16"/>
                <w:color w:val="auto"/>
              </w:rPr>
              <w:t>2,376,500</w:t>
            </w:r>
            <w:r>
              <w:rPr>
                <w:rFonts w:ascii="Times New Roman" w:cs="Times New Roman" w:eastAsia="Times New Roman" w:hAnsi="Times New Roman"/>
                <w:sz w:val="24"/>
                <w:szCs w:val="24"/>
                <w:color w:val="auto"/>
                <w:vertAlign w:val="superscript"/>
              </w:rPr>
              <w:t>(4)</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2,476,500</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r>
              <w:rPr>
                <w:rFonts w:ascii="Times New Roman" w:cs="Times New Roman" w:eastAsia="Times New Roman" w:hAnsi="Times New Roman"/>
                <w:sz w:val="26"/>
                <w:szCs w:val="26"/>
                <w:color w:val="auto"/>
                <w:vertAlign w:val="superscript"/>
              </w:rPr>
              <w:t>(5)</w:t>
            </w:r>
          </w:p>
        </w:tc>
        <w:tc>
          <w:tcPr>
            <w:tcW w:w="220" w:type="dxa"/>
            <w:vAlign w:val="bottom"/>
          </w:tcPr>
          <w:p>
            <w:pPr>
              <w:spacing w:after="0"/>
              <w:rPr>
                <w:sz w:val="24"/>
                <w:szCs w:val="24"/>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75,000</w:t>
            </w:r>
          </w:p>
        </w:tc>
        <w:tc>
          <w:tcPr>
            <w:tcW w:w="160" w:type="dxa"/>
            <w:vAlign w:val="bottom"/>
          </w:tcPr>
          <w:p>
            <w:pPr>
              <w:spacing w:after="0"/>
              <w:rPr>
                <w:sz w:val="24"/>
                <w:szCs w:val="24"/>
                <w:color w:val="auto"/>
              </w:rPr>
            </w:pPr>
          </w:p>
        </w:tc>
        <w:tc>
          <w:tcPr>
            <w:tcW w:w="18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800,500</w:t>
            </w:r>
          </w:p>
        </w:tc>
        <w:tc>
          <w:tcPr>
            <w:tcW w:w="1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jc w:val="both"/>
        <w:ind w:left="460" w:hanging="455"/>
        <w:spacing w:after="0" w:line="279" w:lineRule="auto"/>
        <w:tabs>
          <w:tab w:leader="none" w:pos="4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represent the aggregate grant date fair value of RSUs granted to our directors during 2021 under our 2015 Plan, computed in accordance with Financial Accounting Standard Board Accounting Standards Codification, Topic 718, or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non-employee director.</w:t>
      </w:r>
    </w:p>
    <w:p>
      <w:pPr>
        <w:spacing w:after="0" w:line="2" w:lineRule="exact"/>
        <w:rPr>
          <w:rFonts w:ascii="Times New Roman" w:cs="Times New Roman" w:eastAsia="Times New Roman" w:hAnsi="Times New Roman"/>
          <w:sz w:val="16"/>
          <w:szCs w:val="16"/>
          <w:color w:val="auto"/>
        </w:rPr>
      </w:pPr>
    </w:p>
    <w:p>
      <w:pPr>
        <w:ind w:left="460" w:hanging="455"/>
        <w:spacing w:after="0" w:line="247" w:lineRule="auto"/>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aggregate number of shares underlying outstanding RSUs under our 2015 Plan held by each of our non-employee directors was as follows:</w:t>
      </w:r>
    </w:p>
    <w:p>
      <w:pPr>
        <w:spacing w:after="0" w:line="206" w:lineRule="exact"/>
        <w:rPr>
          <w:sz w:val="20"/>
          <w:szCs w:val="20"/>
          <w:color w:val="auto"/>
        </w:rPr>
      </w:pPr>
    </w:p>
    <w:tbl>
      <w:tblPr>
        <w:tblLayout w:type="fixed"/>
        <w:tblInd w:w="1820" w:type="dxa"/>
        <w:tblCellMar>
          <w:top w:w="0" w:type="dxa"/>
          <w:left w:w="0" w:type="dxa"/>
          <w:bottom w:w="0" w:type="dxa"/>
          <w:right w:w="0" w:type="dxa"/>
        </w:tblCellMar>
      </w:tblPr>
      <w:tr>
        <w:trPr>
          <w:trHeight w:val="189"/>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880" w:type="dxa"/>
            <w:vAlign w:val="bottom"/>
          </w:tcPr>
          <w:p>
            <w:pPr>
              <w:spacing w:after="0"/>
              <w:rPr>
                <w:sz w:val="16"/>
                <w:szCs w:val="16"/>
                <w:color w:val="auto"/>
              </w:rPr>
            </w:pPr>
          </w:p>
        </w:tc>
        <w:tc>
          <w:tcPr>
            <w:tcW w:w="3480" w:type="dxa"/>
            <w:vAlign w:val="bottom"/>
            <w:gridSpan w:val="3"/>
          </w:tcPr>
          <w:p>
            <w:pPr>
              <w:ind w:left="244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96"/>
        </w:trPr>
        <w:tc>
          <w:tcPr>
            <w:tcW w:w="42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Barris</w:t>
            </w:r>
          </w:p>
        </w:tc>
        <w:tc>
          <w:tcPr>
            <w:tcW w:w="24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w:t>
            </w: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440" w:type="dxa"/>
            <w:vAlign w:val="bottom"/>
          </w:tcPr>
          <w:p>
            <w:pPr>
              <w:spacing w:after="0"/>
              <w:rPr>
                <w:sz w:val="18"/>
                <w:szCs w:val="18"/>
                <w:color w:val="auto"/>
              </w:rPr>
            </w:pPr>
          </w:p>
        </w:tc>
        <w:tc>
          <w:tcPr>
            <w:tcW w:w="104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4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Dr. Jennifer A. Doudna</w:t>
            </w:r>
            <w:r>
              <w:rPr>
                <w:rFonts w:ascii="Times New Roman" w:cs="Times New Roman" w:eastAsia="Times New Roman" w:hAnsi="Times New Roman"/>
                <w:sz w:val="24"/>
                <w:szCs w:val="24"/>
                <w:color w:val="auto"/>
                <w:vertAlign w:val="superscript"/>
              </w:rPr>
              <w:t>(3)</w:t>
            </w:r>
          </w:p>
        </w:tc>
        <w:tc>
          <w:tcPr>
            <w:tcW w:w="2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40"/>
              <w:spacing w:after="0" w:line="210"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(b)</w:t>
            </w: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Wayne A.I. Frederick</w:t>
            </w:r>
          </w:p>
        </w:tc>
        <w:tc>
          <w:tcPr>
            <w:tcW w:w="2440" w:type="dxa"/>
            <w:vAlign w:val="bottom"/>
          </w:tcPr>
          <w:p>
            <w:pPr>
              <w:spacing w:after="0"/>
              <w:rPr>
                <w:sz w:val="18"/>
                <w:szCs w:val="18"/>
                <w:color w:val="auto"/>
              </w:rPr>
            </w:pPr>
          </w:p>
        </w:tc>
        <w:tc>
          <w:tcPr>
            <w:tcW w:w="1040" w:type="dxa"/>
            <w:vAlign w:val="bottom"/>
            <w:gridSpan w:val="2"/>
          </w:tcPr>
          <w:p>
            <w:pPr>
              <w:ind w:left="340"/>
              <w:spacing w:after="0" w:line="210"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(c)</w:t>
            </w:r>
          </w:p>
        </w:tc>
      </w:tr>
      <w:tr>
        <w:trPr>
          <w:trHeight w:val="21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Scott Gottlieb</w:t>
            </w:r>
          </w:p>
        </w:tc>
        <w:tc>
          <w:tcPr>
            <w:tcW w:w="2440" w:type="dxa"/>
            <w:vAlign w:val="bottom"/>
          </w:tcPr>
          <w:p>
            <w:pPr>
              <w:spacing w:after="0"/>
              <w:rPr>
                <w:sz w:val="18"/>
                <w:szCs w:val="18"/>
                <w:color w:val="auto"/>
              </w:rPr>
            </w:pPr>
          </w:p>
        </w:tc>
        <w:tc>
          <w:tcPr>
            <w:tcW w:w="1040" w:type="dxa"/>
            <w:vAlign w:val="bottom"/>
            <w:gridSpan w:val="2"/>
          </w:tcPr>
          <w:p>
            <w:pPr>
              <w:ind w:left="340"/>
              <w:spacing w:after="0" w:line="210" w:lineRule="exact"/>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24"/>
                <w:szCs w:val="24"/>
                <w:color w:val="auto"/>
                <w:vertAlign w:val="superscript"/>
              </w:rPr>
              <w:t>(d)</w:t>
            </w:r>
          </w:p>
        </w:tc>
      </w:tr>
      <w:tr>
        <w:trPr>
          <w:trHeight w:val="21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r>
      <w:tr>
        <w:trPr>
          <w:trHeight w:val="33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Nadja West</w:t>
            </w:r>
            <w:r>
              <w:rPr>
                <w:rFonts w:ascii="Times New Roman" w:cs="Times New Roman" w:eastAsia="Times New Roman" w:hAnsi="Times New Roman"/>
                <w:sz w:val="26"/>
                <w:szCs w:val="26"/>
                <w:color w:val="auto"/>
                <w:vertAlign w:val="superscript"/>
              </w:rPr>
              <w:t>(5)</w:t>
            </w:r>
          </w:p>
        </w:tc>
        <w:tc>
          <w:tcPr>
            <w:tcW w:w="2440" w:type="dxa"/>
            <w:vAlign w:val="bottom"/>
          </w:tcPr>
          <w:p>
            <w:pPr>
              <w:spacing w:after="0"/>
              <w:rPr>
                <w:sz w:val="24"/>
                <w:szCs w:val="24"/>
                <w:color w:val="auto"/>
              </w:rPr>
            </w:pP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7"/>
              </w:rPr>
              <w:t>25,000</w:t>
            </w:r>
            <w:r>
              <w:rPr>
                <w:rFonts w:ascii="Times New Roman" w:cs="Times New Roman" w:eastAsia="Times New Roman" w:hAnsi="Times New Roman"/>
                <w:sz w:val="26"/>
                <w:szCs w:val="26"/>
                <w:color w:val="auto"/>
                <w:w w:val="97"/>
                <w:vertAlign w:val="superscript"/>
              </w:rPr>
              <w:t>(b)</w:t>
            </w:r>
          </w:p>
        </w:tc>
      </w:tr>
    </w:tbl>
    <w:p>
      <w:pPr>
        <w:jc w:val="both"/>
        <w:ind w:left="460" w:hanging="455"/>
        <w:spacing w:after="0" w:line="272" w:lineRule="auto"/>
        <w:tabs>
          <w:tab w:leader="none" w:pos="4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restricted stock award of 100,000 shares of our Class A common stock, one fourth of which vest on September 7, 2018, and 1/16 of which vest quarterly thereafter, provided that the recipient remains in continuous service with us through each vesting date, and subject to the earlier to occur of</w:t>
      </w: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 the consummation of this offering and (ii) a change in control of our company.</w:t>
      </w:r>
    </w:p>
    <w:p>
      <w:pPr>
        <w:spacing w:after="0" w:line="3" w:lineRule="exact"/>
        <w:rPr>
          <w:rFonts w:ascii="Times New Roman" w:cs="Times New Roman" w:eastAsia="Times New Roman" w:hAnsi="Times New Roman"/>
          <w:sz w:val="16"/>
          <w:szCs w:val="16"/>
          <w:color w:val="auto"/>
        </w:rPr>
      </w:pPr>
    </w:p>
    <w:p>
      <w:pPr>
        <w:jc w:val="both"/>
        <w:ind w:left="460" w:hanging="455"/>
        <w:spacing w:after="0" w:line="243"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 RSUs, one fourth of which vest on January 13, 2022,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 RSUs, one fourth of which vest on October 13, 2021,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74" w:lineRule="auto"/>
        <w:tabs>
          <w:tab w:leader="none" w:pos="4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50,000 RSUs, one fourth of which vest on July 1, 2019, and 1/16 of which vest quarterly thereafter, provided that the recipient remains in continuous service with us through each vesting date, and subject to the earlier to occur of (i) the consummation of this offering and (ii) a change in control</w:t>
      </w:r>
    </w:p>
    <w:p>
      <w:pPr>
        <w:ind w:left="460"/>
        <w:spacing w:after="0"/>
        <w:rPr>
          <w:sz w:val="20"/>
          <w:szCs w:val="20"/>
          <w:color w:val="auto"/>
        </w:rPr>
      </w:pPr>
      <w:r>
        <w:rPr>
          <w:rFonts w:ascii="Times New Roman" w:cs="Times New Roman" w:eastAsia="Times New Roman" w:hAnsi="Times New Roman"/>
          <w:sz w:val="18"/>
          <w:szCs w:val="18"/>
          <w:color w:val="auto"/>
        </w:rPr>
        <w:t>of our company.</w:t>
      </w:r>
    </w:p>
    <w:p>
      <w:pPr>
        <w:spacing w:after="0" w:line="3" w:lineRule="exact"/>
        <w:rPr>
          <w:sz w:val="20"/>
          <w:szCs w:val="20"/>
          <w:color w:val="auto"/>
        </w:rPr>
      </w:pPr>
    </w:p>
    <w:p>
      <w:pPr>
        <w:ind w:left="460" w:hanging="455"/>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Doudna joined our board of directors in April 2021.</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340"/>
          </w:cols>
          <w:pgMar w:left="320" w:top="448" w:right="2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hanging="455"/>
        <w:spacing w:after="0" w:line="253"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Gottlieb joined our board of directors in October 2019, in connection with which he was entitled to an award of 50,000 RSUs, which were granted and approved by our board of directors in July 2021. The amount shown represents the aggregate grant date fair value of such RSUs as of July 2021.</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West joined our board of directors in April 2021.</w:t>
      </w:r>
    </w:p>
    <w:p>
      <w:pPr>
        <w:spacing w:after="0" w:line="19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Mr. Lefkofsky, our Chief Executive Officer, Founder and Chairman, is also a member of our board of directors but does not receive any additional compensation for his service as a director. See the section titled “Executive Compensation” for more information regarding the compensation earned by Mr. Lefkofsky.</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intend to adopt a non-employee director compensation policy in connection with this offering on terms to be determined by our board of directors. Under the non-employee director policy, our non-employee directors will be eligible to receive compensation for service on our board of directors and committees of our board of directors.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340"/>
          </w:cols>
          <w:pgMar w:left="320" w:top="448" w:right="2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named executive officers, consisting of our principal executive officer and the next two most highly compensated executive officers,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were:</w:t>
      </w:r>
    </w:p>
    <w:p>
      <w:pPr>
        <w:spacing w:after="0" w:line="103" w:lineRule="exact"/>
        <w:rPr>
          <w:sz w:val="20"/>
          <w:szCs w:val="20"/>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Lefkofsky, Chief Executive Officer, Founder and Chairman;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Rogers, Chief Financial Officer;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Fukushima, Chief Operating Officer.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presents all of the compensation awarded to or earned by or paid to our named executive officers for the years ended December 31, 2020 and 2021.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3"/>
                <w:szCs w:val="13"/>
                <w:color w:val="auto"/>
              </w:rPr>
            </w:pPr>
          </w:p>
        </w:tc>
        <w:tc>
          <w:tcPr>
            <w:tcW w:w="118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13"/>
                <w:szCs w:val="13"/>
                <w:color w:val="auto"/>
              </w:rPr>
            </w:pPr>
          </w:p>
        </w:tc>
        <w:tc>
          <w:tcPr>
            <w:tcW w:w="1340" w:type="dxa"/>
            <w:vAlign w:val="bottom"/>
            <w:gridSpan w:val="2"/>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280" w:type="dxa"/>
            <w:vAlign w:val="bottom"/>
            <w:gridSpan w:val="3"/>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460" w:type="dxa"/>
            <w:vAlign w:val="bottom"/>
            <w:gridSpan w:val="3"/>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35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2021</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$207,486,240</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600" w:type="dxa"/>
            <w:vAlign w:val="bottom"/>
            <w:tcBorders>
              <w:top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3"/>
                <w:szCs w:val="13"/>
                <w:color w:val="auto"/>
                <w:w w:val="92"/>
              </w:rPr>
              <w:t>(2)</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$207,488,340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Chief Executive Officer, Founder and Chairman</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2020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340" w:type="dxa"/>
            <w:vAlign w:val="bottom"/>
            <w:gridSpan w:val="2"/>
          </w:tcPr>
          <w:p>
            <w:pPr>
              <w:jc w:val="right"/>
              <w:ind w:right="374"/>
              <w:spacing w:after="0"/>
              <w:rPr>
                <w:sz w:val="20"/>
                <w:szCs w:val="20"/>
                <w:color w:val="auto"/>
              </w:rPr>
            </w:pPr>
            <w:r>
              <w:rPr>
                <w:rFonts w:ascii="Times New Roman" w:cs="Times New Roman" w:eastAsia="Times New Roman" w:hAnsi="Times New Roman"/>
                <w:sz w:val="18"/>
                <w:szCs w:val="18"/>
                <w:color w:val="auto"/>
              </w:rPr>
              <w:t>525</w:t>
            </w:r>
            <w:r>
              <w:rPr>
                <w:rFonts w:ascii="Times New Roman" w:cs="Times New Roman" w:eastAsia="Times New Roman" w:hAnsi="Times New Roman"/>
                <w:sz w:val="26"/>
                <w:szCs w:val="26"/>
                <w:color w:val="auto"/>
                <w:vertAlign w:val="superscript"/>
              </w:rPr>
              <w:t>(2)</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James Rogers</w:t>
            </w:r>
            <w:r>
              <w:rPr>
                <w:rFonts w:ascii="Times New Roman" w:cs="Times New Roman" w:eastAsia="Times New Roman" w:hAnsi="Times New Roman"/>
                <w:sz w:val="24"/>
                <w:szCs w:val="24"/>
                <w:color w:val="auto"/>
                <w:vertAlign w:val="superscript"/>
              </w:rPr>
              <w:t>(3)</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2021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line="210" w:lineRule="exact"/>
              <w:rPr>
                <w:sz w:val="20"/>
                <w:szCs w:val="20"/>
                <w:color w:val="auto"/>
              </w:rPr>
            </w:pPr>
            <w:r>
              <w:rPr>
                <w:rFonts w:ascii="Times New Roman" w:cs="Times New Roman" w:eastAsia="Times New Roman" w:hAnsi="Times New Roman"/>
                <w:sz w:val="16"/>
                <w:szCs w:val="16"/>
                <w:color w:val="auto"/>
              </w:rPr>
              <w:t>335,188</w:t>
            </w:r>
            <w:r>
              <w:rPr>
                <w:rFonts w:ascii="Times New Roman" w:cs="Times New Roman" w:eastAsia="Times New Roman" w:hAnsi="Times New Roman"/>
                <w:sz w:val="24"/>
                <w:szCs w:val="24"/>
                <w:color w:val="auto"/>
                <w:vertAlign w:val="superscript"/>
              </w:rPr>
              <w:t>(4)</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3,871,600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74"/>
              <w:spacing w:after="0" w:line="210" w:lineRule="exact"/>
              <w:rPr>
                <w:sz w:val="20"/>
                <w:szCs w:val="20"/>
                <w:color w:val="auto"/>
              </w:rPr>
            </w:pPr>
            <w:r>
              <w:rPr>
                <w:rFonts w:ascii="Times New Roman" w:cs="Times New Roman" w:eastAsia="Times New Roman" w:hAnsi="Times New Roman"/>
                <w:sz w:val="16"/>
                <w:szCs w:val="16"/>
                <w:color w:val="auto"/>
              </w:rPr>
              <w:t>2,100</w:t>
            </w:r>
            <w:r>
              <w:rPr>
                <w:rFonts w:ascii="Times New Roman" w:cs="Times New Roman" w:eastAsia="Times New Roman" w:hAnsi="Times New Roman"/>
                <w:sz w:val="24"/>
                <w:szCs w:val="24"/>
                <w:color w:val="auto"/>
                <w:vertAlign w:val="superscript"/>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4,208,888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17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Ryan Fukushima</w:t>
            </w:r>
            <w:r>
              <w:rPr>
                <w:rFonts w:ascii="Times New Roman" w:cs="Times New Roman" w:eastAsia="Times New Roman" w:hAnsi="Times New Roman"/>
                <w:sz w:val="24"/>
                <w:szCs w:val="24"/>
                <w:color w:val="auto"/>
                <w:vertAlign w:val="superscript"/>
              </w:rPr>
              <w:t>(5)</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2021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5"/>
              </w:rPr>
              <w:t>422,396</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5,134,070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74"/>
              <w:spacing w:after="0" w:line="210" w:lineRule="exact"/>
              <w:rPr>
                <w:sz w:val="20"/>
                <w:szCs w:val="20"/>
                <w:color w:val="auto"/>
              </w:rPr>
            </w:pPr>
            <w:r>
              <w:rPr>
                <w:rFonts w:ascii="Times New Roman" w:cs="Times New Roman" w:eastAsia="Times New Roman" w:hAnsi="Times New Roman"/>
                <w:sz w:val="16"/>
                <w:szCs w:val="16"/>
                <w:color w:val="auto"/>
              </w:rPr>
              <w:t>67,316</w:t>
            </w:r>
            <w:r>
              <w:rPr>
                <w:rFonts w:ascii="Times New Roman" w:cs="Times New Roman" w:eastAsia="Times New Roman" w:hAnsi="Times New Roman"/>
                <w:sz w:val="24"/>
                <w:szCs w:val="24"/>
                <w:color w:val="auto"/>
                <w:vertAlign w:val="superscript"/>
              </w:rPr>
              <w:t>(6)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5,623,782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9184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39" w:lineRule="exact"/>
        <w:rPr>
          <w:sz w:val="20"/>
          <w:szCs w:val="20"/>
          <w:color w:val="auto"/>
        </w:rPr>
      </w:pPr>
    </w:p>
    <w:p>
      <w:pPr>
        <w:jc w:val="both"/>
        <w:ind w:left="460" w:hanging="455"/>
        <w:spacing w:after="0" w:line="248" w:lineRule="auto"/>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represents the aggregate grant date fair value of RSUs granted to our executive officer during the fiscal year under our 2015 Plan, computed in accordance with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executive officer.</w:t>
      </w:r>
    </w:p>
    <w:p>
      <w:pPr>
        <w:spacing w:after="0" w:line="2"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represents pro-rated parking fees in the amount of $525 earned during 2020 and $2,100 earned during 2021, as applicable. Our office was closed for part of 2020 and 2021 due to the COVID-19 pandemic during which our named executive officers did not receive parking benefits.</w:t>
      </w:r>
    </w:p>
    <w:p>
      <w:pPr>
        <w:ind w:left="460" w:hanging="455"/>
        <w:spacing w:after="0"/>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Rogers was not one of our named executive officers for the year ended December 31, 2020.</w:t>
      </w:r>
    </w:p>
    <w:p>
      <w:pPr>
        <w:spacing w:after="0" w:line="3"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Rogers was appointed as our Chief Financial Officer in April 2021. The salary reported represents a pro-rata portion of his salary in 2021. His annualized base salary for 2021 was $450,000.</w:t>
      </w:r>
    </w:p>
    <w:p>
      <w:pPr>
        <w:ind w:left="460" w:hanging="455"/>
        <w:spacing w:after="0"/>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Fukushima was not one of our named executive officers for the year ended December 31, 2020.</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represents a housing stipend in the amount of $67,316, paid on a monthly basis in the amount of $7,980 per month.</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340"/>
          </w:cols>
          <w:pgMar w:left="320" w:top="448" w:right="2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2021</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remain outstanding as of December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gridSpan w:val="2"/>
          </w:tcPr>
          <w:p>
            <w:pPr>
              <w:jc w:val="center"/>
              <w:ind w:right="234"/>
              <w:spacing w:after="0" w:line="113"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9"/>
                <w:szCs w:val="9"/>
                <w:color w:val="auto"/>
              </w:rPr>
            </w:pPr>
          </w:p>
        </w:tc>
        <w:tc>
          <w:tcPr>
            <w:tcW w:w="120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234"/>
              <w:spacing w:after="0" w:line="145"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160" w:type="dxa"/>
            <w:vAlign w:val="bottom"/>
          </w:tcPr>
          <w:p>
            <w:pPr>
              <w:spacing w:after="0"/>
              <w:rPr>
                <w:sz w:val="12"/>
                <w:szCs w:val="12"/>
                <w:color w:val="auto"/>
              </w:rPr>
            </w:pPr>
          </w:p>
        </w:tc>
        <w:tc>
          <w:tcPr>
            <w:tcW w:w="12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of Shares or</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2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Vesting Commencement</w:t>
            </w:r>
          </w:p>
        </w:tc>
        <w:tc>
          <w:tcPr>
            <w:tcW w:w="1340" w:type="dxa"/>
            <w:vAlign w:val="bottom"/>
            <w:gridSpan w:val="2"/>
          </w:tcPr>
          <w:p>
            <w:pPr>
              <w:jc w:val="center"/>
              <w:ind w:right="234"/>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160" w:type="dxa"/>
            <w:vAlign w:val="bottom"/>
          </w:tcPr>
          <w:p>
            <w:pPr>
              <w:spacing w:after="0"/>
              <w:rPr>
                <w:sz w:val="12"/>
                <w:szCs w:val="12"/>
                <w:color w:val="auto"/>
              </w:rPr>
            </w:pPr>
          </w:p>
        </w:tc>
        <w:tc>
          <w:tcPr>
            <w:tcW w:w="12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0" w:type="dxa"/>
            <w:vAlign w:val="bottom"/>
          </w:tcPr>
          <w:p>
            <w:pPr>
              <w:spacing w:after="0"/>
              <w:rPr>
                <w:sz w:val="1"/>
                <w:szCs w:val="1"/>
                <w:color w:val="auto"/>
              </w:rPr>
            </w:pPr>
          </w:p>
        </w:tc>
      </w:tr>
      <w:tr>
        <w:trPr>
          <w:trHeight w:val="144"/>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180" w:type="dxa"/>
            <w:vAlign w:val="bottom"/>
            <w:vMerge w:val="restart"/>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340" w:type="dxa"/>
            <w:vAlign w:val="bottom"/>
            <w:gridSpan w:val="2"/>
          </w:tcPr>
          <w:p>
            <w:pPr>
              <w:jc w:val="center"/>
              <w:ind w:right="234"/>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160" w:type="dxa"/>
            <w:vAlign w:val="bottom"/>
          </w:tcPr>
          <w:p>
            <w:pPr>
              <w:spacing w:after="0"/>
              <w:rPr>
                <w:sz w:val="12"/>
                <w:szCs w:val="12"/>
                <w:color w:val="auto"/>
              </w:rPr>
            </w:pPr>
          </w:p>
        </w:tc>
        <w:tc>
          <w:tcPr>
            <w:tcW w:w="12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198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040" w:type="dxa"/>
            <w:vAlign w:val="bottom"/>
            <w:gridSpan w:val="2"/>
          </w:tcPr>
          <w:p>
            <w:pPr>
              <w:jc w:val="right"/>
              <w:ind w:right="1020"/>
              <w:spacing w:after="0" w:line="156" w:lineRule="exact"/>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gridSpan w:val="2"/>
          </w:tcPr>
          <w:p>
            <w:pPr>
              <w:jc w:val="center"/>
              <w:ind w:right="234"/>
              <w:spacing w:after="0" w:line="156"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160" w:type="dxa"/>
            <w:vAlign w:val="bottom"/>
          </w:tcPr>
          <w:p>
            <w:pPr>
              <w:spacing w:after="0"/>
              <w:rPr>
                <w:sz w:val="15"/>
                <w:szCs w:val="15"/>
                <w:color w:val="auto"/>
              </w:rPr>
            </w:pPr>
          </w:p>
        </w:tc>
        <w:tc>
          <w:tcPr>
            <w:tcW w:w="128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w w:val="99"/>
              </w:rPr>
              <w:t>Vested</w:t>
            </w:r>
            <w:r>
              <w:rPr>
                <w:rFonts w:ascii="Times New Roman" w:cs="Times New Roman" w:eastAsia="Times New Roman" w:hAnsi="Times New Roman"/>
                <w:sz w:val="10"/>
                <w:szCs w:val="10"/>
                <w:b w:val="1"/>
                <w:bCs w:val="1"/>
                <w:color w:val="auto"/>
                <w:w w:val="99"/>
              </w:rPr>
              <w:t>(2)</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1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July 14, 2021</w:t>
            </w:r>
          </w:p>
        </w:tc>
        <w:tc>
          <w:tcPr>
            <w:tcW w:w="26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February 1, 2021</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4,866,000</w:t>
            </w:r>
          </w:p>
        </w:tc>
        <w:tc>
          <w:tcPr>
            <w:tcW w:w="320" w:type="dxa"/>
            <w:vAlign w:val="bottom"/>
            <w:tcBorders>
              <w:top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w w:val="92"/>
              </w:rPr>
              <w:t>(3)</w:t>
            </w:r>
          </w:p>
        </w:tc>
        <w:tc>
          <w:tcPr>
            <w:tcW w:w="1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248,360,640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December 11, 2017</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July 31, 2017</w:t>
            </w:r>
          </w:p>
        </w:tc>
        <w:tc>
          <w:tcPr>
            <w:tcW w:w="13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24,000</w:t>
            </w:r>
            <w:r>
              <w:rPr>
                <w:rFonts w:ascii="Times New Roman" w:cs="Times New Roman" w:eastAsia="Times New Roman" w:hAnsi="Times New Roman"/>
                <w:sz w:val="26"/>
                <w:szCs w:val="26"/>
                <w:color w:val="auto"/>
                <w:vertAlign w:val="superscript"/>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1,224,960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March 13, 2018</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24, 2018</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26,000</w:t>
            </w:r>
            <w:r>
              <w:rPr>
                <w:rFonts w:ascii="Times New Roman" w:cs="Times New Roman" w:eastAsia="Times New Roman" w:hAnsi="Times New Roman"/>
                <w:sz w:val="24"/>
                <w:szCs w:val="24"/>
                <w:color w:val="auto"/>
                <w:vertAlign w:val="superscript"/>
              </w:rPr>
              <w:t>(4)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17, 2019</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2019</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15, 2020</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2020</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20,000</w:t>
            </w:r>
            <w:r>
              <w:rPr>
                <w:rFonts w:ascii="Times New Roman" w:cs="Times New Roman" w:eastAsia="Times New Roman" w:hAnsi="Times New Roman"/>
                <w:sz w:val="24"/>
                <w:szCs w:val="24"/>
                <w:color w:val="auto"/>
                <w:vertAlign w:val="superscript"/>
              </w:rPr>
              <w:t>(3)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1,020,800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March 9, 2021</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March 13, 2018</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September 25, 2017</w:t>
            </w:r>
          </w:p>
        </w:tc>
        <w:tc>
          <w:tcPr>
            <w:tcW w:w="13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26"/>
                <w:szCs w:val="26"/>
                <w:color w:val="auto"/>
                <w:vertAlign w:val="superscript"/>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5,104,000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17, 2019</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2019</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24"/>
                <w:szCs w:val="24"/>
                <w:color w:val="auto"/>
                <w:vertAlign w:val="superscript"/>
              </w:rPr>
              <w:t>(4)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October 16, 2019</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October 16, 2019</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150,000</w:t>
            </w:r>
            <w:r>
              <w:rPr>
                <w:rFonts w:ascii="Times New Roman" w:cs="Times New Roman" w:eastAsia="Times New Roman" w:hAnsi="Times New Roman"/>
                <w:sz w:val="24"/>
                <w:szCs w:val="24"/>
                <w:color w:val="auto"/>
                <w:vertAlign w:val="superscript"/>
              </w:rPr>
              <w:t>(3)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3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3,500</w:t>
            </w:r>
            <w:r>
              <w:rPr>
                <w:rFonts w:ascii="Times New Roman" w:cs="Times New Roman" w:eastAsia="Times New Roman" w:hAnsi="Times New Roman"/>
                <w:sz w:val="26"/>
                <w:szCs w:val="26"/>
                <w:color w:val="auto"/>
                <w:vertAlign w:val="superscript"/>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178,640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ind w:left="460" w:hanging="455"/>
        <w:spacing w:after="0" w:line="253"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awards listed in this table represent RSUs or PSUs, as applicable, granted pursuant to our 2015 Plan, the terms of which are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Equity Incentive Plans—2015 Stock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fair market value of a share of our common stock of $51.04 as of November 17, 2021 as determined by our board of directors, multiplied by the amount shown in the column “Stock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Number of Shares or Units of Stock that Have Not Vested.”</w:t>
      </w:r>
    </w:p>
    <w:p>
      <w:pPr>
        <w:jc w:val="both"/>
        <w:ind w:left="460" w:hanging="455"/>
        <w:spacing w:after="0" w:line="243"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PSUs vest on the one-year anniversary of the vesting commencement date and 1/12 of the remaining PSUs vest quarterly thereafter, provided that the recipient remains in continuous service with us through each vesting date, and subject to the earlier to occur of (i) the consummation of this offering and (ii) a change in control of our company, which we refer to as a Liquidity Event. These PSUs shall only become settleable into our common stock if, on the date on which such Liquidity Event occurs, the valuation of our company equals or exceeds $6 billion, as determined by our board of directors in its sole discretion.</w:t>
      </w:r>
    </w:p>
    <w:p>
      <w:pPr>
        <w:spacing w:after="0" w:line="2"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RSUs vest on the one-year anniversary of the vesting commencement date and 1/12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fifth of these RSUs vest on the one-year anniversary of the vesting commencement date and 1/16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ind w:left="460" w:hanging="455"/>
        <w:spacing w:after="0" w:line="247"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have satisfied the service-based vesting requirement, and will become fully vested and settleable upon the occurrence of a Liquidity Event, provided that the recipient remains in continuous service with us through such vesting date.</w:t>
      </w:r>
    </w:p>
    <w:p>
      <w:pPr>
        <w:spacing w:after="0" w:line="186"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“—Employment Arrangements” for a description of vesting acceleration applicable to stock awards held by our named executive officers.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may in the future, on an annual basis or otherwise, grant additional equity awards to our executive officers pursuant to our 2022 Plan the terms of which are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Equity Incentive Plans—2022 Equity Incentive Plan.”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340"/>
          </w:cols>
          <w:pgMar w:left="320" w:top="448" w:right="2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January 2022, we entered into revised employment agreements with each of our named executive officers setting forth the terms and conditions of such executive’s employment with us. The employment agreements generally provide for at-will employment and set forth the executive officer’s initial base salary. Each of our named executive officers has also executed our standard form of proprietary information and inventions assignment agreement. Our current named executive officers are eligible to participate in our employee benefit plans, including our medical, dental, vision, disability and life insurance plans, in each case on the same basis as all of our other employees. Other than as described herein, we generally do not provide perquisites or personal benefits to our named executive officers.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Eric Lefkofsky</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Lefkofsky, our Chief Executive Officer, effective January 2022. Mr. Lefkofsky’s employment agreement provides for an annual base salary of $0, which is subject to review and adjustment by the company in its sole discretion.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the event of a Change in Control (as defined in our 2015 Plan), 100% of Mr. Lefkofsky’s then-unvested equity will immediately accelerate, vest and become exercisable.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James Rogers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Rogers, our Chief Financial Officer, effective January 2022. Mr. Rogers’ employment agreement provides for an annual base salary of $450,000, which is subject to review and adjustment by the company in its sole discretion.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Under the terms of his employment agreement, if Mr. Rogers resigns for Good Reason or we terminate his employment without Cause (each as defined in his employment agreement), then Mr. Rogers will be eligible to receive salary continuation and reimbursement of premiums to continue health care benefits for a period of twelve months, subject to his execution of a general release in favor of our company. Further, if Mr. Rogers resigns for Good Reason or we terminate Mr. Rogers’ employment without Cause, in either case in the event of a Change in Control (as defined in our 2015 Plan), 100% of his then-unvested equity will immediately accelerate, vest and become exercisable.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Ryan Fukushima</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Fukushima, our Chief Operating Officer, effective January 2022. Mr. Fukushima’s employment agreement provides for an annual base salary of $500,000, which is subject to review and adjustment by the company in its sole discretion.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Under the terms of his employment agreement, if Mr. Fukushima resigns for Good Reason or we terminate his employment without Cause (each as defined in his employment agreement), then Mr. Fukushima will be eligible to receive salary continuation and reimbursement of premiums to continue health care benefits for a period of twelve months, subject to his execution of a general release in favor of our company. Further, if Mr. Fukushima resigns for Good Reason or we terminate Mr. Fukushima’s employment without Cause, in either case in the event of a Change in Control (as defined in our 2015 Plan), 100% of his then-unvested equity will immediately accelerate, vest and become exercisable.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2022 Equity Incentive Plan</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board of directors has adopted the 2022 Equity Incentive Plan, or the 2022 Plan, that will become effective on the date of the underwriting agreement related to this offering. Our 2022 Plan will come into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340"/>
          </w:cols>
          <w:pgMar w:left="320" w:top="448" w:right="2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existence upon its adoption by our board of directors, but no grants will be made under our 2022 Plan prior to its effectiveness. Once our 2022 Plan becomes effective, no further grants will be made under our 2015 Plan.</w:t>
      </w:r>
    </w:p>
    <w:p>
      <w:pPr>
        <w:spacing w:after="0" w:line="168"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Our 2022 Plan provides for the grant of incentive stock options, or ISOs, nonstatutory stock options, or NSOs, stock appreciation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awards, restricted stock unit awards, performance-based awards and other awards, or collectively,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81"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i w:val="1"/>
          <w:iCs w:val="1"/>
          <w:color w:val="auto"/>
        </w:rPr>
        <w:t>Authorized Shares</w:t>
      </w:r>
      <w:r>
        <w:rPr>
          <w:rFonts w:ascii="Times New Roman" w:cs="Times New Roman" w:eastAsia="Times New Roman" w:hAnsi="Times New Roman"/>
          <w:sz w:val="16"/>
          <w:szCs w:val="16"/>
          <w:color w:val="auto"/>
        </w:rPr>
        <w:t>. The maximum number of shares of our Class A common stock that may be issued under our 2022 Plan is 10,000,000 shares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Class A common stock. The number of shares of our Class A common stock reserved for issuance under our 2022 Plan will automatically increase on January 1 of each year, beginning on January 1, 2023, and continuing through and including January 1, 2032, by 3% of the aggregate number of shares of common stock (both Class A and Class B) outstanding on December 31 of the preceding calendar year, or a lesser number of shares determined by our board of directors prior to the applicable January 1. The maximum number of shares that may be issued upon the exercise of ISOs under our 2022 Plan is 30,000,000 shares.</w:t>
      </w:r>
    </w:p>
    <w:p>
      <w:pPr>
        <w:spacing w:after="0" w:line="158"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Shares issued under our 2022 Plan will be authorized but unissued or reacquired shares of Class A common stock. Shares subject to awards granted under our 2022 Plan that expire or terminate without being exercised in full, or that are paid out in cash rather than in shares, will not reduce the number of shares available for issuance under our 2022 Plan. Additionally, shares issued pursuant to awards under our 2022 Plan that we repurchase or that are forfeited, as well as shares used to pay the exercise price of an award or to satisfy the tax withholding obligations to an award, will become available for future grant under our 2022 Plan.</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maximum number of shares of our Class A common stock subject to stock awards granted under the 2022 Plan or otherwise during any calendar year beginning in 2022 to any non-employee director, taken together with any cash fees paid by us to such non-employee director during such calendar year for service on the board of directors, will not exceed $750,000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w:t>
      </w:r>
    </w:p>
    <w:p>
      <w:pPr>
        <w:spacing w:after="0" w:line="185"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duly authorized committee of our board, may administer our 2022 Plan. Our board of directors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delegated concurrent authority to administer our 2022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administrator has the authority to determine the terms of awards, including recipients, the exercise, purchase or strike price of awards, if any, the number of shares subject to each award, the fair market value of a share of our Class A common stock, the vesting schedule applicable to the awards, together with any vesting acceleration, and the form of consideration, if any, payable upon exercise or settlement of the award and the terms of the award agreements for use under our 2022 Plan.</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subject to the terms of the 2022 Plan, the administrator also has the power to modify outstanding awards under our 2022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340"/>
          </w:cols>
          <w:pgMar w:left="320" w:top="448" w:right="2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pursuant to stock option agreements adopted by the administrator. The administrator determines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for a stock option, within the terms and conditions of the 2021 Plan, provided that the exercise price of a stock option generally cannot be less than 100% of the fair market value of our Class A common stock on the date of grant. Options granted under the 2022 Plan vest at the rate specified in the stock option agreement as specified in the stock option agreement by the administrator.</w:t>
      </w:r>
    </w:p>
    <w:p>
      <w:pPr>
        <w:spacing w:after="0" w:line="18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administrator determines the term of stock options granted under the 2022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61"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Acceptable consideration for the purchase of our Class A common stock issued upon the exercise of a stock option will be determined by the administrator and may include (1) cash, check, bank draft or money order, (2) a broker-assisted cashless exercise, (3) the tender of shares of Class A common stock previously owned by the optionholder, (4) a net exercise of the option if it is an NSO and (5) other legal consideration approved by the administrator.</w:t>
      </w:r>
    </w:p>
    <w:p>
      <w:pPr>
        <w:spacing w:after="0" w:line="14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78"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i w:val="1"/>
          <w:iCs w:val="1"/>
          <w:color w:val="auto"/>
        </w:rPr>
        <w:t>Tax Limitations on ISOs</w:t>
      </w:r>
      <w:r>
        <w:rPr>
          <w:rFonts w:ascii="Times New Roman" w:cs="Times New Roman" w:eastAsia="Times New Roman" w:hAnsi="Times New Roman"/>
          <w:sz w:val="16"/>
          <w:szCs w:val="16"/>
          <w:color w:val="auto"/>
        </w:rPr>
        <w:t>. The aggregate fair market value, determined at the time of grant, of our Class A common stock with respect to ISOs that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5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pursuant to restricted stock award agreements adopted by the administrator.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may be granted in consideration for cash, check, bank draft or money order, services rendered to us or our affiliates or any other form of legal consideration. Class A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87"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 awards are granted pursuant to restricted stock unit award agreements adopted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340"/>
          </w:cols>
          <w:pgMar w:left="320" w:top="448" w:right="2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78"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are granted pursuant to stock appreciation right grant agreements adopted by the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determines the strike price for a stock appreciation right, which generally cannot be less than 100% of the fair market value of our Class A common stock on the date of grant. Upon the exercise of a stock appreciation right, we will pay the participant an amount equal to the product of (1) the excess of the per share fair market value of our Class A common stock on the date of exercise over the strike price, multiplied by (2) the number of shares of our Class A common stock with respect to which the stock appreciation right is exercised. A stock appreciation right granted under the 2022 Plan vests at the rate specified in the stock appreciation right agreement as determined by the administrator.</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administrator determines the term of stock appreciation rights granted under the 2022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89"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Our 2022 Plan permits the grant of performance-based stock and cash awards. The compensation committee can structure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so that the stock or cash will be issued or paid pursuant to such award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w:t>
      </w:r>
    </w:p>
    <w:p>
      <w:pPr>
        <w:spacing w:after="0" w:line="18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340"/>
          </w:cols>
          <w:pgMar w:left="320" w:top="448" w:right="2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Other Awards</w:t>
      </w:r>
      <w:r>
        <w:rPr>
          <w:rFonts w:ascii="Times New Roman" w:cs="Times New Roman" w:eastAsia="Times New Roman" w:hAnsi="Times New Roman"/>
          <w:sz w:val="18"/>
          <w:szCs w:val="18"/>
          <w:color w:val="auto"/>
        </w:rPr>
        <w:t>. The administrator may grant other awards based in whole or in part by reference to our Class A common stock. The administrator will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under the award and all other terms and conditions of such awards.</w:t>
      </w:r>
    </w:p>
    <w:p>
      <w:pPr>
        <w:spacing w:after="0" w:line="16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Changes to Capital Structure</w:t>
      </w:r>
      <w:r>
        <w:rPr>
          <w:rFonts w:ascii="Times New Roman" w:cs="Times New Roman" w:eastAsia="Times New Roman" w:hAnsi="Times New Roman"/>
          <w:sz w:val="16"/>
          <w:szCs w:val="16"/>
          <w:color w:val="auto"/>
        </w:rPr>
        <w:t>. In the event there is a specified type of change in our capital structure, such as a stock split, reverse stock split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recapitalization, appropriate adjustments will be made to (1) the class and maximum number of shares reserved for issuance under the 2022 Plan; (2) 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5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i w:val="1"/>
          <w:iCs w:val="1"/>
          <w:color w:val="auto"/>
        </w:rPr>
        <w:t>Corporate Transactions</w:t>
      </w:r>
      <w:r>
        <w:rPr>
          <w:rFonts w:ascii="Times New Roman" w:cs="Times New Roman" w:eastAsia="Times New Roman" w:hAnsi="Times New Roman"/>
          <w:sz w:val="16"/>
          <w:szCs w:val="16"/>
          <w:color w:val="auto"/>
        </w:rPr>
        <w:t>. The following applies to stock awards under the 2022 Plan in the event of a corporate transaction, unless otherwise provided in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participant’s stock award agreement or other written agreement with us or one of our affiliates or unless otherwise expressly provided by the administrator at the time of grant. Under the 2022 Plan, a corporate transaction is generally the consummation of (1) a sale or other disposition of all or substantially all of our assets,</w:t>
      </w:r>
    </w:p>
    <w:p>
      <w:pPr>
        <w:spacing w:after="0" w:line="1" w:lineRule="exact"/>
        <w:rPr>
          <w:sz w:val="20"/>
          <w:szCs w:val="20"/>
          <w:color w:val="auto"/>
        </w:rPr>
      </w:pPr>
    </w:p>
    <w:p>
      <w:pPr>
        <w:jc w:val="both"/>
        <w:ind w:firstLine="5"/>
        <w:spacing w:after="0" w:line="245" w:lineRule="auto"/>
        <w:tabs>
          <w:tab w:leader="none" w:pos="26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88"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the event of a corporate transaction, any stock awards outstanding under the 2022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19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168"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 participant may not transfer awards under our 2022 Plan other than by will, the laws of descent and distribution or as otherwise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2022 Plan.</w:t>
      </w:r>
    </w:p>
    <w:p>
      <w:pPr>
        <w:spacing w:after="0" w:line="164"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Plan Amendment or Termination</w:t>
      </w:r>
      <w:r>
        <w:rPr>
          <w:rFonts w:ascii="Times New Roman" w:cs="Times New Roman" w:eastAsia="Times New Roman" w:hAnsi="Times New Roman"/>
          <w:sz w:val="18"/>
          <w:szCs w:val="18"/>
          <w:color w:val="auto"/>
        </w:rPr>
        <w:t>. Our board has the authority to amend, suspend or terminate our 2022 Plan, provided that such action does not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 the existing rights of any participant without such participant’s written consent. Certain material amendments also require the approval of our stockholders. No ISOs may be granted after the tenth anniversary of the date our board adopted our 2022 Plan. No awards may be granted under our 2022 Plan while it is suspended or after it is terminated.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340"/>
          </w:cols>
          <w:pgMar w:left="320" w:top="448" w:right="2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Employee Stock Purchase Plan</w:t>
      </w:r>
    </w:p>
    <w:p>
      <w:pPr>
        <w:spacing w:after="0" w:line="21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board of directors has adopted the ESPP that will become effective immediately prior to and contingent upon the date of the underwriting agreement related to this offering. The purpose of our ESPP will be to secure the services of new employees, to retain the services of existing employees, and to provide incentives for such individuals to exert maximum efforts toward our success and that of our affiliates. The ESPP is implemented through a series of offerings with specific terms approved by the administrator and under which eligible employees are granted purchase rights to purchase shares of our Class A common stock on specified dates during such offerings. Generally, all regular employees, including executive officers, employed by us or by any of our designated affiliates, may participate in the ESPP and may contribute, normally through payroll deductions, with a maximum dollar amount as designated by the administrator. The maximum aggregate number of shares of our Class A common stock that may be issued under our ESPP is 3,000,000 shares. The number of shares of our Class A common stock reserved for issuance under our ESPP will automatically increase on January 1 of each calendar year, beginning on January 1, 2023 and continuing through and including January 1, 2032, by the lesser of (1) 2% of the aggregate number of shares of common stock (both Class A and Class B) outstanding on December 31 of the preceding calendar year, (2) 6,000,000 shares and (3) a number of shares determined by our board. Shares subject to purchase rights granted under our ESPP that terminate without having been exercised in full will not reduce the number of shares available for issuance under our ESPP. Our board, or a duly authorized committee thereof, will administer our ESPP. The implementation of the ESPP and the terms of the offerings thereunder, if any, will be in the discretion of the administrator. The administrator does not currently have any intention to make offerings available under the ESPP.</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2015 Stock Plan</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 2015 Plan was adopted by our board of directors and approved by our stockholders in September 2015. Our 2015 Plan has been periodically amended, most recently in February 2022. The 2015 Plan provides for the grant of ISOs, NSOs, restricted stock awards, RSUs, PSUs, and other stock-based awards. Our employees, officers, directors, consultants and advisors are eligible to receive awards under the 2015 Plan; however, ISOs may only be granted to our employees.</w:t>
      </w:r>
    </w:p>
    <w:p>
      <w:pPr>
        <w:spacing w:after="0" w:line="14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As of December 31, 2021, there were 16,339,419 shares of common stock issuable upon the vesting and settlement of RSUs and PSUs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under the 2015 Plan, there were 4,250,000 shares of restricted stock outstanding under the 2015 Plan, there were 210,000 shares of common stock issuable upon the exercise of stock options outstanding under the 2015 Plan at an exercise price of $0.8542 per share, no options to purchase shares of our common stock had been exercised, and 1,098,364 shares of common stock were available for future issuance under the 2015 Plan. In February 2022, we increased the share reserve under the 2015 plan by 3,000,000 shares. On and after the effective date of the 2022 Plan described above, we will grant no further stock options or other awards under the 2015 Plan.</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Subject to certain adjustments as provided in the 2015 Plan, the maximum aggregate number of shares of our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issued pursuant to awards under the 2015 Plan will not exceed 25,115,750 shares. The maximum number of shares of Class A common stock that may be issued pursuant to the exercise of ISOs under our 2015 Plan is 25,115,750 shares. Shares issued under our 2015 Plan will consist of authorized but unissued or reacquired shares of common stock or any combination thereof. Shares subject to awards granted under our 2015 Plan that expire, terminate, are cancelled without having been exercised or settled in full, are forfeited or repurchased for an amount not greater than the recipient’s exercise or purchase price, will again become available for future grant under our 2015 Plan. Further, shares of Class A common stock tendered to us by a participant to exercise an award shall be added to shares of Class A common stock available for the grant of awards under the 2015 Plan. Additionally, shares underlying awards that are paid out in cash rather than in shares or withheld or reacquired to satisfy tax withholding obligations related to an award, will not reduce the number of shares available for issuance under our 2015 Plan.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340"/>
          </w:cols>
          <w:pgMar w:left="320" w:top="448" w:right="2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2015 Plan is administered by our board of directors. Our board of directors has broad discretion to administer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power and authority to determine the eligible individuals to whom awards will be granted, the number and type of awards to be granted and the terms and conditions of awards. The board may also accelerate the vesting or exercise of any award, reprice or otherwise adjust the exercise price of options or grant a new option in substitution for any option and make all other determinations, perform all other actions with respect to the 2015 Plan or any award thereunder as the board deems advisable to the extent not inconsistent with the provisions of the 2015 Plan or applicable law.</w:t>
      </w:r>
    </w:p>
    <w:p>
      <w:pPr>
        <w:spacing w:after="0" w:line="18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i w:val="1"/>
          <w:iCs w:val="1"/>
          <w:color w:val="auto"/>
        </w:rPr>
        <w:t>Stock Options</w:t>
      </w:r>
      <w:r>
        <w:rPr>
          <w:rFonts w:ascii="Times New Roman" w:cs="Times New Roman" w:eastAsia="Times New Roman" w:hAnsi="Times New Roman"/>
          <w:sz w:val="16"/>
          <w:szCs w:val="16"/>
          <w:color w:val="auto"/>
        </w:rPr>
        <w:t>. ISOs and NSOs granted under the 2015 Plan are evidenced by award agreements established by our board of directors. Our board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determines the exercise price of the stock options, within the terms and conditions of the 2015 Plan, provided that the exercise price of a stock option generally cannot be less than 100% of the fair market value of a share of Class A common stock on the date of grant. Options granted under the 2015 Plan vest at the rate specified in the option agreement as determined by the board. The term of an option may not exceed 10 years. Unless the board provides otherwise, if a participant’s service relationship with us, our parent or subsidiary, or collectively, our affiliates, ceases for any reason other than due to the participant’s disability or death or a termination for cause, the participant may generally exercise any vested options for a period of three months following the cessation of service. This period may be extended in the event that exercise of the option is prohibited by applicable securities laws. If a participant’s service relationship with us or our affiliates ceases due to disability or death, the participant’s legal representative or a beneficiary may generally exercise any vested options for a period of 12 months following the cessation of service. In the event that a participant’s service relationship with us is terminated for cause, options held by the participant will terminate in their entirety upon the termination date. In no event may an option be exercised beyond the expiration of its term.</w:t>
      </w:r>
    </w:p>
    <w:p>
      <w:pPr>
        <w:spacing w:after="0" w:line="372"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an award consisting of ISOs that are exercisable for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by a participant during any calendar year under all of our stock plans may not exceed $100,000. Options or portions thereof that exceed such limit will generally be treated as NSOs. No ISO may be granted to any person who, at the time of the grant, owns or is deemed to own shares of common stock possessing more than 10% of our total combined voting power unless (1) the option exercise price is at least 110% of the fair market value of the shares of common stock subject to the option on the date of grant and (2) the term of the ISO does not exceed five years from the date of grant.</w:t>
      </w:r>
    </w:p>
    <w:p>
      <w:pPr>
        <w:spacing w:after="0" w:line="18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RSAs may be granted in the form of restricted stock bonuses, which are shares of Class A common stock for which no monetary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is required, or restricted stock purchase rights, which are shares of Class A common stock for which a purchase price must be paid. Our board of directors determines the terms and conditions of RSAs, including purchase price, if any, vesting and forfeiture terms. In general, during any vesting period, a participant will have all of the rights of a stockholder holding shares of Class A common stock. If determined by the board and provided in an award agreement, dividends distributed prior to vesting will be subject to the same restrictions and risk of forfeiture as the restricted stock with respect to which the distribution was made. Except as otherwise provided in an award agreement, if a participant’s service relationship with us ends for any reason, (1) we may repurchase any shares acquired pursuant to a restricted stock purchase right that remains subject to vesting conditions upon a participant’s termination and (2) the participant will forfeit any shares under a restricted stock bonus award that have not vested as of the date of termination.</w:t>
      </w:r>
    </w:p>
    <w:p>
      <w:pPr>
        <w:spacing w:after="0" w:line="186"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An RSU represents the right to receive on a future date or event a share of Class A common stock or an amount of cash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lieu thereof. RSU awards may be granted in consideration for services actually rendered to us or our affiliates or for the benefit of us or our affiliates. An RSU award may be settled in cash or by delivery of stock or other property as deemed appropriate by the board. Additionally, if provided in the award agreement, dividend equivalents may be credited in respect of shares covered by an RSU award. Except as otherwise provided in the applicable award agreement, RSU awards that have not vested will be forfeited once the participant’s continuous service ends for any reason.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general, RSU awards that have been granted under the 2015 Plan are subject to both a multi-year service-based vesting requirement and a “Liquidity Event” vesting requirement. The Liquidity Event requirement will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340"/>
          </w:cols>
          <w:pgMar w:left="320" w:top="448" w:right="2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satisfied on the first to occur of: (1) a change in control (as described below) or (2) the effective date of a registration statement under the Securities Act of 1933, as amended, or the Securities Act, for the sale of our Class A common stock, or the Liquidity Event Date. The RSU awards vest as follows:</w:t>
      </w:r>
    </w:p>
    <w:p>
      <w:pPr>
        <w:spacing w:after="0" w:line="78" w:lineRule="exact"/>
        <w:rPr>
          <w:sz w:val="20"/>
          <w:szCs w:val="20"/>
          <w:color w:val="auto"/>
        </w:rPr>
      </w:pPr>
    </w:p>
    <w:p>
      <w:pPr>
        <w:ind w:left="1000" w:hanging="549"/>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RSUs will vest prior to the Liquidity Event Date.</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prior to the first anniversary of the vesting start date, then no RSUs will vest on the Liquidity Event Date and thereafter 1/16th of the RSUs will vest for each full three months of continuous service elapsed from the first anniversary of the vesting start date, subject to the participant’s continuous service.</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on or after the first anniversary of the vesting start date but prior to the second anniversary of the vesting start date, then 1/4th of the RSUs will vest on the Liquidity Event Date and thereafter an additional 1/16th of the RSUs will vest for each full three months of continuous service elapsed from the first anniversary of the vesting start date, subject to the participant’s continuous service.</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after the second anniversary of the vesting start date then 1/16th of the RSUs will vest on the Liquidity Event Date for each full three months that has elapsed since the vesting start date and thereafter an additional 1/16th of the RSUs will vest for each full three months that occurs from the vesting start date, subject to the participant’s continuous service.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also granted Performance-Vesting Restricted Stock Unit awards, or PSUs, which include both a Liquidity Event vesting requirement and a performance-vesting condition. Like the RSU awards, the Liquidity Event requirement of the PSUs will be satisfied on the Liquidity Event Date. The performance-vesting condition of the PSUs will be satisfied in full, if, on the Liquidity Event Date, the total enterprise valuation of the company equals or exceeds $6 billion, subject to certain adjustments as described in the 2015 Plan.</w:t>
      </w:r>
    </w:p>
    <w:p>
      <w:pPr>
        <w:spacing w:after="0" w:line="182"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Awards are generally not transferable other than by will or the laws of descent and distribution. The board, in its discretion, may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transfers of options as set forth in an award agreement and subject to certain securities law restrictions.</w:t>
      </w:r>
    </w:p>
    <w:p>
      <w:pPr>
        <w:spacing w:after="0" w:line="164"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event of certain corporate events or changes in our capitalization, the board will make adjustments to one or more of the number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kind of shares that may be delivered under the 2015 Plan or covered by each outstanding award, the ISO share reserve under the 2015 Plan and the exercise or purchase price per share of outstanding awards in order to prevent dilution or enlargement of the participants’ rights under the 2015 Plan.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Upon a change in control, without the consent of any participant, the board may provide for any one or more of the following:</w:t>
      </w:r>
    </w:p>
    <w:p>
      <w:pPr>
        <w:spacing w:after="0" w:line="123" w:lineRule="exact"/>
        <w:rPr>
          <w:sz w:val="20"/>
          <w:szCs w:val="20"/>
          <w:color w:val="auto"/>
        </w:rPr>
      </w:pPr>
    </w:p>
    <w:p>
      <w:pPr>
        <w:ind w:left="1000" w:hanging="549"/>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exercisability, vesting and/or settlement of an award,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or substitution of outstanding award by a surviving, continuing, successor or purchasing corporation or other business entity (or any parent thereof); or</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to be cancelled, to the extent not vested or exercised before the transaction, in exchange for such cash, stock or other property in an amount equal to the excess, if any, of (1) the fair market value of the consideration paid in the transaction, over (2) any exercise or purchase price payable under such award.</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2015 Plan, a change in control is generally (1) an indirect sale or exchange by our stockholders of securities representing more than 50% of the total combined voting power of then outstanding voting securities entitled to vote generally in the election of directors, (2) a merger or consolidation in which we are a party, (3) the sale, exchange or transfer of all or substantially all our assets, or (4) our complete liquidation or dissolution.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340"/>
          </w:cols>
          <w:pgMar w:left="320" w:top="448" w:right="2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303" w:lineRule="auto"/>
        <w:rPr>
          <w:sz w:val="20"/>
          <w:szCs w:val="20"/>
          <w:color w:val="auto"/>
        </w:rPr>
      </w:pPr>
      <w:r>
        <w:rPr>
          <w:rFonts w:ascii="Times New Roman" w:cs="Times New Roman" w:eastAsia="Times New Roman" w:hAnsi="Times New Roman"/>
          <w:sz w:val="16"/>
          <w:szCs w:val="16"/>
          <w:i w:val="1"/>
          <w:iCs w:val="1"/>
          <w:color w:val="auto"/>
        </w:rPr>
        <w:t>Withholding</w:t>
      </w:r>
      <w:r>
        <w:rPr>
          <w:rFonts w:ascii="Times New Roman" w:cs="Times New Roman" w:eastAsia="Times New Roman" w:hAnsi="Times New Roman"/>
          <w:sz w:val="16"/>
          <w:szCs w:val="16"/>
          <w:color w:val="auto"/>
        </w:rPr>
        <w:t>. We have the right to deduct from any and all payments made under the 2015 Plan, or to require the participant, through payroll withholding,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cash payment or otherwise, to satisfy any federal, state, local and foreign taxes that are required to be withheld. We are under no obligation to deliver shares of common stock or to release shares from an escrow or to make any payment in cash until such tax withholding obligations have been satisfied by the participant.</w:t>
      </w:r>
    </w:p>
    <w:p>
      <w:pPr>
        <w:spacing w:after="0" w:line="14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Plan Amendment and Termination</w:t>
      </w:r>
      <w:r>
        <w:rPr>
          <w:rFonts w:ascii="Times New Roman" w:cs="Times New Roman" w:eastAsia="Times New Roman" w:hAnsi="Times New Roman"/>
          <w:sz w:val="18"/>
          <w:szCs w:val="18"/>
          <w:color w:val="auto"/>
        </w:rPr>
        <w:t>. The 2015 Plan will continue in effect until its termination by our board, provided that all awards under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granted, if at all, within ten (10) years from the date the 2015 Plan was adopted by our board. Our board may amend, suspend or terminate the 2015 Plan at any time, provided that without stockholder approval, the 2015 Plan cannot be amended to increase the number of shares authorized, change the class of persons eligible to receive incentive stock options, or effect any other change that would require stockholder approval under any applicable law or listing rule. In general, no amendment, suspension or termination of the 2015 Plan may have a materially adverse effect on any outstanding award without the consent of the participant.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89" w:lineRule="exact"/>
        <w:rPr>
          <w:sz w:val="20"/>
          <w:szCs w:val="20"/>
          <w:color w:val="auto"/>
        </w:rPr>
      </w:pPr>
    </w:p>
    <w:p>
      <w:pPr>
        <w:ind w:left="1000" w:hanging="549"/>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Our amended and restated certificate of incorporation that will be in effect on the closing of this offering will authorize us to indemnify our directors, officers, employees, and other agents to the fullest extent permitted by Delaware law. Our amended and restated bylaws that will be in effect on the closing of this offering will provide that we are required to indemnify our directors and officers to the fullest extent permitted by Delaware law and may indemnify our other employees and agents. Our amended and restated bylaws that will be in effect on the closing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68"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340"/>
          </w:cols>
          <w:pgMar w:left="320" w:top="448" w:right="2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2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directors and officers may adopt written plans, known as Rule 10b5-1 plans, in which they will contract with a broker to buy or sell shares of our Class A common stock or Class B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340"/>
          </w:cols>
          <w:pgMar w:left="320" w:top="448" w:right="2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1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prospectus, below we describe transactions since January 1, 2019 to which we were a party or will be a party, in which:</w:t>
      </w:r>
    </w:p>
    <w:p>
      <w:pPr>
        <w:spacing w:after="0" w:line="78" w:lineRule="exact"/>
        <w:rPr>
          <w:sz w:val="20"/>
          <w:szCs w:val="20"/>
          <w:color w:val="auto"/>
        </w:rPr>
      </w:pPr>
    </w:p>
    <w:p>
      <w:pPr>
        <w:ind w:left="1000" w:hanging="549"/>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at the time of such transaction, or any member of the immediate family of, or person sharing the household with, the foregoing persons, had or will have a direct or indirect material interest.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E Convertible Preferred Stock Financing</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From August 2018 through April 2019, we sold an aggregate of 6,630,905 shares of our Series E convertible preferred stock at a price per share of $16.7428, for an aggregate purchase price of approximately $111.0 million in private placements to accredited investors. During this period, we issued a total of 7,517,209 shares of our Series E convertible preferred stock, of which 886,304 shares were repurchased from Tempus Series E Investments, LLC at the original issue price per share, for an aggregate repurchase price of approximately $14.8 million, in order to accommodate the issuance and sale of shares of our Series E convertible preferred stock to additional purchasers. The table below sets forth the number of shares of our Series E convertible preferred stock purchased by our executive officers, directors, holders of more than 5% of our capital stock and their affiliated entities or immediate family members. Each share of Series E convertible preferred stock will automatically convert into one share of our Class A common stock upon the closing of this offering. The holders of our Series E convertible preferred stock listed below are entitled to specified registration rights. See the section titled “Description of Capital Stock—Registration Rights” for additional information regarding these registration rights.</w:t>
      </w:r>
    </w:p>
    <w:p>
      <w:pPr>
        <w:spacing w:after="0" w:line="21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5"/>
              </w:rPr>
              <w:t>Number of Series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20" w:type="dxa"/>
            <w:vAlign w:val="bottom"/>
            <w:vMerge w:val="restart"/>
          </w:tcPr>
          <w:p>
            <w:pPr>
              <w:spacing w:after="0"/>
              <w:rPr>
                <w:sz w:val="18"/>
                <w:szCs w:val="18"/>
                <w:color w:val="auto"/>
              </w:rPr>
            </w:pP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E Shares</w:t>
            </w:r>
          </w:p>
        </w:tc>
        <w:tc>
          <w:tcPr>
            <w:tcW w:w="3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320" w:type="dxa"/>
            <w:vAlign w:val="bottom"/>
            <w:vMerge w:val="continue"/>
          </w:tcPr>
          <w:p>
            <w:pPr>
              <w:spacing w:after="0"/>
              <w:rPr>
                <w:sz w:val="20"/>
                <w:szCs w:val="20"/>
                <w:color w:val="auto"/>
              </w:rPr>
            </w:pPr>
          </w:p>
        </w:tc>
        <w:tc>
          <w:tcPr>
            <w:tcW w:w="18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3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New Enterprise Associates 16, L.P.</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358,362</w:t>
            </w:r>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  5,999,983.29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40" w:type="dxa"/>
            <w:vAlign w:val="bottom"/>
            <w:gridSpan w:val="2"/>
          </w:tcPr>
          <w:p>
            <w:pPr>
              <w:spacing w:after="0" w:line="210" w:lineRule="exact"/>
              <w:rPr>
                <w:sz w:val="20"/>
                <w:szCs w:val="20"/>
                <w:color w:val="auto"/>
              </w:rPr>
            </w:pPr>
            <w:r>
              <w:rPr>
                <w:rFonts w:ascii="Times New Roman" w:cs="Times New Roman" w:eastAsia="Times New Roman" w:hAnsi="Times New Roman"/>
                <w:sz w:val="16"/>
                <w:szCs w:val="16"/>
                <w:color w:val="auto"/>
              </w:rPr>
              <w:t>Revolution Growth III, LP</w:t>
            </w:r>
            <w:r>
              <w:rPr>
                <w:rFonts w:ascii="Times New Roman" w:cs="Times New Roman" w:eastAsia="Times New Roman" w:hAnsi="Times New Roman"/>
                <w:sz w:val="24"/>
                <w:szCs w:val="24"/>
                <w:color w:val="auto"/>
                <w:vertAlign w:val="superscript"/>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597,271</w:t>
            </w:r>
          </w:p>
        </w:tc>
        <w:tc>
          <w:tcPr>
            <w:tcW w:w="540" w:type="dxa"/>
            <w:vAlign w:val="bottom"/>
          </w:tcPr>
          <w:p>
            <w:pPr>
              <w:spacing w:after="0"/>
              <w:rPr>
                <w:sz w:val="18"/>
                <w:szCs w:val="18"/>
                <w:color w:val="auto"/>
              </w:rPr>
            </w:pP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9,999,988.90</w:t>
            </w:r>
          </w:p>
        </w:tc>
        <w:tc>
          <w:tcPr>
            <w:tcW w:w="0" w:type="dxa"/>
            <w:vAlign w:val="bottom"/>
          </w:tcPr>
          <w:p>
            <w:pPr>
              <w:spacing w:after="0"/>
              <w:rPr>
                <w:sz w:val="1"/>
                <w:szCs w:val="1"/>
                <w:color w:val="auto"/>
              </w:rPr>
            </w:pPr>
          </w:p>
        </w:tc>
      </w:tr>
      <w:tr>
        <w:trPr>
          <w:trHeight w:val="210"/>
        </w:trPr>
        <w:tc>
          <w:tcPr>
            <w:tcW w:w="624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Tempus Series E Investments, LLC</w:t>
            </w:r>
            <w:r>
              <w:rPr>
                <w:rFonts w:ascii="Times New Roman" w:cs="Times New Roman" w:eastAsia="Times New Roman" w:hAnsi="Times New Roman"/>
                <w:sz w:val="24"/>
                <w:szCs w:val="24"/>
                <w:color w:val="auto"/>
                <w:vertAlign w:val="superscript"/>
              </w:rPr>
              <w:t>(3)</w:t>
            </w:r>
          </w:p>
        </w:tc>
        <w:tc>
          <w:tcPr>
            <w:tcW w:w="1840" w:type="dxa"/>
            <w:vAlign w:val="bottom"/>
            <w:gridSpan w:val="2"/>
            <w:shd w:val="clear" w:color="auto" w:fill="CCEEFF"/>
          </w:tcPr>
          <w:p>
            <w:pPr>
              <w:jc w:val="right"/>
              <w:ind w:right="380"/>
              <w:spacing w:after="0" w:line="210" w:lineRule="exact"/>
              <w:rPr>
                <w:sz w:val="20"/>
                <w:szCs w:val="20"/>
                <w:color w:val="auto"/>
              </w:rPr>
            </w:pPr>
            <w:r>
              <w:rPr>
                <w:rFonts w:ascii="Times New Roman" w:cs="Times New Roman" w:eastAsia="Times New Roman" w:hAnsi="Times New Roman"/>
                <w:sz w:val="16"/>
                <w:szCs w:val="16"/>
                <w:color w:val="auto"/>
              </w:rPr>
              <w:t>1,134,816</w:t>
            </w:r>
            <w:r>
              <w:rPr>
                <w:rFonts w:ascii="Times New Roman" w:cs="Times New Roman" w:eastAsia="Times New Roman" w:hAnsi="Times New Roman"/>
                <w:sz w:val="24"/>
                <w:szCs w:val="24"/>
                <w:color w:val="auto"/>
                <w:vertAlign w:val="superscript"/>
              </w:rPr>
              <w:t>(4)</w:t>
            </w: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18,999,997.32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J. Barris, a member of our board of directors, served as a Managing General Partner at NEA at the time of this transaction.</w:t>
      </w:r>
    </w:p>
    <w:p>
      <w:pPr>
        <w:spacing w:after="0" w:line="20"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Theodore J. Leonsis, a member of our board of directors, is a founder and partner at Revolution Growth..</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Series E Investments, LLC is controlled by Eric Lefkofsky, our Chief Executive Officer, Founder and Chairman.</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Series E Investments, LLC purchased an aggregate of 1,134,816 shares of our Series E convertible preferred stock, of which 886,304 shares were repurchased by us in April 2019. See the section titled “—Repurchases of Equity Securities—Redemptions of Preferred Stock” below. As a result, Tempus Series E Investments, LLC currently owns 248,512 shares of our Series E convertible preferred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F Convertible Preferred Stock Financing</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From April through July 2019, we sold an aggregate of 8,077,674 shares of our Series F convertible preferred stock at a price per share of $24.7596, for an aggregate purchase price of approximately $200.0 million in private placements to accredited investors. During this period, we issued a total of 8,677,006 shares of our Series F convertible preferred stock, of which an aggregate of 599,332 shares of our Series F convertible preferred stock were repurchased from Tempus Series F Investments, LLC in May and July 2019 at the original issue price per share, for an aggregate repurchase price of approximately $14.8 million, in order to accommodate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340"/>
          </w:cols>
          <w:pgMar w:left="320" w:top="448" w:right="2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issuance and sale of shares of our Series F convertible preferred stock to additional purchasers. The table below sets forth the number of shares of our Series F convertible preferred stock purchased by our executive officers, directors, holders of more than 5% of our capital stock and their affiliated entities or immediate family members. Each share of Series F convertible preferred stock will automatically convert into one share of our Class A common stock upon the closing of this offering. The holders of our Series F convertible preferred stock listed below are entitled to specified registration rights. See the section titled “Description of Capital Stock—Registration Rights” for additional information regarding these registration rights.</w:t>
      </w:r>
    </w:p>
    <w:p>
      <w:pPr>
        <w:spacing w:after="0" w:line="211"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260" w:type="dxa"/>
            <w:vAlign w:val="bottom"/>
            <w:vMerge w:val="restart"/>
          </w:tcPr>
          <w:p>
            <w:pPr>
              <w:spacing w:after="0"/>
              <w:rPr>
                <w:sz w:val="18"/>
                <w:szCs w:val="18"/>
                <w:color w:val="auto"/>
              </w:rPr>
            </w:pPr>
          </w:p>
        </w:tc>
        <w:tc>
          <w:tcPr>
            <w:tcW w:w="1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F Shares</w:t>
            </w:r>
          </w:p>
        </w:tc>
        <w:tc>
          <w:tcPr>
            <w:tcW w:w="4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260" w:type="dxa"/>
            <w:vAlign w:val="bottom"/>
            <w:vMerge w:val="continue"/>
          </w:tcPr>
          <w:p>
            <w:pPr>
              <w:spacing w:after="0"/>
              <w:rPr>
                <w:sz w:val="20"/>
                <w:szCs w:val="20"/>
                <w:color w:val="auto"/>
              </w:rPr>
            </w:pPr>
          </w:p>
        </w:tc>
        <w:tc>
          <w:tcPr>
            <w:tcW w:w="1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4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18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New Enterprise Associates 16, L.P.</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ind w:left="740"/>
              <w:spacing w:after="0" w:line="196" w:lineRule="exact"/>
              <w:rPr>
                <w:sz w:val="20"/>
                <w:szCs w:val="20"/>
                <w:color w:val="auto"/>
              </w:rPr>
            </w:pPr>
            <w:r>
              <w:rPr>
                <w:rFonts w:ascii="Times New Roman" w:cs="Times New Roman" w:eastAsia="Times New Roman" w:hAnsi="Times New Roman"/>
                <w:sz w:val="18"/>
                <w:szCs w:val="18"/>
                <w:color w:val="auto"/>
                <w:w w:val="92"/>
              </w:rPr>
              <w:t>403,883</w:t>
            </w:r>
          </w:p>
        </w:tc>
        <w:tc>
          <w:tcPr>
            <w:tcW w:w="5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  9,999,981.53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gridSpan w:val="2"/>
          </w:tcPr>
          <w:p>
            <w:pPr>
              <w:spacing w:after="0" w:line="210" w:lineRule="exact"/>
              <w:rPr>
                <w:sz w:val="20"/>
                <w:szCs w:val="20"/>
                <w:color w:val="auto"/>
              </w:rPr>
            </w:pPr>
            <w:r>
              <w:rPr>
                <w:rFonts w:ascii="Times New Roman" w:cs="Times New Roman" w:eastAsia="Times New Roman" w:hAnsi="Times New Roman"/>
                <w:sz w:val="16"/>
                <w:szCs w:val="16"/>
                <w:color w:val="auto"/>
              </w:rPr>
              <w:t>Revolution Growth III, LP</w:t>
            </w:r>
            <w:r>
              <w:rPr>
                <w:rFonts w:ascii="Times New Roman" w:cs="Times New Roman" w:eastAsia="Times New Roman" w:hAnsi="Times New Roman"/>
                <w:sz w:val="24"/>
                <w:szCs w:val="24"/>
                <w:color w:val="auto"/>
                <w:vertAlign w:val="superscript"/>
              </w:rPr>
              <w:t>(2)</w:t>
            </w:r>
          </w:p>
        </w:tc>
        <w:tc>
          <w:tcPr>
            <w:tcW w:w="18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201,941</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4,999,978.38</w:t>
            </w:r>
          </w:p>
        </w:tc>
        <w:tc>
          <w:tcPr>
            <w:tcW w:w="0" w:type="dxa"/>
            <w:vAlign w:val="bottom"/>
          </w:tcPr>
          <w:p>
            <w:pPr>
              <w:spacing w:after="0"/>
              <w:rPr>
                <w:sz w:val="1"/>
                <w:szCs w:val="1"/>
                <w:color w:val="auto"/>
              </w:rPr>
            </w:pPr>
          </w:p>
        </w:tc>
      </w:tr>
      <w:tr>
        <w:trPr>
          <w:trHeight w:val="210"/>
        </w:trPr>
        <w:tc>
          <w:tcPr>
            <w:tcW w:w="61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Tempus Series F Investments, LLC</w:t>
            </w:r>
            <w:r>
              <w:rPr>
                <w:rFonts w:ascii="Times New Roman" w:cs="Times New Roman" w:eastAsia="Times New Roman" w:hAnsi="Times New Roman"/>
                <w:sz w:val="24"/>
                <w:szCs w:val="24"/>
                <w:color w:val="auto"/>
                <w:vertAlign w:val="superscript"/>
              </w:rPr>
              <w:t>(3)</w:t>
            </w:r>
          </w:p>
        </w:tc>
        <w:tc>
          <w:tcPr>
            <w:tcW w:w="1860" w:type="dxa"/>
            <w:vAlign w:val="bottom"/>
            <w:gridSpan w:val="2"/>
            <w:shd w:val="clear" w:color="auto" w:fill="CCEEFF"/>
          </w:tcPr>
          <w:p>
            <w:pPr>
              <w:ind w:left="740"/>
              <w:spacing w:after="0" w:line="210" w:lineRule="exact"/>
              <w:rPr>
                <w:sz w:val="20"/>
                <w:szCs w:val="20"/>
                <w:color w:val="auto"/>
              </w:rPr>
            </w:pPr>
            <w:r>
              <w:rPr>
                <w:rFonts w:ascii="Times New Roman" w:cs="Times New Roman" w:eastAsia="Times New Roman" w:hAnsi="Times New Roman"/>
                <w:sz w:val="16"/>
                <w:szCs w:val="16"/>
                <w:color w:val="auto"/>
              </w:rPr>
              <w:t>599,332</w:t>
            </w:r>
            <w:r>
              <w:rPr>
                <w:rFonts w:ascii="Times New Roman" w:cs="Times New Roman" w:eastAsia="Times New Roman" w:hAnsi="Times New Roman"/>
                <w:sz w:val="24"/>
                <w:szCs w:val="24"/>
                <w:color w:val="auto"/>
                <w:vertAlign w:val="superscript"/>
              </w:rPr>
              <w:t>(4)</w:t>
            </w:r>
          </w:p>
        </w:tc>
        <w:tc>
          <w:tcPr>
            <w:tcW w:w="1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14,839,220.59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J. Barris, a member of our board of directors, served as a Managing General Partner at NEA at the time of this transaction.</w:t>
      </w:r>
    </w:p>
    <w:p>
      <w:pPr>
        <w:spacing w:after="0" w:line="20"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Theodore J. Leonsis, a member of our board of directors, is a founder and partner at Revolution Growth.</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Series F Investments, LLC is controlled by Eric Lefkofsky, our Chief Executive Officer, Founder and Chairman.</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91" w:lineRule="auto"/>
        <w:tabs>
          <w:tab w:leader="none" w:pos="46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Tempus Series F Investments, LLC purchased an aggregate of 599,332 shares of our Series F convertible preferred stock, of which 203,521 shares were repurchased by us in May 2019 and the remaining 395,811 shares were repurchased by us in July 2019. See the section titled “—Repurchases of Equity Securities—Redemptions of Preferred Stock” below. As a result, Tempus Series F Investments, LLC is no longer a stockholder of our company.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 Convertible Preferred Stock Financing</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From February through April 2020, we sold an aggregate of 2,537,290 shares of our Series G convertible preferred stock at a price per share of $38.3524, for an aggregate purchase price of approximately $97.3 million in private placements to accredited investors. During this period, we issued a total of 2,667,660 shares of our Series G convertible preferred stock, of which 130,370 shares of our Series G convertible preferred stock were repurchased from Tempus Series G Investments, LLC at the original issue price per share, for an aggregate repurchase price of approximately $5.0 million, in order to accommodate the issuance and sale of shares of our Series G convertible preferred stock to an additional purchaser. The table below sets forth the number of shares of our Series G convertible preferred stock purchased by our executive officers, directors, holders of more than 5% of our capital stock and their affiliated entities or immediate family members. Each share of Series G convertible preferred stock will automatically convert into one share of our Class A common stock upon the closing of this offering. The holders of our Series G convertible preferred stock listed below are entitled to specified registration rights. See the section titled “Description of Capital Stock—Registration Rights” for additional information regarding these registration rights.</w:t>
      </w:r>
    </w:p>
    <w:p>
      <w:pPr>
        <w:spacing w:after="0" w:line="21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260" w:type="dxa"/>
            <w:vAlign w:val="bottom"/>
            <w:vMerge w:val="restart"/>
          </w:tcPr>
          <w:p>
            <w:pPr>
              <w:spacing w:after="0"/>
              <w:rPr>
                <w:sz w:val="18"/>
                <w:szCs w:val="18"/>
                <w:color w:val="auto"/>
              </w:rPr>
            </w:pPr>
          </w:p>
        </w:tc>
        <w:tc>
          <w:tcPr>
            <w:tcW w:w="18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G Shares</w:t>
            </w:r>
          </w:p>
        </w:tc>
        <w:tc>
          <w:tcPr>
            <w:tcW w:w="4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260" w:type="dxa"/>
            <w:vAlign w:val="bottom"/>
            <w:vMerge w:val="continue"/>
          </w:tcPr>
          <w:p>
            <w:pPr>
              <w:spacing w:after="0"/>
              <w:rPr>
                <w:sz w:val="20"/>
                <w:szCs w:val="20"/>
                <w:color w:val="auto"/>
              </w:rPr>
            </w:pPr>
          </w:p>
        </w:tc>
        <w:tc>
          <w:tcPr>
            <w:tcW w:w="1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4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18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Innovation Group Investors, L.P. – 2011 Series</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ind w:left="740"/>
              <w:spacing w:after="0" w:line="196" w:lineRule="exact"/>
              <w:rPr>
                <w:sz w:val="20"/>
                <w:szCs w:val="20"/>
                <w:color w:val="auto"/>
              </w:rPr>
            </w:pPr>
            <w:r>
              <w:rPr>
                <w:rFonts w:ascii="Times New Roman" w:cs="Times New Roman" w:eastAsia="Times New Roman" w:hAnsi="Times New Roman"/>
                <w:sz w:val="18"/>
                <w:szCs w:val="18"/>
                <w:color w:val="auto"/>
                <w:w w:val="92"/>
              </w:rPr>
              <w:t>130,370</w:t>
            </w:r>
          </w:p>
        </w:tc>
        <w:tc>
          <w:tcPr>
            <w:tcW w:w="5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  5,000,000.63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gridSpan w:val="2"/>
          </w:tcPr>
          <w:p>
            <w:pPr>
              <w:spacing w:after="0" w:line="210" w:lineRule="exact"/>
              <w:rPr>
                <w:sz w:val="20"/>
                <w:szCs w:val="20"/>
                <w:color w:val="auto"/>
              </w:rPr>
            </w:pPr>
            <w:r>
              <w:rPr>
                <w:rFonts w:ascii="Times New Roman" w:cs="Times New Roman" w:eastAsia="Times New Roman" w:hAnsi="Times New Roman"/>
                <w:sz w:val="16"/>
                <w:szCs w:val="16"/>
                <w:color w:val="auto"/>
              </w:rPr>
              <w:t>New Enterprise Associates 16, L.P.</w:t>
            </w:r>
            <w:r>
              <w:rPr>
                <w:rFonts w:ascii="Times New Roman" w:cs="Times New Roman" w:eastAsia="Times New Roman" w:hAnsi="Times New Roman"/>
                <w:sz w:val="24"/>
                <w:szCs w:val="24"/>
                <w:color w:val="auto"/>
                <w:vertAlign w:val="superscript"/>
              </w:rPr>
              <w:t>(2)</w:t>
            </w:r>
          </w:p>
        </w:tc>
        <w:tc>
          <w:tcPr>
            <w:tcW w:w="18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182,517</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6,999,962.52</w:t>
            </w:r>
          </w:p>
        </w:tc>
        <w:tc>
          <w:tcPr>
            <w:tcW w:w="0" w:type="dxa"/>
            <w:vAlign w:val="bottom"/>
          </w:tcPr>
          <w:p>
            <w:pPr>
              <w:spacing w:after="0"/>
              <w:rPr>
                <w:sz w:val="1"/>
                <w:szCs w:val="1"/>
                <w:color w:val="auto"/>
              </w:rPr>
            </w:pPr>
          </w:p>
        </w:tc>
      </w:tr>
      <w:tr>
        <w:trPr>
          <w:trHeight w:val="210"/>
        </w:trPr>
        <w:tc>
          <w:tcPr>
            <w:tcW w:w="61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 xml:space="preserve">Novo Holdings A/S </w:t>
            </w:r>
            <w:r>
              <w:rPr>
                <w:rFonts w:ascii="Times New Roman" w:cs="Times New Roman" w:eastAsia="Times New Roman" w:hAnsi="Times New Roman"/>
                <w:sz w:val="24"/>
                <w:szCs w:val="24"/>
                <w:color w:val="auto"/>
                <w:vertAlign w:val="superscript"/>
              </w:rPr>
              <w:t>(3)</w:t>
            </w:r>
          </w:p>
        </w:tc>
        <w:tc>
          <w:tcPr>
            <w:tcW w:w="18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260,739</w:t>
            </w:r>
          </w:p>
        </w:tc>
        <w:tc>
          <w:tcPr>
            <w:tcW w:w="1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9,999,962.90</w:t>
            </w:r>
          </w:p>
        </w:tc>
        <w:tc>
          <w:tcPr>
            <w:tcW w:w="0" w:type="dxa"/>
            <w:vAlign w:val="bottom"/>
          </w:tcPr>
          <w:p>
            <w:pPr>
              <w:spacing w:after="0"/>
              <w:rPr>
                <w:sz w:val="1"/>
                <w:szCs w:val="1"/>
                <w:color w:val="auto"/>
              </w:rPr>
            </w:pPr>
          </w:p>
        </w:tc>
      </w:tr>
      <w:tr>
        <w:trPr>
          <w:trHeight w:val="34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Tempus Series G Investments, LLC</w:t>
            </w:r>
            <w:r>
              <w:rPr>
                <w:rFonts w:ascii="Times New Roman" w:cs="Times New Roman" w:eastAsia="Times New Roman" w:hAnsi="Times New Roman"/>
                <w:sz w:val="26"/>
                <w:szCs w:val="26"/>
                <w:color w:val="auto"/>
                <w:vertAlign w:val="superscript"/>
              </w:rPr>
              <w:t>(1)</w:t>
            </w:r>
          </w:p>
        </w:tc>
        <w:tc>
          <w:tcPr>
            <w:tcW w:w="18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451,378</w:t>
            </w:r>
            <w:r>
              <w:rPr>
                <w:rFonts w:ascii="Times New Roman" w:cs="Times New Roman" w:eastAsia="Times New Roman" w:hAnsi="Times New Roman"/>
                <w:sz w:val="26"/>
                <w:szCs w:val="26"/>
                <w:color w:val="auto"/>
                <w:vertAlign w:val="superscript"/>
              </w:rPr>
              <w:t>(4)</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17,311,426.08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9184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9" w:lineRule="exact"/>
        <w:rPr>
          <w:sz w:val="20"/>
          <w:szCs w:val="20"/>
          <w:color w:val="auto"/>
        </w:rPr>
      </w:pPr>
    </w:p>
    <w:p>
      <w:pPr>
        <w:ind w:left="460" w:hanging="455"/>
        <w:spacing w:after="0" w:line="253" w:lineRule="auto"/>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Innovation Group Investors, L.P. – 2011 Series and Tempus Series G Investments, LLC is affiliated with and controlled by Eric Lefkofsky, our Chief Executive Officer, Founder and Chairman.</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J. Barris, a member of our board of directors, served as a Managing General Partner at NEA at the time of this transaction.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340"/>
          </w:cols>
          <w:pgMar w:left="320" w:top="448" w:right="2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hanging="455"/>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Ghenchev, a member of our board of directors, is the Head of Novo Growth at Novo Holdings A/S.</w:t>
      </w:r>
    </w:p>
    <w:p>
      <w:pPr>
        <w:spacing w:after="0" w:line="20"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Series G Investments, LLC purchased an aggregate of 451,378 shares of our Series G convertible preferred stock, of which 130,370 shares were repurchased by us in April 2020. See the section titled “—Repurchases of Equity Securities—Redemptions of Preferred Stock” below. As a result, Tempus Series G Investments, LLC currently owns 321,008 shares of our Series G convertible preferred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G-2 Convertible Preferred Stock Financing</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November 2020 and January 2021, we sold an aggregate of 3,453,139 shares of our Series G-2 convertible preferred stock at a price per share of $57.3069 for an aggregate purchase price of approximately $189.0 million in private placements to accredited investors. During this period, we issued a total of 3,584,015 shares of our Series G-2 convertible preferred stock, of which 130,876 shares of our Series G-2 convertible preferred stock were repurchased from Blue Media, LLC at the original issue price per share, for an aggregate repurchase price of approximately $7.5 million, in order to accommodate the issuance and sale of shares of our Series G-2 convertible preferred stock to additional purchasers. The table below sets forth the number of shares of our Series G-2 convertible preferred stock purchased by our executive officers, directors, holders of more than 5% of our capital stock, and their affiliated entities or immediate family members. Each share of Series G-2 convertible preferred stock will automatically convert into one share of our Class A common stock upon the closing of this offering. The holders of our Series G-2 convertible preferred stock listed below are entitled to specified registration rights. See the section titled “Description of Capital Stock—Registration Rights” for additional information regarding these registration rights.</w:t>
      </w:r>
    </w:p>
    <w:p>
      <w:pPr>
        <w:spacing w:after="0" w:line="21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20" w:type="dxa"/>
            <w:vAlign w:val="bottom"/>
            <w:vMerge w:val="restart"/>
          </w:tcPr>
          <w:p>
            <w:pPr>
              <w:spacing w:after="0"/>
              <w:rPr>
                <w:sz w:val="18"/>
                <w:szCs w:val="18"/>
                <w:color w:val="auto"/>
              </w:rPr>
            </w:pPr>
          </w:p>
        </w:tc>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G-2 Shares</w:t>
            </w:r>
          </w:p>
        </w:tc>
        <w:tc>
          <w:tcPr>
            <w:tcW w:w="3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320" w:type="dxa"/>
            <w:vAlign w:val="bottom"/>
            <w:vMerge w:val="continue"/>
          </w:tcPr>
          <w:p>
            <w:pPr>
              <w:spacing w:after="0"/>
              <w:rPr>
                <w:sz w:val="20"/>
                <w:szCs w:val="20"/>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3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Novo Holdings A/S</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ind w:left="740"/>
              <w:spacing w:after="0" w:line="196" w:lineRule="exact"/>
              <w:rPr>
                <w:sz w:val="20"/>
                <w:szCs w:val="20"/>
                <w:color w:val="auto"/>
              </w:rPr>
            </w:pPr>
            <w:r>
              <w:rPr>
                <w:rFonts w:ascii="Times New Roman" w:cs="Times New Roman" w:eastAsia="Times New Roman" w:hAnsi="Times New Roman"/>
                <w:sz w:val="18"/>
                <w:szCs w:val="18"/>
                <w:color w:val="auto"/>
                <w:w w:val="92"/>
              </w:rPr>
              <w:t>261,748</w:t>
            </w:r>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$ 14,999,966.47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 Media, LLC</w:t>
            </w:r>
            <w:r>
              <w:rPr>
                <w:rFonts w:ascii="Times New Roman" w:cs="Times New Roman" w:eastAsia="Times New Roman" w:hAnsi="Times New Roman"/>
                <w:sz w:val="26"/>
                <w:szCs w:val="26"/>
                <w:color w:val="auto"/>
                <w:vertAlign w:val="superscript"/>
              </w:rPr>
              <w:t>(2)</w:t>
            </w:r>
          </w:p>
        </w:tc>
        <w:tc>
          <w:tcPr>
            <w:tcW w:w="18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130,876</w:t>
            </w:r>
            <w:r>
              <w:rPr>
                <w:rFonts w:ascii="Times New Roman" w:cs="Times New Roman" w:eastAsia="Times New Roman" w:hAnsi="Times New Roman"/>
                <w:sz w:val="26"/>
                <w:szCs w:val="26"/>
                <w:color w:val="auto"/>
                <w:vertAlign w:val="superscript"/>
              </w:rPr>
              <w:t>(3)</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7,500,097.84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ind w:left="460" w:hanging="455"/>
        <w:spacing w:after="0"/>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Ghenchev, a member of our board of directors, is the Head of Novo Growth at Novo Holdings A/S.</w:t>
      </w:r>
    </w:p>
    <w:p>
      <w:pPr>
        <w:spacing w:after="0" w:line="20"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purchased an aggregate of 130,876 shares of our Series G-2 convertible preferred stock, all of which were repurchased by us in January 2021. See the section titled “—Repurchases of Equity Securities—Redemptions of Preferred Stock” below. As a result, Blue Media, LLC is no longer a holder of our Series G-2 convertible preferred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G-3 Convertible Preferred Stock Financing</w:t>
      </w:r>
    </w:p>
    <w:p>
      <w:pPr>
        <w:spacing w:after="0" w:line="11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In April 2022, we sold an aggregate of 1,483,242 shares of our Series G-3 convertible preferred stock at a price per share of $57.3069 for an aggregate purchase price of approximately $85.0 million in private placements to accredited investors. As of the date hereof we have received $68.5 million of the committed $85.0 million, with the remainder committed from one additional investor, which is due by April 29, 2022. As part of the Series G-3 Financing, we may sell up to an additional 2,006,739 shares of Series G-3 preferred stock within sixty days from April 18, 2022. The table below sets forth the number of shares of our Series G-3 preferred stock purchased by our executive officers, directors, holders of more than 5% of our capital stock, and their affiliated entities or immediate family members. The terms of our Series G-3 preferred stock provide that in the event of an initial public offering of our common stock, each share of Series G-3 preferred stock would be converted into a number of shares of our Class A common stock equal to (i) $57.3069 per share, plus any accrued and unpaid dividends on such share, divided by (ii) the lesser of (a) $51.5762 and (b) 90% of the public offering price in this offering (or, if this offering is completed after June 30, 2023, 85% of the public offering price in this offering). The holders of our G-3 convertible preferred stock listed below are entitled to specified registration rights. See the section titled “Description of Capital Stock—Registration Rights” for additional information regarding these registration rights.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340"/>
          </w:cols>
          <w:pgMar w:left="320" w:top="448" w:right="23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195"/>
        </w:trPr>
        <w:tc>
          <w:tcPr>
            <w:tcW w:w="70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8"/>
        </w:trPr>
        <w:tc>
          <w:tcPr>
            <w:tcW w:w="8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7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00" w:type="dxa"/>
            <w:vAlign w:val="bottom"/>
            <w:vMerge w:val="restart"/>
          </w:tcPr>
          <w:p>
            <w:pPr>
              <w:spacing w:after="0"/>
              <w:rPr>
                <w:sz w:val="18"/>
                <w:szCs w:val="18"/>
                <w:color w:val="auto"/>
              </w:rPr>
            </w:pPr>
          </w:p>
        </w:tc>
        <w:tc>
          <w:tcPr>
            <w:tcW w:w="17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5"/>
              </w:rPr>
              <w:t>G-3 Shares</w:t>
            </w:r>
          </w:p>
        </w:tc>
        <w:tc>
          <w:tcPr>
            <w:tcW w:w="480" w:type="dxa"/>
            <w:vAlign w:val="bottom"/>
          </w:tcPr>
          <w:p>
            <w:pPr>
              <w:spacing w:after="0"/>
              <w:rPr>
                <w:sz w:val="18"/>
                <w:szCs w:val="18"/>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920" w:type="dxa"/>
            <w:vAlign w:val="bottom"/>
            <w:tcBorders>
              <w:bottom w:val="single" w:sz="8" w:color="auto"/>
            </w:tcBorders>
            <w:gridSpan w:val="2"/>
            <w:vMerge w:val="continue"/>
          </w:tcPr>
          <w:p>
            <w:pPr>
              <w:spacing w:after="0"/>
              <w:rPr>
                <w:sz w:val="20"/>
                <w:szCs w:val="20"/>
                <w:color w:val="auto"/>
              </w:rPr>
            </w:pPr>
          </w:p>
        </w:tc>
        <w:tc>
          <w:tcPr>
            <w:tcW w:w="5300" w:type="dxa"/>
            <w:vAlign w:val="bottom"/>
            <w:vMerge w:val="continue"/>
          </w:tcPr>
          <w:p>
            <w:pPr>
              <w:spacing w:after="0"/>
              <w:rPr>
                <w:sz w:val="20"/>
                <w:szCs w:val="20"/>
                <w:color w:val="auto"/>
              </w:rPr>
            </w:pPr>
          </w:p>
        </w:tc>
        <w:tc>
          <w:tcPr>
            <w:tcW w:w="17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480" w:type="dxa"/>
            <w:vAlign w:val="bottom"/>
          </w:tcPr>
          <w:p>
            <w:pPr>
              <w:spacing w:after="0"/>
              <w:rPr>
                <w:sz w:val="20"/>
                <w:szCs w:val="20"/>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Purchase Price</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220" w:type="dxa"/>
            <w:vAlign w:val="bottom"/>
            <w:tcBorders>
              <w:top w:val="single" w:sz="8" w:color="CCEEFF"/>
            </w:tcBorders>
            <w:gridSpan w:val="3"/>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Blue Media, LLC</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61,074</w:t>
            </w: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  3,499,961.61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Voting, and Right of First Refusal and Co-Sale Agreements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our convertible preferred stock financings, we entered into investor rights, voting, right of first refusal, and co-sale agreements containing registration rights, information rights, voting rights, board representation rights, indemnification provisions and rights of first refusal, among other things, with certain holders of our convertible preferred stock and certain holders of our common stock, including entities affiliated with Eric Lefkofsky and Keeks, LLC.</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covenants included in these stockholder agreements generally will terminate upon the closing of this offering, except with respect to registration rights, as more fully described in the section titled “Description of Capital Stock—Registration Rights.” See also the section titled “Principal and Selling Stockholders” for additional information regarding beneficial ownership of our capital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Property Leases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January 2018, we entered into an office lease with a third-party landlord in connection with which Lightbank LLC was allowed to terminate its then-outstanding lease with the landlord. We received $1.5 million from Lightbank LLC to be amortized over the course of the lease, of which $1.0 million remains to be amortized. We currently sublease a portion of this office space to Lightbank LLC, Lefkofsky Family Foundation and 346 Investment Partners, each an entity affiliated with and controlled by Mr. Lefkofsky, on a month-to-month basis. As of December 31, 2021, we have received an aggregate of $0.2 million in sublease income from these related parties.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Aircraft for Business Travel</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entered into an arm’s length arrangement in 2018 pursuant to which we charter for business use an aircraft owned by 346 Investment Partners LLC, an entity affiliated with and controlled by Mr. Lefkofsky, through a third-party aircraft management company, which in turn reimburses 346 Investment Partners LLC at market rates. As of December 31, 2021, we have paid an aggregate of $0.2 million to 346 Investment Partners LLC pursuant to this arrangement.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Pathos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August 2021, we entered into a master agreement with Pathos AI, Inc., or, Pathos, a healthcare company co-founded by Mr. Lefkofsky, our Chief Executive Officer, Founder and Chairman, and Mr. Fukushima, our Chief Operating Officer. Mr. Lefkofsky currently serves as Executive Chairman and a member of Pathos’ board of directors. As of the date of this prospectus, we have a warrant to purchase 23,456,790 shares, or approximately 19% of the current outstanding equity in Pathos, for $.0125 per share. The warrant will automatically exercise upon a change of control (as defined therein) or upon an initial public offering of Pathos’ securities. Pursuant to this master agreement, we granted Pathos a limited, non-exclusive, revocable, non-transferable right and license, without right of sublicense, to access and download certain de-identified records from our proprietary database. Pathos in turn agreed to pay us certain license fees depending on the number of de-identified records it elects to license during the term of the master agreement. Pathos also agreed to pay us a subscription fee equal to $0.4 million per year for access to our Lens product for the term of the master agreement. The master agreement provides for an initial term of five years, with a subsequent five-year renewal provision unless the agreement is terminated. Pathos may own certain analysis, summaries, reports or other information it creates with, or based upon, the de-identified data it licenses from us, and it may continue to use such information following termination of the agreement. Either party may terminate the agreement after the initial five-year term by prior</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340"/>
          </w:cols>
          <w:pgMar w:left="320" w:top="443" w:right="2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written notice to the other party. In March 2022, Pathos paid us its first annual subscription fee of $0.4 million. As of the date of this prospectus, we have not exercised the warrant to purchase shares of Pathos common stock.</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March 2022, we and Pathos entered into a sequencing pilot project under the master agreement pursuant to which we will run our xT NGS assay on 15 samples provided by Pathos in exchange for a one-time discounted fee of less than $0.1 million.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April 2022, we and Pathos entered into a non-exclusive analytical services program under the master agreement pursuant to which we will provide services to help Pathos use our de-identified data to answer research and development questions posed by Pathos. Under the program, we will initially provide 500 hours of analytical services to Pathos over 6 months in exchange for increasing by $0.1 million the annual subscription fee payable by Pathos. Pathos has the right to extend the program either in six month increments or by increasing by 1,000 the number of analytical services hours we provide in any six-month period. In each case, the fee paid by Pathos will increase proportionally.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 to Directors and Executive Officers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granted RSUs to certain of our directors and executive officers. For more information regarding the stock awards granted to our directors and named executive officers, see the sections titled “Management—Non-Employee Director Compensation” and “Executive Compensation.”</w:t>
      </w:r>
    </w:p>
    <w:p>
      <w:pPr>
        <w:spacing w:after="0" w:line="273" w:lineRule="exact"/>
        <w:rPr>
          <w:sz w:val="20"/>
          <w:szCs w:val="20"/>
          <w:color w:val="auto"/>
        </w:rPr>
      </w:pPr>
    </w:p>
    <w:p>
      <w:pPr>
        <w:jc w:val="center"/>
        <w:ind w:right="8880"/>
        <w:spacing w:after="0"/>
        <w:rPr>
          <w:sz w:val="20"/>
          <w:szCs w:val="20"/>
          <w:color w:val="auto"/>
        </w:rPr>
      </w:pPr>
      <w:r>
        <w:rPr>
          <w:rFonts w:ascii="Times New Roman" w:cs="Times New Roman" w:eastAsia="Times New Roman" w:hAnsi="Times New Roman"/>
          <w:sz w:val="16"/>
          <w:szCs w:val="16"/>
          <w:b w:val="1"/>
          <w:bCs w:val="1"/>
          <w:color w:val="auto"/>
        </w:rPr>
        <w:t>Repurchases of Equity Securities</w:t>
      </w:r>
    </w:p>
    <w:p>
      <w:pPr>
        <w:spacing w:after="0" w:line="129" w:lineRule="exact"/>
        <w:rPr>
          <w:sz w:val="20"/>
          <w:szCs w:val="20"/>
          <w:color w:val="auto"/>
        </w:rPr>
      </w:pPr>
    </w:p>
    <w:p>
      <w:pPr>
        <w:jc w:val="center"/>
        <w:ind w:right="8860"/>
        <w:spacing w:after="0"/>
        <w:rPr>
          <w:sz w:val="20"/>
          <w:szCs w:val="20"/>
          <w:color w:val="auto"/>
        </w:rPr>
      </w:pPr>
      <w:r>
        <w:rPr>
          <w:rFonts w:ascii="Times New Roman" w:cs="Times New Roman" w:eastAsia="Times New Roman" w:hAnsi="Times New Roman"/>
          <w:sz w:val="18"/>
          <w:szCs w:val="18"/>
          <w:b w:val="1"/>
          <w:bCs w:val="1"/>
          <w:i w:val="1"/>
          <w:iCs w:val="1"/>
          <w:color w:val="auto"/>
        </w:rPr>
        <w:t>Redemptions of RSUs</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In September 2019, we entered into a redemption agreement with Ryan Fukushima, our Chief Operating Officer. Pursuant to the redemption agreement, we repurchased 100,000 vested RSUs from Mr. Fukushima at a purchase price of $9.64 per RSU, for an aggregate repurchase price of approximately $1.0 million.</w:t>
      </w:r>
    </w:p>
    <w:p>
      <w:pPr>
        <w:spacing w:after="0" w:line="2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Redemptions of Common and Preferred Stock</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April 2020, we repurchased an aggregate of 190,639 shares of voting common stock from the Lefkofsky Family Foundation, an organization affiliated with Eric Lefkofsky, for a total purchase price of approximately $7.3 million.</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from April 2019 to January 2021, we repurchased an aggregate of 3,493,205 shares of various series of convertible preferred stock from entities affiliated with and controlled by Eric Lefkofsky at the original issue price for a total purchase price of approximately $56.5 million. Such repurchases were affected in order to accommodate the issuance and sale of convertible preferred stock to additional purchasers.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Acceleration of Vesting for RSUs</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May 2017, we granted 300,000 RSUs to Erik Phelps, our Executive Vice President and Chief Administrative and Legal Officer, pursuant to a restricted stock unit agreement. In April 2021, our board of directors approved a waiver of a vesting condition such that 8,725 of the RSUs held by Mr. Phelps immediately vested and settled for 8,725 shares of our Class A common stock, 873 of the RSUs were cancelled, and 290,402 of the RSUs remain outstanding.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contain provisions limiting the liability of directors, and our amended and restated bylaws that will be in effect on the closing of this offering will provide that we will indemnify each of our directors and officers to the fullest extent permitted under Delaware law. Our amended and restated certificate of incorporation and amended and restated bylaws that will be in effect on the closing of this offering will also provide our board of directors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340"/>
          </w:cols>
          <w:pgMar w:left="320" w:top="448" w:right="2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Prior to the closing of this offering, we intend to adopt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340"/>
          </w:cols>
          <w:pgMar w:left="320" w:top="448" w:right="2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December 31, 2021 by:</w:t>
      </w:r>
    </w:p>
    <w:p>
      <w:pPr>
        <w:spacing w:after="0" w:line="121" w:lineRule="exact"/>
        <w:rPr>
          <w:sz w:val="20"/>
          <w:szCs w:val="20"/>
          <w:color w:val="auto"/>
        </w:rPr>
      </w:pPr>
    </w:p>
    <w:p>
      <w:pPr>
        <w:ind w:left="1000" w:hanging="549"/>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or entity known by us to own beneficially more than 5% of our Class A common stock and Class B common stock (by number or by voting power).</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4"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Applicable percentage ownership before this offering is based on shares of Class A common stock and 5,374,899 shares of Class B common stock outstanding as of December 31, 2021, after giving effect to the Series G-3 Financing and assuming the automatic conversion of all outstanding shares of</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redeemable convertible preferred stock, other than our Series B preferred stock, into shares of Class A common stock, assuming an initial public offering price of $ per share, the midpoint of the estimated price range set forth on the cover page of this prospectus, the issuance of Additional</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Class A Conversion Shares assuming an initial public offering price of $ per share, the midpoint of the estimated price range set forth on the cover page of this prospectus, the conversion of all outstanding shares of our Series B convertible preferred stock into 5,374,899 shares of Class B common stock, and the automatic conversion of all outstanding shares of our nonvoting common stock into 4,612,450 shares of Class A common stock, each of which will occur upon the closing of this offering.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Applicable percentage ownership after this offering assumes that the underwriters’ option to purchase additional shares to cover over-allotments, if any,</w:t>
      </w:r>
    </w:p>
    <w:p>
      <w:pPr>
        <w:spacing w:after="0" w:line="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from the selling stockholders is not exercised is based on (1) shares of Class A common stock and (2) 5,374,899 shares of Class B common stock outstanding immediately after the closing of this offering. Applicable percentage ownership after this offering if the underwriters’ option to purchase additional</w:t>
      </w:r>
    </w:p>
    <w:p>
      <w:pPr>
        <w:jc w:val="both"/>
        <w:spacing w:after="0" w:line="244" w:lineRule="auto"/>
        <w:rPr>
          <w:sz w:val="20"/>
          <w:szCs w:val="20"/>
          <w:color w:val="auto"/>
        </w:rPr>
      </w:pPr>
      <w:r>
        <w:rPr>
          <w:rFonts w:ascii="Times New Roman" w:cs="Times New Roman" w:eastAsia="Times New Roman" w:hAnsi="Times New Roman"/>
          <w:sz w:val="18"/>
          <w:szCs w:val="18"/>
          <w:color w:val="auto"/>
        </w:rPr>
        <w:t>shares to cover over-allotments, if any, from the selling stockholders is exercised in full is based on (1) shares of Class A common stock and (2) 5,374,899 shares of Class B common stock outstanding immediately after the closing of this offering. Applicable percentage ownership after this offering also excludes any potential purchases in this offering by the persons and entities named in the table below. In computing the number of shares beneficially owned by a person and the percentage ownership of such person, we deemed to be outstanding all shares subject to RSUs held by the person that would vest based on service-based vesting conditions within 60 days of December 31, 2021. However, except as described above, we did not deem such shares outstanding for the purpose of computing the percentage ownership of any other person.</w:t>
      </w:r>
    </w:p>
    <w:p>
      <w:pPr>
        <w:spacing w:after="0" w:line="19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Tempus Labs, Inc., 600 West Chicago Avenue, Suite 510 Chicago, Illinois 60654.</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340"/>
          </w:cols>
          <w:pgMar w:left="320" w:top="448" w:right="2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ectPr>
          <w:pgSz w:w="11900" w:h="16838" w:orient="portrait"/>
          <w:cols w:equalWidth="0" w:num="1">
            <w:col w:w="11340"/>
          </w:cols>
          <w:pgMar w:left="320" w:top="448" w:right="239" w:bottom="1440" w:gutter="0" w:footer="0" w:header="0"/>
        </w:sectPr>
      </w:pPr>
    </w:p>
    <w:p>
      <w:pPr>
        <w:spacing w:after="0" w:line="28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2720" w:type="dxa"/>
            <w:vAlign w:val="bottom"/>
            <w:gridSpan w:val="6"/>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Beneficial Ownership</w:t>
            </w:r>
          </w:p>
        </w:tc>
        <w:tc>
          <w:tcPr>
            <w:tcW w:w="1860" w:type="dxa"/>
            <w:vAlign w:val="bottom"/>
            <w:gridSpan w:val="4"/>
          </w:tcPr>
          <w:p>
            <w:pPr>
              <w:jc w:val="center"/>
              <w:ind w:left="570"/>
              <w:spacing w:after="0" w:line="145" w:lineRule="exact"/>
              <w:rPr>
                <w:sz w:val="20"/>
                <w:szCs w:val="20"/>
                <w:color w:val="auto"/>
              </w:rPr>
            </w:pPr>
            <w:r>
              <w:rPr>
                <w:rFonts w:ascii="Times New Roman" w:cs="Times New Roman" w:eastAsia="Times New Roman" w:hAnsi="Times New Roman"/>
                <w:sz w:val="14"/>
                <w:szCs w:val="14"/>
                <w:b w:val="1"/>
                <w:bCs w:val="1"/>
                <w:color w:val="auto"/>
              </w:rPr>
              <w:t>After the Offering if</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2720" w:type="dxa"/>
            <w:vAlign w:val="bottom"/>
            <w:gridSpan w:val="6"/>
            <w:vMerge w:val="continue"/>
          </w:tcPr>
          <w:p>
            <w:pPr>
              <w:spacing w:after="0"/>
              <w:rPr>
                <w:sz w:val="12"/>
                <w:szCs w:val="12"/>
                <w:color w:val="auto"/>
              </w:rPr>
            </w:pPr>
          </w:p>
        </w:tc>
        <w:tc>
          <w:tcPr>
            <w:tcW w:w="2520" w:type="dxa"/>
            <w:vAlign w:val="bottom"/>
            <w:gridSpan w:val="5"/>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Underwriters’ Option is Not</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860" w:type="dxa"/>
            <w:vAlign w:val="bottom"/>
          </w:tcPr>
          <w:p>
            <w:pPr>
              <w:spacing w:after="0"/>
              <w:rPr>
                <w:sz w:val="14"/>
                <w:szCs w:val="14"/>
                <w:color w:val="auto"/>
              </w:rPr>
            </w:pPr>
          </w:p>
        </w:tc>
        <w:tc>
          <w:tcPr>
            <w:tcW w:w="1860" w:type="dxa"/>
            <w:vAlign w:val="bottom"/>
            <w:tcBorders>
              <w:bottom w:val="single" w:sz="8" w:color="auto"/>
            </w:tcBorders>
            <w:gridSpan w:val="4"/>
          </w:tcPr>
          <w:p>
            <w:pPr>
              <w:jc w:val="center"/>
              <w:ind w:left="5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Before the Offering</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Exercised</w:t>
            </w:r>
          </w:p>
        </w:tc>
        <w:tc>
          <w:tcPr>
            <w:tcW w:w="660" w:type="dxa"/>
            <w:vAlign w:val="bottom"/>
            <w:tcBorders>
              <w:bottom w:val="single" w:sz="8" w:color="auto"/>
            </w:tcBorders>
          </w:tcPr>
          <w:p>
            <w:pPr>
              <w:spacing w:after="0"/>
              <w:rPr>
                <w:sz w:val="14"/>
                <w:szCs w:val="14"/>
                <w:color w:val="auto"/>
              </w:rPr>
            </w:pPr>
          </w:p>
        </w:tc>
        <w:tc>
          <w:tcPr>
            <w:tcW w:w="900" w:type="dxa"/>
            <w:vAlign w:val="bottom"/>
          </w:tcPr>
          <w:p>
            <w:pPr>
              <w:jc w:val="center"/>
              <w:ind w:left="132"/>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24"/>
        </w:trPr>
        <w:tc>
          <w:tcPr>
            <w:tcW w:w="1860" w:type="dxa"/>
            <w:vAlign w:val="bottom"/>
          </w:tcPr>
          <w:p>
            <w:pPr>
              <w:spacing w:after="0"/>
              <w:rPr>
                <w:sz w:val="10"/>
                <w:szCs w:val="10"/>
                <w:color w:val="auto"/>
              </w:rPr>
            </w:pPr>
          </w:p>
        </w:tc>
        <w:tc>
          <w:tcPr>
            <w:tcW w:w="94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9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200" w:type="dxa"/>
            <w:vAlign w:val="bottom"/>
          </w:tcPr>
          <w:p>
            <w:pPr>
              <w:spacing w:after="0"/>
              <w:rPr>
                <w:sz w:val="10"/>
                <w:szCs w:val="10"/>
                <w:color w:val="auto"/>
              </w:rPr>
            </w:pPr>
          </w:p>
        </w:tc>
        <w:tc>
          <w:tcPr>
            <w:tcW w:w="9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9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900" w:type="dxa"/>
            <w:vAlign w:val="bottom"/>
          </w:tcPr>
          <w:p>
            <w:pPr>
              <w:jc w:val="center"/>
              <w:ind w:left="132"/>
              <w:spacing w:after="0" w:line="125"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94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92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86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9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900" w:type="dxa"/>
            <w:vAlign w:val="bottom"/>
          </w:tcPr>
          <w:p>
            <w:pPr>
              <w:jc w:val="center"/>
              <w:ind w:left="132"/>
              <w:spacing w:after="0" w:line="14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0" w:type="dxa"/>
            <w:vAlign w:val="bottom"/>
          </w:tcPr>
          <w:p>
            <w:pPr>
              <w:spacing w:after="0"/>
              <w:rPr>
                <w:sz w:val="1"/>
                <w:szCs w:val="1"/>
                <w:color w:val="auto"/>
              </w:rPr>
            </w:pPr>
          </w:p>
        </w:tc>
      </w:tr>
      <w:tr>
        <w:trPr>
          <w:trHeight w:val="158"/>
        </w:trPr>
        <w:tc>
          <w:tcPr>
            <w:tcW w:w="1860" w:type="dxa"/>
            <w:vAlign w:val="bottom"/>
            <w:vMerge w:val="restart"/>
          </w:tcPr>
          <w:p>
            <w:pPr>
              <w:jc w:val="center"/>
              <w:ind w:right="670"/>
              <w:spacing w:after="0"/>
              <w:rPr>
                <w:sz w:val="20"/>
                <w:szCs w:val="20"/>
                <w:color w:val="auto"/>
              </w:rPr>
            </w:pPr>
            <w:r>
              <w:rPr>
                <w:rFonts w:ascii="Times New Roman" w:cs="Times New Roman" w:eastAsia="Times New Roman" w:hAnsi="Times New Roman"/>
                <w:sz w:val="14"/>
                <w:szCs w:val="14"/>
                <w:b w:val="1"/>
                <w:bCs w:val="1"/>
                <w:color w:val="auto"/>
                <w:w w:val="99"/>
              </w:rPr>
              <w:t>Name of Beneficial</w:t>
            </w:r>
          </w:p>
        </w:tc>
        <w:tc>
          <w:tcPr>
            <w:tcW w:w="740" w:type="dxa"/>
            <w:vAlign w:val="bottom"/>
            <w:tcBorders>
              <w:bottom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3"/>
                <w:szCs w:val="13"/>
                <w:color w:val="auto"/>
              </w:rPr>
            </w:pPr>
          </w:p>
        </w:tc>
        <w:tc>
          <w:tcPr>
            <w:tcW w:w="86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740" w:type="dxa"/>
            <w:vAlign w:val="bottom"/>
            <w:tcBorders>
              <w:bottom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3"/>
                <w:szCs w:val="13"/>
                <w:color w:val="auto"/>
              </w:rPr>
            </w:pPr>
          </w:p>
        </w:tc>
        <w:tc>
          <w:tcPr>
            <w:tcW w:w="66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900" w:type="dxa"/>
            <w:vAlign w:val="bottom"/>
          </w:tcPr>
          <w:p>
            <w:pPr>
              <w:jc w:val="center"/>
              <w:ind w:left="132"/>
              <w:spacing w:after="0" w:line="157"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0" w:type="dxa"/>
            <w:vAlign w:val="bottom"/>
          </w:tcPr>
          <w:p>
            <w:pPr>
              <w:spacing w:after="0"/>
              <w:rPr>
                <w:sz w:val="1"/>
                <w:szCs w:val="1"/>
                <w:color w:val="auto"/>
              </w:rPr>
            </w:pPr>
          </w:p>
        </w:tc>
      </w:tr>
      <w:tr>
        <w:trPr>
          <w:trHeight w:val="111"/>
        </w:trPr>
        <w:tc>
          <w:tcPr>
            <w:tcW w:w="1860" w:type="dxa"/>
            <w:vAlign w:val="bottom"/>
            <w:vMerge w:val="continue"/>
          </w:tcPr>
          <w:p>
            <w:pPr>
              <w:spacing w:after="0"/>
              <w:rPr>
                <w:sz w:val="9"/>
                <w:szCs w:val="9"/>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u w:val="single" w:color="auto"/>
                <w:color w:val="auto"/>
              </w:rPr>
              <w:t>Shares   %</w:t>
            </w: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u w:val="single" w:color="auto"/>
                <w:color w:val="auto"/>
              </w:rPr>
              <w:t>Shares   %</w:t>
            </w:r>
          </w:p>
        </w:tc>
        <w:tc>
          <w:tcPr>
            <w:tcW w:w="86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2"/>
                <w:szCs w:val="12"/>
                <w:b w:val="1"/>
                <w:bCs w:val="1"/>
                <w:color w:val="auto"/>
              </w:rPr>
              <w:t>Before the</w:t>
            </w: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u w:val="single" w:color="auto"/>
                <w:color w:val="auto"/>
              </w:rPr>
              <w:t>Shares   %</w:t>
            </w: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u w:val="single" w:color="auto"/>
                <w:color w:val="auto"/>
              </w:rPr>
              <w:t>Shares   %</w:t>
            </w:r>
          </w:p>
        </w:tc>
        <w:tc>
          <w:tcPr>
            <w:tcW w:w="66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rPr>
              <w:t>After the</w:t>
            </w:r>
          </w:p>
        </w:tc>
        <w:tc>
          <w:tcPr>
            <w:tcW w:w="900" w:type="dxa"/>
            <w:vAlign w:val="bottom"/>
          </w:tcPr>
          <w:p>
            <w:pPr>
              <w:jc w:val="center"/>
              <w:ind w:left="132"/>
              <w:spacing w:after="0" w:line="111" w:lineRule="exact"/>
              <w:rPr>
                <w:sz w:val="20"/>
                <w:szCs w:val="20"/>
                <w:color w:val="auto"/>
              </w:rPr>
            </w:pPr>
            <w:r>
              <w:rPr>
                <w:rFonts w:ascii="Times New Roman" w:cs="Times New Roman" w:eastAsia="Times New Roman" w:hAnsi="Times New Roman"/>
                <w:sz w:val="12"/>
                <w:szCs w:val="12"/>
                <w:b w:val="1"/>
                <w:bCs w:val="1"/>
                <w:color w:val="auto"/>
              </w:rPr>
              <w:t>Stock Being</w:t>
            </w:r>
          </w:p>
        </w:tc>
        <w:tc>
          <w:tcPr>
            <w:tcW w:w="0" w:type="dxa"/>
            <w:vAlign w:val="bottom"/>
          </w:tcPr>
          <w:p>
            <w:pPr>
              <w:spacing w:after="0"/>
              <w:rPr>
                <w:sz w:val="1"/>
                <w:szCs w:val="1"/>
                <w:color w:val="auto"/>
              </w:rPr>
            </w:pPr>
          </w:p>
        </w:tc>
      </w:tr>
      <w:tr>
        <w:trPr>
          <w:trHeight w:val="177"/>
        </w:trPr>
        <w:tc>
          <w:tcPr>
            <w:tcW w:w="1860" w:type="dxa"/>
            <w:vAlign w:val="bottom"/>
          </w:tcPr>
          <w:p>
            <w:pPr>
              <w:jc w:val="center"/>
              <w:ind w:right="670"/>
              <w:spacing w:after="0"/>
              <w:rPr>
                <w:sz w:val="20"/>
                <w:szCs w:val="20"/>
                <w:color w:val="auto"/>
              </w:rPr>
            </w:pPr>
            <w:r>
              <w:rPr>
                <w:rFonts w:ascii="Times New Roman" w:cs="Times New Roman" w:eastAsia="Times New Roman" w:hAnsi="Times New Roman"/>
                <w:sz w:val="14"/>
                <w:szCs w:val="14"/>
                <w:b w:val="1"/>
                <w:bCs w:val="1"/>
                <w:color w:val="auto"/>
                <w:w w:val="96"/>
              </w:rPr>
              <w:t>Owner</w:t>
            </w:r>
          </w:p>
        </w:tc>
        <w:tc>
          <w:tcPr>
            <w:tcW w:w="94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4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Offering</w:t>
            </w:r>
          </w:p>
        </w:tc>
        <w:tc>
          <w:tcPr>
            <w:tcW w:w="900" w:type="dxa"/>
            <w:vAlign w:val="bottom"/>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97725" cy="1003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97725" cy="100330"/>
                    </a:xfrm>
                    <a:prstGeom prst="rect">
                      <a:avLst/>
                    </a:prstGeom>
                    <a:noFill/>
                  </pic:spPr>
                </pic:pic>
              </a:graphicData>
            </a:graphic>
          </wp:anchor>
        </w:drawing>
      </w:r>
    </w:p>
    <w:p>
      <w:pPr>
        <w:spacing w:after="0" w:line="215" w:lineRule="auto"/>
        <w:rPr>
          <w:sz w:val="20"/>
          <w:szCs w:val="20"/>
          <w:color w:val="auto"/>
        </w:rPr>
      </w:pPr>
      <w:r>
        <w:rPr>
          <w:rFonts w:ascii="Times New Roman" w:cs="Times New Roman" w:eastAsia="Times New Roman" w:hAnsi="Times New Roman"/>
          <w:sz w:val="14"/>
          <w:szCs w:val="14"/>
          <w:b w:val="1"/>
          <w:bCs w:val="1"/>
          <w:color w:val="auto"/>
        </w:rPr>
        <w:t>5% Stockholders:</w:t>
      </w:r>
    </w:p>
    <w:p>
      <w:pPr>
        <w:spacing w:after="0" w:line="215" w:lineRule="auto"/>
        <w:rPr>
          <w:sz w:val="20"/>
          <w:szCs w:val="20"/>
          <w:color w:val="auto"/>
        </w:rPr>
      </w:pPr>
      <w:r>
        <w:rPr>
          <w:rFonts w:ascii="Times New Roman" w:cs="Times New Roman" w:eastAsia="Times New Roman" w:hAnsi="Times New Roman"/>
          <w:sz w:val="14"/>
          <w:szCs w:val="14"/>
          <w:color w:val="auto"/>
        </w:rPr>
        <w:t>Eric Lefkofsky</w:t>
      </w:r>
      <w:r>
        <w:rPr>
          <w:rFonts w:ascii="Times New Roman" w:cs="Times New Roman" w:eastAsia="Times New Roman" w:hAnsi="Times New Roman"/>
          <w:sz w:val="10"/>
          <w:szCs w:val="10"/>
          <w:color w:val="auto"/>
        </w:rPr>
        <w:t>(1)</w:t>
      </w:r>
    </w:p>
    <w:p>
      <w:pPr>
        <w:spacing w:after="0" w:line="215" w:lineRule="auto"/>
        <w:rPr>
          <w:sz w:val="20"/>
          <w:szCs w:val="20"/>
          <w:color w:val="auto"/>
        </w:rPr>
      </w:pPr>
      <w:r>
        <w:rPr>
          <w:rFonts w:ascii="Times New Roman" w:cs="Times New Roman" w:eastAsia="Times New Roman" w:hAnsi="Times New Roman"/>
          <w:sz w:val="14"/>
          <w:szCs w:val="14"/>
          <w:color w:val="auto"/>
        </w:rPr>
        <w:t>Keeks, LLC</w:t>
      </w: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97725" cy="914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p>
      <w:pPr>
        <w:spacing w:after="0" w:line="216" w:lineRule="auto"/>
        <w:rPr>
          <w:sz w:val="20"/>
          <w:szCs w:val="20"/>
          <w:color w:val="auto"/>
        </w:rPr>
      </w:pPr>
      <w:r>
        <w:rPr>
          <w:rFonts w:ascii="Times New Roman" w:cs="Times New Roman" w:eastAsia="Times New Roman" w:hAnsi="Times New Roman"/>
          <w:sz w:val="14"/>
          <w:szCs w:val="14"/>
          <w:b w:val="1"/>
          <w:bCs w:val="1"/>
          <w:color w:val="auto"/>
        </w:rPr>
        <w:t>Other Directors and Named</w:t>
      </w:r>
    </w:p>
    <w:p>
      <w:pPr>
        <w:ind w:left="140"/>
        <w:spacing w:after="0" w:line="215" w:lineRule="auto"/>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215" w:lineRule="auto"/>
        <w:rPr>
          <w:sz w:val="20"/>
          <w:szCs w:val="20"/>
          <w:color w:val="auto"/>
        </w:rPr>
      </w:pPr>
      <w:r>
        <w:rPr>
          <w:rFonts w:ascii="Times New Roman" w:cs="Times New Roman" w:eastAsia="Times New Roman" w:hAnsi="Times New Roman"/>
          <w:sz w:val="14"/>
          <w:szCs w:val="14"/>
          <w:color w:val="auto"/>
        </w:rPr>
        <w:t>Erik Phelps</w:t>
      </w: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97725" cy="914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p>
      <w:pPr>
        <w:spacing w:after="0" w:line="216" w:lineRule="auto"/>
        <w:rPr>
          <w:sz w:val="20"/>
          <w:szCs w:val="20"/>
          <w:color w:val="auto"/>
        </w:rPr>
      </w:pPr>
      <w:r>
        <w:rPr>
          <w:rFonts w:ascii="Times New Roman" w:cs="Times New Roman" w:eastAsia="Times New Roman" w:hAnsi="Times New Roman"/>
          <w:sz w:val="14"/>
          <w:szCs w:val="14"/>
          <w:color w:val="auto"/>
        </w:rPr>
        <w:t>Vanessa Rollings</w:t>
      </w:r>
      <w:r>
        <w:rPr>
          <w:rFonts w:ascii="Times New Roman" w:cs="Times New Roman" w:eastAsia="Times New Roman" w:hAnsi="Times New Roman"/>
          <w:sz w:val="10"/>
          <w:szCs w:val="10"/>
          <w:color w:val="auto"/>
        </w:rPr>
        <w:t>(4)</w:t>
      </w:r>
    </w:p>
    <w:p>
      <w:pPr>
        <w:spacing w:after="0" w:line="215" w:lineRule="auto"/>
        <w:rPr>
          <w:sz w:val="20"/>
          <w:szCs w:val="20"/>
          <w:color w:val="auto"/>
        </w:rPr>
      </w:pPr>
      <w:r>
        <w:rPr>
          <w:rFonts w:ascii="Times New Roman" w:cs="Times New Roman" w:eastAsia="Times New Roman" w:hAnsi="Times New Roman"/>
          <w:sz w:val="14"/>
          <w:szCs w:val="14"/>
          <w:color w:val="auto"/>
        </w:rPr>
        <w:t>Peter J. Barris</w:t>
      </w: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97725" cy="914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p>
      <w:pPr>
        <w:spacing w:after="0" w:line="215" w:lineRule="auto"/>
        <w:rPr>
          <w:sz w:val="20"/>
          <w:szCs w:val="20"/>
          <w:color w:val="auto"/>
        </w:rPr>
      </w:pPr>
      <w:r>
        <w:rPr>
          <w:rFonts w:ascii="Times New Roman" w:cs="Times New Roman" w:eastAsia="Times New Roman" w:hAnsi="Times New Roman"/>
          <w:sz w:val="14"/>
          <w:szCs w:val="14"/>
          <w:color w:val="auto"/>
        </w:rPr>
        <w:t>Eric D. Belcher</w:t>
      </w:r>
    </w:p>
    <w:p>
      <w:pPr>
        <w:spacing w:after="0" w:line="215" w:lineRule="auto"/>
        <w:rPr>
          <w:sz w:val="20"/>
          <w:szCs w:val="20"/>
          <w:color w:val="auto"/>
        </w:rPr>
      </w:pPr>
      <w:r>
        <w:rPr>
          <w:rFonts w:ascii="Times New Roman" w:cs="Times New Roman" w:eastAsia="Times New Roman" w:hAnsi="Times New Roman"/>
          <w:sz w:val="14"/>
          <w:szCs w:val="14"/>
          <w:color w:val="auto"/>
        </w:rPr>
        <w:t>Jennifer A. Doudna, Ph.D.</w:t>
      </w:r>
      <w:r>
        <w:rPr>
          <w:rFonts w:ascii="Times New Roman" w:cs="Times New Roman" w:eastAsia="Times New Roman" w:hAnsi="Times New Roman"/>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97725" cy="914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p>
      <w:pPr>
        <w:spacing w:after="0" w:line="216" w:lineRule="auto"/>
        <w:rPr>
          <w:sz w:val="20"/>
          <w:szCs w:val="20"/>
          <w:color w:val="auto"/>
        </w:rPr>
      </w:pPr>
      <w:r>
        <w:rPr>
          <w:rFonts w:ascii="Times New Roman" w:cs="Times New Roman" w:eastAsia="Times New Roman" w:hAnsi="Times New Roman"/>
          <w:sz w:val="14"/>
          <w:szCs w:val="14"/>
          <w:color w:val="auto"/>
        </w:rPr>
        <w:t>Wayne A.I. Frederick, M.D.</w:t>
      </w:r>
      <w:r>
        <w:rPr>
          <w:rFonts w:ascii="Times New Roman" w:cs="Times New Roman" w:eastAsia="Times New Roman" w:hAnsi="Times New Roman"/>
          <w:sz w:val="10"/>
          <w:szCs w:val="10"/>
          <w:color w:val="auto"/>
        </w:rPr>
        <w:t>(7)</w:t>
      </w:r>
    </w:p>
    <w:p>
      <w:pPr>
        <w:spacing w:after="0" w:line="215" w:lineRule="auto"/>
        <w:rPr>
          <w:sz w:val="20"/>
          <w:szCs w:val="20"/>
          <w:color w:val="auto"/>
        </w:rPr>
      </w:pPr>
      <w:r>
        <w:rPr>
          <w:rFonts w:ascii="Times New Roman" w:cs="Times New Roman" w:eastAsia="Times New Roman" w:hAnsi="Times New Roman"/>
          <w:sz w:val="14"/>
          <w:szCs w:val="14"/>
          <w:color w:val="auto"/>
        </w:rPr>
        <w:t>Robert Ghenchev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97725" cy="914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p>
      <w:pPr>
        <w:spacing w:after="0" w:line="215" w:lineRule="auto"/>
        <w:rPr>
          <w:sz w:val="20"/>
          <w:szCs w:val="20"/>
          <w:color w:val="auto"/>
        </w:rPr>
      </w:pPr>
      <w:r>
        <w:rPr>
          <w:rFonts w:ascii="Times New Roman" w:cs="Times New Roman" w:eastAsia="Times New Roman" w:hAnsi="Times New Roman"/>
          <w:sz w:val="14"/>
          <w:szCs w:val="14"/>
          <w:color w:val="auto"/>
        </w:rPr>
        <w:t>Scott Gottlieb, M.D.</w:t>
      </w:r>
      <w:r>
        <w:rPr>
          <w:rFonts w:ascii="Times New Roman" w:cs="Times New Roman" w:eastAsia="Times New Roman" w:hAnsi="Times New Roman"/>
          <w:sz w:val="10"/>
          <w:szCs w:val="10"/>
          <w:color w:val="auto"/>
        </w:rPr>
        <w:t>(8)</w:t>
      </w:r>
    </w:p>
    <w:p>
      <w:pPr>
        <w:spacing w:after="0" w:line="216" w:lineRule="auto"/>
        <w:rPr>
          <w:sz w:val="20"/>
          <w:szCs w:val="20"/>
          <w:color w:val="auto"/>
        </w:rPr>
      </w:pPr>
      <w:r>
        <w:rPr>
          <w:rFonts w:ascii="Times New Roman" w:cs="Times New Roman" w:eastAsia="Times New Roman" w:hAnsi="Times New Roman"/>
          <w:sz w:val="14"/>
          <w:szCs w:val="14"/>
          <w:color w:val="auto"/>
        </w:rPr>
        <w:t>Theodore J. Leonsis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97725" cy="914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Nadja West, M.D.</w:t>
      </w:r>
      <w:r>
        <w:rPr>
          <w:rFonts w:ascii="Times New Roman" w:cs="Times New Roman" w:eastAsia="Times New Roman" w:hAnsi="Times New Roman"/>
          <w:sz w:val="10"/>
          <w:szCs w:val="10"/>
          <w:color w:val="auto"/>
        </w:rPr>
        <w:t>(9)</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directors and executive officers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97725" cy="1835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97725" cy="183515"/>
                    </a:xfrm>
                    <a:prstGeom prst="rect">
                      <a:avLst/>
                    </a:prstGeom>
                    <a:noFill/>
                  </pic:spPr>
                </pic:pic>
              </a:graphicData>
            </a:graphic>
          </wp:anchor>
        </w:drawing>
      </w:r>
    </w:p>
    <w:p>
      <w:pPr>
        <w:ind w:left="140"/>
        <w:spacing w:after="0" w:line="215" w:lineRule="auto"/>
        <w:rPr>
          <w:sz w:val="20"/>
          <w:szCs w:val="20"/>
          <w:color w:val="auto"/>
        </w:rPr>
      </w:pPr>
      <w:r>
        <w:rPr>
          <w:rFonts w:ascii="Times New Roman" w:cs="Times New Roman" w:eastAsia="Times New Roman" w:hAnsi="Times New Roman"/>
          <w:sz w:val="14"/>
          <w:szCs w:val="14"/>
          <w:color w:val="auto"/>
        </w:rPr>
        <w:t>group (12 persons)</w:t>
      </w:r>
      <w:r>
        <w:rPr>
          <w:rFonts w:ascii="Times New Roman" w:cs="Times New Roman" w:eastAsia="Times New Roman" w:hAnsi="Times New Roman"/>
          <w:sz w:val="10"/>
          <w:szCs w:val="10"/>
          <w:color w:val="auto"/>
        </w:rPr>
        <w:t>(10)</w:t>
      </w:r>
    </w:p>
    <w:p>
      <w:pPr>
        <w:spacing w:after="0"/>
        <w:rPr>
          <w:sz w:val="20"/>
          <w:szCs w:val="20"/>
          <w:color w:val="auto"/>
        </w:rPr>
      </w:pPr>
      <w:r>
        <w:rPr>
          <w:rFonts w:ascii="Times New Roman" w:cs="Times New Roman" w:eastAsia="Times New Roman" w:hAnsi="Times New Roman"/>
          <w:sz w:val="14"/>
          <w:szCs w:val="14"/>
          <w:b w:val="1"/>
          <w:bCs w:val="1"/>
          <w:color w:val="auto"/>
        </w:rPr>
        <w:t>Other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9184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44" w:lineRule="exact"/>
        <w:rPr>
          <w:sz w:val="20"/>
          <w:szCs w:val="20"/>
          <w:color w:val="auto"/>
        </w:rPr>
      </w:pPr>
    </w:p>
    <w:p>
      <w:pPr>
        <w:ind w:left="460" w:hanging="455"/>
        <w:spacing w:after="0"/>
        <w:tabs>
          <w:tab w:leader="none" w:pos="4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center"/>
        <w:ind w:left="540" w:right="40"/>
        <w:spacing w:after="0" w:line="224" w:lineRule="auto"/>
        <w:rPr>
          <w:sz w:val="20"/>
          <w:szCs w:val="20"/>
          <w:color w:val="auto"/>
        </w:rPr>
      </w:pPr>
      <w:r>
        <w:rPr>
          <w:rFonts w:ascii="Times New Roman" w:cs="Times New Roman" w:eastAsia="Times New Roman" w:hAnsi="Times New Roman"/>
          <w:sz w:val="14"/>
          <w:szCs w:val="14"/>
          <w:b w:val="1"/>
          <w:bCs w:val="1"/>
          <w:color w:val="auto"/>
        </w:rPr>
        <w:t>Beneficial Ownership After the Offering if Underwriters’ Option is Exercised in Full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960" w:type="dxa"/>
            <w:vAlign w:val="bottom"/>
            <w:tcBorders>
              <w:top w:val="single" w:sz="8" w:color="auto"/>
            </w:tcBorders>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740" w:type="dxa"/>
            <w:vAlign w:val="bottom"/>
            <w:tcBorders>
              <w:top w:val="single" w:sz="8" w:color="auto"/>
            </w:tcBorders>
            <w:gridSpan w:val="3"/>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0" w:type="dxa"/>
            <w:vAlign w:val="bottom"/>
          </w:tcPr>
          <w:p>
            <w:pPr>
              <w:spacing w:after="0"/>
              <w:rPr>
                <w:sz w:val="1"/>
                <w:szCs w:val="1"/>
                <w:color w:val="auto"/>
              </w:rPr>
            </w:pPr>
          </w:p>
        </w:tc>
      </w:tr>
      <w:tr>
        <w:trPr>
          <w:trHeight w:val="144"/>
        </w:trPr>
        <w:tc>
          <w:tcPr>
            <w:tcW w:w="96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200" w:type="dxa"/>
            <w:vAlign w:val="bottom"/>
          </w:tcPr>
          <w:p>
            <w:pPr>
              <w:spacing w:after="0"/>
              <w:rPr>
                <w:sz w:val="12"/>
                <w:szCs w:val="12"/>
                <w:color w:val="auto"/>
              </w:rPr>
            </w:pPr>
          </w:p>
        </w:tc>
        <w:tc>
          <w:tcPr>
            <w:tcW w:w="6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3"/>
              </w:rPr>
              <w:t>Voting</w:t>
            </w:r>
          </w:p>
        </w:tc>
        <w:tc>
          <w:tcPr>
            <w:tcW w:w="0" w:type="dxa"/>
            <w:vAlign w:val="bottom"/>
          </w:tcPr>
          <w:p>
            <w:pPr>
              <w:spacing w:after="0"/>
              <w:rPr>
                <w:sz w:val="1"/>
                <w:szCs w:val="1"/>
                <w:color w:val="auto"/>
              </w:rPr>
            </w:pPr>
          </w:p>
        </w:tc>
      </w:tr>
      <w:tr>
        <w:trPr>
          <w:trHeight w:val="158"/>
        </w:trPr>
        <w:tc>
          <w:tcPr>
            <w:tcW w:w="76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113"/>
        </w:trPr>
        <w:tc>
          <w:tcPr>
            <w:tcW w:w="96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200" w:type="dxa"/>
            <w:vAlign w:val="bottom"/>
          </w:tcPr>
          <w:p>
            <w:pPr>
              <w:spacing w:after="0"/>
              <w:rPr>
                <w:sz w:val="9"/>
                <w:szCs w:val="9"/>
                <w:color w:val="auto"/>
              </w:rPr>
            </w:pPr>
          </w:p>
        </w:tc>
        <w:tc>
          <w:tcPr>
            <w:tcW w:w="62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0" w:type="dxa"/>
            <w:vAlign w:val="bottom"/>
          </w:tcPr>
          <w:p>
            <w:pPr>
              <w:spacing w:after="0"/>
              <w:rPr>
                <w:sz w:val="1"/>
                <w:szCs w:val="1"/>
                <w:color w:val="auto"/>
              </w:rPr>
            </w:pPr>
          </w:p>
        </w:tc>
      </w:tr>
      <w:tr>
        <w:trPr>
          <w:trHeight w:val="169"/>
        </w:trPr>
        <w:tc>
          <w:tcPr>
            <w:tcW w:w="960" w:type="dxa"/>
            <w:vAlign w:val="bottom"/>
            <w:gridSpan w:val="4"/>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0" w:lineRule="exact"/>
        <w:rPr>
          <w:sz w:val="20"/>
          <w:szCs w:val="20"/>
          <w:color w:val="auto"/>
        </w:rPr>
      </w:pPr>
    </w:p>
    <w:p>
      <w:pPr>
        <w:sectPr>
          <w:pgSz w:w="11900" w:h="16838" w:orient="portrait"/>
          <w:cols w:equalWidth="0" w:num="2">
            <w:col w:w="8580" w:space="200"/>
            <w:col w:w="2560"/>
          </w:cols>
          <w:pgMar w:left="320" w:top="448" w:right="239" w:bottom="1440" w:gutter="0" w:footer="0" w:header="0"/>
          <w:type w:val="continuous"/>
        </w:sectPr>
      </w:pPr>
    </w:p>
    <w:p>
      <w:pPr>
        <w:ind w:left="460" w:hanging="455"/>
        <w:spacing w:after="0" w:line="215"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total voting power represents voting power with respect to all shares of our Class A and Class B common stock, as a single class. The holders of our Class B common stock are</w:t>
      </w:r>
    </w:p>
    <w:tbl>
      <w:tblPr>
        <w:tblLayout w:type="fixed"/>
        <w:tblInd w:w="0" w:type="dxa"/>
        <w:tblCellMar>
          <w:top w:w="0" w:type="dxa"/>
          <w:left w:w="0" w:type="dxa"/>
          <w:bottom w:w="0" w:type="dxa"/>
          <w:right w:w="0" w:type="dxa"/>
        </w:tblCellMar>
      </w:tblPr>
      <w:tr>
        <w:trPr>
          <w:trHeight w:val="129"/>
        </w:trPr>
        <w:tc>
          <w:tcPr>
            <w:tcW w:w="3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4"/>
                <w:szCs w:val="14"/>
                <w:color w:val="auto"/>
              </w:rPr>
              <w:t>entitled to</w:t>
            </w:r>
          </w:p>
        </w:tc>
        <w:tc>
          <w:tcPr>
            <w:tcW w:w="180" w:type="dxa"/>
            <w:vAlign w:val="bottom"/>
          </w:tcPr>
          <w:p>
            <w:pPr>
              <w:spacing w:after="0"/>
              <w:rPr>
                <w:sz w:val="11"/>
                <w:szCs w:val="11"/>
                <w:color w:val="auto"/>
              </w:rPr>
            </w:pPr>
          </w:p>
        </w:tc>
        <w:tc>
          <w:tcPr>
            <w:tcW w:w="10060" w:type="dxa"/>
            <w:vAlign w:val="bottom"/>
            <w:gridSpan w:val="9"/>
          </w:tcPr>
          <w:p>
            <w:pPr>
              <w:jc w:val="right"/>
              <w:spacing w:after="0" w:line="129" w:lineRule="exact"/>
              <w:rPr>
                <w:sz w:val="20"/>
                <w:szCs w:val="20"/>
                <w:color w:val="auto"/>
              </w:rPr>
            </w:pPr>
            <w:r>
              <w:rPr>
                <w:rFonts w:ascii="Times New Roman" w:cs="Times New Roman" w:eastAsia="Times New Roman" w:hAnsi="Times New Roman"/>
                <w:sz w:val="14"/>
                <w:szCs w:val="14"/>
                <w:color w:val="auto"/>
              </w:rPr>
              <w:t>votes per share, and holders of our Class A common stock are entitled to one vote per share. See the section titled “Description of Capital Stock—Class A Common Stock and</w:t>
            </w:r>
          </w:p>
        </w:tc>
        <w:tc>
          <w:tcPr>
            <w:tcW w:w="0" w:type="dxa"/>
            <w:vAlign w:val="bottom"/>
          </w:tcPr>
          <w:p>
            <w:pPr>
              <w:spacing w:after="0"/>
              <w:rPr>
                <w:sz w:val="1"/>
                <w:szCs w:val="1"/>
                <w:color w:val="auto"/>
              </w:rPr>
            </w:pPr>
          </w:p>
        </w:tc>
      </w:tr>
      <w:tr>
        <w:trPr>
          <w:trHeight w:val="144"/>
        </w:trPr>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(1)</w:t>
            </w:r>
          </w:p>
        </w:tc>
        <w:tc>
          <w:tcPr>
            <w:tcW w:w="7160" w:type="dxa"/>
            <w:vAlign w:val="bottom"/>
            <w:gridSpan w:val="8"/>
          </w:tcPr>
          <w:p>
            <w:pPr>
              <w:ind w:left="160"/>
              <w:spacing w:after="0" w:line="145" w:lineRule="exact"/>
              <w:rPr>
                <w:sz w:val="20"/>
                <w:szCs w:val="20"/>
                <w:color w:val="auto"/>
              </w:rPr>
            </w:pPr>
            <w:r>
              <w:rPr>
                <w:rFonts w:ascii="Times New Roman" w:cs="Times New Roman" w:eastAsia="Times New Roman" w:hAnsi="Times New Roman"/>
                <w:sz w:val="14"/>
                <w:szCs w:val="14"/>
                <w:color w:val="auto"/>
              </w:rPr>
              <w:t>Class B Common Stock” for additional information about the voting rights of our Class A and Class B common stock.</w:t>
            </w:r>
          </w:p>
        </w:tc>
        <w:tc>
          <w:tcPr>
            <w:tcW w:w="3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held by Gray Media, LLC,</w:t>
            </w:r>
          </w:p>
        </w:tc>
        <w:tc>
          <w:tcPr>
            <w:tcW w:w="0" w:type="dxa"/>
            <w:vAlign w:val="bottom"/>
          </w:tcPr>
          <w:p>
            <w:pPr>
              <w:spacing w:after="0"/>
              <w:rPr>
                <w:sz w:val="1"/>
                <w:szCs w:val="1"/>
                <w:color w:val="auto"/>
              </w:rPr>
            </w:pPr>
          </w:p>
        </w:tc>
      </w:tr>
      <w:tr>
        <w:trPr>
          <w:trHeight w:val="144"/>
        </w:trPr>
        <w:tc>
          <w:tcPr>
            <w:tcW w:w="300" w:type="dxa"/>
            <w:vAlign w:val="bottom"/>
            <w:vMerge w:val="continue"/>
          </w:tcPr>
          <w:p>
            <w:pPr>
              <w:spacing w:after="0"/>
              <w:rPr>
                <w:sz w:val="12"/>
                <w:szCs w:val="12"/>
                <w:color w:val="auto"/>
              </w:rPr>
            </w:pPr>
          </w:p>
        </w:tc>
        <w:tc>
          <w:tcPr>
            <w:tcW w:w="2640" w:type="dxa"/>
            <w:vAlign w:val="bottom"/>
            <w:gridSpan w:val="3"/>
          </w:tcPr>
          <w:p>
            <w:pPr>
              <w:ind w:left="160"/>
              <w:spacing w:after="0" w:line="145" w:lineRule="exact"/>
              <w:rPr>
                <w:sz w:val="20"/>
                <w:szCs w:val="20"/>
                <w:color w:val="auto"/>
              </w:rPr>
            </w:pPr>
            <w:r>
              <w:rPr>
                <w:rFonts w:ascii="Times New Roman" w:cs="Times New Roman" w:eastAsia="Times New Roman" w:hAnsi="Times New Roman"/>
                <w:sz w:val="14"/>
                <w:szCs w:val="14"/>
                <w:color w:val="auto"/>
              </w:rPr>
              <w:t>Prior to this offering, consists of (a)</w:t>
            </w:r>
          </w:p>
        </w:tc>
        <w:tc>
          <w:tcPr>
            <w:tcW w:w="4520" w:type="dxa"/>
            <w:vAlign w:val="bottom"/>
            <w:gridSpan w:val="5"/>
          </w:tcPr>
          <w:p>
            <w:pPr>
              <w:ind w:left="40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Blue Media, LLC, (b)</w:t>
            </w:r>
          </w:p>
        </w:tc>
        <w:tc>
          <w:tcPr>
            <w:tcW w:w="3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w:t>
            </w:r>
          </w:p>
        </w:tc>
        <w:tc>
          <w:tcPr>
            <w:tcW w:w="5220" w:type="dxa"/>
            <w:vAlign w:val="bottom"/>
            <w:gridSpan w:val="6"/>
          </w:tcPr>
          <w:p>
            <w:pPr>
              <w:jc w:val="center"/>
              <w:ind w:right="30"/>
              <w:spacing w:after="0" w:line="145" w:lineRule="exact"/>
              <w:rPr>
                <w:sz w:val="20"/>
                <w:szCs w:val="20"/>
                <w:color w:val="auto"/>
              </w:rPr>
            </w:pPr>
            <w:r>
              <w:rPr>
                <w:rFonts w:ascii="Times New Roman" w:cs="Times New Roman" w:eastAsia="Times New Roman" w:hAnsi="Times New Roman"/>
                <w:sz w:val="14"/>
                <w:szCs w:val="14"/>
                <w:color w:val="auto"/>
                <w:w w:val="99"/>
              </w:rPr>
              <w:t>shares of Class A common stock held by Innovation Group Investors, L.P. - Series 3, (d)</w:t>
            </w:r>
          </w:p>
        </w:tc>
        <w:tc>
          <w:tcPr>
            <w:tcW w:w="50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Innovation Group Investors, L.P. - Series</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1B, (e)</w:t>
            </w:r>
          </w:p>
        </w:tc>
        <w:tc>
          <w:tcPr>
            <w:tcW w:w="180" w:type="dxa"/>
            <w:vAlign w:val="bottom"/>
          </w:tcPr>
          <w:p>
            <w:pPr>
              <w:spacing w:after="0"/>
              <w:rPr>
                <w:sz w:val="12"/>
                <w:szCs w:val="12"/>
                <w:color w:val="auto"/>
              </w:rPr>
            </w:pPr>
          </w:p>
        </w:tc>
        <w:tc>
          <w:tcPr>
            <w:tcW w:w="5040" w:type="dxa"/>
            <w:vAlign w:val="bottom"/>
            <w:gridSpan w:val="5"/>
          </w:tcPr>
          <w:p>
            <w:pPr>
              <w:ind w:left="34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Lightbank Investments 1B, LLC, (f)</w:t>
            </w:r>
          </w:p>
        </w:tc>
        <w:tc>
          <w:tcPr>
            <w:tcW w:w="50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A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(g)</w:t>
            </w:r>
          </w:p>
        </w:tc>
        <w:tc>
          <w:tcPr>
            <w:tcW w:w="180" w:type="dxa"/>
            <w:vAlign w:val="bottom"/>
          </w:tcPr>
          <w:p>
            <w:pPr>
              <w:spacing w:after="0"/>
              <w:rPr>
                <w:sz w:val="12"/>
                <w:szCs w:val="12"/>
                <w:color w:val="auto"/>
              </w:rPr>
            </w:pPr>
          </w:p>
        </w:tc>
        <w:tc>
          <w:tcPr>
            <w:tcW w:w="4800" w:type="dxa"/>
            <w:vAlign w:val="bottom"/>
            <w:gridSpan w:val="4"/>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shares of Class B common stock held by Tempus Series B Investments, LLC, (h)</w:t>
            </w:r>
          </w:p>
        </w:tc>
        <w:tc>
          <w:tcPr>
            <w:tcW w:w="240" w:type="dxa"/>
            <w:vAlign w:val="bottom"/>
          </w:tcPr>
          <w:p>
            <w:pPr>
              <w:spacing w:after="0"/>
              <w:rPr>
                <w:sz w:val="12"/>
                <w:szCs w:val="12"/>
                <w:color w:val="auto"/>
              </w:rPr>
            </w:pPr>
          </w:p>
        </w:tc>
        <w:tc>
          <w:tcPr>
            <w:tcW w:w="50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B-1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(i)</w:t>
            </w:r>
          </w:p>
        </w:tc>
        <w:tc>
          <w:tcPr>
            <w:tcW w:w="180" w:type="dxa"/>
            <w:vAlign w:val="bottom"/>
          </w:tcPr>
          <w:p>
            <w:pPr>
              <w:spacing w:after="0"/>
              <w:rPr>
                <w:sz w:val="12"/>
                <w:szCs w:val="12"/>
                <w:color w:val="auto"/>
              </w:rPr>
            </w:pPr>
          </w:p>
        </w:tc>
        <w:tc>
          <w:tcPr>
            <w:tcW w:w="5040" w:type="dxa"/>
            <w:vAlign w:val="bottom"/>
            <w:gridSpan w:val="5"/>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B-2 Investments, LLC, (j)</w:t>
            </w:r>
          </w:p>
        </w:tc>
        <w:tc>
          <w:tcPr>
            <w:tcW w:w="50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C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(k)</w:t>
            </w:r>
          </w:p>
        </w:tc>
        <w:tc>
          <w:tcPr>
            <w:tcW w:w="180" w:type="dxa"/>
            <w:vAlign w:val="bottom"/>
          </w:tcPr>
          <w:p>
            <w:pPr>
              <w:spacing w:after="0"/>
              <w:rPr>
                <w:sz w:val="12"/>
                <w:szCs w:val="12"/>
                <w:color w:val="auto"/>
              </w:rPr>
            </w:pPr>
          </w:p>
        </w:tc>
        <w:tc>
          <w:tcPr>
            <w:tcW w:w="4800" w:type="dxa"/>
            <w:vAlign w:val="bottom"/>
            <w:gridSpan w:val="4"/>
          </w:tcPr>
          <w:p>
            <w:pPr>
              <w:ind w:left="1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D Investments, LLC, (l)</w:t>
            </w:r>
          </w:p>
        </w:tc>
        <w:tc>
          <w:tcPr>
            <w:tcW w:w="240" w:type="dxa"/>
            <w:vAlign w:val="bottom"/>
          </w:tcPr>
          <w:p>
            <w:pPr>
              <w:spacing w:after="0"/>
              <w:rPr>
                <w:sz w:val="12"/>
                <w:szCs w:val="12"/>
                <w:color w:val="auto"/>
              </w:rPr>
            </w:pPr>
          </w:p>
        </w:tc>
        <w:tc>
          <w:tcPr>
            <w:tcW w:w="50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E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(m)</w:t>
            </w:r>
          </w:p>
        </w:tc>
        <w:tc>
          <w:tcPr>
            <w:tcW w:w="180" w:type="dxa"/>
            <w:vAlign w:val="bottom"/>
          </w:tcPr>
          <w:p>
            <w:pPr>
              <w:spacing w:after="0"/>
              <w:rPr>
                <w:sz w:val="12"/>
                <w:szCs w:val="12"/>
                <w:color w:val="auto"/>
              </w:rPr>
            </w:pPr>
          </w:p>
        </w:tc>
        <w:tc>
          <w:tcPr>
            <w:tcW w:w="5040" w:type="dxa"/>
            <w:vAlign w:val="bottom"/>
            <w:gridSpan w:val="5"/>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F Investments, LLC, and (n)</w:t>
            </w:r>
          </w:p>
        </w:tc>
        <w:tc>
          <w:tcPr>
            <w:tcW w:w="50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G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Concurrently with, and contingent upon, the effectiveness of the registration statement of which this prospectus forms a part, shares of Class A common stock held by each of Tempus Series A</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Investments, LLC, Tempus Series B-1 Investments, LLC, Tempus Series B-2 Investments, LLC, Tempus Series C Investments, LLC, Tempus Series D Investments, LLC, Tempus Series E</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Investments, LLC, Tempus Series F Investments, LLC and Tempus Series G Investments, LLC will be distributed pro rata to the members of each entity. Following the distributions, no other</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stockholder will be a beneficial owner of more than 5% of the company’s common stock. Mr. Lefkofsky’s beneficial ownership after the offering gives effect to the foregoing distributions, and</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9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4"/>
                <w:szCs w:val="14"/>
                <w:color w:val="auto"/>
              </w:rPr>
              <w:t>consists of (i)</w:t>
            </w:r>
          </w:p>
        </w:tc>
        <w:tc>
          <w:tcPr>
            <w:tcW w:w="4800" w:type="dxa"/>
            <w:vAlign w:val="bottom"/>
            <w:gridSpan w:val="4"/>
          </w:tcPr>
          <w:p>
            <w:pPr>
              <w:jc w:val="center"/>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Blue Media, LLC, (ii)</w:t>
            </w:r>
          </w:p>
        </w:tc>
        <w:tc>
          <w:tcPr>
            <w:tcW w:w="370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Gray Media, LLC, (iii)</w:t>
            </w:r>
          </w:p>
        </w:tc>
        <w:tc>
          <w:tcPr>
            <w:tcW w:w="560" w:type="dxa"/>
            <w:vAlign w:val="bottom"/>
          </w:tcPr>
          <w:p>
            <w:pPr>
              <w:spacing w:after="0"/>
              <w:rPr>
                <w:sz w:val="12"/>
                <w:szCs w:val="12"/>
                <w:color w:val="auto"/>
              </w:rPr>
            </w:pPr>
          </w:p>
        </w:tc>
        <w:tc>
          <w:tcPr>
            <w:tcW w:w="10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260" w:type="dxa"/>
            <w:vAlign w:val="bottom"/>
            <w:gridSpan w:val="4"/>
          </w:tcPr>
          <w:p>
            <w:pPr>
              <w:ind w:left="160"/>
              <w:spacing w:after="0" w:line="145" w:lineRule="exact"/>
              <w:rPr>
                <w:sz w:val="20"/>
                <w:szCs w:val="20"/>
                <w:color w:val="auto"/>
              </w:rPr>
            </w:pPr>
            <w:r>
              <w:rPr>
                <w:rFonts w:ascii="Times New Roman" w:cs="Times New Roman" w:eastAsia="Times New Roman" w:hAnsi="Times New Roman"/>
                <w:sz w:val="14"/>
                <w:szCs w:val="14"/>
                <w:color w:val="auto"/>
                <w:w w:val="99"/>
              </w:rPr>
              <w:t>common stock held by Innovation Group Investors, L.P. - Series 1B, (iv)</w:t>
            </w:r>
          </w:p>
        </w:tc>
        <w:tc>
          <w:tcPr>
            <w:tcW w:w="320" w:type="dxa"/>
            <w:vAlign w:val="bottom"/>
          </w:tcPr>
          <w:p>
            <w:pPr>
              <w:spacing w:after="0"/>
              <w:rPr>
                <w:sz w:val="12"/>
                <w:szCs w:val="12"/>
                <w:color w:val="auto"/>
              </w:rPr>
            </w:pPr>
          </w:p>
        </w:tc>
        <w:tc>
          <w:tcPr>
            <w:tcW w:w="5460" w:type="dxa"/>
            <w:vAlign w:val="bottom"/>
            <w:gridSpan w:val="5"/>
          </w:tcPr>
          <w:p>
            <w:pPr>
              <w:ind w:left="280"/>
              <w:spacing w:after="0" w:line="145" w:lineRule="exact"/>
              <w:rPr>
                <w:sz w:val="20"/>
                <w:szCs w:val="20"/>
                <w:color w:val="auto"/>
              </w:rPr>
            </w:pPr>
            <w:r>
              <w:rPr>
                <w:rFonts w:ascii="Times New Roman" w:cs="Times New Roman" w:eastAsia="Times New Roman" w:hAnsi="Times New Roman"/>
                <w:sz w:val="14"/>
                <w:szCs w:val="14"/>
                <w:color w:val="auto"/>
                <w:w w:val="99"/>
              </w:rPr>
              <w:t>shares of Class A common stock held by Innovation Group Investors, L.P. - 2011 Series, (v)</w:t>
            </w:r>
          </w:p>
        </w:tc>
        <w:tc>
          <w:tcPr>
            <w:tcW w:w="10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260" w:type="dxa"/>
            <w:vAlign w:val="bottom"/>
            <w:gridSpan w:val="4"/>
          </w:tcPr>
          <w:p>
            <w:pPr>
              <w:ind w:left="160"/>
              <w:spacing w:after="0" w:line="145" w:lineRule="exact"/>
              <w:rPr>
                <w:sz w:val="20"/>
                <w:szCs w:val="20"/>
                <w:color w:val="auto"/>
              </w:rPr>
            </w:pPr>
            <w:r>
              <w:rPr>
                <w:rFonts w:ascii="Times New Roman" w:cs="Times New Roman" w:eastAsia="Times New Roman" w:hAnsi="Times New Roman"/>
                <w:sz w:val="14"/>
                <w:szCs w:val="14"/>
                <w:color w:val="auto"/>
              </w:rPr>
              <w:t>of Class A common stock held by Lightbank Global LLC, (vi)</w:t>
            </w:r>
          </w:p>
        </w:tc>
        <w:tc>
          <w:tcPr>
            <w:tcW w:w="5220" w:type="dxa"/>
            <w:vAlign w:val="bottom"/>
            <w:gridSpan w:val="5"/>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Lightbank Investments 1B, LLC and (vii)</w:t>
            </w:r>
          </w:p>
        </w:tc>
        <w:tc>
          <w:tcPr>
            <w:tcW w:w="15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B common</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stock held by Tempus Series B Investments, LLC. Mr. Lefkofsky is the controlling member of, and may be deemed to have shared voting, investment and dispositive power with respect to the</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shares held by, the aforementioned entities. On the date that is 181 days following the effective date of the registration statement of which this prospectus forms a part, Blue Media LLC, the</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580" w:type="dxa"/>
            <w:vAlign w:val="bottom"/>
            <w:gridSpan w:val="5"/>
          </w:tcPr>
          <w:p>
            <w:pPr>
              <w:ind w:left="160"/>
              <w:spacing w:after="0" w:line="145" w:lineRule="exact"/>
              <w:rPr>
                <w:sz w:val="20"/>
                <w:szCs w:val="20"/>
                <w:color w:val="auto"/>
              </w:rPr>
            </w:pPr>
            <w:r>
              <w:rPr>
                <w:rFonts w:ascii="Times New Roman" w:cs="Times New Roman" w:eastAsia="Times New Roman" w:hAnsi="Times New Roman"/>
                <w:sz w:val="14"/>
                <w:szCs w:val="14"/>
                <w:color w:val="auto"/>
              </w:rPr>
              <w:t>controlling member of Tempus Series B Investments, LLC, will exchange</w:t>
            </w:r>
          </w:p>
        </w:tc>
        <w:tc>
          <w:tcPr>
            <w:tcW w:w="646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for all interests in Tempus Series B Investments, LLC such that following</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0040" w:type="dxa"/>
            <w:vAlign w:val="bottom"/>
            <w:gridSpan w:val="10"/>
          </w:tcPr>
          <w:p>
            <w:pPr>
              <w:ind w:left="160"/>
              <w:spacing w:after="0" w:line="145" w:lineRule="exact"/>
              <w:rPr>
                <w:sz w:val="20"/>
                <w:szCs w:val="20"/>
                <w:color w:val="auto"/>
              </w:rPr>
            </w:pPr>
            <w:r>
              <w:rPr>
                <w:rFonts w:ascii="Times New Roman" w:cs="Times New Roman" w:eastAsia="Times New Roman" w:hAnsi="Times New Roman"/>
                <w:sz w:val="14"/>
                <w:szCs w:val="14"/>
                <w:color w:val="auto"/>
              </w:rPr>
              <w:t>the exchange, Mr. Lefkofsky will continue be the controlling member of, and may be deemed to have shared voting, investment and dispositive power with respect to the</w:t>
            </w:r>
          </w:p>
        </w:tc>
        <w:tc>
          <w:tcPr>
            <w:tcW w:w="10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5780" w:type="dxa"/>
            <w:vAlign w:val="bottom"/>
            <w:gridSpan w:val="6"/>
          </w:tcPr>
          <w:p>
            <w:pPr>
              <w:ind w:left="160"/>
              <w:spacing w:after="0" w:line="145" w:lineRule="exact"/>
              <w:rPr>
                <w:sz w:val="20"/>
                <w:szCs w:val="20"/>
                <w:color w:val="auto"/>
              </w:rPr>
            </w:pPr>
            <w:r>
              <w:rPr>
                <w:rFonts w:ascii="Times New Roman" w:cs="Times New Roman" w:eastAsia="Times New Roman" w:hAnsi="Times New Roman"/>
                <w:sz w:val="14"/>
                <w:szCs w:val="14"/>
                <w:color w:val="auto"/>
              </w:rPr>
              <w:t>Class B common stock held by, Tempus Series B Investments, LLC. Mr. Lefkofsky also holds</w:t>
            </w:r>
          </w:p>
        </w:tc>
        <w:tc>
          <w:tcPr>
            <w:tcW w:w="240" w:type="dxa"/>
            <w:vAlign w:val="bottom"/>
          </w:tcPr>
          <w:p>
            <w:pPr>
              <w:spacing w:after="0"/>
              <w:rPr>
                <w:sz w:val="12"/>
                <w:szCs w:val="12"/>
                <w:color w:val="auto"/>
              </w:rPr>
            </w:pPr>
          </w:p>
        </w:tc>
        <w:tc>
          <w:tcPr>
            <w:tcW w:w="50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RSUs,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(2)</w:t>
            </w: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1840" w:type="dxa"/>
            <w:vAlign w:val="bottom"/>
            <w:gridSpan w:val="2"/>
          </w:tcPr>
          <w:p>
            <w:pPr>
              <w:jc w:val="right"/>
              <w:ind w:right="1350"/>
              <w:spacing w:after="0" w:line="145" w:lineRule="exact"/>
              <w:rPr>
                <w:sz w:val="20"/>
                <w:szCs w:val="20"/>
                <w:color w:val="auto"/>
              </w:rPr>
            </w:pPr>
            <w:r>
              <w:rPr>
                <w:rFonts w:ascii="Times New Roman" w:cs="Times New Roman" w:eastAsia="Times New Roman" w:hAnsi="Times New Roman"/>
                <w:sz w:val="14"/>
                <w:szCs w:val="14"/>
                <w:color w:val="auto"/>
              </w:rPr>
              <w:t>, 2021.</w:t>
            </w:r>
          </w:p>
        </w:tc>
        <w:tc>
          <w:tcPr>
            <w:tcW w:w="1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0" w:type="dxa"/>
            <w:vAlign w:val="bottom"/>
            <w:vMerge w:val="continue"/>
          </w:tcPr>
          <w:p>
            <w:pPr>
              <w:spacing w:after="0"/>
              <w:rPr>
                <w:sz w:val="13"/>
                <w:szCs w:val="1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Represents</w:t>
            </w:r>
          </w:p>
        </w:tc>
        <w:tc>
          <w:tcPr>
            <w:tcW w:w="180" w:type="dxa"/>
            <w:vAlign w:val="bottom"/>
          </w:tcPr>
          <w:p>
            <w:pPr>
              <w:spacing w:after="0"/>
              <w:rPr>
                <w:sz w:val="13"/>
                <w:szCs w:val="13"/>
                <w:color w:val="auto"/>
              </w:rPr>
            </w:pPr>
          </w:p>
        </w:tc>
        <w:tc>
          <w:tcPr>
            <w:tcW w:w="10060" w:type="dxa"/>
            <w:vAlign w:val="bottom"/>
            <w:gridSpan w:val="9"/>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held by Keeks, LLC. To our knowledge, Kimberly Keywell is the controlling shareholder of, and may be deemed to have shared voting,</w:t>
            </w:r>
          </w:p>
        </w:tc>
        <w:tc>
          <w:tcPr>
            <w:tcW w:w="0" w:type="dxa"/>
            <w:vAlign w:val="bottom"/>
          </w:tcPr>
          <w:p>
            <w:pPr>
              <w:spacing w:after="0"/>
              <w:rPr>
                <w:sz w:val="1"/>
                <w:szCs w:val="1"/>
                <w:color w:val="auto"/>
              </w:rPr>
            </w:pPr>
          </w:p>
        </w:tc>
      </w:tr>
    </w:tbl>
    <w:p>
      <w:pPr>
        <w:ind w:left="460"/>
        <w:spacing w:after="0"/>
        <w:rPr>
          <w:sz w:val="20"/>
          <w:szCs w:val="20"/>
          <w:color w:val="auto"/>
        </w:rPr>
      </w:pPr>
      <w:r>
        <w:rPr>
          <w:rFonts w:ascii="Times New Roman" w:cs="Times New Roman" w:eastAsia="Times New Roman" w:hAnsi="Times New Roman"/>
          <w:sz w:val="14"/>
          <w:szCs w:val="14"/>
          <w:color w:val="auto"/>
        </w:rPr>
        <w:t>investment and dispositive power with respect to the shares held by, the aforementioned entity.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340"/>
          </w:cols>
          <w:pgMar w:left="320" w:top="448" w:right="239" w:bottom="1440" w:gutter="0" w:footer="0" w:header="0"/>
          <w:type w:val="continuous"/>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2021.</w:t>
            </w:r>
          </w:p>
        </w:tc>
        <w:tc>
          <w:tcPr>
            <w:tcW w:w="97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Phelps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Rollings, for which the service-based vesting condition would be satisfied as of September 4,</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tcPr>
          <w:p>
            <w:pPr>
              <w:spacing w:after="0"/>
              <w:rPr>
                <w:sz w:val="12"/>
                <w:szCs w:val="12"/>
                <w:color w:val="auto"/>
              </w:rPr>
            </w:pPr>
          </w:p>
        </w:tc>
        <w:tc>
          <w:tcPr>
            <w:tcW w:w="97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(5)</w:t>
            </w:r>
          </w:p>
        </w:tc>
        <w:tc>
          <w:tcPr>
            <w:tcW w:w="4000" w:type="dxa"/>
            <w:vAlign w:val="bottom"/>
            <w:gridSpan w:val="3"/>
          </w:tcPr>
          <w:p>
            <w:pPr>
              <w:ind w:left="120"/>
              <w:spacing w:after="0" w:line="145" w:lineRule="exact"/>
              <w:rPr>
                <w:sz w:val="20"/>
                <w:szCs w:val="20"/>
                <w:color w:val="auto"/>
              </w:rPr>
            </w:pPr>
            <w:r>
              <w:rPr>
                <w:rFonts w:ascii="Times New Roman" w:cs="Times New Roman" w:eastAsia="Times New Roman" w:hAnsi="Times New Roman"/>
                <w:sz w:val="14"/>
                <w:szCs w:val="14"/>
                <w:color w:val="auto"/>
              </w:rPr>
              <w:t>2021 pursuant to the terms of Ms. Rollings’ separation agreement.</w:t>
            </w: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tcPr>
          <w:p>
            <w:pPr>
              <w:spacing w:after="0"/>
              <w:rPr>
                <w:sz w:val="12"/>
                <w:szCs w:val="12"/>
                <w:color w:val="auto"/>
              </w:rPr>
            </w:pPr>
          </w:p>
        </w:tc>
        <w:tc>
          <w:tcPr>
            <w:tcW w:w="276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color w:val="auto"/>
              </w:rPr>
              <w:t>shares of Class A common stock.</w:t>
            </w: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(6)</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2021.</w:t>
            </w:r>
          </w:p>
        </w:tc>
        <w:tc>
          <w:tcPr>
            <w:tcW w:w="976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Doudna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Frederick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2021.</w:t>
            </w:r>
          </w:p>
        </w:tc>
        <w:tc>
          <w:tcPr>
            <w:tcW w:w="97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(8)</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Gottlieb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2021.</w:t>
            </w:r>
          </w:p>
        </w:tc>
        <w:tc>
          <w:tcPr>
            <w:tcW w:w="97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West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2021.</w:t>
            </w:r>
          </w:p>
        </w:tc>
        <w:tc>
          <w:tcPr>
            <w:tcW w:w="97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27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shares of Class A common stock, (b)</w:t>
            </w:r>
          </w:p>
        </w:tc>
        <w:tc>
          <w:tcPr>
            <w:tcW w:w="274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shares of Class B common stock and (c)</w:t>
            </w:r>
          </w:p>
        </w:tc>
        <w:tc>
          <w:tcPr>
            <w:tcW w:w="4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the settlement of RSUs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12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Consists of (a)</w:t>
            </w:r>
          </w:p>
        </w:tc>
        <w:tc>
          <w:tcPr>
            <w:tcW w:w="2760" w:type="dxa"/>
            <w:vAlign w:val="bottom"/>
            <w:vMerge w:val="continue"/>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00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for which the service-based vesting condition would be satisfied within 60 days of</w:t>
            </w:r>
          </w:p>
        </w:tc>
        <w:tc>
          <w:tcPr>
            <w:tcW w:w="1740" w:type="dxa"/>
            <w:vAlign w:val="bottom"/>
          </w:tcPr>
          <w:p>
            <w:pPr>
              <w:jc w:val="right"/>
              <w:ind w:right="1010"/>
              <w:spacing w:after="0"/>
              <w:rPr>
                <w:sz w:val="20"/>
                <w:szCs w:val="20"/>
                <w:color w:val="auto"/>
              </w:rPr>
            </w:pPr>
            <w:r>
              <w:rPr>
                <w:rFonts w:ascii="Times New Roman" w:cs="Times New Roman" w:eastAsia="Times New Roman" w:hAnsi="Times New Roman"/>
                <w:sz w:val="14"/>
                <w:szCs w:val="14"/>
                <w:color w:val="auto"/>
              </w:rPr>
              <w:t>, 2021.</w:t>
            </w:r>
          </w:p>
        </w:tc>
        <w:tc>
          <w:tcPr>
            <w:tcW w:w="4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340"/>
          </w:cols>
          <w:pgMar w:left="320" w:top="448" w:right="2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following the closing of this offering. Copies of these documents have been filed with the SEC as exhibits to our registration statement, of which this prospectus forms a part. The descriptions of the common stock and convertible preferred stock reflect changes to our capital structure that will be in effect following the closing of this offering.</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On the closing of this offering, our amended and restated certificate of incorporation will provide for two classes of common stock: Class A common stock and Class B common stock. In addition, our amended and restated certificate of incorporation that will be in effect on the closing of this offering will authorize shares of undesignated preferred stock, the rights, preferences, and privileges of which may be designated from time to time by our board of directors.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the closing of this offering, our authorized capital stock will consist of 1,025,500,000 shares, all with a par value of $0.0001 per share, of which:</w:t>
      </w:r>
    </w:p>
    <w:p>
      <w:pPr>
        <w:spacing w:after="0" w:line="121" w:lineRule="exact"/>
        <w:rPr>
          <w:sz w:val="20"/>
          <w:szCs w:val="20"/>
          <w:color w:val="auto"/>
        </w:rPr>
      </w:pPr>
    </w:p>
    <w:p>
      <w:pPr>
        <w:ind w:left="1000" w:hanging="549"/>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are designated Class A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 shares are designated Class B common stock;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are designated preferred stock.</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2021, we had outstanding:</w:t>
      </w:r>
    </w:p>
    <w:p>
      <w:pPr>
        <w:sectPr>
          <w:pgSz w:w="11900" w:h="16838" w:orient="portrait"/>
          <w:cols w:equalWidth="0" w:num="1">
            <w:col w:w="11340"/>
          </w:cols>
          <w:pgMar w:left="320" w:top="448" w:right="239" w:bottom="1440" w:gutter="0" w:footer="0" w:header="0"/>
        </w:sectPr>
      </w:pPr>
    </w:p>
    <w:p>
      <w:pPr>
        <w:spacing w:after="0" w:line="12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firstLine="932"/>
        <w:spacing w:after="0" w:line="247" w:lineRule="auto"/>
        <w:rPr>
          <w:sz w:val="20"/>
          <w:szCs w:val="20"/>
          <w:color w:val="auto"/>
        </w:rPr>
      </w:pPr>
      <w:r>
        <w:rPr>
          <w:rFonts w:ascii="Times New Roman" w:cs="Times New Roman" w:eastAsia="Times New Roman" w:hAnsi="Times New Roman"/>
          <w:sz w:val="18"/>
          <w:szCs w:val="18"/>
          <w:color w:val="auto"/>
        </w:rPr>
        <w:t>shares of Class A common stock, which gives effect to (1) the Series G-3 Financing, (2) the conversion of all outstanding shares of convertible preferred stock, other than Series B preferred stock, into shares of Class A common stock, including the issuance of the Additional Class A Conversion Shares (based on an assumed initial public offering price of $ per share, the midpoint of the estimated price range set forth on the cover page of this prospectus), (3) the conversion of all outstanding shares of nonvoting common stock into 4,612,450 shares of Class A common stock, and (4) the issuance of approximately shares of Class A common stock upon settlement of RSUs for which the service-based vesting condition was satisfied on or before the date of the offering and for which the performance-based vesting condition will be satisfied in connection with this offering, which settlement will occur upon the expiration of the lock-up period in connection with this offering;</w:t>
      </w:r>
    </w:p>
    <w:p>
      <w:pPr>
        <w:spacing w:after="0" w:line="94" w:lineRule="exact"/>
        <w:rPr>
          <w:sz w:val="20"/>
          <w:szCs w:val="20"/>
          <w:color w:val="auto"/>
        </w:rPr>
      </w:pPr>
    </w:p>
    <w:p>
      <w:pPr>
        <w:sectPr>
          <w:pgSz w:w="11900" w:h="16838" w:orient="portrait"/>
          <w:cols w:equalWidth="0" w:num="2">
            <w:col w:w="520" w:space="480"/>
            <w:col w:w="10340"/>
          </w:cols>
          <w:pgMar w:left="320" w:top="448" w:right="239" w:bottom="1440" w:gutter="0" w:footer="0" w:header="0"/>
          <w:type w:val="continuous"/>
        </w:sectPr>
      </w:pPr>
    </w:p>
    <w:p>
      <w:pPr>
        <w:ind w:left="1000" w:hanging="549"/>
        <w:spacing w:after="0" w:line="267"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5,374,899 shares of Class B common stock, which assumes the conversion of all outstanding shares of convertible Series B preferred stock into 5,374,899 shares of Class B common stock.</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outstanding capital stock was held by 64 stockholders of record as of December 31, 2021. Our board of directors is authorized, without stockholder approval except as required by the listing standards of the Nasdaq stock market, to issue additional shares of our capital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and Class B Common Stock</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Class A common stock is entitled to one vote per share on any matter that is submitted to a vote of our stockholders. Holders of our Class B common stock are entitled to 30 votes per share on any matter submitted 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340"/>
          </w:cols>
          <w:pgMar w:left="320" w:top="448" w:right="239" w:bottom="1440" w:gutter="0" w:footer="0" w:header="0"/>
          <w:type w:val="continuous"/>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our stockholders. Holders of shares of Class B common stock and Class A common stock will vote together as a single class on all matters (including the election of directors) submitted to a vote of stockholders, unless otherwise required by Delaware law or our amended and restated certificate of incorporation.</w:t>
      </w:r>
    </w:p>
    <w:p>
      <w:pPr>
        <w:spacing w:after="0" w:line="123"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Under Delaware law, holders of our Class A common stock or Class B common stock would be entitled to vote as a separate class if a proposed amendment to our amended and restated certificate of incorporation would increase or decrease the aggregate number of authorized shares of such class, increase or decrease the par value of the shares of such class, or alter or change the powers, preferences, or special rights of the shares of such class so as to affect them adversely. While the holders of our Class A common stock have waived their right to vote as a separate class as to amendments to our amended and restated certificate of incorporation that would increase or decrease the aggregate number of authorized shares of Class A common stock, they are entitled to the other class protections provided under Delaware law. As a result, in these limited instances, the holders of a majority of the Class A common stock could defeat any amendment to our amended and restated certificate of incorporation. For example, if a proposed amendment of our amended and restated certificate of incorporation provided for the Class A common stock to rank junior to the Class B common stock with respect to (1) any dividend or distribution, (2) the distribution of proceeds were we to be acquired or (3) any other right, Delaware law would require the vote of the Class A common stock. In this instance, the holders of a majority of Class A common stock could defeat that amendment to our amended and restated certificate of incorporation.</w:t>
      </w:r>
    </w:p>
    <w:p>
      <w:pPr>
        <w:spacing w:after="0" w:line="37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not provide for cumulative voting for the election of directors.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Economic Rights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Except as otherwise will be expressly provided in our amended and restated certificate of incorporation that will be in effect on the closing of this offering or required by applicable law, all shares of Class A common stock and Class B common stock will have the same rights and privileges and rank equally, share ratably and be identical in all respects for all matters, including those described below.</w:t>
      </w:r>
    </w:p>
    <w:p>
      <w:pPr>
        <w:spacing w:after="0" w:line="178"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Dividends and Distributions</w:t>
      </w:r>
      <w:r>
        <w:rPr>
          <w:rFonts w:ascii="Times New Roman" w:cs="Times New Roman" w:eastAsia="Times New Roman" w:hAnsi="Times New Roman"/>
          <w:sz w:val="16"/>
          <w:szCs w:val="16"/>
          <w:color w:val="auto"/>
        </w:rPr>
        <w:t>. Subject to preferences that may apply to any shares of preferred stock outstanding at the time, the holders of Class A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and Class B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w:t>
      </w:r>
    </w:p>
    <w:p>
      <w:pPr>
        <w:spacing w:after="0" w:line="152"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On our liquidation, dissolution, or winding-up, the holders of Class A common stock and Class B common stock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81"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i w:val="1"/>
          <w:iCs w:val="1"/>
          <w:color w:val="auto"/>
        </w:rPr>
        <w:t>Change of Control Transactions</w:t>
      </w:r>
      <w:r>
        <w:rPr>
          <w:rFonts w:ascii="Times New Roman" w:cs="Times New Roman" w:eastAsia="Times New Roman" w:hAnsi="Times New Roman"/>
          <w:sz w:val="16"/>
          <w:szCs w:val="16"/>
          <w:color w:val="auto"/>
        </w:rPr>
        <w:t>. The holders of Class A common stock and Class B common stock will be treated equally and identically with respect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of Class A common stock or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340"/>
          </w:cols>
          <w:pgMar w:left="320" w:top="448" w:right="2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merger, reorganization, consolidation, or share transfer under any employment, consulting, severance, or other arrangement will be disregarded for the purposes of determining whether holders of common stock are treated equally and identically.</w:t>
      </w:r>
    </w:p>
    <w:p>
      <w:pPr>
        <w:spacing w:after="0" w:line="182"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Subdivisions and Combinations</w:t>
      </w:r>
      <w:r>
        <w:rPr>
          <w:rFonts w:ascii="Times New Roman" w:cs="Times New Roman" w:eastAsia="Times New Roman" w:hAnsi="Times New Roman"/>
          <w:sz w:val="18"/>
          <w:szCs w:val="18"/>
          <w:color w:val="auto"/>
        </w:rPr>
        <w:t>. If we subdivide or combine in any manner outstanding shares of Class A common stock or Class B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the other classes will be subdivided or combined in the same manner.</w:t>
      </w: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After the closing of this offering, on any transfer of shares of Class B common stock, whether or not for value, each such transferred share will automatically convert into one share of Class A common stock, except for certain transfers detailed below and further described in our amended and restated certificate of incorporation that will be in effect following the closing of this offering.</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directly, is controlled by, or is under common control with, the holder of such shares of Class B common stock; (2) the twenty-year anniversary of the filing of the certificate of amendment to our ninth amended and restated certificate of incorporation, which is March 15, 2041; (3) the termination of Mr. Lefkofsky’s employment or service with us as an executive officer and member of our board of directors; and (4) the date that Mr. Lefkofsky and his controlled entities hold, in the aggregate, fewer than 10,000,000 shares of our capital stock (as adjusted for stock splits, stock dividends, combinations, subdivisions and recapitalizations).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connection with this offering, our legal counsel will opine that the shares of our Class A common stock to be issued under this offering will be fully paid and non-assessable.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Promissory Note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June 2020, in connection with our entry into an agreement for use of Google LLC’s, or Google’s, Google Cloud Platform, we issued Google a convertible promissory note, or the Note, in the original principal amount of $330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Under the amended and restated Note, or the Amended Note, the outstanding principal amount accrues interest at the rate set forth therein, and the principal amount is automatically reduced each year based on a formula taking into account the aggregate value of the Google Cloud Platform services used by us. As of December 31, 2021, the value of the Amended Note was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340"/>
          </w:cols>
          <w:pgMar w:left="320" w:top="448" w:right="2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$238.2 million, which consisted of $246.6 million gross principal, net of $8.4 million aggregate unapplied principal reduction. The outstanding principal and accrued interest under the Note, or the Outstanding Amount, is due and payable on the earlier of (1) March 22, 2026, which is the maturity date of the Amended Note, (2) the occurrence and continuance of an event of default and (3) the occurrence of an acceleration event, which includes any termination by us of our Google Cloud Platform agreement. 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 We generally may not prepay the Outstanding Amount, except that we may, at our option, prepay the Outstanding Amount in an amount such that the principal amount remaining outstanding after such repayment is $150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In November 2021, in connection with our entry into an MSA with AstraZeneca, we issued a warrant to AstraZeneca to purchase $100 million in shares of our Class A common stock at an exercise price equal to the initial public offering price in this offering. The number of shares of Class A common stock issuable</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upon exercise of the warrant will be determined based on the initial public offering price in this offering ( shares of Class A common stock, assuming an initial public offering price of $ per share, the midpoint of the estimated price range set forth on the cover page of this prospectus). The warrant may be</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exercised any time following the date that is 180 days following the pricing of our initial public offering through December 31, 2026. AstraZeneca will be entitled to substantially the same registration rights with respect to the shares under the warrant as those granted to holders of registrable securities pursuant to our Ninth Amended and Restated Investors’ Rights Agreement, dated November 19, 2020. The warrant will be automatically cancelled and terminated for no consideration, if not previously exercised, in the event AstraZeneca declines to extend its financial commitment under the MSA before December 31, 2024, as more fully described in the section of this prospectus titled “Business—Operations—Our Strategic Collaboration with AstraZeneca.”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As of December 31, 2021, there were 61,078,813 shares of our convertible preferred stock outstanding. upon the closing of this offering, each outstanding share of our convertible preferred, other than our Series B convertible preferred stock, will convert into one share of our Class A common stock, and each outstanding share of our Series B convertible preferred stock will convert into one share of our Class B common stock. In addition, upon the closing of this</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offering, we expect to issue additional shares of Class A common stock upon the conversion of all of our outstanding shares of our preferred stock, pursuant to provisions of our certificate of incorporation as currently in effect, assuming an initial public offering price of $ per share, the midpoint of</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estimated price range set forth on the cover page of this prospectus, which we refer to as the Additional Class A Conversion Shares. See “Prospectus Summary—The Offering” for additional information.</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that will be in effect on the closing of this offering, our board of directors may, without further action by our stockholders (except as noted below), fix the rights, preferences, privileges, and restrictions of up to an aggregate of 20,000,000 shares of preferred stock in one or more series and authorize their issuance. Notwithstanding the foregoing, so long as any shares of Class B common stock remain outstanding, no shares of preferred stock with voting rights equal or superior to those of the Class B common stock may be issued without the approval of the holders of a majority of the outstanding shares of Class B common stock.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A common stock or Class B common stock, and the likelihood that such holders would receive dividend payments and payments on liquidation. In addition, the issuance of preferred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340"/>
          </w:cols>
          <w:pgMar w:left="320" w:top="448" w:right="2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stock could have the effect of delaying, deferring, or preventing a change of control or other corporate action. On the closing of this offering, no shares of preferred stock will be outstanding. We have no present plan to issue any shares of preferred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2021, we had outstanding a stock option to purchase 210,000 shares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2021, we had outstanding 10,344,419 RSUs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Performance-Vesting Restricted Stock Units (PSUs)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2021, we had outstanding 5,995,000 PSUs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Registration Rights</w:t>
      </w:r>
    </w:p>
    <w:p>
      <w:pPr>
        <w:spacing w:after="0" w:line="11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are party to an investor rights agreement that provides that certain holders of our convertible preferred stock, including certain holders of at least 5% of our capital stock and entities affiliated with certain of our directors, have certain registration rights, as set forth below. This investor rights agreement was entered into in November 2020. The registration of shares of our Class A common stock (including shares of Class A common stock issuable upon conversion of Class B common stock, along with all Additional Class A Conversion Shares)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forms a part, or with respect to any particular stockholder, such time after the effective date of the registration statement that such stockholder (a) holds less than 1% of our outstanding common stock (including shares issuable on conversion of outstanding convertible preferred stock) and (b) can sell all of its shares under Rule 144 of the Securities Act, or Rule 144, during any 90-day period.</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12" w:lineRule="exact"/>
        <w:rPr>
          <w:sz w:val="20"/>
          <w:szCs w:val="20"/>
          <w:color w:val="auto"/>
        </w:rPr>
      </w:pPr>
    </w:p>
    <w:p>
      <w:pPr>
        <w:ind w:left="460"/>
        <w:spacing w:after="0"/>
        <w:tabs>
          <w:tab w:leader="none" w:pos="3280" w:val="left"/>
        </w:tabs>
        <w:rPr>
          <w:sz w:val="20"/>
          <w:szCs w:val="20"/>
          <w:color w:val="auto"/>
        </w:rPr>
      </w:pPr>
      <w:r>
        <w:rPr>
          <w:rFonts w:ascii="Times New Roman" w:cs="Times New Roman" w:eastAsia="Times New Roman" w:hAnsi="Times New Roman"/>
          <w:sz w:val="18"/>
          <w:szCs w:val="18"/>
          <w:color w:val="auto"/>
        </w:rPr>
        <w:t>The holders of an aggregate of</w:t>
      </w:r>
      <w:r>
        <w:rPr>
          <w:sz w:val="20"/>
          <w:szCs w:val="20"/>
          <w:color w:val="auto"/>
        </w:rPr>
        <w:tab/>
      </w:r>
      <w:r>
        <w:rPr>
          <w:rFonts w:ascii="Times New Roman" w:cs="Times New Roman" w:eastAsia="Times New Roman" w:hAnsi="Times New Roman"/>
          <w:sz w:val="16"/>
          <w:szCs w:val="16"/>
          <w:color w:val="auto"/>
        </w:rPr>
        <w:t>shares of our Class A common stock and Class B common stock (assuming no exercise of the underwriters’ option</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to purchase additional shares from selling stockholders to cover over-allotments, if any, in this offering and assuming the issuance of the Additional Class A Conversion Shares) will be entitled to certain demand registration rights. At any time beginning six months after the effective date of this registration statement, the holders of a majority of these shares may, on not more than two occasions, request that we register all or a portion of their shares. Such request for registration must cover shares with an anticipated aggregate offering price, net of underwriting discounts and commissions, of at least $15.0 million.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340"/>
          </w:cols>
          <w:pgMar w:left="320" w:top="448" w:right="2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12" w:lineRule="exact"/>
        <w:rPr>
          <w:sz w:val="20"/>
          <w:szCs w:val="20"/>
          <w:color w:val="auto"/>
        </w:rPr>
      </w:pPr>
    </w:p>
    <w:p>
      <w:pPr>
        <w:ind w:left="460"/>
        <w:spacing w:after="0"/>
        <w:tabs>
          <w:tab w:leader="none" w:pos="5740" w:val="left"/>
        </w:tabs>
        <w:rPr>
          <w:sz w:val="20"/>
          <w:szCs w:val="20"/>
          <w:color w:val="auto"/>
        </w:rPr>
      </w:pPr>
      <w:r>
        <w:rPr>
          <w:rFonts w:ascii="Times New Roman" w:cs="Times New Roman" w:eastAsia="Times New Roman" w:hAnsi="Times New Roman"/>
          <w:sz w:val="18"/>
          <w:szCs w:val="18"/>
          <w:color w:val="auto"/>
        </w:rPr>
        <w:t>In connection with this offering, the holders of an aggregate of</w:t>
      </w:r>
      <w:r>
        <w:rPr>
          <w:sz w:val="20"/>
          <w:szCs w:val="20"/>
          <w:color w:val="auto"/>
        </w:rPr>
        <w:tab/>
      </w:r>
      <w:r>
        <w:rPr>
          <w:rFonts w:ascii="Times New Roman" w:cs="Times New Roman" w:eastAsia="Times New Roman" w:hAnsi="Times New Roman"/>
          <w:sz w:val="16"/>
          <w:szCs w:val="16"/>
          <w:color w:val="auto"/>
        </w:rPr>
        <w:t>shares of our Class A common stock and Class B common stock (assuming no</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exercise of the underwriters’ option to purchase additional shares from selling stockholders to cover over-allotments, if any, in this offering and assuming the issuance of the Additional Class A Conversion Shares) were entitled to, and the necessary percentage of holders waived, their rights to notice of this offering and to include their shares of registrable securities in this offering. After this offering, in the event that we propose to, subject to limited exceptions,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holders of an aggregate of at least 20% of the then outstanding shares of Class A common stock and Class B common stock (assuming no exercise of the underwriters’ option to purchase additional shares from selling stockholders to cover over-allotments, if any, in this offering and assuming the issuance of the Additional Class A Conversion Shares) will be entitled to certain Form S-3 registration rights. The holders of an aggregate of at least 20% of these shares can make a request that we register their shares on Form S-3 if we are qualified to file a registration statement on Form S-3 and if the reasonably anticipated aggregate gross proceeds of the shares offered would equal or exceed $1.0 million. We will not be required to effect more than two registrations on Form S-3 within any 12-month period.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to Be in Effect on the Closing of this Offering</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closing of this offering will provide for stockholder actions at a duly called meeting of stockholders or, so long as any shares of Class B common stock remain outstanding, by written consent. A special meeting of stockholders may be called by a majority of our board of directors, the chair of our board of directors, our chief executive officer, or, so long as any shares of Class B common stock remain outstanding, by our secretary upon written consent of our stockholders entitled to cast at least a majority of the votes at such meeting. Our amended and restated bylaws to be effective on the closing of this offering will establish an advance notice procedure for stockholder proposals to be brought before an annual meeting of our stockholders, including proposed nominations of persons for election to our board of directors.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further provide for a dual-class common stock structure, which provides Eric Lefkofsky, our Chief Executive Officer, Founder, and Chairman, who will beneficially own 100% of our outstanding Class B common stock, with control over all matters requiring stockholder approval, including the election of directors and significant corporate transactions, such as a merger or other sale of our company or its assets. Additionally, so long as any shares of Class B common stock remain outstanding, a majority vote of the outstanding Class B common stock is required to (1) amend, alter, or repeal any provision of the certificate of incorporation or bylaws in a manner that impacts the rights of the holders of the Class B common stock, (2) reclassify any outstanding shares of Class A common stock into shares having (a) dividend or liquidation rights that are senior to the Class B common stock or (b) the right to more than one vote per share, (3) issue any shares of preferred stock having voting rights equal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340"/>
          </w:cols>
          <w:pgMar w:left="320" w:top="448" w:right="2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or superior to those of the Class B common stock, and (4) issue any additional shares of Class B common stock or other securities convertible into Class B common stock (except for the issuance of Class B common stock issuable upon a dividend under certain circumstances).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convertible preferred stock makes it possible for our board of directors to issue convertible preferred stock with voting or other rights or preferences that could impede the success of any attempt to change our control.</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These provisions, including the dual-class structure of our common stock, are intended to preserve our existing control structure after the closing of this offering,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provide that the Court of Chancery of the State of Delaware be the exclusive forum for actions or proceedings brought under Delaware statutory or common law: (1) any derivative claim or cause of action brought on our behalf; (2) any claim or cause of action asserting a breach of fiduciary duty; (3) any claim or cause of action against us arising under the Delaware General Corporation Law; (4) any claim or cause of action arising under or seeking to interpret our amended and restated certificate of incorporation or our amended and restated bylaws; or (5) any claim or cause of action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Investors cannot waive compliance with the federal securities laws and the rules and regulations thereunder.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the section titled “Executive Compensation—Limitations of Liability and Indemnification Matters.”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340"/>
          </w:cols>
          <w:pgMar w:left="320" w:top="448" w:right="2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Class A common stock is currently not listed on any securities exchange. We have applied to have our Class A common stock approved for listing on the Nasdaq Global Select Market under the symbol “TL.”</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On the closing of this offering, the transfer agent and registrar for our Class A common stock and Class B common stock will be American Stock Transfer</w:t>
      </w:r>
    </w:p>
    <w:p>
      <w:pPr>
        <w:spacing w:after="0" w:line="44" w:lineRule="exact"/>
        <w:rPr>
          <w:sz w:val="20"/>
          <w:szCs w:val="20"/>
          <w:color w:val="auto"/>
        </w:rPr>
      </w:pPr>
    </w:p>
    <w:p>
      <w:pPr>
        <w:ind w:left="5540" w:right="920" w:hanging="5535"/>
        <w:spacing w:after="0" w:line="414" w:lineRule="auto"/>
        <w:tabs>
          <w:tab w:leader="none" w:pos="1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LLC. The transfer agent’s address is 6201 15th Avenue, Brooklyn, New York 11219, and its telephone number is (800) 937-5449. 226</w:t>
      </w:r>
    </w:p>
    <w:p>
      <w:pPr>
        <w:sectPr>
          <w:pgSz w:w="11900" w:h="16838" w:orient="portrait"/>
          <w:cols w:equalWidth="0" w:num="1">
            <w:col w:w="11340"/>
          </w:cols>
          <w:pgMar w:left="320" w:top="448" w:right="2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15"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Prior to this offering, there has been no public market for our Class A common stock. Future sales of substantial amounts of our Class A common stock or Class B common stock, including shares issued on the settlement of outstanding RSUs, in the public market after this offering, or the possibility of these sales or issuances occurring, could adversely affect the prevailing market price for our Class A common stock or impair our ability to raise equity capital.</w:t>
      </w:r>
    </w:p>
    <w:p>
      <w:pPr>
        <w:spacing w:after="0" w:line="146"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Based on our shares outstanding as of December 31, 2021, on the closing of this offering, a total of shares of Class A common stock and 5,374,899 shares of Class B common stock will be outstanding, assuming the automatic conversion of (1) all of our outstanding shares of convertible preferred</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stock, other than our Series B convertible preferred stock, into an aggregate of shares of Class A common stock, including the Additional Class A Conversion Shares (assuming an initial public offering price of $ per share, the midpoint of the estimated price range set forth on the cover page of this</w:t>
      </w:r>
    </w:p>
    <w:p>
      <w:pPr>
        <w:spacing w:after="0" w:line="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prospectus), (2) all of our outstanding shares of Series B convertible preferred stock into an aggregate of 5,374,899 shares of Class B common stock and (3) all of our outstanding shares of nonvoting common stock into 4,612,450 shares of Class A common stock. Of these shares, all of the Class A common stock sold in this offering by us, plus any shares sold by the selling stockholders on exercise of the underwriters’ option to purchase additional Class A common stock to cover over-allotments, if any, will be freely tradable in the public market without restriction or further registration under the Securities Act, unless these shares are held by “affiliates,” as that term is defined in Rule 144.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6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remaining shares of Class A common stock and Class B common stock will be, and shares of Class A common stock issued on settlement of RSUs will be on issuance,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shares on expiration of the lock-up agreements described below, subject, in the case of restricted securities, to such shares having been beneficially owned for at least six months. Beginning 90 days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340"/>
          </w:cols>
          <w:pgMar w:left="320" w:top="448" w:right="2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the date of this prospectus, within any three-month period, such stockholders may sell a number of shares that does not exceed the greater of:</w:t>
      </w:r>
    </w:p>
    <w:p>
      <w:pPr>
        <w:sectPr>
          <w:pgSz w:w="11900" w:h="16838" w:orient="portrait"/>
          <w:cols w:equalWidth="0" w:num="1">
            <w:col w:w="11340"/>
          </w:cols>
          <w:pgMar w:left="320" w:top="448" w:right="239" w:bottom="1440" w:gutter="0" w:footer="0" w:header="0"/>
        </w:sectPr>
      </w:pPr>
    </w:p>
    <w:p>
      <w:pPr>
        <w:spacing w:after="0" w:line="14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1% of the number of shares of Class A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immediately after this</w:t>
      </w:r>
    </w:p>
    <w:p>
      <w:pPr>
        <w:spacing w:after="0" w:line="354" w:lineRule="exact"/>
        <w:rPr>
          <w:sz w:val="20"/>
          <w:szCs w:val="20"/>
          <w:color w:val="auto"/>
        </w:rPr>
      </w:pPr>
    </w:p>
    <w:p>
      <w:pPr>
        <w:sectPr>
          <w:pgSz w:w="11900" w:h="16838" w:orient="portrait"/>
          <w:cols w:equalWidth="0" w:num="3">
            <w:col w:w="520" w:space="480"/>
            <w:col w:w="7580" w:space="720"/>
            <w:col w:w="2040"/>
          </w:cols>
          <w:pgMar w:left="320" w:top="448" w:right="239" w:bottom="1440" w:gutter="0" w:footer="0" w:header="0"/>
          <w:type w:val="continuous"/>
        </w:sectPr>
      </w:pPr>
    </w:p>
    <w:p>
      <w:pPr>
        <w:ind w:left="1000" w:hanging="549"/>
        <w:spacing w:after="0" w:line="267"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on the Nasdaq Stock Market during the four calendar weeks preceding the filing of a notice on Form 144 with respect to such sale.</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Rule 701 under the Securities Act, or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with the SEC to register the offer and sale of shares of our Class A common stock that are issuable under the 2015 Plan, the 2022 Plan and the ESPP.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Arrangements</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all of our directors, executive officers, the selling stockholders and the holders of substantially all of our common stock and securities exercisable for or convertible into our common stock outstanding immediately on the closing of this offering, have agreed, or will agree, with the underwriters that, until 180 days after the date of this prospectus, or the restricted period, subject to certain exceptions, we and they will not, without the prior written consent of Morgan Stanley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These agreements are described in the section titled “Underwriting.” Morgan Stanley &amp; Co. LLC and J.P. Morgan Securities LLC may release any of the securities subject to these lock-up agreements at any time, subject to applicable notice requirements.</w:t>
      </w:r>
    </w:p>
    <w:p>
      <w:pPr>
        <w:spacing w:after="0" w:line="16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to the restrictions contained in the lock-up agreements described above, we have entered into agreements with substantially all of our security holders that contain market stand-off provisions imposing restrictions on the ability of such security holders to offer, sell or transfer our equity securities for a period of 180 days following the date of this prospectus.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ectPr>
          <w:pgSz w:w="11900" w:h="16838" w:orient="portrait"/>
          <w:cols w:equalWidth="0" w:num="1">
            <w:col w:w="11340"/>
          </w:cols>
          <w:pgMar w:left="320" w:top="448" w:right="239" w:bottom="1440" w:gutter="0" w:footer="0" w:header="0"/>
          <w:type w:val="continuous"/>
        </w:sectPr>
      </w:pPr>
    </w:p>
    <w:p>
      <w:pPr>
        <w:spacing w:after="0" w:line="11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Upon the closing of this offering, the holders of transferees, will be entitled to certain rights with respect to the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our Class A common stock and of all shares of our Class B common stock, or their</w:t>
      </w:r>
    </w:p>
    <w:p>
      <w:pPr>
        <w:spacing w:after="0" w:line="380" w:lineRule="exact"/>
        <w:rPr>
          <w:sz w:val="20"/>
          <w:szCs w:val="20"/>
          <w:color w:val="auto"/>
        </w:rPr>
      </w:pPr>
    </w:p>
    <w:p>
      <w:pPr>
        <w:sectPr>
          <w:pgSz w:w="11900" w:h="16838" w:orient="portrait"/>
          <w:cols w:equalWidth="0" w:num="2">
            <w:col w:w="4380" w:space="340"/>
            <w:col w:w="6620"/>
          </w:cols>
          <w:pgMar w:left="320" w:top="448"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228</w:t>
      </w:r>
    </w:p>
    <w:p>
      <w:pPr>
        <w:sectPr>
          <w:pgSz w:w="11900" w:h="16838" w:orient="portrait"/>
          <w:cols w:equalWidth="0" w:num="1">
            <w:col w:w="11340"/>
          </w:cols>
          <w:pgMar w:left="320" w:top="448" w:right="239" w:bottom="1440" w:gutter="0" w:footer="0" w:header="0"/>
          <w:type w:val="continuous"/>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Stock—Registration Rights” for additional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340"/>
          </w:cols>
          <w:pgMar w:left="320" w:top="448" w:right="2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NON-U.S. HOLDERS OF OUR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90" w:lineRule="exact"/>
        <w:rPr>
          <w:sz w:val="20"/>
          <w:szCs w:val="20"/>
          <w:color w:val="auto"/>
        </w:rPr>
      </w:pPr>
    </w:p>
    <w:p>
      <w:pPr>
        <w:jc w:val="both"/>
        <w:ind w:firstLine="454"/>
        <w:spacing w:after="0" w:line="244" w:lineRule="auto"/>
        <w:rPr>
          <w:sz w:val="20"/>
          <w:szCs w:val="20"/>
          <w:color w:val="auto"/>
        </w:rPr>
      </w:pPr>
      <w:r>
        <w:rPr>
          <w:rFonts w:ascii="Times New Roman" w:cs="Times New Roman" w:eastAsia="Times New Roman" w:hAnsi="Times New Roman"/>
          <w:sz w:val="18"/>
          <w:szCs w:val="18"/>
          <w:color w:val="auto"/>
        </w:rPr>
        <w:t>The following summary describes certain material U.S. federal income tax consequences to Non-U.S. Holders (as defined below) of the acquisition, ownership, and disposition of our Class A common stock acquired in this offering. This discussion is not a complete analysis of all potential U.S. federal income tax consequences relating thereto, and does not address foreign, state, and local tax consequences that may be relevant to Non-U.S. Holders in light of their particular circumstances, nor does it address U.S. federal tax consequences (such as gift and estate taxes) other than income taxes. 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the special tax accounting rules under Section 451(b) of the Code and the Medicare contribution tax on net investment income.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Class A common stock as part of a “straddle,” “hedge,” “conversion transaction,” “synthetic security,” or integrated investment or other risk reduction strategy, persons who acquire our Class A common stock through the exercise of an option or otherwise as compensation,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perhaps retroactively, so as to result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w:t>
      </w:r>
    </w:p>
    <w:p>
      <w:pPr>
        <w:spacing w:after="0" w:line="20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Persons considering the purchase of our Class A common stock pursuant to this offering should consult their own tax advisors concerning the U.S. federal income, estate, and other tax consequences of acquiring, owning, and disposing of our Class A common stock in light of their particular situations as well as any consequences arising under the laws of any other taxing jurisdiction, including any state, local, or foreign tax consequences.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discussion, a “Non-U.S. Holder” is, for U.S. federal income tax purposes, a beneficial owner of Class A common stock that is neither a U.S. Holder, nor a partnership (or other entity treated as a partnership for U.S. federal income tax purposes regardless of its place of organization or formation). A “U.S. Holder” means a beneficial owner of our Class A common stock that is for U.S. federal income tax purposes any of the following:</w:t>
      </w:r>
    </w:p>
    <w:p>
      <w:pPr>
        <w:spacing w:after="0" w:line="89" w:lineRule="exact"/>
        <w:rPr>
          <w:sz w:val="20"/>
          <w:szCs w:val="20"/>
          <w:color w:val="auto"/>
        </w:rPr>
      </w:pPr>
    </w:p>
    <w:p>
      <w:pPr>
        <w:ind w:left="1000" w:hanging="549"/>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340"/>
          </w:cols>
          <w:pgMar w:left="320" w:top="448" w:right="2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Distributions, if any, made on our Class A common stock to a Non-U.S. Holder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This certification must be provided to us and/or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and/or our paying agent, either directly or through other intermediaries. If a Non-U.S. Holder is eligible for a reduced rate of U.S. federal withholding tax under an income tax treaty and such Non-U.S. Holder does not timely file the required certification, such Non-U.S. Holder may be able to obtain a refund or credit of any excess amounts withheld by timely filing an appropriate claim for a refund with the IRS.</w:t>
      </w:r>
    </w:p>
    <w:p>
      <w:pPr>
        <w:spacing w:after="0" w:line="19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Holders.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the extent distributions on our Class A common stock, if any, exceed our current and accumulated earnings and profits, they will first reduce the Non-U.S. Holder’s adjusted basis in our Class A common stock, but not below zero, and then will be treated as gain to the extent of any excess amount distributed, and taxed in the same manner as gain realized from a sale or other disposition of Class A common stock as described in the next section.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Class A Common Stock</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foreign accounts, a Non-U.S. Holder generally will not be subject to U.S. federal income tax with respect to gain realized on a sale or other taxable disposition of our Class A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our Class A common stock. In general, we would be a United States real property holding corporation if our interests in U.S. real property comprise (by fair market value) at least half of our worldwide real property interests and our other assets used or held for use in a trade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340"/>
          </w:cols>
          <w:pgMar w:left="320" w:top="448" w:right="2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business. We believe that we are not, and do not anticipate becoming, a United States real property holding corporation. Even if we are treated as a United States real property holding corporation, gain realized by a Non-U.S. Holder on a disposition of our Class A common stock will not be subject to U.S. federal income tax so long as (1) the Non-U.S. Holder owned, directly, indirectly, and constructively, no more than 5% of our Class A common stock at all times within the shorter of (i) the five-year period preceding the disposition or (ii) the holder’s holding period and (2) our Class A common stock is regularly traded on an established securities market, as defined in applicable Treasury Regulations. There can be no assurance that our Class A common stock will qualify as regularly traded on an established securities market. If a Non-U.S. Holder’s gain on disposition of our Class A common stock is taxable because we are a United States real property holding corporation and such Non-U.S. Holder’s ownership of our Class A common stock exceeds 5%, such Non-U.S. Holder will be taxed on such disposition generally in the manner as gain that is effectively connected with the conduct of a U.S. trade or business (subject to the provisions under an applicable income tax treaty), except that the branch profits tax generally will not apply to a corporate Non-U.S. Holder.</w:t>
      </w:r>
    </w:p>
    <w:p>
      <w:pPr>
        <w:spacing w:after="0" w:line="19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Non-U.S. Holders described in (a) above will be required to pay tax on the net gain derived from the sale at regular U.S. federal income tax rates applicable to U.S. Holders, and corporate Non-U.S. Holders described in (a) above may be subject to the additional branch profits tax on such gain at a 30% rate or such lower rate as may be specified by an applicable income tax treaty. Gain described in (b) above will be subject to U.S. federal income tax at a flat 30% rate, which gain may be offset by certain U.S.-source capital losses (even though a Non-U.S. Holder is not considered a resident of the United States), provided that the Non-U.S. Holder has timely filed U.S. federal income tax returns with respect to such losses.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Requirements and Backup Withholding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Generally, we must report information to the IRS with respect to any distributions we pay on our Class A common stock (even if the payments are exempt from withholding),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W-ECI, or otherwise establishes an exemption. Notwithstanding the foregoing, backup withholding may apply if the payor has actual knowledge, or reason to know, that the holder is a U.S. person who is not an exempt recipient.</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U.S. information reporting and backup withholding requirements generally will apply to the proceeds of a disposition of our Class A common stock effected by or through a U.S. office of any broker, U.S. or foreign, except that information reporting and such requirements may be avoided if the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credited against the tax liability of persons subject to backup withholding, provided that the required information is timely furnished to the IRS.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340"/>
          </w:cols>
          <w:pgMar w:left="320" w:top="448" w:right="2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Sections 1471 through 1474 of the Code (commonly referred to as FATCA) impose a U.S. federal withholding tax of 30% on certain payments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the rules.</w:t>
      </w:r>
    </w:p>
    <w:p>
      <w:pPr>
        <w:spacing w:after="0" w:line="16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FATCA withholding currently applies to payments of dividends, if any, on our Class A common stock and, subject to the proposed Treasury Regulations described in this paragraph, generally also would apply to payments of gross proceeds from the sale or other disposition of our Class A common stock. The U.S. Treasury Department released proposed regulations which, if finalized in their present form, would eliminate the federal withholding tax of 30% applicable to the gross proceeds of a disposition of our Class A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Class A common stock.</w:t>
      </w:r>
    </w:p>
    <w:p>
      <w:pPr>
        <w:spacing w:after="0" w:line="185"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EACH PROSPECTIVE INVESTOR SHOULD CONSULT ITS OWN TAX ADVISOR REGARDING THE TAX CONSEQUENCES OF PURCHASING, HOLDING, AND DISPOSING OF OUR CLASS A COMMON STOCK, INCLUDING THE CONSEQUENCES OF ANY RECENT OR PROPOSED CHANGE IN APPLICABLE LAW FROM ALL FEDERAL, STATE, ESTATE, AND GIFT TAX PERSPECTIVES.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340"/>
          </w:cols>
          <w:pgMar w:left="320" w:top="448" w:right="2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J.P. Morgan Securities LLC and Allen &amp; Company LLC are acting as representatives, have severally agreed to purchase, and we have agreed to sell to them, severally, the number of shares of Class A common stock indicated below:</w:t>
      </w:r>
    </w:p>
    <w:p>
      <w:pPr>
        <w:spacing w:after="0" w:line="201" w:lineRule="exact"/>
        <w:rPr>
          <w:sz w:val="20"/>
          <w:szCs w:val="20"/>
          <w:color w:val="auto"/>
        </w:rPr>
      </w:pPr>
    </w:p>
    <w:p>
      <w:pPr>
        <w:ind w:left="860"/>
        <w:spacing w:after="0"/>
        <w:tabs>
          <w:tab w:leader="none" w:pos="9100" w:val="left"/>
        </w:tabs>
        <w:rPr>
          <w:sz w:val="20"/>
          <w:szCs w:val="20"/>
          <w:color w:val="auto"/>
        </w:rPr>
      </w:pPr>
      <w:r>
        <w:rPr>
          <w:rFonts w:ascii="Times New Roman" w:cs="Times New Roman" w:eastAsia="Times New Roman" w:hAnsi="Times New Roman"/>
          <w:sz w:val="14"/>
          <w:szCs w:val="14"/>
          <w:b w:val="1"/>
          <w:bCs w:val="1"/>
          <w:u w:val="single" w:color="auto"/>
          <w:color w:val="auto"/>
        </w:rPr>
        <w:t>Name</w:t>
      </w:r>
      <w:r>
        <w:rPr>
          <w:sz w:val="20"/>
          <w:szCs w:val="20"/>
          <w:color w:val="auto"/>
        </w:rPr>
        <w:tab/>
      </w:r>
      <w:r>
        <w:rPr>
          <w:rFonts w:ascii="Times New Roman" w:cs="Times New Roman" w:eastAsia="Times New Roman" w:hAnsi="Times New Roman"/>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13335</wp:posOffset>
            </wp:positionV>
            <wp:extent cx="6118860" cy="133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Allen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5796915</wp:posOffset>
            </wp:positionH>
            <wp:positionV relativeFrom="paragraph">
              <wp:posOffset>2540</wp:posOffset>
            </wp:positionV>
            <wp:extent cx="8255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00" cy="8255"/>
                    </a:xfrm>
                    <a:prstGeom prst="rect">
                      <a:avLst/>
                    </a:prstGeom>
                    <a:noFill/>
                  </pic:spPr>
                </pic:pic>
              </a:graphicData>
            </a:graphic>
          </wp:anchor>
        </w:drawing>
      </w:r>
    </w:p>
    <w:p>
      <w:pPr>
        <w:spacing w:after="0" w:line="20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underwriters initially propose to offer part of the shares of Class A common stock directly to the public at the offering price listed on the cover page of</w:t>
      </w:r>
    </w:p>
    <w:p>
      <w:pPr>
        <w:spacing w:after="0" w:line="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this prospectus and part to certain dealers at a price that represents a concession not in excess of $ per share under the initial public offering price. After the initial offering of the shares of Class A common stock, the offering price and other selling terms may from time to time be varied by the representatives.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selling stockholders identified in this prospectus have granted to the underwriters an option, exercisable for 30 days from the date of this prospectus, to</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purchase up to additional shares of Class A common stock at the initial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9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The following table shows the per share and total initial public offering price, underwriting discounts and commissions, and proceeds before expenses to us and the selling stockholders. These amounts are shown assuming both no exercise and full exercise of the underwriters’ option to purchase up to an</w:t>
      </w:r>
    </w:p>
    <w:p>
      <w:pPr>
        <w:spacing w:after="0" w:line="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additional</w:t>
      </w:r>
      <w:r>
        <w:rPr>
          <w:sz w:val="20"/>
          <w:szCs w:val="20"/>
          <w:color w:val="auto"/>
        </w:rPr>
        <w:tab/>
      </w:r>
      <w:r>
        <w:rPr>
          <w:rFonts w:ascii="Times New Roman" w:cs="Times New Roman" w:eastAsia="Times New Roman" w:hAnsi="Times New Roman"/>
          <w:sz w:val="18"/>
          <w:szCs w:val="18"/>
          <w:color w:val="auto"/>
        </w:rPr>
        <w:t>shares of Class A common stock.</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340"/>
          </w:cols>
          <w:pgMar w:left="320" w:top="448" w:right="2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w:t>
            </w:r>
          </w:p>
        </w:tc>
        <w:tc>
          <w:tcPr>
            <w:tcW w:w="5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3"/>
        </w:trPr>
        <w:tc>
          <w:tcPr>
            <w:tcW w:w="64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500" w:type="dxa"/>
            <w:vAlign w:val="bottom"/>
            <w:tcBorders>
              <w:top w:val="single" w:sz="8" w:color="auto"/>
            </w:tcBorders>
          </w:tcPr>
          <w:p>
            <w:pPr>
              <w:ind w:left="160"/>
              <w:spacing w:after="0" w:line="113" w:lineRule="exact"/>
              <w:rPr>
                <w:sz w:val="20"/>
                <w:szCs w:val="20"/>
                <w:color w:val="auto"/>
              </w:rPr>
            </w:pPr>
            <w:r>
              <w:rPr>
                <w:rFonts w:ascii="Times New Roman" w:cs="Times New Roman" w:eastAsia="Times New Roman" w:hAnsi="Times New Roman"/>
                <w:sz w:val="13"/>
                <w:szCs w:val="13"/>
                <w:b w:val="1"/>
                <w:bCs w:val="1"/>
                <w:color w:val="auto"/>
              </w:rPr>
              <w:t>No</w:t>
            </w:r>
          </w:p>
        </w:tc>
        <w:tc>
          <w:tcPr>
            <w:tcW w:w="3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ind w:left="140"/>
              <w:spacing w:after="0" w:line="113" w:lineRule="exact"/>
              <w:rPr>
                <w:sz w:val="20"/>
                <w:szCs w:val="20"/>
                <w:color w:val="auto"/>
              </w:rPr>
            </w:pPr>
            <w:r>
              <w:rPr>
                <w:rFonts w:ascii="Times New Roman" w:cs="Times New Roman" w:eastAsia="Times New Roman" w:hAnsi="Times New Roman"/>
                <w:sz w:val="13"/>
                <w:szCs w:val="13"/>
                <w:b w:val="1"/>
                <w:bCs w:val="1"/>
                <w:color w:val="auto"/>
              </w:rPr>
              <w:t>Full</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3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03"/>
        </w:trPr>
        <w:tc>
          <w:tcPr>
            <w:tcW w:w="64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Initial public offering price</w:t>
            </w:r>
          </w:p>
        </w:tc>
        <w:tc>
          <w:tcPr>
            <w:tcW w:w="2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24"/>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w:t>
            </w:r>
          </w:p>
        </w:tc>
        <w:tc>
          <w:tcPr>
            <w:tcW w:w="2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306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selling stockholders</w:t>
            </w:r>
          </w:p>
        </w:tc>
        <w:tc>
          <w:tcPr>
            <w:tcW w:w="30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306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selling stockholders</w:t>
            </w:r>
          </w:p>
        </w:tc>
        <w:tc>
          <w:tcPr>
            <w:tcW w:w="30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99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w:t>
            </w:r>
          </w:p>
        </w:tc>
        <w:tc>
          <w:tcPr>
            <w:tcW w:w="1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4"/>
              </w:rPr>
              <w:t>million. We have</w:t>
            </w:r>
          </w:p>
        </w:tc>
        <w:tc>
          <w:tcPr>
            <w:tcW w:w="0" w:type="dxa"/>
            <w:vAlign w:val="bottom"/>
          </w:tcPr>
          <w:p>
            <w:pPr>
              <w:spacing w:after="0"/>
              <w:rPr>
                <w:sz w:val="1"/>
                <w:szCs w:val="1"/>
                <w:color w:val="auto"/>
              </w:rPr>
            </w:pPr>
          </w:p>
        </w:tc>
      </w:tr>
      <w:tr>
        <w:trPr>
          <w:trHeight w:val="228"/>
        </w:trPr>
        <w:tc>
          <w:tcPr>
            <w:tcW w:w="10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agreed to reimburse the underwriters for expenses relating to clearance of this offering with the Financial Industry Regulatory Authority up to $</w:t>
            </w:r>
          </w:p>
        </w:tc>
        <w:tc>
          <w:tcPr>
            <w:tcW w:w="900" w:type="dxa"/>
            <w:vAlign w:val="bottom"/>
            <w:gridSpan w:val="2"/>
          </w:tcPr>
          <w:p>
            <w:pPr>
              <w:jc w:val="right"/>
              <w:ind w:right="42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Class A common stock offered by them. We have applied to list our Class A common stock on the Nasdaq Global Select Market under the trading symbol “TL.”</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and all directors and officers and the holders of substantially all of our outstanding stock and stock options will agree that, subject to certain conditions, without the prior written consent of the representatives on behalf of the underwriters, we and they will not, and will not publicly disclose an intention to, during the period ending on and including the 180th day after the date of this prospectus, referred to as the restricted period:</w:t>
      </w:r>
    </w:p>
    <w:p>
      <w:pPr>
        <w:spacing w:after="0" w:line="89" w:lineRule="exact"/>
        <w:rPr>
          <w:sz w:val="20"/>
          <w:szCs w:val="20"/>
          <w:color w:val="auto"/>
        </w:rPr>
      </w:pPr>
    </w:p>
    <w:p>
      <w:pPr>
        <w:jc w:val="both"/>
        <w:ind w:left="1000" w:hanging="549"/>
        <w:spacing w:after="0" w:line="255"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Securities and Exchange Commission, or the SEC, relating to the offering of any shares of common stock or any securities convertible into or exercisable or exchangeable for common stock; or</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will agree that, without the prior written consent of the representatives on behalf of the underwriters, we or such other person will not, during the restricted period, make any demand for, or exercise any right with respect to, the registration of any shares of our common stock or any security convertible into or exercisable or exchangeable for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w:t>
      </w:r>
    </w:p>
    <w:p>
      <w:pPr>
        <w:spacing w:after="0" w:line="121" w:lineRule="exact"/>
        <w:rPr>
          <w:sz w:val="20"/>
          <w:szCs w:val="20"/>
          <w:color w:val="auto"/>
        </w:rPr>
      </w:pPr>
    </w:p>
    <w:p>
      <w:pPr>
        <w:ind w:left="1000" w:hanging="549"/>
        <w:spacing w:after="0"/>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to the underwriters;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93" w:lineRule="auto"/>
        <w:tabs>
          <w:tab w:leader="none" w:pos="10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by any person other than us relating to shares of Class A common stock or other securities acquired in this offering or in open market transactions after the completion of this offering, provided that no filing under the Exchange Act, or other public announcement, reporting a reduction in beneficial ownership of shares of Class A common stock is required or voluntarily made in connection with subsequent sales of Class A common stock or other securities acquired in this offering or in such open market transactions during the restricted period;</w:t>
      </w:r>
    </w:p>
    <w:p>
      <w:pPr>
        <w:spacing w:after="0" w:line="59" w:lineRule="exact"/>
        <w:rPr>
          <w:rFonts w:ascii="Times New Roman" w:cs="Times New Roman" w:eastAsia="Times New Roman" w:hAnsi="Times New Roman"/>
          <w:sz w:val="16"/>
          <w:szCs w:val="16"/>
          <w:color w:val="auto"/>
        </w:rPr>
      </w:pPr>
    </w:p>
    <w:p>
      <w:pPr>
        <w:jc w:val="both"/>
        <w:ind w:left="1000" w:hanging="549"/>
        <w:spacing w:after="0" w:line="255"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(i) as a bona fide gift, (ii) to an immediate family member or to any trust for the direct or indirect benefit of the holder or an immediate family member of the holder, (iii) to any corporation,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340"/>
          </w:cols>
          <w:pgMar w:left="320" w:top="448" w:right="2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20"/>
        <w:spacing w:after="0" w:line="249" w:lineRule="auto"/>
        <w:rPr>
          <w:sz w:val="20"/>
          <w:szCs w:val="20"/>
          <w:color w:val="auto"/>
        </w:rPr>
      </w:pPr>
      <w:r>
        <w:rPr>
          <w:rFonts w:ascii="Times New Roman" w:cs="Times New Roman" w:eastAsia="Times New Roman" w:hAnsi="Times New Roman"/>
          <w:sz w:val="18"/>
          <w:szCs w:val="18"/>
          <w:color w:val="auto"/>
        </w:rPr>
        <w:t>partnership, limited liability company, investment fund, trust or other entity controlled or managed, or under common control or management by, the holder, or (iv) by will, other testamentary document or intestate succession to the legal representative, heir, beneficiary or an immediate family member of the holder, provided that, in the case of any such transfer, (a) each transferee shall sign and deliver a lock-up agreement and (b) no filing under the Exchange Act, or other public announcement, reporting a reduction in beneficial ownership of shares of common stock is required or voluntarily made during the restricted period;</w:t>
      </w:r>
    </w:p>
    <w:p>
      <w:pPr>
        <w:spacing w:after="0" w:line="95" w:lineRule="exact"/>
        <w:rPr>
          <w:sz w:val="20"/>
          <w:szCs w:val="20"/>
          <w:color w:val="auto"/>
        </w:rPr>
      </w:pPr>
    </w:p>
    <w:p>
      <w:pPr>
        <w:jc w:val="both"/>
        <w:ind w:left="1000" w:hanging="549"/>
        <w:spacing w:after="0" w:line="248"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a corporation, partnership, limited liability company, trust or other business entity, transfers or distributions of shares of common stock or any security convertible into or exercisable or exchangeable for common stock to general or limited partners, managers or members, stockholders, other equityholders or direct or indirect affiliates (within the meaning of Rule 405 under the Securities Act) of the undersigned or to the estates of any of the foregoing, provided that (i) each transferee or distributee shall sign and deliver a lock-up agreement and (ii) no filing under the Exchange Act, or other public announcement, reporting a reduction in beneficial ownership of shares of common stock is required or voluntarily made during the restricted period;</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46"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to the company of shares of common stock or any securities convertible into or exercisable or exchangeable for common stock to satisfy any tax, including estimated tax, remittance, or other payment obligations of the holder arising in connection with a vesting event of the company’s securities, upon the settlement of restricted stock units or the payment due for the exercise of options or other rights to purchase securities of the company (including, in each case, by way of a “cashless” or “net exercise” basis and any transfer to the company necessary in respect of such amount needed for the payment of taxes, including estimated taxes, and remittance payments due as a result of such vesting, settlement or exercise including by means of a “net settlement,” “sell to cover” or otherwise), in all such cases pursuant to equity awards granted under a stock incentive plan or other equity award plan of the company described in this prospectus, provided that (i) any remaining shares of common stock received upon such vesting, settlement or exercise are subject to the aforementioned restrictions, (ii) no filing under the Exchange Act, or other public announcement, shall be voluntarily made during the restricted period and (iii) any filing required under the Exchange Act shall clearly indicate in the footnotes thereto that the filing relates to the circumstances described in this bullet;</w:t>
      </w:r>
    </w:p>
    <w:p>
      <w:pPr>
        <w:spacing w:after="0" w:line="9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on behalf of a stockholder,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holder or the company regarding the establishment of such plan, such announcement or filing shall include a statement to the effect that no transfer of common stock may be made under such plan during the restricted period;</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any security convertible into or exercisable or exchangeable for common stock that occurs by operation of law pursuant to a qualified domestic order or in connection with a divorce settlement or other court order, provided that (i) the transferee shall sign and deliver a lock-up agreement and (ii) no filing under the Exchange Act, or other public announcement, shall be required or shall be voluntarily made during the restricted period (other than any filing required under Section 16(a) of the Exchange Act that shall clearly indicate in the footnotes thereto that the filing relates to the circumstances described in this bullet);</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shares of the company’s convertible preferred stock or Class B common stock into shares of Class A common stock as described in this prospectus, provided that, in each case (i) such shares shall continue to be subject to the aforementioned restrictions on transfer and (ii) no filing under the Exchange Act, or other public announcement, shall be required or voluntarily made during the restricted period (other than any filing required under Section 16(a) of the Exchange Act that clearly indicates in the footnotes thereto that the filing relates to the circumstances described in this bullet);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340"/>
          </w:cols>
          <w:pgMar w:left="320" w:top="448" w:right="2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51"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any security convertible into or exercisable or exchangeable for common stock pursuant to a bona fide third-party tender offer, merger, consolidation or other similar transaction that is approved by the board of directors of the company, made to all holders of common stock involving a change of control, provided that, in the event that the tender offer, merger, consolidation or other such transaction is not completed, the common stock owned by the holder shall remain subject to the aforementioned restrictions; or</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shares of common stock or any security convertible into or exercisable or exchangeable for common stock pledged in a bona fide transaction to third parties as collateral to secure obligations pursuant to lending or other arrangements in effect as of the date hereof between such third parties (or their affiliates or designees) and the holder or its affiliates or any similar arrangement relating to a financing arrangement for the benefit of the holder or its affiliates, provided that (i) any such pledgee or other party shall, upon foreclosure on the pledged securities, sign and deliver a lock-up agreement and (ii) no filing under the Exchange Act, or any other public filing or disclosure, of such transfer by or on behalf of the holder, shall be required or shall be voluntarily made during the restricted period.</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Morgan Stanley &amp; Co. LLC and J.P. Morgan Securities LLC, in their joint discretion, may release the common stock and other securities subject to the lock-up agreements described above in whole or in part at any time, subject to applicable notice requirements. In addition, in the event that any officer, director or other holder holding in excess of 1% of our outstanding shares of common stock is granted an early release from the lock-up restrictions with respect to our securities in an aggregate amount in excess of 1% of our outstanding shares of common stock (whether in one or multiple releases), then every other person subject to lock-up automatically will be granted an equivalent early release from its obligations under the lock-up agreement on a pro rata basis. Such release (i) shall not be applicable if it is effected solely to permit a transfer not for consideration and the transferee has agreed in writing to be bound by the restrictions described above, and (ii) in certain cases, in the event of an underwritten public offering during the restricted period, shall only apply with respect to the holder’s participation in the underwritten offering. Notwithstanding any other provisions of the lock-up agreement, in certain cases, if Morgan Stanley &amp; Co. LLC and J.P. Morgan Securities LLC, in their sole judgment, determine that a holder of any securities that is a natural person should be granted an early release from a lock-up agreement due to circumstances of an emergency or hardship, then no other holder shall have any right to be granted an early release from the lock-up agreement.</w:t>
      </w:r>
    </w:p>
    <w:p>
      <w:pPr>
        <w:spacing w:after="0" w:line="196"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 Any such stabilization activities will be conducted in accordance with Regulation M.</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the selling stockholders and the underwriters have agreed to indemnify each other against certain liabilities, including liabilities under the Securities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340"/>
          </w:cols>
          <w:pgMar w:left="320" w:top="448" w:right="2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The initial public offering price will be determined by negotiations between us and the representatives. Among the factors to be considered in determining the initial public offering price are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5" w:lineRule="exact"/>
        <w:rPr>
          <w:sz w:val="20"/>
          <w:szCs w:val="20"/>
          <w:color w:val="auto"/>
        </w:rPr>
      </w:pPr>
    </w:p>
    <w:p>
      <w:pPr>
        <w:ind w:left="1000" w:hanging="414"/>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21"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representatives; or</w:t>
      </w:r>
    </w:p>
    <w:p>
      <w:pPr>
        <w:spacing w:after="0" w:line="77" w:lineRule="exact"/>
        <w:rPr>
          <w:rFonts w:ascii="Times New Roman" w:cs="Times New Roman" w:eastAsia="Times New Roman" w:hAnsi="Times New Roman"/>
          <w:sz w:val="18"/>
          <w:szCs w:val="18"/>
          <w:color w:val="auto"/>
        </w:rPr>
      </w:pPr>
    </w:p>
    <w:p>
      <w:pPr>
        <w:ind w:left="1000" w:hanging="414"/>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340"/>
          </w:cols>
          <w:pgMar w:left="320" w:top="448" w:right="2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relation to the United Kingdom, no securities have been offered or will be offered pursuant to this offering to the public in the United Kingdom prior to the publication of a prospectus in relation to the securities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securities may be made to the public in the United Kingdom at any time under the following exemptions under the UK Prospectus Regulation:</w:t>
      </w:r>
    </w:p>
    <w:p>
      <w:pPr>
        <w:spacing w:after="0" w:line="95" w:lineRule="exact"/>
        <w:rPr>
          <w:sz w:val="20"/>
          <w:szCs w:val="20"/>
          <w:color w:val="auto"/>
        </w:rPr>
      </w:pPr>
    </w:p>
    <w:p>
      <w:pPr>
        <w:ind w:left="1000" w:hanging="414"/>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Article 2 of the UK Prospectus Regulation;</w:t>
      </w:r>
    </w:p>
    <w:p>
      <w:pPr>
        <w:spacing w:after="0" w:line="121"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Article 2 of the UK Prospectus Regulation), subject to obtaining the prior consent of the Representative for any such offer; or</w:t>
      </w:r>
    </w:p>
    <w:p>
      <w:pPr>
        <w:spacing w:after="0" w:line="77" w:lineRule="exact"/>
        <w:rPr>
          <w:rFonts w:ascii="Times New Roman" w:cs="Times New Roman" w:eastAsia="Times New Roman" w:hAnsi="Times New Roman"/>
          <w:sz w:val="18"/>
          <w:szCs w:val="18"/>
          <w:color w:val="auto"/>
        </w:rPr>
      </w:pPr>
    </w:p>
    <w:p>
      <w:pPr>
        <w:ind w:left="1000" w:hanging="414"/>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or the FMSA,</w:t>
      </w: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provided that no such offer of shares shall require the issuer or any underwriter to publish a prospectus pursuant to section 85 of the FSMA or supplement a prospectus pursuant to Article 23 of the UK Prospectus Regulation.</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21" w:lineRule="exact"/>
        <w:rPr>
          <w:sz w:val="20"/>
          <w:szCs w:val="20"/>
          <w:color w:val="auto"/>
        </w:rPr>
      </w:pPr>
    </w:p>
    <w:p>
      <w:pPr>
        <w:jc w:val="both"/>
        <w:ind w:left="1000" w:hanging="414"/>
        <w:spacing w:after="0" w:line="251"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Class A common stock in circumstances in which Section 21(1) of the FSMA does not apply to us; and</w:t>
      </w:r>
    </w:p>
    <w:p>
      <w:pPr>
        <w:spacing w:after="0" w:line="92"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shares of Class A common stock may be sold only to purchasers purchasing, or deemed to be purchasing, as principal that are accredited investors, as defined in National Instrument 45-106 Prospectus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340"/>
          </w:cols>
          <w:pgMar w:left="320" w:top="448" w:right="2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Class A common stock.</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(“QII”)</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Shares of our Class A common stock may not be offered or sold in Hong Kong by means of any document other than (i) in circumstances which do not constitute an offer to the public within the meaning of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340"/>
          </w:cols>
          <w:pgMar w:left="320" w:top="448" w:right="2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our Class A common stock which are or are intended to be disposed of only to persons outside Hong Kong or only to “professional investors” in Hong Kong as defined in the Securities and Futures Ordinance and any rules made thereunder.</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12"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4" w:lineRule="exact"/>
        <w:rPr>
          <w:sz w:val="20"/>
          <w:szCs w:val="20"/>
          <w:color w:val="auto"/>
        </w:rPr>
      </w:pPr>
    </w:p>
    <w:p>
      <w:pPr>
        <w:ind w:firstLine="5"/>
        <w:spacing w:after="0" w:line="247" w:lineRule="auto"/>
        <w:tabs>
          <w:tab w:leader="none" w:pos="31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 in each case subject to conditions set forth in the SFA.</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Where shares of our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shares of our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Where shares of our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shares of our Class A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340"/>
          </w:cols>
          <w:pgMar w:left="320" w:top="448" w:right="2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Solely for purposes of the notification requirements under Section 309B(1)(c) of the Securities and Futures Act, Chapter 289 of Singapore, the shares of our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340"/>
          </w:cols>
          <w:pgMar w:left="320" w:top="448" w:right="2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validity of the shares of Class A common stock being offered by this prospectus will be passed upon for us by Cooley LLP, Chicago, Illinois. Certain legal matters in connection with this offering will be passed upon for the underwriters by Davis Polk &amp; Wardwell LLP, Menlo Park, California.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financial statements as of December 31, 2021 and 2020, and for each of the two years in the period ended December 31, 2021, included in this prospectus, have been so included in reliance on the report of PricewaterhouseCoopers LLP, an independent registered public accounting firm, given on the authority of said firm as experts in auditing and accounting.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340"/>
          </w:cols>
          <w:pgMar w:left="320" w:top="448" w:right="2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 the closing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maintain a website at www.tempus.com. Information contained in, or accessible through, our website is not a part of this prospectus, and the inclusion of our website address in this prospectus is only as an inactive textual reference.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340"/>
          </w:cols>
          <w:pgMar w:left="320" w:top="448" w:right="23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195"/>
        </w:trPr>
        <w:tc>
          <w:tcPr>
            <w:tcW w:w="924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040" w:type="dxa"/>
            <w:vAlign w:val="bottom"/>
          </w:tcPr>
          <w:p>
            <w:pPr>
              <w:spacing w:after="0"/>
              <w:rPr>
                <w:sz w:val="17"/>
                <w:szCs w:val="17"/>
                <w:color w:val="auto"/>
              </w:rPr>
            </w:pPr>
          </w:p>
        </w:tc>
      </w:tr>
      <w:tr>
        <w:trPr>
          <w:trHeight w:val="498"/>
        </w:trPr>
        <w:tc>
          <w:tcPr>
            <w:tcW w:w="132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80" w:type="dxa"/>
            <w:vAlign w:val="bottom"/>
            <w:gridSpan w:val="3"/>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6"/>
              </w:rPr>
              <w:t>Tempus Labs, Inc.</w:t>
            </w:r>
          </w:p>
        </w:tc>
        <w:tc>
          <w:tcPr>
            <w:tcW w:w="2040" w:type="dxa"/>
            <w:vAlign w:val="bottom"/>
          </w:tcPr>
          <w:p>
            <w:pPr>
              <w:spacing w:after="0"/>
              <w:rPr>
                <w:sz w:val="24"/>
                <w:szCs w:val="24"/>
                <w:color w:val="auto"/>
              </w:rPr>
            </w:pPr>
          </w:p>
        </w:tc>
      </w:tr>
      <w:tr>
        <w:trPr>
          <w:trHeight w:val="210"/>
        </w:trPr>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80" w:type="dxa"/>
            <w:vAlign w:val="bottom"/>
            <w:gridSpan w:val="3"/>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6"/>
              </w:rPr>
              <w:t>Financial Statements</w:t>
            </w:r>
          </w:p>
        </w:tc>
        <w:tc>
          <w:tcPr>
            <w:tcW w:w="2040" w:type="dxa"/>
            <w:vAlign w:val="bottom"/>
          </w:tcPr>
          <w:p>
            <w:pPr>
              <w:spacing w:after="0"/>
              <w:rPr>
                <w:sz w:val="18"/>
                <w:szCs w:val="18"/>
                <w:color w:val="auto"/>
              </w:rPr>
            </w:pPr>
          </w:p>
        </w:tc>
      </w:tr>
      <w:tr>
        <w:trPr>
          <w:trHeight w:val="230"/>
        </w:trPr>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80" w:type="dxa"/>
            <w:vAlign w:val="bottom"/>
            <w:gridSpan w:val="3"/>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040" w:type="dxa"/>
            <w:vAlign w:val="bottom"/>
          </w:tcPr>
          <w:p>
            <w:pPr>
              <w:spacing w:after="0"/>
              <w:rPr>
                <w:sz w:val="19"/>
                <w:szCs w:val="19"/>
                <w:color w:val="auto"/>
              </w:rPr>
            </w:pPr>
          </w:p>
        </w:tc>
      </w:tr>
      <w:tr>
        <w:trPr>
          <w:trHeight w:val="407"/>
        </w:trPr>
        <w:tc>
          <w:tcPr>
            <w:tcW w:w="54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Report of Independent Registered Public Accounting Firm (PCAOB ID: 238)</w:t>
            </w:r>
          </w:p>
        </w:tc>
        <w:tc>
          <w:tcPr>
            <w:tcW w:w="3800" w:type="dxa"/>
            <w:vAlign w:val="bottom"/>
            <w:gridSpan w:val="2"/>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24"/>
        </w:trPr>
        <w:tc>
          <w:tcPr>
            <w:tcW w:w="92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2040" w:type="dxa"/>
            <w:vAlign w:val="bottom"/>
          </w:tcPr>
          <w:p>
            <w:pPr>
              <w:spacing w:after="0"/>
              <w:rPr>
                <w:sz w:val="19"/>
                <w:szCs w:val="19"/>
                <w:color w:val="auto"/>
              </w:rPr>
            </w:pPr>
          </w:p>
        </w:tc>
      </w:tr>
      <w:tr>
        <w:trPr>
          <w:trHeight w:val="189"/>
        </w:trPr>
        <w:tc>
          <w:tcPr>
            <w:tcW w:w="2040" w:type="dxa"/>
            <w:vAlign w:val="bottom"/>
            <w:tcBorders>
              <w:bottom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6"/>
              </w:rPr>
              <w:t>Consolidated Balance Sheets</w:t>
            </w:r>
          </w:p>
        </w:tc>
        <w:tc>
          <w:tcPr>
            <w:tcW w:w="7200" w:type="dxa"/>
            <w:vAlign w:val="bottom"/>
            <w:gridSpan w:val="6"/>
          </w:tcPr>
          <w:p>
            <w:pPr>
              <w:spacing w:after="0"/>
              <w:rPr>
                <w:sz w:val="16"/>
                <w:szCs w:val="16"/>
                <w:color w:val="auto"/>
              </w:rPr>
            </w:pPr>
          </w:p>
        </w:tc>
        <w:tc>
          <w:tcPr>
            <w:tcW w:w="2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F-3</w:t>
            </w:r>
          </w:p>
        </w:tc>
      </w:tr>
      <w:tr>
        <w:trPr>
          <w:trHeight w:val="190"/>
        </w:trPr>
        <w:tc>
          <w:tcPr>
            <w:tcW w:w="4560" w:type="dxa"/>
            <w:vAlign w:val="bottom"/>
            <w:tcBorders>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7"/>
              </w:rPr>
              <w:t>Consolidated Statements of Operations and Comprehensive Loss</w:t>
            </w:r>
          </w:p>
        </w:tc>
        <w:tc>
          <w:tcPr>
            <w:tcW w:w="4680" w:type="dxa"/>
            <w:vAlign w:val="bottom"/>
            <w:gridSpan w:val="3"/>
          </w:tcPr>
          <w:p>
            <w:pPr>
              <w:spacing w:after="0"/>
              <w:rPr>
                <w:sz w:val="16"/>
                <w:szCs w:val="16"/>
                <w:color w:val="auto"/>
              </w:rPr>
            </w:pPr>
          </w:p>
        </w:tc>
        <w:tc>
          <w:tcPr>
            <w:tcW w:w="20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F-5</w:t>
            </w:r>
          </w:p>
        </w:tc>
      </w:tr>
      <w:tr>
        <w:trPr>
          <w:trHeight w:val="190"/>
        </w:trPr>
        <w:tc>
          <w:tcPr>
            <w:tcW w:w="2800" w:type="dxa"/>
            <w:vAlign w:val="bottom"/>
            <w:tcBorders>
              <w:bottom w:val="single" w:sz="8" w:color="0000EE"/>
            </w:tcBorders>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Consolidated Statements of Cash Flows</w:t>
            </w:r>
          </w:p>
        </w:tc>
        <w:tc>
          <w:tcPr>
            <w:tcW w:w="6440" w:type="dxa"/>
            <w:vAlign w:val="bottom"/>
            <w:gridSpan w:val="5"/>
          </w:tcPr>
          <w:p>
            <w:pPr>
              <w:spacing w:after="0"/>
              <w:rPr>
                <w:sz w:val="16"/>
                <w:szCs w:val="16"/>
                <w:color w:val="auto"/>
              </w:rPr>
            </w:pPr>
          </w:p>
        </w:tc>
        <w:tc>
          <w:tcPr>
            <w:tcW w:w="20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F-6</w:t>
            </w:r>
          </w:p>
        </w:tc>
      </w:tr>
      <w:tr>
        <w:trPr>
          <w:trHeight w:val="190"/>
        </w:trPr>
        <w:tc>
          <w:tcPr>
            <w:tcW w:w="924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Consolidated Statements of Redeemable Convertible Preferred Stock, Common Stock and Stockholders’ Deficit</w:t>
            </w:r>
          </w:p>
        </w:tc>
        <w:tc>
          <w:tcPr>
            <w:tcW w:w="20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F-8</w:t>
            </w:r>
          </w:p>
        </w:tc>
      </w:tr>
      <w:tr>
        <w:trPr>
          <w:trHeight w:val="190"/>
        </w:trPr>
        <w:tc>
          <w:tcPr>
            <w:tcW w:w="7860" w:type="dxa"/>
            <w:vAlign w:val="bottom"/>
            <w:tcBorders>
              <w:top w:val="single" w:sz="8" w:color="0000EE"/>
            </w:tcBorders>
            <w:gridSpan w:val="7"/>
          </w:tcPr>
          <w:p>
            <w:pPr>
              <w:spacing w:after="0" w:line="190"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380" w:type="dxa"/>
            <w:vAlign w:val="bottom"/>
          </w:tcPr>
          <w:p>
            <w:pPr>
              <w:spacing w:after="0"/>
              <w:rPr>
                <w:sz w:val="16"/>
                <w:szCs w:val="16"/>
                <w:color w:val="auto"/>
              </w:rPr>
            </w:pPr>
          </w:p>
        </w:tc>
        <w:tc>
          <w:tcPr>
            <w:tcW w:w="20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F-9–F-40</w:t>
            </w:r>
          </w:p>
        </w:tc>
      </w:tr>
      <w:tr>
        <w:trPr>
          <w:trHeight w:val="373"/>
        </w:trPr>
        <w:tc>
          <w:tcPr>
            <w:tcW w:w="13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0" w:type="dxa"/>
            <w:vAlign w:val="bottom"/>
            <w:gridSpan w:val="2"/>
          </w:tcPr>
          <w:p>
            <w:pPr>
              <w:jc w:val="center"/>
              <w:ind w:right="3320"/>
              <w:spacing w:after="0"/>
              <w:rPr>
                <w:sz w:val="20"/>
                <w:szCs w:val="20"/>
                <w:color w:val="auto"/>
              </w:rPr>
            </w:pPr>
            <w:r>
              <w:rPr>
                <w:rFonts w:ascii="Times New Roman" w:cs="Times New Roman" w:eastAsia="Times New Roman" w:hAnsi="Times New Roman"/>
                <w:sz w:val="18"/>
                <w:szCs w:val="18"/>
                <w:color w:val="auto"/>
                <w:w w:val="95"/>
              </w:rPr>
              <w:t>F-1</w:t>
            </w:r>
          </w:p>
        </w:tc>
        <w:tc>
          <w:tcPr>
            <w:tcW w:w="20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280"/>
          </w:cols>
          <w:pgMar w:left="320" w:top="443" w:right="29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248" w:name="page249"/>
    <w:bookmarkEnd w:id="2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Tempus Labs, Inc.</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12"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Tempus Labs, Inc. and its subsidiaries (the “Company”) as of December 31, 2021 and 2020, and the related consolidated statements of operations and comprehensive loss, of redeemable convertible preferred stock, common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2022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40"/>
          </w:cols>
          <w:pgMar w:left="320" w:top="448" w:right="2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9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90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513,436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277,686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allowances of $478 and $284 at December 31, 2020 and 2021, respectively</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87,259</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37,557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649,730</w:t>
            </w:r>
          </w:p>
        </w:tc>
        <w:tc>
          <w:tcPr>
            <w:tcW w:w="5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38,435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15,992</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44,459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2,522</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 asset, less current portion</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751,918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531,354</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redeemable preferred stock, and Stockholders’ deficit</w:t>
            </w: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53,571</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20,178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6,965</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maturities of capital lease obligations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723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maturities of accrued data licensing fees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9,000</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deferred rent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1,320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dividends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5,625</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101,382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114,806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lease obligations, less current maturities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724</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10,271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Minimum accrued data licensing fees, less current maturities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19,554</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238,236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rent, less current portion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13,594</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payable and other long-term liabilities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10,221</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23,090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405,746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440,554</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90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Convertible redeemable preferred stock, $0.001 par value, 64,760,746 and 64,760,746 shares authorized at December</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31, 2020 and 2021, respectively; 60,921,767 and 61,078,813 shares issued and outstanding at December 31, 2020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9"/>
              </w:rPr>
              <w:t>and 2021, respectively; aggregate liquidation preference of $871,530 and $913,138 at December 31, 2020 and 2021,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859,156</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898,291</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9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F-3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14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Stockholders’ deficit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Voting Common Stock, $0.001 par value, 187,075,184 and 187,075,184 shares authorized at December 31, 2020 and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2021, respectively, 58,367,961 and 58,367,961 shares issued and outstanding at December 31, 2020 and 2021</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Non-voting Common Stock, $0.001 par value, 63,946,627 and 63,946,627 shares authorized at December 31, 2020 and</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2021, respectively; 4,595,000 and 4,612,450 shares issued and outstanding at December 31, 2020 and 2021,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(512,989)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(807,486)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(512,984)</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(807,491)</w:t>
            </w: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Convertible redeemable preferred stock, and Stockholders’ deficit</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751,918</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531,354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340"/>
          </w:cols>
          <w:pgMar w:left="320" w:top="448" w:right="2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7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Genomics</w:t>
            </w:r>
          </w:p>
        </w:tc>
        <w:tc>
          <w:tcPr>
            <w:tcW w:w="13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151,911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$195,012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products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36,093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62,841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w:t>
            </w:r>
          </w:p>
        </w:tc>
        <w:tc>
          <w:tcPr>
            <w:tcW w:w="12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79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152,198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162,276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data products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7,092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45,861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67,190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45,415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61,161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130,892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199,004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381,458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501,564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(193,454</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1,495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(18,929)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(211,354)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(258,588)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Earnings (losses) from equity method investments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(209,854)</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(7,381)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Dividends on Series A, B, B-1, B-2, C, D, E, F and G preferred shares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(34,420)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(2,250)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available to common shareholders, basic and diluted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(253,905)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3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(4.05)</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outstanding used to compute net loss per share, basic and diluted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62,706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62,975</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92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(209,854)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Comprehensive loss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(209,856)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340"/>
          </w:cols>
          <w:pgMar w:left="320" w:top="448" w:right="2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20" w:type="dxa"/>
            <w:vAlign w:val="bottom"/>
          </w:tcPr>
          <w:p>
            <w:pPr>
              <w:spacing w:after="0"/>
              <w:rPr>
                <w:sz w:val="14"/>
                <w:szCs w:val="14"/>
                <w:color w:val="auto"/>
              </w:rPr>
            </w:pPr>
          </w:p>
        </w:tc>
        <w:tc>
          <w:tcPr>
            <w:tcW w:w="5400" w:type="dxa"/>
            <w:vAlign w:val="bottom"/>
            <w:tcBorders>
              <w:bottom w:val="single" w:sz="8" w:color="CCEEFF"/>
            </w:tcBorders>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540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3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880" w:type="dxa"/>
            <w:vAlign w:val="bottom"/>
            <w:gridSpan w:val="2"/>
          </w:tcPr>
          <w:p>
            <w:pPr>
              <w:ind w:left="3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(209,854)</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(259,192)</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880" w:type="dxa"/>
            <w:vAlign w:val="bottom"/>
            <w:gridSpan w:val="2"/>
          </w:tcPr>
          <w:p>
            <w:pPr>
              <w:ind w:left="3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6,891</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5,234</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warrant asset</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1,517</w:t>
            </w:r>
          </w:p>
        </w:tc>
      </w:tr>
      <w:tr>
        <w:trPr>
          <w:trHeight w:val="210"/>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23,052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23,881</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268</w:t>
            </w:r>
          </w:p>
        </w:tc>
      </w:tr>
      <w:tr>
        <w:trPr>
          <w:trHeight w:val="210"/>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399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559</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from equity-method Investments</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604</w:t>
            </w:r>
          </w:p>
        </w:tc>
      </w:tr>
      <w:tr>
        <w:trPr>
          <w:trHeight w:val="210"/>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extinguishment of convertible promissory notes</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8,889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Minimum accretion expense</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535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594</w:t>
            </w:r>
          </w:p>
        </w:tc>
      </w:tr>
      <w:tr>
        <w:trPr>
          <w:trHeight w:val="210"/>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(55,844)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4,747</w:t>
            </w:r>
          </w:p>
        </w:tc>
      </w:tr>
      <w:tr>
        <w:trPr>
          <w:trHeight w:val="210"/>
        </w:trPr>
        <w:tc>
          <w:tcPr>
            <w:tcW w:w="20" w:type="dxa"/>
            <w:vAlign w:val="bottom"/>
          </w:tcPr>
          <w:p>
            <w:pPr>
              <w:spacing w:after="0"/>
              <w:rPr>
                <w:sz w:val="18"/>
                <w:szCs w:val="18"/>
                <w:color w:val="auto"/>
              </w:rPr>
            </w:pPr>
          </w:p>
        </w:tc>
        <w:tc>
          <w:tcPr>
            <w:tcW w:w="5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(29,278)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14,649</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(3,012)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10"/>
        </w:trPr>
        <w:tc>
          <w:tcPr>
            <w:tcW w:w="20" w:type="dxa"/>
            <w:vAlign w:val="bottom"/>
          </w:tcPr>
          <w:p>
            <w:pPr>
              <w:spacing w:after="0"/>
              <w:rPr>
                <w:sz w:val="18"/>
                <w:szCs w:val="18"/>
                <w:color w:val="auto"/>
              </w:rPr>
            </w:pPr>
          </w:p>
        </w:tc>
        <w:tc>
          <w:tcPr>
            <w:tcW w:w="5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(14,077)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38,132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(30,474)</w:t>
            </w:r>
          </w:p>
        </w:tc>
      </w:tr>
      <w:tr>
        <w:trPr>
          <w:trHeight w:val="210"/>
        </w:trPr>
        <w:tc>
          <w:tcPr>
            <w:tcW w:w="20" w:type="dxa"/>
            <w:vAlign w:val="bottom"/>
          </w:tcPr>
          <w:p>
            <w:pPr>
              <w:spacing w:after="0"/>
              <w:rPr>
                <w:sz w:val="18"/>
                <w:szCs w:val="18"/>
                <w:color w:val="auto"/>
              </w:rPr>
            </w:pPr>
          </w:p>
        </w:tc>
        <w:tc>
          <w:tcPr>
            <w:tcW w:w="5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1,395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9,489</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4,103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w:t>
            </w:r>
          </w:p>
        </w:tc>
      </w:tr>
      <w:tr>
        <w:trPr>
          <w:trHeight w:val="210"/>
        </w:trPr>
        <w:tc>
          <w:tcPr>
            <w:tcW w:w="20" w:type="dxa"/>
            <w:vAlign w:val="bottom"/>
          </w:tcPr>
          <w:p>
            <w:pPr>
              <w:spacing w:after="0"/>
              <w:rPr>
                <w:sz w:val="18"/>
                <w:szCs w:val="18"/>
                <w:color w:val="auto"/>
              </w:rPr>
            </w:pPr>
          </w:p>
        </w:tc>
        <w:tc>
          <w:tcPr>
            <w:tcW w:w="5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expenses &amp; other</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23,130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26,465</w:t>
            </w:r>
          </w:p>
        </w:tc>
      </w:tr>
      <w:tr>
        <w:trPr>
          <w:trHeight w:val="26"/>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(206,562)</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(211,984)</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80" w:type="dxa"/>
            <w:vAlign w:val="bottom"/>
            <w:gridSpan w:val="2"/>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(13,416)</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(11,767)</w:t>
            </w: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unconsolidated subsidiary</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(5,957)</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purchase of AKESOgen (Note 3)</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3"/>
        </w:trPr>
        <w:tc>
          <w:tcPr>
            <w:tcW w:w="20" w:type="dxa"/>
            <w:vAlign w:val="bottom"/>
          </w:tcPr>
          <w:p>
            <w:pPr>
              <w:spacing w:after="0"/>
              <w:rPr>
                <w:sz w:val="19"/>
                <w:szCs w:val="19"/>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7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G Preferred Stock, net of offering costs</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94,108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G-2 Preferred Stock, net of offering costs</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95,823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8,894</w:t>
            </w: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Redemption of Common Shares</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(7,311)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(5,625)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promissory note</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330,000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capital lease obligation</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(888)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23"/>
        </w:trPr>
        <w:tc>
          <w:tcPr>
            <w:tcW w:w="20" w:type="dxa"/>
            <w:vAlign w:val="bottom"/>
          </w:tcPr>
          <w:p>
            <w:pPr>
              <w:spacing w:after="0"/>
              <w:rPr>
                <w:sz w:val="19"/>
                <w:szCs w:val="19"/>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7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506,107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3880" w:type="dxa"/>
            <w:vAlign w:val="bottom"/>
            <w:gridSpan w:val="2"/>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Net increase (decrease) in Cash, Cash Equivalents and Restricted Cash</w:t>
            </w:r>
          </w:p>
        </w:tc>
        <w:tc>
          <w:tcPr>
            <w:tcW w:w="37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(235,750)</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880" w:type="dxa"/>
            <w:vAlign w:val="bottom"/>
            <w:gridSpan w:val="2"/>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228,100</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514,216</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7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278,466</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F-6</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9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1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are Comprised of:</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513,436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277,686</w:t>
            </w:r>
          </w:p>
        </w:tc>
        <w:tc>
          <w:tcPr>
            <w:tcW w:w="0" w:type="dxa"/>
            <w:vAlign w:val="bottom"/>
          </w:tcPr>
          <w:p>
            <w:pPr>
              <w:spacing w:after="0"/>
              <w:rPr>
                <w:sz w:val="1"/>
                <w:szCs w:val="1"/>
                <w:color w:val="auto"/>
              </w:rPr>
            </w:pPr>
          </w:p>
        </w:tc>
      </w:tr>
      <w:tr>
        <w:trPr>
          <w:trHeight w:val="210"/>
        </w:trPr>
        <w:tc>
          <w:tcPr>
            <w:tcW w:w="9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514,216</w:t>
            </w:r>
          </w:p>
        </w:tc>
        <w:tc>
          <w:tcPr>
            <w:tcW w:w="5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2,053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Cash paid for income taxes</w:t>
            </w:r>
          </w:p>
        </w:tc>
        <w:tc>
          <w:tcPr>
            <w:tcW w:w="1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line="202" w:lineRule="exact"/>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1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7,381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91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Dividends payable</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5,625</w:t>
            </w:r>
          </w:p>
        </w:tc>
        <w:tc>
          <w:tcPr>
            <w:tcW w:w="50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5,625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1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line="202" w:lineRule="exact"/>
              <w:rPr>
                <w:sz w:val="20"/>
                <w:szCs w:val="20"/>
                <w:color w:val="auto"/>
              </w:rPr>
            </w:pPr>
            <w:r>
              <w:rPr>
                <w:rFonts w:ascii="Times New Roman" w:cs="Times New Roman" w:eastAsia="Times New Roman" w:hAnsi="Times New Roman"/>
                <w:sz w:val="18"/>
                <w:szCs w:val="18"/>
                <w:color w:val="auto"/>
              </w:rPr>
              <w:t>2,032</w:t>
            </w:r>
          </w:p>
        </w:tc>
        <w:tc>
          <w:tcPr>
            <w:tcW w:w="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0"/>
        </w:trPr>
        <w:tc>
          <w:tcPr>
            <w:tcW w:w="91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Deferred offering costs, accrued but not yet paid</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2,727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Series G-2 issuance cost included in accounts payable</w:t>
            </w:r>
          </w:p>
        </w:tc>
        <w:tc>
          <w:tcPr>
            <w:tcW w:w="1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line="202" w:lineRule="exact"/>
              <w:rPr>
                <w:sz w:val="20"/>
                <w:szCs w:val="20"/>
                <w:color w:val="auto"/>
              </w:rPr>
            </w:pPr>
            <w:r>
              <w:rPr>
                <w:rFonts w:ascii="Times New Roman" w:cs="Times New Roman" w:eastAsia="Times New Roman" w:hAnsi="Times New Roman"/>
                <w:sz w:val="18"/>
                <w:szCs w:val="18"/>
                <w:color w:val="auto"/>
              </w:rPr>
              <w:t>4,000</w:t>
            </w:r>
          </w:p>
        </w:tc>
        <w:tc>
          <w:tcPr>
            <w:tcW w:w="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1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Extinguishment of debt through conversion of convertible promissory note to Series G-2 preferred stock</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80,000</w:t>
            </w:r>
          </w:p>
        </w:tc>
        <w:tc>
          <w:tcPr>
            <w:tcW w:w="50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Redemption of convertible promissory note</w:t>
            </w:r>
          </w:p>
        </w:tc>
        <w:tc>
          <w:tcPr>
            <w:tcW w:w="1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11,764</w:t>
            </w:r>
          </w:p>
        </w:tc>
        <w:tc>
          <w:tcPr>
            <w:tcW w:w="0" w:type="dxa"/>
            <w:vAlign w:val="bottom"/>
          </w:tcPr>
          <w:p>
            <w:pPr>
              <w:spacing w:after="0"/>
              <w:rPr>
                <w:sz w:val="1"/>
                <w:szCs w:val="1"/>
                <w:color w:val="auto"/>
              </w:rPr>
            </w:pPr>
          </w:p>
        </w:tc>
      </w:tr>
      <w:tr>
        <w:trPr>
          <w:trHeight w:val="20"/>
        </w:trPr>
        <w:tc>
          <w:tcPr>
            <w:tcW w:w="91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Issuance of warrant</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37,800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340"/>
          </w:cols>
          <w:pgMar w:left="320" w:top="448" w:right="2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CONVERTIBLE PREFERRED STOCK, COMMON STOCK AND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DEFICIT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3060" w:type="dxa"/>
            <w:vAlign w:val="bottom"/>
          </w:tcPr>
          <w:p>
            <w:pPr>
              <w:spacing w:after="0"/>
              <w:rPr>
                <w:sz w:val="3"/>
                <w:szCs w:val="3"/>
                <w:color w:val="auto"/>
              </w:rPr>
            </w:pPr>
          </w:p>
        </w:tc>
        <w:tc>
          <w:tcPr>
            <w:tcW w:w="156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156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1560" w:type="dxa"/>
            <w:vAlign w:val="bottom"/>
            <w:gridSpan w:val="5"/>
          </w:tcPr>
          <w:p>
            <w:pPr>
              <w:jc w:val="center"/>
              <w:ind w:right="260"/>
              <w:spacing w:after="0" w:line="156"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vMerge w:val="restart"/>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Non-voting</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560" w:type="dxa"/>
            <w:vAlign w:val="bottom"/>
            <w:gridSpan w:val="5"/>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1560" w:type="dxa"/>
            <w:vAlign w:val="bottom"/>
            <w:gridSpan w:val="5"/>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center"/>
              <w:ind w:left="130"/>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jc w:val="center"/>
              <w:ind w:left="10"/>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1"/>
                <w:szCs w:val="11"/>
                <w:color w:val="auto"/>
              </w:rPr>
            </w:pPr>
          </w:p>
        </w:tc>
        <w:tc>
          <w:tcPr>
            <w:tcW w:w="780" w:type="dxa"/>
            <w:vAlign w:val="bottom"/>
            <w:tcBorders>
              <w:top w:val="single" w:sz="8" w:color="auto"/>
            </w:tcBorders>
            <w:gridSpan w:val="3"/>
          </w:tcPr>
          <w:p>
            <w:pPr>
              <w:ind w:left="16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5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36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1"/>
                <w:szCs w:val="11"/>
                <w:color w:val="auto"/>
              </w:rPr>
            </w:pPr>
          </w:p>
        </w:tc>
        <w:tc>
          <w:tcPr>
            <w:tcW w:w="720" w:type="dxa"/>
            <w:vAlign w:val="bottom"/>
            <w:tcBorders>
              <w:top w:val="single" w:sz="8" w:color="auto"/>
            </w:tcBorders>
            <w:gridSpan w:val="2"/>
          </w:tcPr>
          <w:p>
            <w:pPr>
              <w:jc w:val="right"/>
              <w:ind w:right="26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1"/>
                <w:szCs w:val="11"/>
                <w:color w:val="auto"/>
              </w:rPr>
            </w:pPr>
          </w:p>
        </w:tc>
        <w:tc>
          <w:tcPr>
            <w:tcW w:w="760" w:type="dxa"/>
            <w:vAlign w:val="bottom"/>
            <w:gridSpan w:val="2"/>
          </w:tcPr>
          <w:p>
            <w:pPr>
              <w:jc w:val="right"/>
              <w:ind w:right="259"/>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1"/>
                <w:szCs w:val="11"/>
                <w:color w:val="auto"/>
              </w:rPr>
            </w:pPr>
          </w:p>
        </w:tc>
        <w:tc>
          <w:tcPr>
            <w:tcW w:w="104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30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38"/>
        </w:trPr>
        <w:tc>
          <w:tcPr>
            <w:tcW w:w="306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Balance at January 1, 2020</w:t>
            </w: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55,088,384</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8"/>
              </w:rPr>
              <w:t>$544,161</w:t>
            </w:r>
          </w:p>
        </w:tc>
        <w:tc>
          <w:tcPr>
            <w:tcW w:w="2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58,558,600</w:t>
            </w:r>
          </w:p>
        </w:tc>
        <w:tc>
          <w:tcPr>
            <w:tcW w:w="1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4,595,000</w:t>
            </w: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3,431</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(257,853)</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(254,415)</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0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 Preferred Stock, net of stock</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2,537,290</w:t>
            </w:r>
          </w:p>
        </w:tc>
        <w:tc>
          <w:tcPr>
            <w:tcW w:w="100" w:type="dxa"/>
            <w:vAlign w:val="bottom"/>
          </w:tcPr>
          <w:p>
            <w:pPr>
              <w:spacing w:after="0"/>
              <w:rPr>
                <w:sz w:val="10"/>
                <w:szCs w:val="10"/>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94,108</w:t>
            </w:r>
          </w:p>
        </w:tc>
        <w:tc>
          <w:tcPr>
            <w:tcW w:w="20" w:type="dxa"/>
            <w:vAlign w:val="bottom"/>
            <w:shd w:val="clear" w:color="auto" w:fill="000000"/>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costs of $3,203</w:t>
            </w: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G-2 Preferred Stock, net of stock</w:t>
            </w: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3,296,093</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184,711</w:t>
            </w:r>
          </w:p>
        </w:tc>
        <w:tc>
          <w:tcPr>
            <w:tcW w:w="20" w:type="dxa"/>
            <w:vAlign w:val="bottom"/>
            <w:shd w:val="clear" w:color="auto" w:fill="000000"/>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costs of $4,177</w:t>
            </w: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 compensation related to RSU</w:t>
            </w:r>
          </w:p>
        </w:tc>
        <w:tc>
          <w:tcPr>
            <w:tcW w:w="78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w w:val="85"/>
              </w:rPr>
              <w:t>399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22"/>
        </w:trPr>
        <w:tc>
          <w:tcPr>
            <w:tcW w:w="3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 stock to</w:t>
            </w:r>
          </w:p>
        </w:tc>
        <w:tc>
          <w:tcPr>
            <w:tcW w:w="780" w:type="dxa"/>
            <w:vAlign w:val="bottom"/>
            <w:gridSpan w:val="3"/>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7,381</w:t>
            </w:r>
          </w:p>
        </w:tc>
        <w:tc>
          <w:tcPr>
            <w:tcW w:w="20" w:type="dxa"/>
            <w:vAlign w:val="bottom"/>
            <w:shd w:val="clear" w:color="auto" w:fill="000000"/>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(3,830)</w:t>
            </w: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(3,551)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(7,381)</w:t>
            </w: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w:t>
            </w:r>
          </w:p>
        </w:tc>
        <w:tc>
          <w:tcPr>
            <w:tcW w:w="78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Redemption of Common Shares</w:t>
            </w:r>
          </w:p>
        </w:tc>
        <w:tc>
          <w:tcPr>
            <w:tcW w:w="78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(190,639)</w:t>
            </w:r>
          </w:p>
        </w:tc>
        <w:tc>
          <w:tcPr>
            <w:tcW w:w="280" w:type="dxa"/>
            <w:vAlign w:val="bottom"/>
          </w:tcPr>
          <w:p>
            <w:pPr>
              <w:spacing w:after="0"/>
              <w:rPr>
                <w:sz w:val="12"/>
                <w:szCs w:val="12"/>
                <w:color w:val="auto"/>
              </w:rPr>
            </w:pPr>
          </w:p>
        </w:tc>
        <w:tc>
          <w:tcPr>
            <w:tcW w:w="3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(0)</w:t>
            </w:r>
          </w:p>
        </w:tc>
        <w:tc>
          <w:tcPr>
            <w:tcW w:w="7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rPr>
              <w:t>(7,311)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(7,311)</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80" w:type="dxa"/>
            <w:vAlign w:val="bottom"/>
            <w:gridSpan w:val="3"/>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4"/>
        </w:trPr>
        <w:tc>
          <w:tcPr>
            <w:tcW w:w="30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78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28,795</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rPr>
              <w:t>(34,420)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(34,420)</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spacing w:after="0"/>
              <w:rPr>
                <w:sz w:val="12"/>
                <w:szCs w:val="12"/>
                <w:color w:val="auto"/>
              </w:rPr>
            </w:pPr>
          </w:p>
        </w:tc>
        <w:tc>
          <w:tcPr>
            <w:tcW w:w="540" w:type="dxa"/>
            <w:vAlign w:val="bottom"/>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rPr>
              <w:t>(209,854)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(209,854)</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60" w:type="dxa"/>
            <w:vAlign w:val="bottom"/>
            <w:vMerge w:val="continue"/>
          </w:tcPr>
          <w:p>
            <w:pPr>
              <w:spacing w:after="0"/>
              <w:rPr>
                <w:sz w:val="13"/>
                <w:szCs w:val="13"/>
                <w:color w:val="auto"/>
              </w:rPr>
            </w:pPr>
          </w:p>
        </w:tc>
        <w:tc>
          <w:tcPr>
            <w:tcW w:w="6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60,921,767</w:t>
            </w: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859,156</w:t>
            </w:r>
          </w:p>
        </w:tc>
        <w:tc>
          <w:tcPr>
            <w:tcW w:w="240" w:type="dxa"/>
            <w:vAlign w:val="bottom"/>
            <w:vMerge w:val="continue"/>
          </w:tcPr>
          <w:p>
            <w:pPr>
              <w:spacing w:after="0"/>
              <w:rPr>
                <w:sz w:val="13"/>
                <w:szCs w:val="13"/>
                <w:color w:val="auto"/>
              </w:rPr>
            </w:pPr>
          </w:p>
        </w:tc>
        <w:tc>
          <w:tcPr>
            <w:tcW w:w="20" w:type="dxa"/>
            <w:vAlign w:val="bottom"/>
            <w:vMerge w:val="continue"/>
            <w:shd w:val="clear" w:color="auto" w:fill="000000"/>
          </w:tcPr>
          <w:p>
            <w:pPr>
              <w:spacing w:after="0"/>
              <w:rPr>
                <w:sz w:val="13"/>
                <w:szCs w:val="13"/>
                <w:color w:val="auto"/>
              </w:rPr>
            </w:pPr>
          </w:p>
        </w:tc>
        <w:tc>
          <w:tcPr>
            <w:tcW w:w="60" w:type="dxa"/>
            <w:vAlign w:val="bottom"/>
            <w:vMerge w:val="continue"/>
          </w:tcPr>
          <w:p>
            <w:pPr>
              <w:spacing w:after="0"/>
              <w:rPr>
                <w:sz w:val="13"/>
                <w:szCs w:val="13"/>
                <w:color w:val="auto"/>
              </w:rPr>
            </w:pPr>
          </w:p>
        </w:tc>
        <w:tc>
          <w:tcPr>
            <w:tcW w:w="6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58,367,961</w:t>
            </w:r>
          </w:p>
        </w:tc>
        <w:tc>
          <w:tcPr>
            <w:tcW w:w="180" w:type="dxa"/>
            <w:vAlign w:val="bottom"/>
            <w:vMerge w:val="continue"/>
          </w:tcPr>
          <w:p>
            <w:pPr>
              <w:spacing w:after="0"/>
              <w:rPr>
                <w:sz w:val="13"/>
                <w:szCs w:val="13"/>
                <w:color w:val="auto"/>
              </w:rPr>
            </w:pPr>
          </w:p>
        </w:tc>
        <w:tc>
          <w:tcPr>
            <w:tcW w:w="2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vMerge w:val="continue"/>
          </w:tcPr>
          <w:p>
            <w:pPr>
              <w:spacing w:after="0"/>
              <w:rPr>
                <w:sz w:val="13"/>
                <w:szCs w:val="13"/>
                <w:color w:val="auto"/>
              </w:rPr>
            </w:pPr>
          </w:p>
        </w:tc>
        <w:tc>
          <w:tcPr>
            <w:tcW w:w="6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4,595,000</w:t>
            </w:r>
          </w:p>
        </w:tc>
        <w:tc>
          <w:tcPr>
            <w:tcW w:w="120" w:type="dxa"/>
            <w:vAlign w:val="bottom"/>
            <w:vMerge w:val="continue"/>
          </w:tcPr>
          <w:p>
            <w:pPr>
              <w:spacing w:after="0"/>
              <w:rPr>
                <w:sz w:val="13"/>
                <w:szCs w:val="13"/>
                <w:color w:val="auto"/>
              </w:rPr>
            </w:pPr>
          </w:p>
        </w:tc>
        <w:tc>
          <w:tcPr>
            <w:tcW w:w="4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120" w:type="dxa"/>
            <w:vAlign w:val="bottom"/>
            <w:vMerge w:val="continue"/>
          </w:tcPr>
          <w:p>
            <w:pPr>
              <w:spacing w:after="0"/>
              <w:rPr>
                <w:sz w:val="13"/>
                <w:szCs w:val="13"/>
                <w:color w:val="auto"/>
              </w:rPr>
            </w:pPr>
          </w:p>
        </w:tc>
        <w:tc>
          <w:tcPr>
            <w:tcW w:w="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vMerge w:val="continue"/>
          </w:tcPr>
          <w:p>
            <w:pPr>
              <w:spacing w:after="0"/>
              <w:rPr>
                <w:sz w:val="13"/>
                <w:szCs w:val="13"/>
                <w:color w:val="auto"/>
              </w:rPr>
            </w:pPr>
          </w:p>
        </w:tc>
        <w:tc>
          <w:tcPr>
            <w:tcW w:w="1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(512,989</w:t>
            </w:r>
          </w:p>
        </w:tc>
        <w:tc>
          <w:tcPr>
            <w:tcW w:w="10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60"/>
              <w:spacing w:after="0" w:line="151"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vMerge w:val="continue"/>
          </w:tcPr>
          <w:p>
            <w:pPr>
              <w:spacing w:after="0"/>
              <w:rPr>
                <w:sz w:val="13"/>
                <w:szCs w:val="13"/>
                <w:color w:val="auto"/>
              </w:rPr>
            </w:pPr>
          </w:p>
        </w:tc>
        <w:tc>
          <w:tcPr>
            <w:tcW w:w="1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(512,984)</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0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3"/>
                <w:szCs w:val="13"/>
                <w:color w:val="auto"/>
              </w:rPr>
              <w:t>Issuance of Series G-2 Preferred Stock, net of stock</w:t>
            </w:r>
          </w:p>
        </w:tc>
        <w:tc>
          <w:tcPr>
            <w:tcW w:w="7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157,046</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8,894</w:t>
            </w:r>
          </w:p>
        </w:tc>
        <w:tc>
          <w:tcPr>
            <w:tcW w:w="20" w:type="dxa"/>
            <w:vAlign w:val="bottom"/>
            <w:shd w:val="clear" w:color="auto" w:fill="000000"/>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costs of $106</w:t>
            </w:r>
          </w:p>
        </w:tc>
        <w:tc>
          <w:tcPr>
            <w:tcW w:w="78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 compensation related to RSU</w:t>
            </w:r>
          </w:p>
        </w:tc>
        <w:tc>
          <w:tcPr>
            <w:tcW w:w="78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w w:val="85"/>
              </w:rPr>
              <w:t>559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122"/>
        </w:trPr>
        <w:tc>
          <w:tcPr>
            <w:tcW w:w="3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 stock to</w:t>
            </w:r>
          </w:p>
        </w:tc>
        <w:tc>
          <w:tcPr>
            <w:tcW w:w="780" w:type="dxa"/>
            <w:vAlign w:val="bottom"/>
            <w:gridSpan w:val="3"/>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106</w:t>
            </w:r>
          </w:p>
        </w:tc>
        <w:tc>
          <w:tcPr>
            <w:tcW w:w="20" w:type="dxa"/>
            <w:vAlign w:val="bottom"/>
            <w:shd w:val="clear" w:color="auto" w:fill="000000"/>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w:t>
            </w:r>
          </w:p>
        </w:tc>
        <w:tc>
          <w:tcPr>
            <w:tcW w:w="78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Settlement of Common Shares</w:t>
            </w:r>
          </w:p>
        </w:tc>
        <w:tc>
          <w:tcPr>
            <w:tcW w:w="78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17,450</w:t>
            </w:r>
          </w:p>
        </w:tc>
        <w:tc>
          <w:tcPr>
            <w:tcW w:w="440" w:type="dxa"/>
            <w:vAlign w:val="bottom"/>
          </w:tcPr>
          <w:p>
            <w:pPr>
              <w:spacing w:after="0"/>
              <w:rPr>
                <w:sz w:val="12"/>
                <w:szCs w:val="12"/>
                <w:color w:val="auto"/>
              </w:rPr>
            </w:pP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79"/>
              </w:rPr>
              <w:t>0</w:t>
            </w:r>
          </w:p>
        </w:tc>
        <w:tc>
          <w:tcPr>
            <w:tcW w:w="80" w:type="dxa"/>
            <w:vAlign w:val="bottom"/>
          </w:tcPr>
          <w:p>
            <w:pPr>
              <w:spacing w:after="0"/>
              <w:rPr>
                <w:sz w:val="12"/>
                <w:szCs w:val="12"/>
                <w:color w:val="auto"/>
              </w:rPr>
            </w:pPr>
          </w:p>
        </w:tc>
        <w:tc>
          <w:tcPr>
            <w:tcW w:w="74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80" w:type="dxa"/>
            <w:vAlign w:val="bottom"/>
            <w:gridSpan w:val="3"/>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4"/>
        </w:trPr>
        <w:tc>
          <w:tcPr>
            <w:tcW w:w="30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78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30,135</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(453)</w:t>
            </w:r>
          </w:p>
        </w:tc>
        <w:tc>
          <w:tcPr>
            <w:tcW w:w="140" w:type="dxa"/>
            <w:vAlign w:val="bottom"/>
          </w:tcPr>
          <w:p>
            <w:pPr>
              <w:spacing w:after="0"/>
              <w:rPr>
                <w:sz w:val="12"/>
                <w:szCs w:val="12"/>
                <w:color w:val="auto"/>
              </w:rPr>
            </w:pPr>
          </w:p>
        </w:tc>
        <w:tc>
          <w:tcPr>
            <w:tcW w:w="760" w:type="dxa"/>
            <w:vAlign w:val="bottom"/>
            <w:gridSpan w:val="2"/>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rPr>
              <w:t>(35,305)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(35,758)</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3"/>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rPr>
              <w:t>(259,192)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(259,192)</w:t>
            </w:r>
          </w:p>
        </w:tc>
        <w:tc>
          <w:tcPr>
            <w:tcW w:w="0" w:type="dxa"/>
            <w:vAlign w:val="bottom"/>
          </w:tcPr>
          <w:p>
            <w:pPr>
              <w:spacing w:after="0"/>
              <w:rPr>
                <w:sz w:val="1"/>
                <w:szCs w:val="1"/>
                <w:color w:val="auto"/>
              </w:rPr>
            </w:pPr>
          </w:p>
        </w:tc>
      </w:tr>
      <w:tr>
        <w:trPr>
          <w:trHeight w:val="151"/>
        </w:trPr>
        <w:tc>
          <w:tcPr>
            <w:tcW w:w="306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61,078,813</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898,291</w:t>
            </w:r>
          </w:p>
        </w:tc>
        <w:tc>
          <w:tcPr>
            <w:tcW w:w="24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58,367,961</w:t>
            </w: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4,612,450</w:t>
            </w:r>
          </w:p>
        </w:tc>
        <w:tc>
          <w:tcPr>
            <w:tcW w:w="12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ind w:left="36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(807,486</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(807,491)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340"/>
          </w:cols>
          <w:pgMar w:left="320" w:top="448" w:right="2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right="8500" w:hanging="455"/>
        <w:spacing w:after="0" w:line="412" w:lineRule="auto"/>
        <w:tabs>
          <w:tab w:leader="none" w:pos="453" w:val="left"/>
        </w:tabs>
        <w:numPr>
          <w:ilvl w:val="0"/>
          <w:numId w:val="1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DESCRIPTION OF BUSINESS Company Information</w:t>
      </w: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 Labs, Inc., together with the subsidiaries through which it conducts business (the “Company”),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payors, and pharmaceutical companies. The Company primarily derives revenue from selling comprehensive genetic testing to physicians and large academic research institutions, licensing data to third parties, matching patients to clinical trials, and related services.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and, ultimately, to Tempus Labs, Inc. in October 2016.</w:t>
      </w:r>
    </w:p>
    <w:p>
      <w:pPr>
        <w:spacing w:after="0" w:line="327" w:lineRule="exact"/>
        <w:rPr>
          <w:sz w:val="20"/>
          <w:szCs w:val="20"/>
          <w:color w:val="auto"/>
        </w:rPr>
      </w:pPr>
    </w:p>
    <w:p>
      <w:pPr>
        <w:ind w:left="460" w:right="6320" w:hanging="455"/>
        <w:spacing w:after="0" w:line="412" w:lineRule="auto"/>
        <w:tabs>
          <w:tab w:leader="none" w:pos="453" w:val="left"/>
        </w:tabs>
        <w:numPr>
          <w:ilvl w:val="0"/>
          <w:numId w:val="1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Principles of Consolidation and Basis of Presentation</w:t>
      </w: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Tempus Labs, Inc. and its wholly owned subsidiaries. All intercompany accounts and transactions have been eliminated in consolidation. The consolidated financial statements and accompanying notes were prepared in accordance with accounting principles generally accepted in the United States of America (“GAAP”)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believes that its existing cash and cash equivalents at December 31, 2021, inclusive of the Series G-3 Financing undertaken in April 2022, will be sufficient to allow the Company to fund its current operating plan through at least a period of one year after the date the consolidated financial statements are issued. As the Company continues to incur losses, its transition to profitability is dependent upon a level of revenues adequate to support the Company’s cost structure. Future capital requirements will depend on many factors, including the timing and extent of spending on research and development activities and growth related expenditures.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 A reclassification has been made within the operating activities section of the consolidated statements of cash flows for the year ended December 31, 2020 to present the change in fair value of contingent consideration as a separate line within operating activities. This amount was previously presented within the change in accrued expenses &amp; other. This reclassification had no effect on the reported financial position, results of operations or cash flows of the Company.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340"/>
          </w:cols>
          <w:pgMar w:left="320" w:top="448" w:right="2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make estimates and assumptions that affect the reported amounts and classifications of assets and liabilities, revenue and expenses, and the related disclosures of contingent assets and liabilities in the consolidated financial statements and accompanying notes. The most significant estimates are related to revenue, accounts receivable, stock-based compensation, contingent liabilities and the useful lives of property, equipment and intangible assets. Actual results could differ from those estimates.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COVID-19 global pandemic continues to impact daily life in the United States and abroad. While the negative impacts of the business in the years ended December 31, 2020 and 2021 were minimal, if there are additional disruptions for an extended period, it could have a material impact on the Company’s results. In addition, our agreement with CVS, which resulted in revenue from various customers, accounted for 24.0% and 27.5% of our revenue for the year ended December 31, 2020 and the year ended December 31, 2021, respectively, and expired in July 2021 and was renegotiated in November 2021. The term of the new agreement runs through October 1, 2022. As a result, we will continue to process samples under the renegotiated agreement. Revenue from COVID-19 testing accounted for $89.5 million, or 47.6%, of total revenue in the year ended December 31, 2020, and $94.7 million, or 36.7%, of total revenue in the year ended December 31, 2021.</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considers all highly-liquid investments with an original maturity of three months or less from the date of purchase to be cash equivalents. Restricted cash primarily represents amounts that the Company is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340"/>
          </w:cols>
          <w:pgMar w:left="320" w:top="448" w:right="2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unable to access for operational purposes pursuant to a letter of credit with a financial institution in connection with an equipment lease. The Company had $0.8 million of restricted cash as of December 31, 2020 and 2021, respectively.</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Receivable and Allowances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Accounts receivable primarily represents the net cash due from the Company’s customers, including payors, pharmaceutical companies, and research institutions. Payments of accounts receivable are allocated to the specific invoices identified on the remittance advice. Accounts receivables are reported at their gross outstanding balance reduced by an allowance for doubtful accounts. The allowance for doubtful accounts is based on historical loss experience and any specific risks identified in collection matters. An allowance for doubtful accounts was not material as of December 31, 2020 and 2021.</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are primarily cash, restricted cash and accounts receivable. The Company maintains cash balances that may exceed the insured limits by the Federal Deposit Insurance Corporation. The Company has not experienced any losses on its deposits of cash.</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credit risk regarding trade accounts receivable as the Company generally does not require collateral, and a limited number of customers have accounted for a large part of the Company’s revenue and accounts receivable to date. Allowances are maintained for potential credit losses.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Revenue from one customer accounted for approximately 16.6% of the Company’s total revenues for the year ended December 31, 2020. Revenues from this customer did not represent a significant portion of total revenues for the year ended December 31, 2021. The amount due from this customer is approximately $14.8 million or 17.0% of accounts receivable as of December 31, 2020. The amount due from this customer did not represent a significant portion of accounts receivable as of December 31, 2021. On April 2, 2022, this customer terminated its contract for COVID-19 testing services.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Revenue from a different customer accounted for approximately 7.2% of the Company’s revenues for the year ended December 31, 2021. Revenues from this customer did not represent a significant portion of total revenues for the year ended December 31, 2020. The amount due from this customer is approximately $9.7 million or 11.8%, respectively, of accounts receivable as of December 31, 2021. The amount due from this customer did not represent a significant portion of accounts receivable as of December 31, 2020.</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also has concentration risk around revenue generated from COVID-19 testing. Revenue from COVID-19 testing was $89.5 million and $94.7 million or 47.6% and 36.7% of the Company’s total revenues for the year ended December 31, 2020 and 2021, respectively.</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Inventories, consisting of supplies and consumables used in the lab, are accounted for using the first-in, first-out method of accounting and are valued at the lower of cost or net realizable value. The Company periodically reviews inventory for excess or obsolescence and writes-down obsolete or otherwise un-usable inventory to its estimated net realizable value. Amounts written-down due to obsolete inventory are charged to cost of revenues. Inventory write-downs for the year ended December 31, 2020 were not material. For the year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340"/>
          </w:cols>
          <w:pgMar w:left="320" w:top="448" w:right="2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ended December 31, 2021, the Company recorded $5.1 million of inventory write-downs to cost of revenues, genomics, primarily related to the expiration of COVID-19 testing kits and oncology lab supplies. As of December 31, 2020, the Company had approximately $37.0 million of inventory and $0.6 million of inventory in process in the labs. As of December 31, 2021, the Company had approximately $22.2 million of inventory and $0.7 million of inventory in process in the labs.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relies on a sole supplier for certain laboratory materials and equipment. Purchases from this supplier accounted for approximately 23% and 25% of total vendor payments for the year ended December 31, 2020 and 2021, respectively. Amounts due to this vendor approximated $5.3 million and $0.9 million at December 31, 2020 and 2021 respectively.</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Prepaid assets are recorded when paid and consistent primarily of prepayments for insurance, medical, software subscriptions, and cloud storage service. Prepaid expenses are amortized into expense over the related service period. Other current assets included in this line are primarily related to the short-term portion of the Company’s warrant asset and other receivables. The Company had $11.5 million and $17.3 million at December 31, 2020 and 2021, respectively.</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Property and Equipment and Intangibles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Property and equipment are stated at cost and assets under capital leases are stated at the lesser of the present value of minimum lease payments or their fair market value. Depreciation is recognized using the straight-line method over the estimated useful lives of the related assets. Generally, the useful lives are three years for equipment and seven years for furniture and fixtures. Leasehold improvements are amortized on a straight-line basis over the lesser of the term of the lease or the estimated useful life of the asset. Intangibles, other than indefinite-lived intangibles, are amortized using the straight-line method, which approximates the pattern of usage, over their economic life, generally five to seven years. Assets to be disposed of, if any, are separately presented in the consolidated balance sheet and reported at the lower of the carrying amount or fair value, less costs to sell, and are no longer depreciated. See Note 4, “Balance Sheet Components” for additional information about these assets.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Company evaluates long-lived assets, including property and equipment, and intangible assets for impairment whenever events or changes in business circumstances indicate that the carrying amount of the asset may not be fully recoverable. Recoverability is measured by a comparison of the carrying amount to the net undiscounted cash flows expected to be generated by the asset group. If such assets are impaired, the impairment to be recognized is measured by the amount by which the carrying amount of a long-lived asset exceeds its fair value. Any loss would be recognized in loss from operations in the period in which the determination is made. There were no impairment charges recognized related to long-lived assets during the years ended December 31, 2020 and 2021.</w:t>
      </w:r>
    </w:p>
    <w:p>
      <w:pPr>
        <w:spacing w:after="0" w:line="2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Goodwill consists of the excess purchase price over the fair value of net assets acquired in business combinations. The Company conducts a test for the impairment of goodwill on at least an annual basis as of</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340"/>
          </w:cols>
          <w:pgMar w:left="320" w:top="448" w:right="2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October 1st or sooner if indicators of impairment arise. The Company first assesses qualitative factors to determine whether it is more likely than not that goodwill is impaired. As part of the qualitative assessment, the Company evaluates factors including macroeconomic conditions, industry and market considerations, cost factors and overall financial performance of its single reporting unit.</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If the Company concludes that it is more-likely-than-not that its single reporting unit is impaired or if the Company elects not to perform the optional qualitative assessment, a quantitative assessment is performed. For the quantitative assessment, the fair value of the Company’s reporting unit is compared with the carrying amount of net assets, including goodwill, related to the reporting unit. The Company recognizes an impairment charge for the amount, if any, by which the carrying amount of a reporting unit exceeds the fair value of the reporting unit. The Company recorded no impairment loss during the years ended December 31, 2020 and 2021.</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Company’s outstanding promissory note (see Note 10) is accounted for in accordance with ASC 470-20. The Company determined the embedded conversion options, redemption features, and acceleration of repayment upon default are not required to be separately accounted for as derivatives under ASC 815 because they were either determined to be clearly and closely related to the host instrument or the Company has concluded that no value would be associated with the related feature based on the circumstances associated with the note’s issuance.</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derives revenue from selling lab services (“Genomics”) to physicians, academic research institutions, and other parties. The Company also derives revenue from the commercialization of data generated in the lab (“Data and other”) through the licensing of de-identified datasets to third parties and from matching patients to clinical trials enrolled in its clinical trial network, and related services. The majority of the Company’s revenue is generated in North America.</w:t>
      </w:r>
    </w:p>
    <w:p>
      <w:pPr>
        <w:spacing w:after="0" w:line="182"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commences revenue recognition when control of these products is transferred to customers in an amount that reflects the consideration the Company expects to be entitled to in exchange for such products. This principle is achieved by applying the five-step approach:</w:t>
      </w:r>
    </w:p>
    <w:p>
      <w:pPr>
        <w:spacing w:after="0" w:line="180" w:lineRule="exact"/>
        <w:rPr>
          <w:sz w:val="20"/>
          <w:szCs w:val="20"/>
          <w:color w:val="auto"/>
        </w:rPr>
      </w:pPr>
    </w:p>
    <w:p>
      <w:pPr>
        <w:jc w:val="both"/>
        <w:ind w:firstLine="459"/>
        <w:spacing w:after="0" w:line="255" w:lineRule="auto"/>
        <w:tabs>
          <w:tab w:leader="none" w:pos="67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account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The Company provides disaggregation of revenue based on Genomics and Data and other on the consolidated statements of operations and comprehensive loss, as it believes these best depict how the nature, amount, timing and uncertainty of revenue and cash flows are affected by economic factors.</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Company generally recognizes revenue for its Genomics product offering when it has met its performance obligation relating to an order. The Company has determined its sole performance obligation to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340"/>
          </w:cols>
          <w:pgMar w:left="320" w:top="448" w:right="2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delivery of the testing results to the ordering party. The Company receives payments from Medicare, Medicaid, and commercial insurance for clinical orders and directly from research institutions, pharmaceutical companies or other third parties for direct bill orders. The Company recognized Genomics revenue of $151.9 million and $195.0 million for the years ended December 31, 2020 and 2021, respectively.</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contractual allowances and implicit price concessions based on historical collections in relation to established rates, as well as known current or anticipated reimbursement trends not reflected in the historical data. The Company monitors the estimated amount to be collected at each reporting period based on actual cash collections in order to assess whether a revision to the estimate is required. Payment is typically due after the claim has been processed by the payor, generally 30-120 days from date of service. While management believes that the estimates are accurate, actual results could differ and the potential impact on the financial statements could be significant. The Company recognized revenue for clinical orders of $104.1 million and $151.1 million for the years ended December 31, 2020 and 2021, respectively.</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Genomics revenue for direct bill orders of $48.0 million and $43.9 million for the years ended December 31, 2020 and 2021,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Data and other revenue primarily represents data licensing and clinical trial matching services that the Company provides to pharmaceutical and biotechnology companies. The Company’s arrangements with these customers 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 Data and other product offering when it has met its performance obligation under the terms of the agreement with the customer. A description of the Company’s two product offerings are as follows: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Company’s Insights product consists primarily of licensing de-identified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transaction price is allocated to the distinct performance obligations and revenue is recognized once the performance obligation has been fulfilled.</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has determined that the delivery of de-identified records and, when applicable, analytical services and access to our enhanced Lens application are separate and distinct performance obligations. For data deliveries, revenue is recognized upon delivery of the data to the customer, and the Company accounts for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340"/>
          </w:cols>
          <w:pgMar w:left="320" w:top="448" w:right="2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individual licensed data records as a right to use license. Analytical services typically involve data analysis and research performed on behalf of the customer by the Company. The resulting delivery of data, or a report addressing a series of questions and analytical results, is considered a separate performance obligation. For analytical services or access to Lens, revenue is recognized as the services are provided or over the period to which access is granted. For the periods presented, revenue from analytical services and access to Lens are not material.</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Therapies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Company’s Therapies product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 clinical trial match, or once a patient is enrolled in a trial. Concurrently, the customer, which is the clinical trial sponsor, also receives notification from the Company to establish the performance obligations delivered or fulfilled for the billing period.</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For Insights and Therapies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other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 The Company recognized Data and other revenue from pharmaceutical companies, non-for-profits, and researchers of $36.1 million and $62.8 million for the years ended December 31, 2020 and 2021, respectively.</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Multi-year contract performance obligations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the fourth quarter of 2021, the Company entered into certain new multi-year contracts that did not contain early termination or customer opt-in clauses. These contracts contained defined, noncancelable performance obligations that will be fulfilled in future years. The Company’s remaining performance obligations related to these contracts was $97.7 million as of December 31, 2021, of which the Company expects to recognize approximately 34% of its remaining performance obligations as revenue each year for the next two years, and the remaining 31% of its remaining performance obligations as revenue in year three.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or consideration payable to customers, and as a result, the Company has recognized two forms of contract assets as of December 31, 2021. The Company recognizes invoicing related contract assets when we have an unconditional right to payment, and when revenues earned on a contract exceeds the billings. These contract assets are presented under accounts receivable, net. Accounts receivable as of December 31, 2020 and December 31, 2021 included contract assets of $39.6 million and $18.5 million respectively.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During the fourth quarter of 2021, and in conjunction with the signing of a November 2021 Master Services Agreement (“the MSA”) with customer AstraZeneca AB (“AstraZeneca”), the Company recognized a contract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340"/>
          </w:cols>
          <w:pgMar w:left="320" w:top="448" w:right="2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 xml:space="preserve">asset for consideration payable concurrent with the issuance of the common stock warrant based on applicable authoritative guidance in Financial Accounting Standards Board (“FASB”)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The contract asset was initially measured equal to the initial fair value of the warrant liability based on the authoritative guidance under FASB ASC 718 </w:t>
      </w:r>
      <w:r>
        <w:rPr>
          <w:rFonts w:ascii="Times New Roman" w:cs="Times New Roman" w:eastAsia="Times New Roman" w:hAnsi="Times New Roman"/>
          <w:sz w:val="16"/>
          <w:szCs w:val="16"/>
          <w:i w:val="1"/>
          <w:iCs w:val="1"/>
          <w:color w:val="auto"/>
        </w:rPr>
        <w:t>Compensation - Stock Compensation.</w:t>
      </w:r>
      <w:r>
        <w:rPr>
          <w:rFonts w:ascii="Times New Roman" w:cs="Times New Roman" w:eastAsia="Times New Roman" w:hAnsi="Times New Roman"/>
          <w:sz w:val="16"/>
          <w:szCs w:val="16"/>
          <w:color w:val="auto"/>
        </w:rPr>
        <w:t xml:space="preserve"> As revenue is recognized over the period of the contractual commitment of the MSA, the associated contract asset amortization is recorded as reduction of revenue. At each reporting period, the short-term portion of the warrant asset is adjusted based on the financial commitment and reclassified to Prepaids expenses and other current assets.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summarized the warrant contract asset presentation as of December 31, 2021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3"/>
        </w:trPr>
        <w:tc>
          <w:tcPr>
            <w:tcW w:w="65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5,216</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Warrant asset, less current portion</w:t>
            </w:r>
          </w:p>
        </w:tc>
        <w:tc>
          <w:tcPr>
            <w:tcW w:w="36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31,067</w:t>
            </w:r>
          </w:p>
        </w:tc>
        <w:tc>
          <w:tcPr>
            <w:tcW w:w="40" w:type="dxa"/>
            <w:vAlign w:val="bottom"/>
          </w:tcPr>
          <w:p>
            <w:pPr>
              <w:spacing w:after="0"/>
              <w:rPr>
                <w:sz w:val="18"/>
                <w:szCs w:val="18"/>
                <w:color w:val="auto"/>
              </w:rPr>
            </w:pPr>
          </w:p>
        </w:tc>
      </w:tr>
      <w:tr>
        <w:trPr>
          <w:trHeight w:val="210"/>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warrant contract asset</w:t>
            </w:r>
          </w:p>
        </w:tc>
        <w:tc>
          <w:tcPr>
            <w:tcW w:w="4000" w:type="dxa"/>
            <w:vAlign w:val="bottom"/>
            <w:gridSpan w:val="2"/>
            <w:shd w:val="clear" w:color="auto" w:fill="CCEEFF"/>
          </w:tcPr>
          <w:p>
            <w:pPr>
              <w:ind w:left="3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36,283</w:t>
            </w:r>
          </w:p>
        </w:tc>
      </w:tr>
      <w:tr>
        <w:trPr>
          <w:trHeight w:val="20"/>
        </w:trPr>
        <w:tc>
          <w:tcPr>
            <w:tcW w:w="6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our Data product offering and timing of delivery of our de-identified licensed data and clinical test results. The portion of deferred revenue that is anticipated to be recognized as revenue during the succeeding twelve-month period is recorded as deferred revenue, current and any remaining portion is recorded as deferred revenue, non-current. Deferred revenue balances comprised current deferred revenue only as $7.0 million and $16.5 million as of December 31, 2020 and 2021, respectively. During the year ended December 31, 2021, deferred revenue increased $9.5 million as a result of $27.7 million of additional invoicing which was offset by $18.1 million of revenue recognized during the same period. The amount of revenue recognized during the year ended December 31, 2021 that was included in deferred revenue at the beginning of the period was $7.0 million. As of December 31, 2021 all deferred revenue recorded is expected to be recognized in the next twelve months.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Genomics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for Genomics consists of personnel lab expenses, including salaries, bonuses, employee benefits, amortization of intangible assets, cost of laboratory supplies and consumables, third-party administration fees associated with COVID-19 testing, depreciation of laboratory equipment, shipping costs and certain allocated overhead expenses. Costs associated with performing the Company’s tests are recorded as the tests are processed at the time of report delivery.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Data and other</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Cost of revenues for Data and other includes data acquisition and royalty fees, and personnel costs related to our delivery of our data services and platform, and certain allocated overhead expenses. Costs associated with performing data services are recorded as incurred.</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Research and development expenses include costs incurred to develop new assays and products, and include salaries and benefits of the Company’s scientific and laboratory research and development teams, amortization of</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340"/>
          </w:cols>
          <w:pgMar w:left="320" w:top="448" w:right="2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intangible assets, inventory costs, overhead costs, validation costs, contract services and other related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Research and development costs are expensed as incurred.</w:t>
      </w: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the Company’s technology platform and applications and the research and development of new products which the Company hopes to bring to the market. Technology research and development costs are expensed as incurred.</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has a 401(k) tax deferred savings plan under which eligible employees may elect to have a portion of their salary deferred and contributed to the plan. Employer matching contributions are determined by the Company and are discretionary. During the years ended December 31, 2020 and 2021, the Company did not match any employee contributions.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consolidated financial statements and consist of taxes currently due plus deferred taxes. Deferred taxes are recognized based on differences between the basis of assets and liabilities for financial reporting and income tax purposes and are measured using enacted rates. The differences relate primarily to timing of deductibility of certain expenses and the estimated future effects of net operating loss carryforwards. Deferred tax assets and liabilities represent the future tax consequences of those differences, which will either be taxable or deductible when the assets and liabilities are recovered or settled. Deferred tax assets and liabilities are adjusted for the effects of changes in tax laws and rates on the date of enactment.</w:t>
      </w:r>
    </w:p>
    <w:p>
      <w:pPr>
        <w:spacing w:after="0" w:line="8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 forwards.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assessing whether a valuation allowance is required, significant weight is given to evidence that can be objectively verified. The Company has evaluated its DTAs in each reporting period, including an assessment of its cumulative income or loss, to determine if a valuation allowance was required. After a review of the four sources of taxable income described above, the Company established a valuation allowance against the Company’s net deferred tax assets due to uncertainty surrounding the Company’s ability to generate future taxable income to realize these assets.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of December 31, 2021, the Company had federal and state net operating loss (“NOL”) carry forwards of approximately $616.7 million and $464.8 million, respectively, which may be available to offset future taxable income. The federal NOLs will begin to expire in 2037 and the state NOLs will begin to expire in 2028.</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evaluates tax positions under an approach for recognition and measurement of uncertain tax positions. The Company recognizes tax liabilities when the Company believes that certain positions may not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340"/>
          </w:cols>
          <w:pgMar w:left="320" w:top="448" w:right="2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fully sustained upon review by tax authorities. Benefits from tax positions are measured at the largest amount of benefit that is more likely than not of being realized upon settlement. To the extent that the final tax outcome of these matters is different than the amounts recorded, such differences impact income tax expense in the period in which such determination is made. Interest and penalties, if any, related to accrue liabilities for potential tax assessments are included in income tax expense.</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concluded that as of December 31, 2020 and 2021, there are no uncertain positions taken or expected to be taken that would require recognition of a liability in the financial statements.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is subject to routine audits by taxing jurisdictions. As of December 31, 2021, the Company was not under audit in any jurisdiction.</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Basic and diluted net loss per share attributable to common stockholders is presented in conformity with the two-class method required for participating securities. The Company considers all series of its redeemable convertible preferred stock to be participating securities. Under the two-class method, the net loss attributable to common stockholders is not allocated to the redeemable convertible preferred stock as the holders of its redeemable convertible preferred stock do not have a contractual obligation to share in the Company’s losses. Net income is attributed to common stockholders and participating securities based on their participation rights.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are antidilutive and accordingly, basic net loss per share equals diluted net loss per share.</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Deferred offering costs consist primarily of accounting, legal, and other fees related to the Company’s proposed initial public offering (“IPO”). The deferred offering costs will be recorded against IPO proceeds upon the consummation of the IPO. If the IPO is abandoned, deferred offering costs will be expensed in the period the IPO is abandoned. There were no deferred offering costs as of December 31, 2020. The Company had $3.9 million of deferred offering costs as of December 31, 2021.</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Compensation expense relating to share-based payments is recognized in operations using a fair value measurement method. Under the fair value method, the estimated fair value of awards is charged to operations on a straight-line basis over the requisite service period, which is generally the vesting period. See Note 9 for further information on stock-based compensation.</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Fair value is defined under GAAP as the price that would be received to sell an asset or paid to transfer a liability in an orderly transaction between market participants at the measurement date. Fair value is a market- based measurement that is determined based on assumptions that market participants would use in pricing an asset or a liability.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340"/>
          </w:cols>
          <w:pgMar w:left="320" w:top="448" w:right="2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 increase the comparability of fair value measures, the following hierarchy prioritizes the inputs in valuation methodologies used to measure fair value:</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—Measurements that reflect quoted prices (unadjusted) for identical assets or liabilities in active markets.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—Measurements that include other inputs that are directly or indirectly observable in the marketplace.</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—Measurements derived from valuation techniques in which one or more significant inputs or significant value drivers are unobservable.</w:t>
      </w:r>
    </w:p>
    <w:p>
      <w:pPr>
        <w:spacing w:after="0" w:line="21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Fair value measurements are discussed further in Note 13.</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It is the Company’s policy, in general, to measure nonfinancial assets and liabilities at fair value on a nonrecurring basis. These items are not measured at fair value on an ongoing basis but are subject to fair value adjustments in certain circumstances (such as evidence of impairment) which, if material, are disclosed in the accompanying notes to these consolidated financial statements.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 Liability</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 xml:space="preserve">The Company issued a warrant to its customer AstraZeneca in conjunction with the signing of a November 2021 MSA. The warrant to purchase up to $100 million in shares of the Company’s Class A common stock is a freestanding financial instrument classified as noncurrent liability on the Company’s consolidated balance sheets. Warrants are accounted for as liability-classified instruments based on an assessment of the warrant’s specific terms and applicable authoritative guidance in FASB ASC 480, </w:t>
      </w:r>
      <w:r>
        <w:rPr>
          <w:rFonts w:ascii="Times New Roman" w:cs="Times New Roman" w:eastAsia="Times New Roman" w:hAnsi="Times New Roman"/>
          <w:sz w:val="18"/>
          <w:szCs w:val="18"/>
          <w:i w:val="1"/>
          <w:iCs w:val="1"/>
          <w:color w:val="auto"/>
        </w:rPr>
        <w:t>Distinguishing Liabilities from Equity (“</w:t>
      </w:r>
      <w:r>
        <w:rPr>
          <w:rFonts w:ascii="Times New Roman" w:cs="Times New Roman" w:eastAsia="Times New Roman" w:hAnsi="Times New Roman"/>
          <w:sz w:val="18"/>
          <w:szCs w:val="18"/>
          <w:color w:val="auto"/>
        </w:rPr>
        <w:t>ASC 480”). The fair value of the warrant liability is measured each reporting period and any change in fair value of the warrant liability is recorded in Other expense, net within the consolidated statements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Classification and Accretion of Convertible Preferred Stock</w:t>
      </w:r>
    </w:p>
    <w:p>
      <w:pPr>
        <w:spacing w:after="0" w:line="11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The Company’s Series A, B, B-1, B-2, C, D, E, F, G and G-2 convertible preferred stock are classified outside of stockholders’ equity (deficit) because the holders of such shares have liquidation rights in the event of a deemed liquidation that, in certain situations, is not solely within the control of the Company.</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Assets and liabilities of the Company’s foreign subsidiaries are translated into U.S. dollars (USD) using period-end exchange rates while revenues and expenses are translated at the average exchange rate for the period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340"/>
          </w:cols>
          <w:pgMar w:left="320" w:top="448" w:right="2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Gains or losses from balance sheet translation are the only component of accumulated other comprehensive loss in the consolidated balance sheet.</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08"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 xml:space="preserve">In January 2017, the FASB issued ASU No. 2017-04, </w:t>
      </w:r>
      <w:r>
        <w:rPr>
          <w:rFonts w:ascii="Times New Roman" w:cs="Times New Roman" w:eastAsia="Times New Roman" w:hAnsi="Times New Roman"/>
          <w:sz w:val="16"/>
          <w:szCs w:val="16"/>
          <w:i w:val="1"/>
          <w:iCs w:val="1"/>
          <w:color w:val="auto"/>
        </w:rPr>
        <w:t>Intangibles—Goodwill and Other (Topic 350): Simplifying the Test for Goodwill Impairment.</w:t>
      </w:r>
      <w:r>
        <w:rPr>
          <w:rFonts w:ascii="Times New Roman" w:cs="Times New Roman" w:eastAsia="Times New Roman" w:hAnsi="Times New Roman"/>
          <w:sz w:val="16"/>
          <w:szCs w:val="16"/>
          <w:color w:val="auto"/>
        </w:rPr>
        <w:t xml:space="preserve"> ASU 2018-04 simplifies how an entity is required to test goodwill for impairment by eliminating Step 2 from the goodwill impairment test. The guidance is effective for the fiscal year beginning May 1, 2023 with early adoption permitted. The Company early adopted the guidance as of January 1, 2020 using a prospective transition method. Adoption of this guidance did not have a material impact to the Company’s consolidated financial statements and related disclosures.</w:t>
      </w:r>
    </w:p>
    <w:p>
      <w:pPr>
        <w:spacing w:after="0" w:line="15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 xml:space="preserve">In July 2017, the FASB issued ASU 2017-11, Earnings Per Share (Topic 260), </w:t>
      </w:r>
      <w:r>
        <w:rPr>
          <w:rFonts w:ascii="Times New Roman" w:cs="Times New Roman" w:eastAsia="Times New Roman" w:hAnsi="Times New Roman"/>
          <w:sz w:val="16"/>
          <w:szCs w:val="16"/>
          <w:i w:val="1"/>
          <w:iCs w:val="1"/>
          <w:color w:val="auto"/>
        </w:rPr>
        <w:t>Distinguishing Liabilities from Equity (Topic 480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Derivatives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Hedging (Topic 815)</w:t>
      </w:r>
      <w:r>
        <w:rPr>
          <w:rFonts w:ascii="Times New Roman" w:cs="Times New Roman" w:eastAsia="Times New Roman" w:hAnsi="Times New Roman"/>
          <w:sz w:val="16"/>
          <w:szCs w:val="16"/>
          <w:color w:val="auto"/>
        </w:rPr>
        <w:t>. The amendments in Part I of the Update change the reclassification analysis of certain equity-linked financial instruments (or embedded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features) with down-round features. The amendments in Part II of the update re-characterize the indefinite deferral of certain provisions of Topic 480 that now are presented as pending content in the ASC, to a scope exception. The amendments in Part I of this update was effective for the Company on January 1, 2020 (the date it was effective for private companies). The amendments in Part II of the update did not require any transition guidance because those amendments did not have an accounting effect. The adoption did not have a material effect on the Company’s consolidated financial statements as of the date of adoption.</w:t>
      </w:r>
    </w:p>
    <w:p>
      <w:pPr>
        <w:spacing w:after="0" w:line="159"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 xml:space="preserve">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 that is a Service Contract</w:t>
      </w:r>
      <w:r>
        <w:rPr>
          <w:rFonts w:ascii="Times New Roman" w:cs="Times New Roman" w:eastAsia="Times New Roman" w:hAnsi="Times New Roman"/>
          <w:sz w:val="18"/>
          <w:szCs w:val="18"/>
          <w:color w:val="auto"/>
        </w:rPr>
        <w:t>, In August 2018. ASU 2018-15 requires a customer in a cloud computing arrangement that is a service contract to follow the internal-use software guidance in ASC 350-40 to determine which implementation costs to defer and recognize as an asset. The guidance is effective for the fiscal year beginning January 1, 2021, and interim periods within annual periods beginning after December 15, 2021. Early adoption is permitted. The Company adopted the guidance as of January 1, 2021 on a prospective basis. The adoption did not have a material effect on the Company’s consolidated financial statements.</w:t>
      </w:r>
    </w:p>
    <w:p>
      <w:pPr>
        <w:spacing w:after="0" w:line="18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November 2018, the FASB issued ASU 2018-18, Collaborative Arrangements (Topic 808</w:t>
      </w:r>
      <w:r>
        <w:rPr>
          <w:rFonts w:ascii="Times New Roman" w:cs="Times New Roman" w:eastAsia="Times New Roman" w:hAnsi="Times New Roman"/>
          <w:sz w:val="18"/>
          <w:szCs w:val="18"/>
          <w:i w:val="1"/>
          <w:iCs w:val="1"/>
          <w:color w:val="auto"/>
        </w:rPr>
        <w:t>): Clarifying the Interaction between Topic 808 and Topic 606</w:t>
      </w:r>
      <w:r>
        <w:rPr>
          <w:rFonts w:ascii="Times New Roman" w:cs="Times New Roman" w:eastAsia="Times New Roman" w:hAnsi="Times New Roman"/>
          <w:sz w:val="18"/>
          <w:szCs w:val="18"/>
          <w:color w:val="auto"/>
        </w:rPr>
        <w:t>. This ASU provides guidance that clarifies when certain transactions between participants in a collaborative arrangement should be accounted for under ASC 606 when the counterparty is a customer, and amends ASC 808 to refer to the unit-of-account guidance in ASC 606. The guidance specifically precludes an entity from presenting consideration from a transaction in a collaborative arrangement as revenue from contracts with customers if the counterparty is not a customer for that transaction. The Company adopted the guidance as of January 1, 2021. The adoption did not have a material effect on the Company’s consolidated financial statements.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an emerging growth company, the Company is provided the option to adopt new or revised accounting guidance either (1) within the same periods as those otherwise applicable to public business entities or (2) within the same time periods as private companies, including early adoption when permissible.</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elected to adopt new or revised accounting guidance within the same time period as private companies, as indicated below.</w:t>
      </w:r>
    </w:p>
    <w:p>
      <w:pPr>
        <w:spacing w:after="0" w:line="14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340"/>
          </w:cols>
          <w:pgMar w:left="320" w:top="448" w:right="2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 xml:space="preserve">The FASB issued ASU 2016-02,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(Topic 842) (ASU 2016-02), in February 2016. ASU 2016-02 will require lessees to recognize, at commencement date, a lease liability representing the lessee’s obligation to make payments arising from the lease and a right-of-use asset representing the lessee’s right to use or control the use of a specific asset for the lease term. Under the new guidance, lessor accounting is largely unchanged. ASU 2016-02 is effective for annual financial statements of private companies issued for fiscal years beginning after December 15, 2020, and should be applied using a modified retrospective approach, as specified in ASU 2019-10. As long as the Company is an emerging growth company, the current effective date of adoption is January 1, 2022 for calendar year-end private companies. Early adoption is permitted. While the Company continues to assess the effects of adoption, it currently believes the most significant effects relate to the recognition, on the consolidated balance sheet, of right-of-use assets and lease liabilities related to operating leases. The Company is evaluating the full effects that adoption of ASU 2016-02 will have on its financial position, results of operations, and disclosures.</w:t>
      </w:r>
    </w:p>
    <w:p>
      <w:pPr>
        <w:spacing w:after="0" w:line="16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No. 2016-13”). ASU No. 2016-13 requires the measurement and recognition of expected credit losses for financial assets that are held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cost, including trade receivables. ASU No. 2016-13 replaces the previous incurred loss impairment model with an expected loss model which requires the use of forward-looking information to calculate credit loss estimates. The guidance is effective for the Company beginning January 1, 2023, with early adoption permitted. The Company is currently evaluating the effect that this guidance will have on the consolidated financial statements and related disclosures. The adoption of the standard is not expected to materially impact the Company’s financial statements.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(“ASU No. 2019-12”), which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It clarifies that single-member limited liability companies and similar disregarded entities that are not subject to income tax are not required to recognize an allocation of consolidated income tax expense in their separate financial statements, but they could elect to do so. The guidance is effective for the Company beginning January 1, 2022. Early adoption is permitted. The Company is currently evaluating the effect that this guidance will have on the consolidated financial statements and related disclosures.</w:t>
      </w:r>
    </w:p>
    <w:p>
      <w:pPr>
        <w:spacing w:after="0" w:line="331" w:lineRule="exact"/>
        <w:rPr>
          <w:sz w:val="20"/>
          <w:szCs w:val="20"/>
          <w:color w:val="auto"/>
        </w:rPr>
      </w:pPr>
    </w:p>
    <w:p>
      <w:pPr>
        <w:ind w:left="460" w:hanging="455"/>
        <w:spacing w:after="0"/>
        <w:tabs>
          <w:tab w:leader="none" w:pos="4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AKESOgen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December 9, 2019, in accordance with a stock purchase agreement, Tempus Labs Inc. purchased 100% of the issued and outstanding shares of capital stock of AKESOgen for $30.3 million, with an adjustment for working capital. In accordance with the terms of the agreement, $4.0 million of the consideration was held back, which was subsequently paid in July 2021. The transaction also included a contingent consideration arrangement to transfer shares of non-voting common stock to the former owners with an acquisition date fair value of $3.4 million, which the company recognized under long-term liabilities. The consideration will be paid out based on AKESOgen’s 2020 revenue, with a maximum payout of 726,979 shares of non-voting common stock. On May 19, 2021, the Company entered into a settlement agreement with the former owners of AKESOgen related to the contingent consideration, whereby $7.5 million was paid in cash and 145,466 shares of non-voting common stock will be paid out on the third anniversary of the Closing date.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340"/>
          </w:cols>
          <w:pgMar w:left="320" w:top="448" w:right="2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right="8100" w:firstLine="5"/>
        <w:spacing w:after="0" w:line="420" w:lineRule="auto"/>
        <w:tabs>
          <w:tab w:leader="none" w:pos="446" w:val="left"/>
        </w:tabs>
        <w:numPr>
          <w:ilvl w:val="0"/>
          <w:numId w:val="1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BALANCE SHEET COMPONENTS Propertyand Equipment, net</w:t>
      </w:r>
    </w:p>
    <w:p>
      <w:pPr>
        <w:spacing w:after="0" w:line="1" w:lineRule="exact"/>
        <w:rPr>
          <w:rFonts w:ascii="Times New Roman" w:cs="Times New Roman" w:eastAsia="Times New Roman" w:hAnsi="Times New Roman"/>
          <w:sz w:val="16"/>
          <w:szCs w:val="16"/>
          <w:b w:val="1"/>
          <w:bCs w:val="1"/>
          <w:color w:val="auto"/>
        </w:rPr>
      </w:pPr>
    </w:p>
    <w:p>
      <w:pPr>
        <w:ind w:left="4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following summarizes property and equipment, net as of December 31, 2020 and 2021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89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03"/>
        </w:trPr>
        <w:tc>
          <w:tcPr>
            <w:tcW w:w="89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Equipment</w:t>
            </w: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38,217</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47,750</w:t>
            </w:r>
          </w:p>
        </w:tc>
        <w:tc>
          <w:tcPr>
            <w:tcW w:w="100" w:type="dxa"/>
            <w:vAlign w:val="bottom"/>
            <w:shd w:val="clear" w:color="auto" w:fill="CCEEFF"/>
          </w:tcPr>
          <w:p>
            <w:pPr>
              <w:spacing w:after="0"/>
              <w:rPr>
                <w:sz w:val="17"/>
                <w:szCs w:val="17"/>
                <w:color w:val="auto"/>
              </w:rPr>
            </w:pPr>
          </w:p>
        </w:tc>
      </w:tr>
      <w:tr>
        <w:trPr>
          <w:trHeight w:val="210"/>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23,352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23,716</w:t>
            </w: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5,751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6,573</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78,039</w:t>
            </w:r>
          </w:p>
        </w:tc>
        <w:tc>
          <w:tcPr>
            <w:tcW w:w="100" w:type="dxa"/>
            <w:vAlign w:val="bottom"/>
          </w:tcPr>
          <w:p>
            <w:pPr>
              <w:spacing w:after="0"/>
              <w:rPr>
                <w:sz w:val="18"/>
                <w:szCs w:val="18"/>
                <w:color w:val="auto"/>
              </w:rPr>
            </w:pP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deprectiation</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(28,885)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(42,644)</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38,435</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100" w:type="dxa"/>
            <w:vAlign w:val="bottom"/>
          </w:tcPr>
          <w:p>
            <w:pPr>
              <w:spacing w:after="0"/>
              <w:rPr>
                <w:sz w:val="18"/>
                <w:szCs w:val="18"/>
                <w:color w:val="auto"/>
              </w:rPr>
            </w:pPr>
          </w:p>
        </w:tc>
      </w:tr>
      <w:tr>
        <w:trPr>
          <w:trHeight w:val="20"/>
        </w:trPr>
        <w:tc>
          <w:tcPr>
            <w:tcW w:w="8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Depreciation expense on property and equipment is classified as follows in the accompanying consolidated statements of operations for the years ended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and 2021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15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89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Cost of revenue, genomics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88"/>
              </w:rPr>
              <w:t>7,206</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5,885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6,255</w:t>
            </w:r>
          </w:p>
        </w:tc>
        <w:tc>
          <w:tcPr>
            <w:tcW w:w="0" w:type="dxa"/>
            <w:vAlign w:val="bottom"/>
          </w:tcPr>
          <w:p>
            <w:pPr>
              <w:spacing w:after="0"/>
              <w:rPr>
                <w:sz w:val="1"/>
                <w:szCs w:val="1"/>
                <w:color w:val="auto"/>
              </w:rPr>
            </w:pPr>
          </w:p>
        </w:tc>
      </w:tr>
      <w:tr>
        <w:trPr>
          <w:trHeight w:val="26"/>
        </w:trPr>
        <w:tc>
          <w:tcPr>
            <w:tcW w:w="8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depreciation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13,091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13,759</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8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8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89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Accrued compensation and employee benefits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w w:val="93"/>
              </w:rPr>
              <w:t>8,690</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12,968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w w:val="92"/>
              </w:rPr>
              <w:t>11,488</w:t>
            </w:r>
          </w:p>
        </w:tc>
        <w:tc>
          <w:tcPr>
            <w:tcW w:w="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expenses</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20,178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40,694</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and Other Assets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and other assets include amounts due from related parties (Note 14), and an equity method investment.</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June 21, 2021, the Company contributed $5.9 million in cash for a minority interest in a research platform in service of advancing data-driven medicine in psychiatry. The Company concurrently entered a Commercial partnership agreement with the investee for the purpose of furthering the commercialization efforts of the associated research platform.</w:t>
      </w:r>
    </w:p>
    <w:p>
      <w:pPr>
        <w:spacing w:after="0" w:line="178"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 xml:space="preserve">Consistent with purchase obligations disclosed in Note 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the commercial partnership agreement includes committed payments for access to the data and additional payments contingent on the commercialization of such data. The annual license fee commitment is not materially significant.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340"/>
          </w:cols>
          <w:pgMar w:left="320" w:top="448" w:right="2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hanging="455"/>
        <w:spacing w:after="0"/>
        <w:tabs>
          <w:tab w:leader="none" w:pos="4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As disclosed in Note 2, Goodwill is tested for impairment at least annually as of October 1st. The changes in the carrying amount of goodwill for the years ended December 31, 2020 and 2021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4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$15,986</w:t>
            </w:r>
          </w:p>
        </w:tc>
      </w:tr>
      <w:tr>
        <w:trPr>
          <w:trHeight w:val="210"/>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4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4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$15,992</w:t>
            </w:r>
          </w:p>
        </w:tc>
      </w:tr>
      <w:tr>
        <w:trPr>
          <w:trHeight w:val="210"/>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4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$15,985</w:t>
            </w:r>
          </w:p>
        </w:tc>
      </w:tr>
    </w:tbl>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was no goodwill impairment for the years ended December 31, 2020 and 2021.</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Intangible assets are initially recorded at their acquisition cost, or fair value if acquired as part of a business combination and amortized over their estimated useful lives. Intangible assets consist of a website domain, customer relationships acquired as part of a business combination, and licensed data acquired by entering into research collaboration agreements. In each license arrangement, the other party provides the Company with specified data, which currently is used primarily for research and development purposes but may also be licensed to third parties. The asset represents the Company’s right to use these datasets. The Company also recognizes a liability for the associated minimum payments that are presented within accrued data licensing fees. During the years ended December 31, 2020 and 2021, the gross amount of intangible assets increased $13.1 million and $3.0 million, respectively, resulting from the extension of a research collaboration agreement. The amendment extended the minimum length of the contract from five years to seven years.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intangible assets as of December 31, 2020 and 2021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tcPr>
          <w:p>
            <w:pPr>
              <w:spacing w:after="0"/>
              <w:rPr>
                <w:sz w:val="9"/>
                <w:szCs w:val="9"/>
                <w:color w:val="auto"/>
              </w:rPr>
            </w:pPr>
          </w:p>
        </w:tc>
        <w:tc>
          <w:tcPr>
            <w:tcW w:w="1180" w:type="dxa"/>
            <w:vAlign w:val="bottom"/>
            <w:gridSpan w:val="3"/>
          </w:tcPr>
          <w:p>
            <w:pPr>
              <w:jc w:val="right"/>
              <w:ind w:right="340"/>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9"/>
                <w:szCs w:val="9"/>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9"/>
                <w:szCs w:val="9"/>
                <w:color w:val="auto"/>
              </w:rPr>
            </w:pPr>
          </w:p>
        </w:tc>
        <w:tc>
          <w:tcPr>
            <w:tcW w:w="1200" w:type="dxa"/>
            <w:vAlign w:val="bottom"/>
            <w:gridSpan w:val="3"/>
          </w:tcPr>
          <w:p>
            <w:pPr>
              <w:jc w:val="right"/>
              <w:ind w:right="340"/>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9"/>
                <w:szCs w:val="9"/>
                <w:color w:val="auto"/>
              </w:rPr>
            </w:pPr>
          </w:p>
        </w:tc>
        <w:tc>
          <w:tcPr>
            <w:tcW w:w="6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4"/>
                <w:szCs w:val="14"/>
                <w:color w:val="auto"/>
              </w:rPr>
            </w:pPr>
          </w:p>
        </w:tc>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$ 17,300</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2,471</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14,829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2"/>
              </w:rPr>
              <w:t>17,300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3"/>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4,943</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12,357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Licensed data</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50,586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20,975</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53,535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28,625</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24,910</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domain</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$ 67,905</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23,446</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2"/>
              </w:rPr>
              <w:t>70,854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33,568</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Amortization of intangible assets is recognized using the straight-line method over their estimated useful lives, which range from five to seven years. Amortization expense was $9.9 million and $10.1 million for the years ended December 31, 2020 and December 31, 2021, respectively, and is recorded in cost of revenues, technology research and development or research and development, depending on use of the asset. The weighted average life of our intangibles is approximately seven years. As of December 31, 2021, the estimated future amortization expense related to intangible assets is as follows (in thousands):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340"/>
          </w:cols>
          <w:pgMar w:left="320" w:top="448" w:right="239"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195"/>
        </w:trPr>
        <w:tc>
          <w:tcPr>
            <w:tcW w:w="23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8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9000" w:type="dxa"/>
            <w:vAlign w:val="bottom"/>
            <w:gridSpan w:val="3"/>
          </w:tcPr>
          <w:p>
            <w:pPr>
              <w:jc w:val="right"/>
              <w:ind w:right="4980"/>
              <w:spacing w:after="0"/>
              <w:rPr>
                <w:sz w:val="20"/>
                <w:szCs w:val="20"/>
                <w:color w:val="auto"/>
              </w:rPr>
            </w:pPr>
            <w:r>
              <w:rPr>
                <w:rFonts w:ascii="Times New Roman" w:cs="Times New Roman" w:eastAsia="Times New Roman" w:hAnsi="Times New Roman"/>
                <w:sz w:val="18"/>
                <w:szCs w:val="18"/>
                <w:b w:val="1"/>
                <w:bCs w:val="1"/>
                <w:color w:val="auto"/>
              </w:rPr>
              <w:t>Tempus Labs, Inc.</w:t>
            </w: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0" w:type="dxa"/>
            <w:vAlign w:val="bottom"/>
            <w:gridSpan w:val="3"/>
          </w:tcPr>
          <w:p>
            <w:pPr>
              <w:jc w:val="right"/>
              <w:ind w:right="3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20" w:type="dxa"/>
            <w:vAlign w:val="bottom"/>
            <w:shd w:val="clear" w:color="auto" w:fill="CCEEFF"/>
          </w:tcPr>
          <w:p>
            <w:pPr>
              <w:spacing w:after="0"/>
              <w:rPr>
                <w:sz w:val="18"/>
                <w:szCs w:val="18"/>
                <w:color w:val="auto"/>
              </w:rPr>
            </w:pPr>
          </w:p>
        </w:tc>
        <w:tc>
          <w:tcPr>
            <w:tcW w:w="9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Pr>
          <w:p>
            <w:pPr>
              <w:spacing w:after="0"/>
              <w:rPr>
                <w:sz w:val="18"/>
                <w:szCs w:val="18"/>
                <w:color w:val="auto"/>
              </w:rPr>
            </w:pPr>
          </w:p>
        </w:tc>
        <w:tc>
          <w:tcPr>
            <w:tcW w:w="9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shd w:val="clear" w:color="auto" w:fill="CCEEFF"/>
          </w:tcPr>
          <w:p>
            <w:pPr>
              <w:spacing w:after="0"/>
              <w:rPr>
                <w:sz w:val="18"/>
                <w:szCs w:val="18"/>
                <w:color w:val="auto"/>
              </w:rPr>
            </w:pPr>
          </w:p>
        </w:tc>
        <w:tc>
          <w:tcPr>
            <w:tcW w:w="9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20" w:type="dxa"/>
            <w:vAlign w:val="bottom"/>
          </w:tcPr>
          <w:p>
            <w:pPr>
              <w:spacing w:after="0"/>
              <w:rPr>
                <w:sz w:val="18"/>
                <w:szCs w:val="18"/>
                <w:color w:val="auto"/>
              </w:rPr>
            </w:pPr>
          </w:p>
        </w:tc>
        <w:tc>
          <w:tcPr>
            <w:tcW w:w="9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shd w:val="clear" w:color="auto" w:fill="CCEEFF"/>
          </w:tcPr>
          <w:p>
            <w:pPr>
              <w:spacing w:after="0"/>
              <w:rPr>
                <w:sz w:val="18"/>
                <w:szCs w:val="18"/>
                <w:color w:val="auto"/>
              </w:rPr>
            </w:pPr>
          </w:p>
        </w:tc>
        <w:tc>
          <w:tcPr>
            <w:tcW w:w="9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320" w:type="dxa"/>
            <w:vAlign w:val="bottom"/>
          </w:tcPr>
          <w:p>
            <w:pPr>
              <w:spacing w:after="0"/>
              <w:rPr>
                <w:sz w:val="18"/>
                <w:szCs w:val="18"/>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$ 37,267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ind w:left="460" w:right="7540" w:hanging="455"/>
        <w:spacing w:after="0" w:line="366" w:lineRule="auto"/>
        <w:tabs>
          <w:tab w:leader="none" w:pos="453"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Leases</w:t>
      </w:r>
    </w:p>
    <w:p>
      <w:pPr>
        <w:spacing w:after="0" w:line="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 agreements with lease expirations between 2021 and 2029. Rent expenses under operating leases was $6.2 million and $9.3 million for the years ended December 31, 2020 and 2021, respectively.</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leases its headquarters located in Chicago, Illinois (“600 West Chicago”). Our lease agreement for 600 West Chicago extends through May 2029 and includes rent escalations of 2.5% per year. The 600 West Chicago lease represents $35.4 million of the estimated future payments under operating leases shown in the table below. The Company accounts for the 600 West Chicago lease as an operating lease and recognizes rent expense on a straight-line basis, taking into account rent escalations and lease incentives.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also acquired portions of its equipment under capital lease agreements, with expirations between 2022 and 2023.</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2021, the future payments under operating and capital leases for each of the next five years and thereafter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Capital Leases</w:t>
            </w:r>
          </w:p>
        </w:tc>
        <w:tc>
          <w:tcPr>
            <w:tcW w:w="3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2022</w:t>
            </w:r>
          </w:p>
        </w:tc>
        <w:tc>
          <w:tcPr>
            <w:tcW w:w="25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w w:val="88"/>
              </w:rPr>
              <w:t>454</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8,444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5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765</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340"/>
              <w:spacing w:after="0" w:line="202" w:lineRule="exact"/>
              <w:rPr>
                <w:sz w:val="20"/>
                <w:szCs w:val="20"/>
                <w:color w:val="auto"/>
              </w:rPr>
            </w:pPr>
            <w:r>
              <w:rPr>
                <w:rFonts w:ascii="Times New Roman" w:cs="Times New Roman" w:eastAsia="Times New Roman" w:hAnsi="Times New Roman"/>
                <w:sz w:val="18"/>
                <w:szCs w:val="18"/>
                <w:color w:val="auto"/>
                <w:w w:val="88"/>
              </w:rPr>
              <w:t>55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capital lease payments</w:t>
            </w:r>
          </w:p>
        </w:tc>
        <w:tc>
          <w:tcPr>
            <w:tcW w:w="2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710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capital lease obligations</w:t>
            </w:r>
          </w:p>
        </w:tc>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419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capital lease obligations</w:t>
            </w:r>
          </w:p>
        </w:tc>
        <w:tc>
          <w:tcPr>
            <w:tcW w:w="2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291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340"/>
          </w:cols>
          <w:pgMar w:left="320" w:top="443" w:right="2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for access to the data and additional payments contingent on the commercialization of such data. For the years ended December 31, 2020 and 2021, the Company recognized data licensing and cloud computing expenses of $27.1 million and $39.6 million, respectively, related to non-cancelable arrangements.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2021, future payments under these contractual obligations were as follows (in thousands):</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136,812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purchase obligations</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135,958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purchase obligations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34,904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purchase obligations</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101,054</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be subject to various legal matters such as threatened or pending claims or proceedings. The Company had no outstanding litigation as of December 31, 2021.</w:t>
      </w:r>
    </w:p>
    <w:p>
      <w:pPr>
        <w:spacing w:after="0" w:line="312" w:lineRule="exact"/>
        <w:rPr>
          <w:sz w:val="20"/>
          <w:szCs w:val="20"/>
          <w:color w:val="auto"/>
        </w:rPr>
      </w:pPr>
    </w:p>
    <w:p>
      <w:pPr>
        <w:ind w:left="460" w:right="8640" w:hanging="455"/>
        <w:spacing w:after="0" w:line="366" w:lineRule="auto"/>
        <w:tabs>
          <w:tab w:leader="none" w:pos="453"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has authorized two classes of common stock, voting and non-voting. In March 2021, the Company amended its certificate of incorporation to bifurcate the voting common stock into two classes, Class A common stock and Class B common stock. As of December 31, 2021, the Company has authorized 181,700,285 shares of Class A common stock, 5,374,899 shares of Class B common stock, and 63,946,627 shares of non-voting common stock. In February 2022, the Company increased the number of authorized shares of non-voting common stock to 66,946,627. In April 2022, the Company increased the number of authorized shares of Class A common stock to 195,865,548 in conjunction with the Series G-3 Financing (see Note 8, Redeemable Convertible Preferred Stock).</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Class A common stock, Class B common stock and non-voting common stock are collectively referred to as “Common Stock” throughout the notes to these consolidated financial statements unless otherwise noted.</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rights of the holders of Class A common stock, Class B common stock and non-voting common stock are identical, except with respect to voting. Each share of Class A common stock is entitled to one vote per share and each share of Class B common stock is entitled to fifteen votes per share. Non-voting shares of common stock do not have voting rights.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Upon the closing of the IPO, on any transfer of shares of Class B common stock,</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340"/>
          </w:cols>
          <w:pgMar w:left="320" w:top="448" w:right="2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whether or not for value, each such transferred share will automatically convert into one share of Class A common stock, except for certain transfers detailed below and further described in the Company’s amended and restated certificate of incorporation that will be in effect following the closing of this offering.</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 controlled by, or is under common control with, the holder of such shares of Class B common stock; (2) the twenty-year anniversary of the filing of the certificate of amendment to the Company’s ninth amended and restated certificate of incorporation, which is March 15, 2041; (3) the termination of Mr. Lefkofsky’s employment or service with the Company as an executive officer and member of the board of directors; and (4) the date that Mr. Lefkofsky and his controlled entities hold, in the aggregate, fewer than 10,000,000 shares of the Company’s capital stock (as adjusted for stock splits, stock dividends, combinations, subdivisions and recapitalizations).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Shares of non-voting common stock automatically convert into shares of Class A common stock immediately upon the closing of an initial public offering (“IPO”).</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issues stock-based awards to its employees in the form of stock options, restricted stock units, performance stock units and restricted stock, all of which have the potential to increase the outstanding shares of common stock in the future (see Note 9, Stock-Based Compensation).</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Upon any liquidation, dissolution or winding up of the Company, the remaining assets of the Company would first be distributed to the holders of Series G-3 Preferred Stock, Series G-2 Preferred Stock, Series G Preferred Stock, Series F Preferred Stock, followed by distributions to the holders of Series E Preferred Stock, Series D Preferred Stock, Series C Preferred Stock, Series B-2 Preferred Stock, Series B-1 Preferred Stock, Series B Preferred Stock, and Series A Preferred Stock. After distribution to the preferred stockholders, the remaining assets of the Company would be distributed to the holders of shares of Series C Preferred Stock and Common Stock, pro rata based on the number of shares then held by each holder, treating all Series C Preferred Stock as if they had been converted into Common Stock.</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 Warrant</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connection with a 2021 strategic collaboration with AstraZeneca, the Company granted warrants to purchase $100 million in shares of the Company’s Class A common stock at an exercise price equal to the price per share at which the Company’s common stock is valued in connection with the consummation of an IPO or a de-SPAC transaction, if an IPO or de-SPAC is completed on or before December 31, 2022. If no such transaction has occurred, the exercise price will be the latest equity financing price. The warrant will be automatically cancelled and terminated for no consideration, if not previously exercised, in the event AstraZeneca declines to extend its financial commitment before December 31, 2024. If AstraZeneca exercises the warrant, AstraZeneca will be required to increase its minimum commitment under the MSA from $200 million to $300 million through December 2026.</w:t>
      </w:r>
    </w:p>
    <w:p>
      <w:pPr>
        <w:spacing w:after="0" w:line="329" w:lineRule="exact"/>
        <w:rPr>
          <w:sz w:val="20"/>
          <w:szCs w:val="20"/>
          <w:color w:val="auto"/>
        </w:rPr>
      </w:pPr>
    </w:p>
    <w:p>
      <w:pPr>
        <w:ind w:left="460" w:hanging="455"/>
        <w:spacing w:after="0"/>
        <w:tabs>
          <w:tab w:leader="none" w:pos="4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In April 2020, the Company authorized and issued 2,537,290 shares of Series G Preferred Stock (“Series G Preferred”). In November 2020, the Company authorized 7,135,072 shares and issued 3,296,093 shares of Series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340"/>
          </w:cols>
          <w:pgMar w:left="320" w:top="448" w:right="2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G-2 Preferred stock (“Series G-2 Preferred”). In January 2021, the Company issued 287,922 shares of Series G-2 Preferred Stock for aggregate proceeds of $16.5 million. In conjunction with this issuance, the Company redeemed 130,876 shares of Series G-2 Preferred Stock from a related party in exchange for $7.5 million. Each share has a par value of $.0001. The Company used the proceeds from such issuances for working capital and general corporate purposes.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April 2022, the Company issued 1,483,242 shares of Series G-3 Preferred stock (“Series G-3 Preferred”) for aggregate proceeds of $85.0 million. Each share has a par value of $.0001. The Company will use the proceeds for working capital and general corporate purposes.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Redeemable convertible preferred stock outstanding as of December 31, 2020 and 2021, consisted of the following (in thousands, except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560" w:type="dxa"/>
            <w:vAlign w:val="bottom"/>
          </w:tcPr>
          <w:p>
            <w:pPr>
              <w:spacing w:after="0"/>
              <w:rPr>
                <w:sz w:val="14"/>
                <w:szCs w:val="14"/>
                <w:color w:val="auto"/>
              </w:rPr>
            </w:pPr>
          </w:p>
        </w:tc>
        <w:tc>
          <w:tcPr>
            <w:tcW w:w="6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600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140" w:type="dxa"/>
            <w:vAlign w:val="bottom"/>
            <w:gridSpan w:val="2"/>
          </w:tcPr>
          <w:p>
            <w:pPr>
              <w:jc w:val="right"/>
              <w:ind w:right="44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tcPr>
          <w:p>
            <w:pPr>
              <w:jc w:val="right"/>
              <w:ind w:right="18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20" w:type="dxa"/>
            <w:vAlign w:val="bottom"/>
          </w:tcPr>
          <w:p>
            <w:pPr>
              <w:spacing w:after="0"/>
              <w:rPr>
                <w:sz w:val="9"/>
                <w:szCs w:val="9"/>
                <w:color w:val="auto"/>
              </w:rPr>
            </w:pPr>
          </w:p>
        </w:tc>
        <w:tc>
          <w:tcPr>
            <w:tcW w:w="700" w:type="dxa"/>
            <w:vAlign w:val="bottom"/>
          </w:tcPr>
          <w:p>
            <w:pPr>
              <w:jc w:val="right"/>
              <w:ind w:right="1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00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560" w:type="dxa"/>
            <w:vAlign w:val="bottom"/>
          </w:tcPr>
          <w:p>
            <w:pPr>
              <w:spacing w:after="0"/>
              <w:rPr>
                <w:sz w:val="13"/>
                <w:szCs w:val="13"/>
                <w:color w:val="auto"/>
              </w:rPr>
            </w:pPr>
          </w:p>
        </w:tc>
        <w:tc>
          <w:tcPr>
            <w:tcW w:w="620" w:type="dxa"/>
            <w:vAlign w:val="bottom"/>
            <w:gridSpan w:val="3"/>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140" w:type="dxa"/>
            <w:vAlign w:val="bottom"/>
            <w:gridSpan w:val="2"/>
          </w:tcPr>
          <w:p>
            <w:pPr>
              <w:jc w:val="right"/>
              <w:ind w:right="30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0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8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780" w:type="dxa"/>
            <w:vAlign w:val="bottom"/>
            <w:gridSpan w:val="2"/>
          </w:tcPr>
          <w:p>
            <w:pPr>
              <w:jc w:val="right"/>
              <w:ind w:right="28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5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w w:val="88"/>
              </w:rPr>
              <w:t>2015</w:t>
            </w: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11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2016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5,374,899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1180" w:type="dxa"/>
            <w:vAlign w:val="bottom"/>
            <w:tcBorders>
              <w:right w:val="single" w:sz="8" w:color="CCEEFF"/>
            </w:tcBorders>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2016</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11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2017</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4,191,173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31,500</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180" w:type="dxa"/>
            <w:vAlign w:val="bottom"/>
            <w:tcBorders>
              <w:right w:val="single" w:sz="8" w:color="CCEEFF"/>
            </w:tcBorders>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2017</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9,779,403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78,777</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70,403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11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2018</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8,534,330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91,623</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1180" w:type="dxa"/>
            <w:vAlign w:val="bottom"/>
            <w:tcBorders>
              <w:right w:val="single" w:sz="8" w:color="CCEEFF"/>
            </w:tcBorders>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2018</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6,630,905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127,306</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127,306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11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2019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8,077,674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219,749</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219,749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1180" w:type="dxa"/>
            <w:vAlign w:val="bottom"/>
            <w:tcBorders>
              <w:right w:val="single" w:sz="8" w:color="CCEEFF"/>
            </w:tcBorders>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2020</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2,537,290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102,186</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11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2020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7,135,072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3,296,093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188,889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64,760,746</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60,921,767</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871,530</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859,156</w:t>
            </w: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Excludes amounts related to the conversion of convertible note</w:t>
            </w: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00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8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000" w:type="dxa"/>
            <w:vAlign w:val="bottom"/>
            <w:gridSpan w:val="3"/>
            <w:vMerge w:val="continue"/>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1140" w:type="dxa"/>
            <w:vAlign w:val="bottom"/>
            <w:gridSpan w:val="2"/>
          </w:tcPr>
          <w:p>
            <w:pPr>
              <w:jc w:val="right"/>
              <w:ind w:right="50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tcPr>
          <w:p>
            <w:pPr>
              <w:jc w:val="right"/>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20" w:type="dxa"/>
            <w:vAlign w:val="bottom"/>
          </w:tcPr>
          <w:p>
            <w:pPr>
              <w:spacing w:after="0"/>
              <w:rPr>
                <w:sz w:val="9"/>
                <w:szCs w:val="9"/>
                <w:color w:val="auto"/>
              </w:rPr>
            </w:pPr>
          </w:p>
        </w:tc>
        <w:tc>
          <w:tcPr>
            <w:tcW w:w="700" w:type="dxa"/>
            <w:vAlign w:val="bottom"/>
          </w:tcPr>
          <w:p>
            <w:pPr>
              <w:jc w:val="right"/>
              <w:ind w:right="3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00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80" w:type="dxa"/>
            <w:vAlign w:val="bottom"/>
            <w:gridSpan w:val="4"/>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140" w:type="dxa"/>
            <w:vAlign w:val="bottom"/>
            <w:gridSpan w:val="2"/>
          </w:tcPr>
          <w:p>
            <w:pPr>
              <w:jc w:val="right"/>
              <w:ind w:right="36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0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340"/>
              <w:spacing w:after="0" w:line="157"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3"/>
                <w:szCs w:val="13"/>
                <w:color w:val="auto"/>
              </w:rPr>
            </w:pPr>
          </w:p>
        </w:tc>
        <w:tc>
          <w:tcPr>
            <w:tcW w:w="78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9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80,865</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134,939</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134,939</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107,656</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107,656</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2020/2021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7,135,072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64,760,746</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61,078,813</w:t>
            </w:r>
          </w:p>
        </w:tc>
        <w:tc>
          <w:tcPr>
            <w:tcW w:w="10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913,138</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898,291</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Excludes amounts related to the conversion of convertible note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340"/>
          </w:cols>
          <w:pgMar w:left="320" w:top="448" w:right="2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Stock issuance costs that reduced the initial value of preferred stock were fully accreted in the period of the Series issuance. As of December 31, 2020 and 2021, all cumulative dividends have been paid and/or accrued.</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Series A Preferred, Series B Preferred, Series B-1 Preferred, Series B-2 Preferred, Series C Preferred, Series D Preferred, Series E Preferred, Series F Preferred, Series G Preferred, Series G-2 Preferred, and Series G-3 Preferred, collectively, are referenced below as the “Series Preferred.” The rights, preferences, privileges, restrictions and other matters relating to the Series Preferred are as follows: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Except for the holders of Series G-2 and Series G-3 Preferred, the holders of Series Preferred are entitled to dividends at a rate of 5% or 6% of the original issue price (subject to adjustment in the event of any stock dividend, stock split, combination or other similar recapitalization with respect to such class or series), depending on the series each holder participated in and/or the holders’ election to receive cash dividends annually or to accrue. The holders of Series G-3 Preferred are entitled to dividends at a rate of 4% of the original issue price, paid in non-assessable shares of Series G-3 Preferred Stock (“Series G-3 PIK Dividends”).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dividends are cumulative and accrued from the date of issue while the shares are redeemable at the option of the holders. Any cash payments are subject to approval by the Board.</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With the exception of the Series B Preferred stockholders, Preferred stockholders are entitled to the number of votes equal to the product obtained by multiplying the number of shares of voting common stock into which their shares could be converted. Series B Preferred stockholders are entitled to the number of votes equal to the product obtained by multiplying the number of shares of voting common stock into which their shares could be converted by ten.</w:t>
      </w:r>
    </w:p>
    <w:p>
      <w:pPr>
        <w:spacing w:after="0" w:line="14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Series B Preferred stockholders are entitled to a number of votes equal to the product obtained by multiplying the number of shares of Class B common stock into which their shares could be converted by fifteen.</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Holders of Series Preferred are entitled to receive, upon a liquidation event, the amount that would have been received if all shares of Series Preferred had been converted into voting common stock immediately prior to such liquidation event. If, upon the liquidation event, the assets of the Company are insufficient to fully pay the amounts owed to Series Preferred stockholders, the holders of Series Preferred will have preferential payment over other preferred holders in the following order: Series G-3, Series G-2, Series G, Series F, Series E, Series D, Series C, Series B-2, Series B-1, Series B, Series A.</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Each outstanding share of Series G-3 Preferred, Series G-2 Preferred, Series G Preferred, Series F Preferred, Series E Preferred, and Series D Preferred shall be redeemed by the Company at a price equal to the original issuance price per share, plus any accruing dividends accrued but unpaid thereon whether or not declared, together with any other dividends declared but unpaid, in one cash payment not more than sixty days after the receipt by the Company, at any time during the period commencing on the date that is seven years from the original issue date of the Series G-3 Preferred shares and ending sixty days thereafter, of written notice from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340"/>
          </w:cols>
          <w:pgMar w:left="320" w:top="448" w:right="2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holders of each preferred series, voting as separate class, requesting redemption of all shares of the preferred series. Upon receipt of a redemption request, the Company shall apply all of its assets to such redemption, and to no other corporate purpose, except to the extent prohibited by Delaware law governing distributions to stockholders.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Each share of Series Preferred shall be convertible, at the option of the holder, at any time, into such number of fully paid and non-assessable shares of voting common stock. Each share of Series Preferred shall automatically be converted into shares of voting common stock upon either (i) the closing of a public offering at an offering price of $68.7683 resulting in at least $100,000,000 of gross proceeds to the Company or (ii) the date and time, of the occurrence of an event, specified by vote or written consent of the holders of the outstanding shares of each individual series of preferred shares. There were no shares of voting common stock issued as a result of conversion for the periods ended December 31, 2020 and 2021. In the event of an initial public offering (“IPO”), the Series G-3 Preferred conversion price is subject to a 10% discount off the lesser of price per share of Class A Common Stock, and Series G-3 original issue price, or, if this offering is completed after June 30, 2023, a 15% discount off of the public offering price.</w:t>
      </w:r>
    </w:p>
    <w:p>
      <w:pPr>
        <w:spacing w:after="0" w:line="332" w:lineRule="exact"/>
        <w:rPr>
          <w:sz w:val="20"/>
          <w:szCs w:val="20"/>
          <w:color w:val="auto"/>
        </w:rPr>
      </w:pPr>
    </w:p>
    <w:p>
      <w:pPr>
        <w:ind w:left="460" w:right="8160" w:hanging="455"/>
        <w:spacing w:after="0" w:line="366" w:lineRule="auto"/>
        <w:tabs>
          <w:tab w:leader="none" w:pos="453"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 Plan</w:t>
      </w:r>
    </w:p>
    <w:p>
      <w:pPr>
        <w:spacing w:after="0" w:line="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2015, the Company adopted the Tempus Labs, Inc. 2015 Stock Plan (the Plan), which has been amended and restated numerous times to increase the aggregate shares authorized to be issued to employees, consultants, and directors of the Company. As of December 31, 2020 and 2021, there were 22,115,750 shares authorized under the Plan. In February 2022, the Plan was amended to increase the aggregate shares authorized to be issued to 25,115,750.</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Plan provides for awards in the form of stock options, restricted stock awards, restricted stock unit awards, and performance stock units. The maximum contractual term of awards issued under the Plan is seven years. The Plan is administered by the Board of Directors of the Company, who determine the number of awards to be issued. As of December 31, 2020 and 2021, 8,572,503 and 971,331 shares, respectively, were available for future issuance under the Plan.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recognized stock-based compensation expense of $0.4 million and $0.6 million in the years ended December 31, 2020 and 2021, respectively, within Selling, general and administrative expense. The Company accounts for forfeitures as they occur.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340"/>
          </w:cols>
          <w:pgMar w:left="320" w:top="448" w:right="2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restricted stock units (“RSUs”) granted under the Plan are subject to two vesting conditions. The first is a time-based component. The majority of the awards are eligible to vest over a four-year period, with 25% of the awards being eligible to vest after one year and the remaining awards becoming eligible to vest on a quarterly basis thereafter. The second vesting condition is the occurrence of a liquidity event, as defined in the grant agreement. The fair value of each RSU is estimated on the date of grant using the 409a value of a non-voting share of common stock on such date. The table below summarizes restricted stock unit activity under the Plan for the year ended December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40" w:type="dxa"/>
            <w:vAlign w:val="bottom"/>
          </w:tcPr>
          <w:p>
            <w:pPr>
              <w:spacing w:after="0"/>
              <w:rPr>
                <w:sz w:val="13"/>
                <w:szCs w:val="13"/>
                <w:color w:val="auto"/>
              </w:rPr>
            </w:pPr>
          </w:p>
        </w:tc>
        <w:tc>
          <w:tcPr>
            <w:tcW w:w="11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Weighted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Average Grant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60" w:type="dxa"/>
            <w:vAlign w:val="bottom"/>
          </w:tcPr>
          <w:p>
            <w:pPr>
              <w:spacing w:after="0"/>
              <w:rPr>
                <w:sz w:val="14"/>
                <w:szCs w:val="14"/>
                <w:color w:val="auto"/>
              </w:rPr>
            </w:pPr>
          </w:p>
        </w:tc>
        <w:tc>
          <w:tcPr>
            <w:tcW w:w="9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Date 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2020</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8,738,247</w:t>
            </w: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2,255,425</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(649,253)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Redeemed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9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10,344,419</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There were no restricted stock units that vested during the years ended December 31, 2020 and 2021. As of December 31, 2021, there was $115.6 million of unrecognized stock compensation expense relating to RSUs. Because of the liquidity event requirement, the Company cannot estimate the weighted-average period over which this expense will be recognized.</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performance stock units (“PSUs”) granted under the Plan are subject to two vesting conditions. For PSUs granted in 2020, the first is the achievement of a revenue target before December 31, 2021 while remaining employed. This target was not met as of December 31, 2021, which resulted in the forfeiture of 200,000 PSUs. For PSUs granted in 2021, the first condition is the achievement of a valuation target. The second vesting condition is the occurrence of a liquidity event, as defined in the grant agreement. The fair value of each PSU is estimated on the date of grant using the 409a value of a non-voting share of common stock on such date. The table below summarizes performance stock unit activity under the Plan for the year ended December 31, 2021: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3"/>
                <w:szCs w:val="13"/>
                <w:color w:val="auto"/>
              </w:rPr>
            </w:pPr>
          </w:p>
        </w:tc>
        <w:tc>
          <w:tcPr>
            <w:tcW w:w="11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Performance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Weighted -</w:t>
            </w:r>
          </w:p>
        </w:tc>
        <w:tc>
          <w:tcPr>
            <w:tcW w:w="0" w:type="dxa"/>
            <w:vAlign w:val="bottom"/>
          </w:tcPr>
          <w:p>
            <w:pPr>
              <w:spacing w:after="0"/>
              <w:rPr>
                <w:sz w:val="1"/>
                <w:szCs w:val="1"/>
                <w:color w:val="auto"/>
              </w:rPr>
            </w:pPr>
          </w:p>
        </w:tc>
      </w:tr>
      <w:tr>
        <w:trPr>
          <w:trHeight w:val="144"/>
        </w:trPr>
        <w:tc>
          <w:tcPr>
            <w:tcW w:w="89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Average Grant</w:t>
            </w:r>
          </w:p>
        </w:tc>
        <w:tc>
          <w:tcPr>
            <w:tcW w:w="0" w:type="dxa"/>
            <w:vAlign w:val="bottom"/>
          </w:tcPr>
          <w:p>
            <w:pPr>
              <w:spacing w:after="0"/>
              <w:rPr>
                <w:sz w:val="1"/>
                <w:szCs w:val="1"/>
                <w:color w:val="auto"/>
              </w:rPr>
            </w:pPr>
          </w:p>
        </w:tc>
      </w:tr>
      <w:tr>
        <w:trPr>
          <w:trHeight w:val="169"/>
        </w:trPr>
        <w:tc>
          <w:tcPr>
            <w:tcW w:w="890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00" w:type="dxa"/>
            <w:vAlign w:val="bottom"/>
          </w:tcPr>
          <w:p>
            <w:pPr>
              <w:spacing w:after="0"/>
              <w:rPr>
                <w:sz w:val="14"/>
                <w:szCs w:val="14"/>
                <w:color w:val="auto"/>
              </w:rPr>
            </w:pPr>
          </w:p>
        </w:tc>
        <w:tc>
          <w:tcPr>
            <w:tcW w:w="9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Date Fair Value</w:t>
            </w:r>
          </w:p>
        </w:tc>
        <w:tc>
          <w:tcPr>
            <w:tcW w:w="0" w:type="dxa"/>
            <w:vAlign w:val="bottom"/>
          </w:tcPr>
          <w:p>
            <w:pPr>
              <w:spacing w:after="0"/>
              <w:rPr>
                <w:sz w:val="1"/>
                <w:szCs w:val="1"/>
                <w:color w:val="auto"/>
              </w:rPr>
            </w:pPr>
          </w:p>
        </w:tc>
      </w:tr>
      <w:tr>
        <w:trPr>
          <w:trHeight w:val="203"/>
        </w:trPr>
        <w:tc>
          <w:tcPr>
            <w:tcW w:w="89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2020</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40.96</w:t>
            </w:r>
          </w:p>
        </w:tc>
        <w:tc>
          <w:tcPr>
            <w:tcW w:w="0" w:type="dxa"/>
            <w:vAlign w:val="bottom"/>
          </w:tcPr>
          <w:p>
            <w:pPr>
              <w:spacing w:after="0"/>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(205,000)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There were no PSUs that vested during the years ended December 31, 2020 and 2021. As of December 31, 2021, there was $244.0 million of unrecognized stock compensation expense relating to PSUs. Because of the liquidity event requirement, the Company cannot estimate the weighted-average period over which this expense will be recognized should the performance condition be met.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340"/>
          </w:cols>
          <w:pgMar w:left="320" w:top="448" w:right="2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granted pursuant to the Plan vest on varying schedules, based upon individual agreements. The fair value of each option granted is estimated on the date of grant using the Black-Scholes option-pricing model. The estimated life for the stock options was based on the term of the agreement. The risk-free interest rate is based on the rate for a U.S. government security with the same estimated life at the time of the option grant and the stock purchase rights.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660" w:type="dxa"/>
            <w:vAlign w:val="bottom"/>
          </w:tcPr>
          <w:p>
            <w:pPr>
              <w:spacing w:after="0"/>
              <w:rPr>
                <w:sz w:val="13"/>
                <w:szCs w:val="13"/>
                <w:color w:val="auto"/>
              </w:rPr>
            </w:pPr>
          </w:p>
        </w:tc>
        <w:tc>
          <w:tcPr>
            <w:tcW w:w="1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Ranges</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Outstanding—December 31, 2020</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center"/>
              <w:ind w:left="357"/>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center"/>
              <w:ind w:left="277"/>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317"/>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2021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exercisable—December 31, 2021</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gridSpan w:val="2"/>
            <w:vMerge w:val="continue"/>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0.85</w:t>
            </w:r>
          </w:p>
        </w:tc>
        <w:tc>
          <w:tcPr>
            <w:tcW w:w="660" w:type="dxa"/>
            <w:vAlign w:val="bottom"/>
          </w:tcPr>
          <w:p>
            <w:pPr>
              <w:spacing w:after="0"/>
              <w:rPr>
                <w:sz w:val="17"/>
                <w:szCs w:val="17"/>
                <w:color w:val="auto"/>
              </w:rPr>
            </w:pPr>
          </w:p>
        </w:tc>
        <w:tc>
          <w:tcPr>
            <w:tcW w:w="10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center"/>
              <w:ind w:left="357"/>
              <w:spacing w:after="0" w:line="202"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outstanding stock options were fully expensed prior to 2020. As such, no stock compensation expense relating to stock options was recorded in the year ended December 31, 2020 and 2021, and there is no unrecognized expense relating to stock options.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previously granted restricted stock awards to employees. Compensation expense on those awards was recognized on a straight-line basis over the requisite service periods of the awards, typically three to four years.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 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560" w:type="dxa"/>
            <w:vAlign w:val="bottom"/>
          </w:tcPr>
          <w:p>
            <w:pPr>
              <w:spacing w:after="0"/>
              <w:rPr>
                <w:sz w:val="12"/>
                <w:szCs w:val="12"/>
                <w:color w:val="auto"/>
              </w:rPr>
            </w:pPr>
          </w:p>
        </w:tc>
        <w:tc>
          <w:tcPr>
            <w:tcW w:w="13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8"/>
              </w:rPr>
              <w:t>Unrestricted</w:t>
            </w:r>
          </w:p>
        </w:tc>
        <w:tc>
          <w:tcPr>
            <w:tcW w:w="76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2020</w:t>
            </w:r>
          </w:p>
        </w:tc>
        <w:tc>
          <w:tcPr>
            <w:tcW w:w="620" w:type="dxa"/>
            <w:vAlign w:val="bottom"/>
            <w:tcBorders>
              <w:top w:val="single" w:sz="8" w:color="auto"/>
            </w:tcBorders>
            <w:shd w:val="clear" w:color="auto" w:fill="CCEEFF"/>
          </w:tcPr>
          <w:p>
            <w:pPr>
              <w:ind w:left="3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4,250,000</w:t>
            </w:r>
          </w:p>
        </w:tc>
        <w:tc>
          <w:tcPr>
            <w:tcW w:w="5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4,250,000</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into unrestricted</w:t>
            </w: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7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4,250,000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6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Total compensation expense for vesting of restricted stock into unrestricted stock was $0.4 million for the year ended December 31, 2020. No compensation cost was recognized for the year ended December 31, 2021, and as of December 31, 2021, there was no unrecognized compensation cost related to non-vested restricted stock awards.</w:t>
      </w:r>
    </w:p>
    <w:p>
      <w:pPr>
        <w:spacing w:after="0" w:line="323" w:lineRule="exact"/>
        <w:rPr>
          <w:sz w:val="20"/>
          <w:szCs w:val="20"/>
          <w:color w:val="auto"/>
        </w:rPr>
      </w:pPr>
    </w:p>
    <w:p>
      <w:pPr>
        <w:ind w:left="460" w:hanging="455"/>
        <w:spacing w:after="0"/>
        <w:tabs>
          <w:tab w:leader="none" w:pos="4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PROMISSORY NOTES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June 22, 2020, in connection with our entry into an agreement for use of Google LLC’s, or Google’s, Google Cloud Platform, we issued Google a convertible promissory note, or the Note, in the original principal amount of $330.0 million. On November 19, 2020, in connection with our Series G-2 convertible preferred stock financing, we issued Google $80 million of our Series G-2 preferred stock, at a 10% discount to the purchase price per share in such financing, in partial satisfaction of the outstanding principal amount under the Note, and we amended and restated the terms of the Note.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340"/>
          </w:cols>
          <w:pgMar w:left="320" w:top="448" w:right="2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us. As of December 31, 2021, the value of the note was $238.2 million, which consisted of $246.6 million gross principal, net of $8.4 million aggregate unapplied principal reduction. The Company accounts for the principal reductions as an offset to our cloud and compute spend within selling, general and administrative in its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us of our Google Cloud Platform agreement. We generally may not prepay the Outstanding Amount, except that we may, at our option, prepay the Outstanding Amount in an amount such that the principal amount remaining outstanding after such repayment is $150.0 million.</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concluded that one of the conversion features meets the definition of an embedded derivative that is required to be accounted for as a separate unit of accounting. The fair value of the embedded derivative is not material and was therefore not bifurcated. As such, upon issuance of the Note the Company recorded a promissory note of $330.0 million. The Company recognized interest expense of $10.0 million and $15.2 million during the year ended December 31, 2020 and 2021, respectively.</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accounted for the conversion of the $80.0 million as a debt extinguishment and recognized a loss on extinguishment of debt of $8.9 million within Interest Expense in the consolidated statement of operations and comprehensive loss during the year ended December 31, 2020. The loss on extinguishment of debt was calculated as the difference between (i) the fair value of shares of Series G-2 issued and (ii) the carrying value of the Notes that were converted.</w:t>
      </w:r>
    </w:p>
    <w:p>
      <w:pPr>
        <w:spacing w:after="0" w:line="327" w:lineRule="exact"/>
        <w:rPr>
          <w:sz w:val="20"/>
          <w:szCs w:val="20"/>
          <w:color w:val="auto"/>
        </w:rPr>
      </w:pPr>
    </w:p>
    <w:p>
      <w:pPr>
        <w:ind w:left="460" w:hanging="455"/>
        <w:spacing w:after="0"/>
        <w:tabs>
          <w:tab w:leader="none" w:pos="4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outstanding shares of Common Stock each period. Diluted net loss per share is calculated by giving effect to all potential dilutive Common Stock equivalents, which includes stock options, RSUs, RSAs, PSUs, and preferred stock. Because the Company incurred net losses each period, the basic and diluted calculations are the same.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340"/>
          </w:cols>
          <w:pgMar w:left="320" w:top="448" w:right="2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calculation for basic and diluted net loss per share (in thousands, except share and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Year-Ended 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36"/>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9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18"/>
                <w:szCs w:val="18"/>
                <w:color w:val="auto"/>
              </w:rPr>
            </w:pPr>
          </w:p>
        </w:tc>
        <w:tc>
          <w:tcPr>
            <w:tcW w:w="1280" w:type="dxa"/>
            <w:vAlign w:val="bottom"/>
            <w:gridSpan w:val="2"/>
          </w:tcPr>
          <w:p>
            <w:pPr>
              <w:jc w:val="right"/>
              <w:ind w:right="498"/>
              <w:spacing w:after="0"/>
              <w:rPr>
                <w:sz w:val="20"/>
                <w:szCs w:val="20"/>
                <w:color w:val="auto"/>
              </w:rPr>
            </w:pPr>
            <w:r>
              <w:rPr>
                <w:rFonts w:ascii="Times New Roman" w:cs="Times New Roman" w:eastAsia="Times New Roman" w:hAnsi="Times New Roman"/>
                <w:sz w:val="18"/>
                <w:szCs w:val="18"/>
                <w:color w:val="auto"/>
                <w:w w:val="96"/>
              </w:rPr>
              <w:t>(209,854)</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(259,192)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rPr>
              <w:t>(7,381)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on Series A, B, B-1, B-2, C, D, E, F and G preferred shares</w:t>
            </w:r>
          </w:p>
        </w:tc>
        <w:tc>
          <w:tcPr>
            <w:tcW w:w="80" w:type="dxa"/>
            <w:vAlign w:val="bottom"/>
          </w:tcPr>
          <w:p>
            <w:pPr>
              <w:spacing w:after="0"/>
              <w:rPr>
                <w:sz w:val="18"/>
                <w:szCs w:val="18"/>
                <w:color w:val="auto"/>
              </w:rPr>
            </w:pPr>
          </w:p>
        </w:tc>
        <w:tc>
          <w:tcPr>
            <w:tcW w:w="1280" w:type="dxa"/>
            <w:vAlign w:val="bottom"/>
            <w:gridSpan w:val="2"/>
          </w:tcPr>
          <w:p>
            <w:pPr>
              <w:jc w:val="right"/>
              <w:ind w:right="498"/>
              <w:spacing w:after="0"/>
              <w:rPr>
                <w:sz w:val="20"/>
                <w:szCs w:val="20"/>
                <w:color w:val="auto"/>
              </w:rPr>
            </w:pPr>
            <w:r>
              <w:rPr>
                <w:rFonts w:ascii="Times New Roman" w:cs="Times New Roman" w:eastAsia="Times New Roman" w:hAnsi="Times New Roman"/>
                <w:sz w:val="18"/>
                <w:szCs w:val="18"/>
                <w:color w:val="auto"/>
              </w:rPr>
              <w:t>(34,420)</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(253,905</w:t>
            </w:r>
          </w:p>
        </w:tc>
        <w:tc>
          <w:tcPr>
            <w:tcW w:w="64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(297,736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Weighted-average common shared outstanding, basic and diluted</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62,975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 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diluted net loss per share for each period, as the impact of including them would have been anti-dilutive. As disclosed in Note 7, the Company issued a warrant for $100 million in shares of the Company’s Class A common stock. As per the terms of the warrant, potentially dilutive shares are based on the latest equity financing price.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40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38"/>
        </w:trPr>
        <w:tc>
          <w:tcPr>
            <w:tcW w:w="20" w:type="dxa"/>
            <w:vAlign w:val="bottom"/>
          </w:tcPr>
          <w:p>
            <w:pPr>
              <w:spacing w:after="0"/>
              <w:rPr>
                <w:sz w:val="11"/>
                <w:szCs w:val="11"/>
                <w:color w:val="auto"/>
              </w:rPr>
            </w:pPr>
          </w:p>
        </w:tc>
        <w:tc>
          <w:tcPr>
            <w:tcW w:w="8920" w:type="dxa"/>
            <w:vAlign w:val="bottom"/>
            <w:tcBorders>
              <w:bottom w:val="single" w:sz="8" w:color="CCEEFF"/>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318"/>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29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Shares associated with contingent consideration</w:t>
            </w: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145,466</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60,921,767</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61,078,813</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Warrant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61,131,767</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63,179,270</w:t>
            </w: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disclosed in Note 9, the Company’s RSUs include a triggering liquidation performance condition prior to vesting. As disclosed in Note 10, contingent upon certain financing events, the Company’s Convertible Promissory Note will be converted to shares at the holder’s option, based on the amount outstanding at the maturity date, which is subject to reduction based on services used by us prior to the maturity date. As such, these are treated as contingently issuable shares and will be excluded from potential dilutive impact until the triggering liquidation performance condition is satisfied.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340"/>
          </w:cols>
          <w:pgMar w:left="320" w:top="448" w:right="2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12.</w:t>
        <w:tab/>
        <w:t>INCOME TAXES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income taxes consist of the following as of December 31, 2020 and 2021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866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5"/>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4"/>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86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Charitable Contribution Carryforwards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358"/>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58"/>
              <w:spacing w:after="0"/>
              <w:rPr>
                <w:sz w:val="20"/>
                <w:szCs w:val="20"/>
                <w:color w:val="auto"/>
              </w:rPr>
            </w:pPr>
            <w:r>
              <w:rPr>
                <w:rFonts w:ascii="Times New Roman" w:cs="Times New Roman" w:eastAsia="Times New Roman" w:hAnsi="Times New Roman"/>
                <w:sz w:val="18"/>
                <w:szCs w:val="18"/>
                <w:color w:val="auto"/>
              </w:rPr>
              <w:t>98,895</w:t>
            </w:r>
          </w:p>
        </w:tc>
        <w:tc>
          <w:tcPr>
            <w:tcW w:w="820" w:type="dxa"/>
            <w:vAlign w:val="bottom"/>
            <w:gridSpan w:val="4"/>
          </w:tcPr>
          <w:p>
            <w:pPr>
              <w:jc w:val="right"/>
              <w:ind w:right="18"/>
              <w:spacing w:after="0"/>
              <w:rPr>
                <w:sz w:val="20"/>
                <w:szCs w:val="20"/>
                <w:color w:val="auto"/>
              </w:rPr>
            </w:pPr>
            <w:r>
              <w:rPr>
                <w:rFonts w:ascii="Times New Roman" w:cs="Times New Roman" w:eastAsia="Times New Roman" w:hAnsi="Times New Roman"/>
                <w:sz w:val="18"/>
                <w:szCs w:val="18"/>
                <w:color w:val="auto"/>
              </w:rPr>
              <w:t>163,656</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Rent</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3,974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4,038</w:t>
            </w:r>
          </w:p>
        </w:tc>
        <w:tc>
          <w:tcPr>
            <w:tcW w:w="0" w:type="dxa"/>
            <w:vAlign w:val="bottom"/>
          </w:tcPr>
          <w:p>
            <w:pPr>
              <w:spacing w:after="0"/>
              <w:rPr>
                <w:sz w:val="1"/>
                <w:szCs w:val="1"/>
                <w:color w:val="auto"/>
              </w:rPr>
            </w:pPr>
          </w:p>
        </w:tc>
      </w:tr>
      <w:tr>
        <w:trPr>
          <w:trHeight w:val="21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IRC §163(j) Interest Expense Limitation Carryover</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58"/>
              <w:spacing w:after="0"/>
              <w:rPr>
                <w:sz w:val="20"/>
                <w:szCs w:val="20"/>
                <w:color w:val="auto"/>
              </w:rPr>
            </w:pPr>
            <w:r>
              <w:rPr>
                <w:rFonts w:ascii="Times New Roman" w:cs="Times New Roman" w:eastAsia="Times New Roman" w:hAnsi="Times New Roman"/>
                <w:sz w:val="18"/>
                <w:szCs w:val="18"/>
                <w:color w:val="auto"/>
              </w:rPr>
              <w:t>2,675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6,451</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Payroll taxes</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58"/>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6"/>
        </w:trPr>
        <w:tc>
          <w:tcPr>
            <w:tcW w:w="8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1160" w:type="dxa"/>
            <w:vAlign w:val="bottom"/>
            <w:gridSpan w:val="4"/>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w w:val="97"/>
              </w:rPr>
              <w:t>$ 108,015</w:t>
            </w:r>
          </w:p>
        </w:tc>
        <w:tc>
          <w:tcPr>
            <w:tcW w:w="820" w:type="dxa"/>
            <w:vAlign w:val="bottom"/>
            <w:gridSpan w:val="4"/>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97"/>
              </w:rPr>
              <w:t>$ 174,769</w:t>
            </w:r>
          </w:p>
        </w:tc>
        <w:tc>
          <w:tcPr>
            <w:tcW w:w="0" w:type="dxa"/>
            <w:vAlign w:val="bottom"/>
          </w:tcPr>
          <w:p>
            <w:pPr>
              <w:spacing w:after="0"/>
              <w:rPr>
                <w:sz w:val="1"/>
                <w:szCs w:val="1"/>
                <w:color w:val="auto"/>
              </w:rPr>
            </w:pPr>
          </w:p>
        </w:tc>
      </w:tr>
      <w:tr>
        <w:trPr>
          <w:trHeight w:val="21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98"/>
              <w:spacing w:after="0"/>
              <w:rPr>
                <w:sz w:val="20"/>
                <w:szCs w:val="20"/>
                <w:color w:val="auto"/>
              </w:rPr>
            </w:pPr>
            <w:r>
              <w:rPr>
                <w:rFonts w:ascii="Times New Roman" w:cs="Times New Roman" w:eastAsia="Times New Roman" w:hAnsi="Times New Roman"/>
                <w:sz w:val="18"/>
                <w:szCs w:val="18"/>
                <w:color w:val="auto"/>
                <w:w w:val="93"/>
              </w:rPr>
              <w:t>(102,981)</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(161,749)</w:t>
            </w:r>
          </w:p>
        </w:tc>
        <w:tc>
          <w:tcPr>
            <w:tcW w:w="0" w:type="dxa"/>
            <w:vAlign w:val="bottom"/>
          </w:tcPr>
          <w:p>
            <w:pPr>
              <w:spacing w:after="0"/>
              <w:rPr>
                <w:sz w:val="1"/>
                <w:szCs w:val="1"/>
                <w:color w:val="auto"/>
              </w:rPr>
            </w:pPr>
          </w:p>
        </w:tc>
      </w:tr>
      <w:tr>
        <w:trPr>
          <w:trHeight w:val="26"/>
        </w:trPr>
        <w:tc>
          <w:tcPr>
            <w:tcW w:w="8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5,034</w:t>
            </w:r>
          </w:p>
        </w:tc>
        <w:tc>
          <w:tcPr>
            <w:tcW w:w="1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13,020</w:t>
            </w:r>
          </w:p>
        </w:tc>
        <w:tc>
          <w:tcPr>
            <w:tcW w:w="0" w:type="dxa"/>
            <w:vAlign w:val="bottom"/>
          </w:tcPr>
          <w:p>
            <w:pPr>
              <w:spacing w:after="0"/>
              <w:rPr>
                <w:sz w:val="1"/>
                <w:szCs w:val="1"/>
                <w:color w:val="auto"/>
              </w:rPr>
            </w:pPr>
          </w:p>
        </w:tc>
      </w:tr>
      <w:tr>
        <w:trPr>
          <w:trHeight w:val="210"/>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Excess of Tax Basis over Book Basis Fixed Assets</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(1,594)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Asset</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Excess of Book Basis over Tax Basis Intangibles</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(3,440)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(13,020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as of December 31, 2020 and 2021 (in thousands):</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8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866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95"/>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86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Current tax expense (benefit)</w:t>
            </w: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4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(40,710)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(44,698)</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4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(10,520)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(14,071)</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spacing w:after="0"/>
              <w:rPr>
                <w:sz w:val="18"/>
                <w:szCs w:val="18"/>
                <w:color w:val="auto"/>
              </w:rPr>
            </w:pPr>
          </w:p>
        </w:tc>
        <w:tc>
          <w:tcPr>
            <w:tcW w:w="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(51,230)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4"/>
              </w:rPr>
              <w:t>(58,769)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51,230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58,769</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86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F-34</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income before income taxes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300" w:type="dxa"/>
            <w:vAlign w:val="bottom"/>
          </w:tcPr>
          <w:p>
            <w:pPr>
              <w:spacing w:after="0"/>
              <w:rPr>
                <w:sz w:val="14"/>
                <w:szCs w:val="14"/>
                <w:color w:val="auto"/>
              </w:rPr>
            </w:pPr>
          </w:p>
        </w:tc>
        <w:tc>
          <w:tcPr>
            <w:tcW w:w="204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8"/>
        </w:trPr>
        <w:tc>
          <w:tcPr>
            <w:tcW w:w="9300" w:type="dxa"/>
            <w:vAlign w:val="bottom"/>
          </w:tcPr>
          <w:p>
            <w:pPr>
              <w:spacing w:after="0"/>
              <w:rPr>
                <w:sz w:val="11"/>
                <w:szCs w:val="11"/>
                <w:color w:val="auto"/>
              </w:rPr>
            </w:pPr>
          </w:p>
        </w:tc>
        <w:tc>
          <w:tcPr>
            <w:tcW w:w="780" w:type="dxa"/>
            <w:vAlign w:val="bottom"/>
            <w:tcBorders>
              <w:top w:val="single" w:sz="8" w:color="auto"/>
            </w:tcBorders>
          </w:tcPr>
          <w:p>
            <w:pPr>
              <w:jc w:val="right"/>
              <w:ind w:right="161"/>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1140" w:type="dxa"/>
            <w:vAlign w:val="bottom"/>
            <w:tcBorders>
              <w:top w:val="single" w:sz="8" w:color="auto"/>
            </w:tcBorders>
            <w:gridSpan w:val="2"/>
          </w:tcPr>
          <w:p>
            <w:pPr>
              <w:jc w:val="right"/>
              <w:ind w:right="172"/>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1"/>
                <w:szCs w:val="11"/>
                <w:color w:val="auto"/>
              </w:rPr>
            </w:pPr>
          </w:p>
        </w:tc>
      </w:tr>
      <w:tr>
        <w:trPr>
          <w:trHeight w:val="203"/>
        </w:trPr>
        <w:tc>
          <w:tcPr>
            <w:tcW w:w="93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Domestic</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 (209,891)</w:t>
            </w:r>
          </w:p>
        </w:tc>
        <w:tc>
          <w:tcPr>
            <w:tcW w:w="3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 (258,780)</w:t>
            </w:r>
          </w:p>
        </w:tc>
        <w:tc>
          <w:tcPr>
            <w:tcW w:w="120" w:type="dxa"/>
            <w:vAlign w:val="bottom"/>
            <w:tcBorders>
              <w:top w:val="single" w:sz="8" w:color="CCEEFF"/>
            </w:tcBorders>
            <w:shd w:val="clear" w:color="auto" w:fill="CCEEFF"/>
          </w:tcPr>
          <w:p>
            <w:pPr>
              <w:spacing w:after="0"/>
              <w:rPr>
                <w:sz w:val="17"/>
                <w:szCs w:val="17"/>
                <w:color w:val="auto"/>
              </w:rPr>
            </w:pPr>
          </w:p>
        </w:tc>
      </w:tr>
      <w:tr>
        <w:trPr>
          <w:trHeight w:val="228"/>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reconciliation of the difference between the federal statutory rate and the effective income tax rate as a percentage of income before taxes for the years ended December 31, 2020 and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5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3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Federal Statutory Tax Rate</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21.00%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State Statutory Tax Rate</w:t>
            </w:r>
          </w:p>
        </w:tc>
        <w:tc>
          <w:tcPr>
            <w:tcW w:w="14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9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change in valuation allowance as follows (in thousands):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5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2"/>
          </w:tcPr>
          <w:p>
            <w:pPr>
              <w:jc w:val="right"/>
              <w:ind w:right="140"/>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3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Valuation Allowance, beginning of year</w:t>
            </w:r>
          </w:p>
        </w:tc>
        <w:tc>
          <w:tcPr>
            <w:tcW w:w="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51,237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102,981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14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51,230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58,768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 end of year</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102,981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161,749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income tax benefit as recorded in the financial statements differs from the benefit computed by applying statutory tax rates to net loss before income taxes due to permanent differences related to the deductibility of certain expenses and the valuation allowance. There is no current income tax benefit for the years ended December 31, 2020 or 2021.</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of December 31, 2021, the Company had federal net operating loss (“NOL”) carry forwards of $616.7 million and state NOL carry forwards of approximately $464.8 million, which may be available to offset future taxable income. The federal NOLs will begin to expire in 2037 and the state NOLs will begin to expire in 2028. A full valuation allowance has been recorded against the NOL carry forwards.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jurisdictions. Due to its operating loss carryforwards, the U.S. federal statute of limitations remains open for tax year 2016 and onward and the Company continues to be subject to examination by the Internal Revenue Service for tax years 2016 and later. The resolutions of any examinations are not expected to be material to these financial statements. As of December 31, 2021, and 2020, there are no penalties or accrued interest recorded in the consolidated financial statements. The calculation of the Company’s tax obligations involves dealing with uncertainties in the application of complex tax laws and regulations. ASC 740, Income Taxes, provides that a tax benefit from 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340"/>
          </w:cols>
          <w:pgMar w:left="320" w:top="448" w:right="2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 The Company had no uncertain tax positions during the years ended December 31, 2021 and 2020.</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recognizes interest and, if applicable, penalties for any uncertain tax positions. Interest and penalties are recorded as a component of income tax expense. In the years ended December 31, 2021 and 2020, the Company did not have any accrued interest or penalties associated with any unrecognized tax benefits.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does not provide for U.S. income taxes on unremitted earnings of foreign subsidiaries. Unremitted earnings of foreign subsidiaries were immaterial on December 31, 2020 and 2021.</w:t>
      </w:r>
    </w:p>
    <w:p>
      <w:pPr>
        <w:spacing w:after="0" w:line="312" w:lineRule="exact"/>
        <w:rPr>
          <w:sz w:val="20"/>
          <w:szCs w:val="20"/>
          <w:color w:val="auto"/>
        </w:rPr>
      </w:pPr>
    </w:p>
    <w:p>
      <w:pPr>
        <w:ind w:left="460" w:hanging="455"/>
        <w:spacing w:after="0"/>
        <w:tabs>
          <w:tab w:leader="none" w:pos="4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accounts receivable, capital lease obligations, minimum royalties, accounts payable, and accrued expenses approximate fair value due to the short maturity of these instruments. The carrying amounts of the related party receivable, capital lease obligations, and minimum royalties approximate fair value because the interest rates used fluctuate with market interest rates or the fixed rates are based on current rates offered to the Company for debt with similar terms and maturities.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valuation methodologies used for the Company’s assets and liabilities measured at fair value and their classification in the valuation hierarchy are summarized below:</w:t>
      </w:r>
    </w:p>
    <w:p>
      <w:pPr>
        <w:spacing w:after="0" w:line="63" w:lineRule="exact"/>
        <w:rPr>
          <w:sz w:val="20"/>
          <w:szCs w:val="20"/>
          <w:color w:val="auto"/>
        </w:rPr>
      </w:pPr>
    </w:p>
    <w:p>
      <w:pPr>
        <w:jc w:val="both"/>
        <w:ind w:left="460"/>
        <w:spacing w:after="0" w:line="270" w:lineRule="auto"/>
        <w:rPr>
          <w:sz w:val="20"/>
          <w:szCs w:val="20"/>
          <w:color w:val="auto"/>
        </w:rPr>
      </w:pPr>
      <w:r>
        <w:rPr>
          <w:rFonts w:ascii="Times New Roman" w:cs="Times New Roman" w:eastAsia="Times New Roman" w:hAnsi="Times New Roman"/>
          <w:sz w:val="18"/>
          <w:szCs w:val="18"/>
          <w:i w:val="1"/>
          <w:iCs w:val="1"/>
          <w:color w:val="auto"/>
        </w:rPr>
        <w:t>Contingent consideration</w:t>
      </w:r>
      <w:r>
        <w:rPr>
          <w:rFonts w:ascii="Times New Roman" w:cs="Times New Roman" w:eastAsia="Times New Roman" w:hAnsi="Times New Roman"/>
          <w:sz w:val="18"/>
          <w:szCs w:val="18"/>
          <w:color w:val="auto"/>
        </w:rPr>
        <w:t>—The Company is subject to a contingent consideration arrangement to transfer non-voting shares of common stock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former owners of a business acquired in December 2019. See Note 3, Business Combinations, for further discussion of that acquisition.</w:t>
      </w:r>
    </w:p>
    <w:p>
      <w:pPr>
        <w:spacing w:after="0" w:line="61" w:lineRule="exact"/>
        <w:rPr>
          <w:sz w:val="20"/>
          <w:szCs w:val="20"/>
          <w:color w:val="auto"/>
        </w:rPr>
      </w:pPr>
    </w:p>
    <w:p>
      <w:pPr>
        <w:jc w:val="both"/>
        <w:ind w:left="460"/>
        <w:spacing w:after="0" w:line="249" w:lineRule="auto"/>
        <w:rPr>
          <w:sz w:val="20"/>
          <w:szCs w:val="20"/>
          <w:color w:val="auto"/>
        </w:rPr>
      </w:pPr>
      <w:r>
        <w:rPr>
          <w:rFonts w:ascii="Times New Roman" w:cs="Times New Roman" w:eastAsia="Times New Roman" w:hAnsi="Times New Roman"/>
          <w:sz w:val="18"/>
          <w:szCs w:val="18"/>
          <w:color w:val="auto"/>
        </w:rPr>
        <w:t>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consolidated statements of operations and comprehensive loss. The Company used a risk-neutral simulation model and option pricing framework to value the contingent consideration. We classify the contingent consideration liabilities as Level 3 due to the lack of relevant observable market data over fair value inputs such as probability-weighting of payment outcomes.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340"/>
          </w:cols>
          <w:pgMar w:left="320" w:top="448" w:right="2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18"/>
          <w:szCs w:val="18"/>
          <w:i w:val="1"/>
          <w:iCs w:val="1"/>
          <w:color w:val="auto"/>
        </w:rPr>
        <w:t>Warrant liability</w:t>
      </w:r>
      <w:r>
        <w:rPr>
          <w:rFonts w:ascii="Times New Roman" w:cs="Times New Roman" w:eastAsia="Times New Roman" w:hAnsi="Times New Roman"/>
          <w:sz w:val="18"/>
          <w:szCs w:val="18"/>
          <w:color w:val="auto"/>
        </w:rPr>
        <w:t>—As discussed in Note 7, the Company issued a $100 million warrant to AstraZeneca. The warrant liability is measured at fair value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 using a Black-Scholes option pricing model which takes into consideration the likelihood of the Company completing an IPO, which would allow AstraZeneca to exercise the warrant. The following table summarizes the assumptions used in the model: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72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w w:val="99"/>
              </w:rPr>
              <w:t>Initial Public</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Stay Private</w:t>
            </w:r>
          </w:p>
        </w:tc>
        <w:tc>
          <w:tcPr>
            <w:tcW w:w="0" w:type="dxa"/>
            <w:vAlign w:val="bottom"/>
          </w:tcPr>
          <w:p>
            <w:pPr>
              <w:spacing w:after="0"/>
              <w:rPr>
                <w:sz w:val="1"/>
                <w:szCs w:val="1"/>
                <w:color w:val="auto"/>
              </w:rPr>
            </w:pPr>
          </w:p>
        </w:tc>
      </w:tr>
      <w:tr>
        <w:trPr>
          <w:trHeight w:val="169"/>
        </w:trPr>
        <w:tc>
          <w:tcPr>
            <w:tcW w:w="8700" w:type="dxa"/>
            <w:vAlign w:val="bottom"/>
          </w:tcPr>
          <w:p>
            <w:pPr>
              <w:spacing w:after="0"/>
              <w:rPr>
                <w:sz w:val="14"/>
                <w:szCs w:val="14"/>
                <w:color w:val="auto"/>
              </w:rPr>
            </w:pPr>
          </w:p>
        </w:tc>
        <w:tc>
          <w:tcPr>
            <w:tcW w:w="172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7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Expected term (in years)</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4.42</w:t>
            </w:r>
          </w:p>
        </w:tc>
        <w:tc>
          <w:tcPr>
            <w:tcW w:w="9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7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1.37%</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50.00%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0.00%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Scenario weighting</w:t>
            </w:r>
          </w:p>
        </w:tc>
        <w:tc>
          <w:tcPr>
            <w:tcW w:w="17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70.00%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460"/>
        <w:spacing w:after="0" w:line="267" w:lineRule="auto"/>
        <w:rPr>
          <w:sz w:val="20"/>
          <w:szCs w:val="20"/>
          <w:color w:val="auto"/>
        </w:rPr>
      </w:pPr>
      <w:r>
        <w:rPr>
          <w:rFonts w:ascii="Times New Roman" w:cs="Times New Roman" w:eastAsia="Times New Roman" w:hAnsi="Times New Roman"/>
          <w:sz w:val="18"/>
          <w:szCs w:val="18"/>
          <w:color w:val="auto"/>
        </w:rPr>
        <w:t>We classify the warrant liability as Level 3 due to the lack of relevant observable market data over fair value inputs such as the probability-weighting and expected term of the IPO and stay private scenarios.</w:t>
      </w:r>
    </w:p>
    <w:p>
      <w:pPr>
        <w:spacing w:after="0" w:line="63" w:lineRule="exact"/>
        <w:rPr>
          <w:sz w:val="20"/>
          <w:szCs w:val="20"/>
          <w:color w:val="auto"/>
        </w:rPr>
      </w:pPr>
    </w:p>
    <w:p>
      <w:pPr>
        <w:jc w:val="both"/>
        <w:ind w:left="460"/>
        <w:spacing w:after="0" w:line="252" w:lineRule="auto"/>
        <w:rPr>
          <w:sz w:val="20"/>
          <w:szCs w:val="20"/>
          <w:color w:val="auto"/>
        </w:rPr>
      </w:pPr>
      <w:r>
        <w:rPr>
          <w:rFonts w:ascii="Times New Roman" w:cs="Times New Roman" w:eastAsia="Times New Roman" w:hAnsi="Times New Roman"/>
          <w:sz w:val="18"/>
          <w:szCs w:val="18"/>
          <w:i w:val="1"/>
          <w:iCs w:val="1"/>
          <w:color w:val="auto"/>
        </w:rPr>
        <w:t>Convertible promissory note</w:t>
      </w:r>
      <w:r>
        <w:rPr>
          <w:rFonts w:ascii="Times New Roman" w:cs="Times New Roman" w:eastAsia="Times New Roman" w:hAnsi="Times New Roman"/>
          <w:sz w:val="18"/>
          <w:szCs w:val="18"/>
          <w:color w:val="auto"/>
        </w:rPr>
        <w:t>—The Company has a convertible promissory note with Google, which is reduced each year based on a formula taking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the aggregate value of the Google Cloud Platform services used by us. The carrying value of the note is equivalent to the fair value. See Note 10 for further discussion of the note. We classify the convertible promissory note as Level 3 due to the lack of relevant observable market data over fair value inputs.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liabilities that are measured at fair value on a recurring basis as of December 31, 2020 and 2021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Measurement at Reporting Date Using</w:t>
            </w:r>
          </w:p>
        </w:tc>
        <w:tc>
          <w:tcPr>
            <w:tcW w:w="10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gridSpan w:val="4"/>
          </w:tcPr>
          <w:p>
            <w:pPr>
              <w:jc w:val="center"/>
              <w:ind w:right="50"/>
              <w:spacing w:after="0" w:line="113" w:lineRule="exact"/>
              <w:rPr>
                <w:sz w:val="20"/>
                <w:szCs w:val="20"/>
                <w:color w:val="auto"/>
              </w:rPr>
            </w:pPr>
            <w:r>
              <w:rPr>
                <w:rFonts w:ascii="Times New Roman" w:cs="Times New Roman" w:eastAsia="Times New Roman" w:hAnsi="Times New Roman"/>
                <w:sz w:val="13"/>
                <w:szCs w:val="13"/>
                <w:b w:val="1"/>
                <w:bCs w:val="1"/>
                <w:color w:val="auto"/>
              </w:rPr>
              <w:t>Quoted Price in</w:t>
            </w:r>
          </w:p>
        </w:tc>
        <w:tc>
          <w:tcPr>
            <w:tcW w:w="720" w:type="dxa"/>
            <w:vAlign w:val="bottom"/>
          </w:tcPr>
          <w:p>
            <w:pPr>
              <w:spacing w:after="0"/>
              <w:rPr>
                <w:sz w:val="9"/>
                <w:szCs w:val="9"/>
                <w:color w:val="auto"/>
              </w:rPr>
            </w:pPr>
          </w:p>
        </w:tc>
        <w:tc>
          <w:tcPr>
            <w:tcW w:w="1980" w:type="dxa"/>
            <w:vAlign w:val="bottom"/>
            <w:gridSpan w:val="5"/>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9"/>
                <w:szCs w:val="9"/>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13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2"/>
                <w:szCs w:val="12"/>
                <w:color w:val="auto"/>
              </w:rPr>
            </w:pPr>
          </w:p>
        </w:tc>
        <w:tc>
          <w:tcPr>
            <w:tcW w:w="1220" w:type="dxa"/>
            <w:vAlign w:val="bottom"/>
            <w:gridSpan w:val="4"/>
          </w:tcPr>
          <w:p>
            <w:pPr>
              <w:jc w:val="center"/>
              <w:ind w:right="7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Active Market for</w:t>
            </w:r>
          </w:p>
        </w:tc>
        <w:tc>
          <w:tcPr>
            <w:tcW w:w="72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4"/>
          </w:tcPr>
          <w:p>
            <w:pPr>
              <w:jc w:val="center"/>
              <w:ind w:right="50"/>
              <w:spacing w:after="0" w:line="14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720" w:type="dxa"/>
            <w:vAlign w:val="bottom"/>
          </w:tcPr>
          <w:p>
            <w:pPr>
              <w:spacing w:after="0"/>
              <w:rPr>
                <w:sz w:val="12"/>
                <w:szCs w:val="12"/>
                <w:color w:val="auto"/>
              </w:rPr>
            </w:pPr>
          </w:p>
        </w:tc>
        <w:tc>
          <w:tcPr>
            <w:tcW w:w="1980" w:type="dxa"/>
            <w:vAlign w:val="bottom"/>
            <w:gridSpan w:val="5"/>
          </w:tcPr>
          <w:p>
            <w:pPr>
              <w:jc w:val="center"/>
              <w:ind w:right="8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30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3"/>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446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10,271</w:t>
            </w:r>
          </w:p>
        </w:tc>
        <w:tc>
          <w:tcPr>
            <w:tcW w:w="3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10,271</w:t>
            </w:r>
          </w:p>
        </w:tc>
        <w:tc>
          <w:tcPr>
            <w:tcW w:w="0" w:type="dxa"/>
            <w:vAlign w:val="bottom"/>
          </w:tcPr>
          <w:p>
            <w:pPr>
              <w:spacing w:after="0"/>
              <w:rPr>
                <w:sz w:val="1"/>
                <w:szCs w:val="1"/>
                <w:color w:val="auto"/>
              </w:rPr>
            </w:pPr>
          </w:p>
        </w:tc>
      </w:tr>
      <w:tr>
        <w:trPr>
          <w:trHeight w:val="338"/>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Quoted Price in</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4"/>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220" w:type="dxa"/>
            <w:vAlign w:val="bottom"/>
          </w:tcPr>
          <w:p>
            <w:pPr>
              <w:spacing w:after="0"/>
              <w:rPr>
                <w:sz w:val="24"/>
                <w:szCs w:val="24"/>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Active Market for</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tcPr>
          <w:p>
            <w:pPr>
              <w:jc w:val="center"/>
              <w:ind w:right="8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30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446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8,005</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8,005</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37,800</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37,800</w:t>
            </w:r>
          </w:p>
        </w:tc>
        <w:tc>
          <w:tcPr>
            <w:tcW w:w="0" w:type="dxa"/>
            <w:vAlign w:val="bottom"/>
          </w:tcPr>
          <w:p>
            <w:pPr>
              <w:spacing w:after="0"/>
              <w:rPr>
                <w:sz w:val="1"/>
                <w:szCs w:val="1"/>
                <w:color w:val="auto"/>
              </w:rPr>
            </w:pPr>
          </w:p>
        </w:tc>
      </w:tr>
      <w:tr>
        <w:trPr>
          <w:trHeight w:val="228"/>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238,236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238,236</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the liabilities measured at fair value using significant unobservable inputs (Level 3)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440" w:type="dxa"/>
            <w:vAlign w:val="bottom"/>
          </w:tcPr>
          <w:p>
            <w:pPr>
              <w:spacing w:after="0"/>
              <w:rPr>
                <w:sz w:val="13"/>
                <w:szCs w:val="13"/>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Warrant Liability</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4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Promissory Note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jc w:val="center"/>
              <w:ind w:right="1592"/>
              <w:spacing w:after="0" w:line="203" w:lineRule="exact"/>
              <w:rPr>
                <w:sz w:val="20"/>
                <w:szCs w:val="20"/>
                <w:color w:val="auto"/>
              </w:rPr>
            </w:pPr>
            <w:r>
              <w:rPr>
                <w:rFonts w:ascii="Times New Roman" w:cs="Times New Roman" w:eastAsia="Times New Roman" w:hAnsi="Times New Roman"/>
                <w:sz w:val="18"/>
                <w:szCs w:val="18"/>
                <w:color w:val="auto"/>
                <w:w w:val="96"/>
              </w:rPr>
              <w:t>Balance at December 31, 2019</w:t>
            </w:r>
          </w:p>
        </w:tc>
        <w:tc>
          <w:tcPr>
            <w:tcW w:w="2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3,380</w:t>
            </w: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jc w:val="center"/>
              <w:ind w:right="1632"/>
              <w:spacing w:after="0"/>
              <w:rPr>
                <w:sz w:val="20"/>
                <w:szCs w:val="20"/>
                <w:color w:val="auto"/>
              </w:rPr>
            </w:pPr>
            <w:r>
              <w:rPr>
                <w:rFonts w:ascii="Times New Roman" w:cs="Times New Roman" w:eastAsia="Times New Roman" w:hAnsi="Times New Roman"/>
                <w:sz w:val="18"/>
                <w:szCs w:val="18"/>
                <w:color w:val="auto"/>
                <w:w w:val="96"/>
              </w:rPr>
              <w:t>Change in fair value</w:t>
            </w:r>
          </w:p>
        </w:tc>
        <w:tc>
          <w:tcPr>
            <w:tcW w:w="2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jc w:val="center"/>
              <w:ind w:right="1592"/>
              <w:spacing w:after="0"/>
              <w:rPr>
                <w:sz w:val="20"/>
                <w:szCs w:val="20"/>
                <w:color w:val="auto"/>
              </w:rPr>
            </w:pPr>
            <w:r>
              <w:rPr>
                <w:rFonts w:ascii="Times New Roman" w:cs="Times New Roman" w:eastAsia="Times New Roman" w:hAnsi="Times New Roman"/>
                <w:sz w:val="18"/>
                <w:szCs w:val="18"/>
                <w:color w:val="auto"/>
                <w:w w:val="96"/>
              </w:rPr>
              <w:t>Balance at December 31, 2020</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84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F-37</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w w:val="95"/>
              </w:rPr>
              <w:t>Contingent</w:t>
            </w: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0" w:type="dxa"/>
            <w:vAlign w:val="bottom"/>
          </w:tcPr>
          <w:p>
            <w:pPr>
              <w:spacing w:after="0"/>
              <w:rPr>
                <w:sz w:val="1"/>
                <w:szCs w:val="1"/>
                <w:color w:val="auto"/>
              </w:rPr>
            </w:pPr>
          </w:p>
        </w:tc>
      </w:tr>
      <w:tr>
        <w:trPr>
          <w:trHeight w:val="169"/>
        </w:trPr>
        <w:tc>
          <w:tcPr>
            <w:tcW w:w="6760" w:type="dxa"/>
            <w:vAlign w:val="bottom"/>
          </w:tcPr>
          <w:p>
            <w:pPr>
              <w:spacing w:after="0"/>
              <w:rPr>
                <w:sz w:val="14"/>
                <w:szCs w:val="14"/>
                <w:color w:val="auto"/>
              </w:rPr>
            </w:pPr>
          </w:p>
        </w:tc>
        <w:tc>
          <w:tcPr>
            <w:tcW w:w="1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46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Promissory Note</w:t>
            </w:r>
          </w:p>
        </w:tc>
        <w:tc>
          <w:tcPr>
            <w:tcW w:w="0" w:type="dxa"/>
            <w:vAlign w:val="bottom"/>
          </w:tcPr>
          <w:p>
            <w:pPr>
              <w:spacing w:after="0"/>
              <w:rPr>
                <w:sz w:val="1"/>
                <w:szCs w:val="1"/>
                <w:color w:val="auto"/>
              </w:rPr>
            </w:pPr>
          </w:p>
        </w:tc>
      </w:tr>
      <w:tr>
        <w:trPr>
          <w:trHeight w:val="203"/>
        </w:trPr>
        <w:tc>
          <w:tcPr>
            <w:tcW w:w="67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2020</w:t>
            </w: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10,271</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4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 paid in cash</w:t>
            </w:r>
          </w:p>
        </w:tc>
        <w:tc>
          <w:tcPr>
            <w:tcW w:w="100" w:type="dxa"/>
            <w:vAlign w:val="bottom"/>
          </w:tcPr>
          <w:p>
            <w:pPr>
              <w:spacing w:after="0"/>
              <w:rPr>
                <w:sz w:val="18"/>
                <w:szCs w:val="18"/>
                <w:color w:val="auto"/>
              </w:rPr>
            </w:pPr>
          </w:p>
        </w:tc>
        <w:tc>
          <w:tcPr>
            <w:tcW w:w="15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(7,500)</w:t>
            </w:r>
          </w:p>
        </w:tc>
        <w:tc>
          <w:tcPr>
            <w:tcW w:w="34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warrant</w:t>
            </w: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37,800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reduction</w:t>
            </w:r>
          </w:p>
        </w:tc>
        <w:tc>
          <w:tcPr>
            <w:tcW w:w="100" w:type="dxa"/>
            <w:vAlign w:val="bottom"/>
          </w:tcPr>
          <w:p>
            <w:pPr>
              <w:spacing w:after="0"/>
              <w:rPr>
                <w:sz w:val="18"/>
                <w:szCs w:val="18"/>
                <w:color w:val="auto"/>
              </w:rPr>
            </w:pPr>
          </w:p>
        </w:tc>
        <w:tc>
          <w:tcPr>
            <w:tcW w:w="156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(11,764)</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5,234</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2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2"/>
              </w:rPr>
              <w:t>37,800</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2020, the Company recognized expense of $6.9 million in selling, general and administrative expense due to the change in fair value determined by Level 3 valuation techniques.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2021, the Company recognized expense of $5.2 million in selling, general and administrative expense due to the change in the fair value of the contingent consideration liability.</w:t>
      </w:r>
    </w:p>
    <w:p>
      <w:pPr>
        <w:spacing w:after="0" w:line="312" w:lineRule="exact"/>
        <w:rPr>
          <w:sz w:val="20"/>
          <w:szCs w:val="20"/>
          <w:color w:val="auto"/>
        </w:rPr>
      </w:pPr>
    </w:p>
    <w:p>
      <w:pPr>
        <w:ind w:left="460" w:hanging="455"/>
        <w:spacing w:after="0"/>
        <w:tabs>
          <w:tab w:leader="none" w:pos="4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2018, the Company received $1.5 million from a related party for assuming an office lease from such party. The Company is amortizing this amount over the course of its lease with the building. The Company had a remaining related liability of $1.1 million and $1.0 million for the years ended December 31, 2020 and 2021, respectively. The liability is included on the balance sheet in deferred rent, less current portion. See Note 6, Commitments and Contingencies, for additional information on the Company’s operating leases. The Company subleases a portion of office space to this related party on a month-to-month basis. Sublease income received from the related party was insignificant for the years ended December 31, 2020 and 2021.</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2020 the amount due to related parties was $1.3 million, and as of December 31, 2021 there was no amount due to related parties. As of December 31, 2020 and 2021, respectively, the amount due from related parties was $0.1 million.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During 2020, the Company reimbursed payroll related costs of $0.8 million to a related party for contracted engineers. As of December 31, 2020 and 2021, respectively, there were no amounts due to this related party.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Investment</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On August 19, 2021, the Company entered into a related party arrangement with Pathos, Inc. for the purpose of furthering the commercialization efforts of drug development. Tempus received a warrant to purchase 23,456,790 shares, or approximately 19% of the current outstanding equity in Pathos, for $.0125 per share. The warrant will automatically exercise upon a change of control (as defined therein) or upon an IPO of Pathos’ securities. The Company also has an optional exercise election window during the last 10 days of the 20 year term of the warrant agreement. Pursuant to this master agreement, the Company granted Pathos a limited, non- exclusive, revocable, non-transferable right and license, without right of sublicense, to access and download certain de-identified records from the Company’s proprietary database. Pathos in turn agreed to certain license fees depending on the number of de-identified records it elects to license during the term of the master agreement. Pathos also agreed to pay the Company a subscription fee equal to $0.4 million per year for access to our Lens product. The master agreement provides for an initial term of five years, with a subsequent five-year renewal provision unless the agreement is terminated. Either party may terminate the agreement after the initial five-year term by prior written notice to the other party.</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340"/>
          </w:cols>
          <w:pgMar w:left="320" w:top="448" w:right="2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hanging="455"/>
        <w:spacing w:after="0"/>
        <w:tabs>
          <w:tab w:leader="none" w:pos="4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its consolidated financial statements as of December 31, 2021, the Company evaluated subsequent events through April 26, 2022, the date on which those financial statements were available to be issued.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Highline Consulting, LLC</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On January 4, 2022, the Company entered into a Unit Purchase Agreement with Highline Consulting, LLC, a California limited liability company, or Highline, Highline Consulting Parent, LLC, and the unitholders of Highline, or collectively, the Sellers, pursuant to which the Company acquired all of the issued and outstanding equity interests in Highline, which transaction is referred to as the “Highline Acquisition.” Highline manages and executes on early and late-stage clinical trials, applying a customized approach to each study. Highline’s capabilities and expertise will help support and grow new and established business lines within Tempus, allowing the Company to vertically integrate more clinical trial services when appropriate to complement its existing CRO partnerships.</w:t>
      </w:r>
    </w:p>
    <w:p>
      <w:pPr>
        <w:spacing w:after="0" w:line="15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acquired Highline for a purchase price of $35.5 million, subject to customary cash and net working capital adjustments. In addition, following the closing, the Sellers will be entitled to receive contingent consideration from the Company in an aggregate amount of up to $5.0 million, payable in a combination of cash and shares of the Company’s Class A common stock, contingent upon certain individual Sellers remaining employed by the Company as of the first and second anniversary of the closing. In addition, the Company established a retention bonus pool of restricted stock units with an aggregate value of $4.0 million to be allocated among Highline employees retained by the Company. The retention bonus pool will be recorded as compensation expense over the requisite service period.</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 xml:space="preserve">Due to the limited time since the closing of the transaction, the initial accounting for the Highline acquisition is still in process, but a significant portion of the purchase price is expected to be allocated to intangible assets and goodwill. The remaining disclosures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will be provided upon finalization of our preliminary purchase accounting in the first quarter of 2022.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G-3 Financing</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April 2022, the Company authorized 4,362,476 and issued 1,483,242 shares of Series G-3 Preferred stock (“Series G-3 Preferred”) for aggregate proceeds of $85.0 million (See Note 8, Redeemable Convertible Preferred Stock). As of the date hereof we have received $68.5 million of the committed $85.0 million, with the remainder committed from one additional investor, which is due by April 29, 2022.</w:t>
      </w:r>
    </w:p>
    <w:p>
      <w:pPr>
        <w:spacing w:after="0" w:line="323" w:lineRule="exact"/>
        <w:rPr>
          <w:sz w:val="20"/>
          <w:szCs w:val="20"/>
          <w:color w:val="auto"/>
        </w:rPr>
      </w:pPr>
    </w:p>
    <w:p>
      <w:pPr>
        <w:ind w:left="460" w:hanging="455"/>
        <w:spacing w:after="0"/>
        <w:tabs>
          <w:tab w:leader="none" w:pos="4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 (UNAUDITED)</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its consolidated financial statements as of December 31, 2021, the Company evaluated subsequent events through October 17, 2022, the date on which those financial statements were available to be issued.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GlaxoSmithKline, LLC Strategic Collaboration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August 2022, the Company entered into a Strategic Collaboration Agreement (the “Agreement”) with GlaxoSmithKline (“GSK”). Under the Agreement, the Company agreed, on a non-exclusive basis, to provide GSK with certain of the Company’s products and services, including licensed data, sequencing, clinical trial matching, organoid modeling services, and others. In exchange for certain discounted prices, GSK has committed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340"/>
          </w:cols>
          <w:pgMar w:left="320" w:top="448" w:right="2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spend a minimum of $180 million, of which $70 million was paid upon execution, on such products and services during the term of the Agreement, which is subject to refund if not allocated to ongoing projects executed prior to the three-months ended post-term. In addition, the Agreement includes an additional $10 million in milestones if achieved in 2024 and 2025. The term of the Agreement will continue through December 31, 2025, unless GSK elects to exercise a 2-year renewal option, which would increase the minimum commitment to $300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Ares Capital Corporation Credit Agreement</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September 2022, the Company entered into a Credit Agreement with Ares Capital Corporation (“Ares”) for a senior secured loan (the “Term Loan Facility”) in the amount of $175 million, less original issue discount and deferred financing fees of $6.9 million. The Term Loan Facility is due at maturity on September 22, 2027 and is subject to quarterly interest payments. Interest on the Term Loan Facility accrues at a rate of SOFR, which is subject to a 1% floor, plus 7%. In addition, the Term Credit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340"/>
          </w:cols>
          <w:pgMar w:left="320" w:top="448" w:right="2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32"/>
          <w:szCs w:val="32"/>
          <w:i w:val="1"/>
          <w:i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931545</wp:posOffset>
            </wp:positionV>
            <wp:extent cx="2617470" cy="4000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617470" cy="400050"/>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ALLEN &amp; COMPANY LLC</w:t>
      </w:r>
    </w:p>
    <w:p>
      <w:pPr>
        <w:spacing w:after="0" w:line="111" w:lineRule="exact"/>
        <w:rPr>
          <w:sz w:val="20"/>
          <w:szCs w:val="20"/>
          <w:color w:val="auto"/>
        </w:rPr>
      </w:pPr>
    </w:p>
    <w:p>
      <w:pPr>
        <w:sectPr>
          <w:pgSz w:w="11900" w:h="16838" w:orient="portrait"/>
          <w:cols w:equalWidth="0" w:num="3">
            <w:col w:w="4460" w:space="720"/>
            <w:col w:w="2220" w:space="720"/>
            <w:col w:w="3220"/>
          </w:cols>
          <w:pgMar w:left="320" w:top="448" w:right="2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i w:val="1"/>
          <w:i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i w:val="1"/>
          <w:iCs w:val="1"/>
          <w:color w:val="auto"/>
        </w:rPr>
        <w:t>COWEN</w:t>
      </w:r>
    </w:p>
    <w:p>
      <w:pPr>
        <w:spacing w:after="0" w:line="100" w:lineRule="exact"/>
        <w:rPr>
          <w:sz w:val="20"/>
          <w:szCs w:val="20"/>
          <w:color w:val="auto"/>
        </w:rPr>
      </w:pPr>
    </w:p>
    <w:p>
      <w:pPr>
        <w:sectPr>
          <w:pgSz w:w="11900" w:h="16838" w:orient="portrait"/>
          <w:cols w:equalWidth="0" w:num="2">
            <w:col w:w="8160" w:space="720"/>
            <w:col w:w="2460"/>
          </w:cols>
          <w:pgMar w:left="320" w:top="448" w:right="2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20"/>
          <w:szCs w:val="20"/>
          <w:i w:val="1"/>
          <w:iCs w:val="1"/>
          <w:color w:val="auto"/>
        </w:rPr>
        <w:t>STIFEL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i w:val="1"/>
          <w:iCs w:val="1"/>
          <w:color w:val="auto"/>
        </w:rPr>
        <w:t>WILLIAM BLAIR</w:t>
      </w:r>
    </w:p>
    <w:p>
      <w:pPr>
        <w:spacing w:after="0" w:line="100" w:lineRule="exact"/>
        <w:rPr>
          <w:sz w:val="20"/>
          <w:szCs w:val="20"/>
          <w:color w:val="auto"/>
        </w:rPr>
      </w:pPr>
    </w:p>
    <w:p>
      <w:pPr>
        <w:sectPr>
          <w:pgSz w:w="11900" w:h="16838" w:orient="portrait"/>
          <w:cols w:equalWidth="0" w:num="2">
            <w:col w:w="7800" w:space="720"/>
            <w:col w:w="2820"/>
          </w:cols>
          <w:pgMar w:left="320" w:top="448" w:right="2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20"/>
          <w:szCs w:val="20"/>
          <w:i w:val="1"/>
          <w:iCs w:val="1"/>
          <w:color w:val="auto"/>
        </w:rPr>
        <w:t>LOOP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i w:val="1"/>
          <w:iCs w:val="1"/>
          <w:color w:val="auto"/>
        </w:rPr>
        <w:t>NEEDHAM &amp; COMPANY</w:t>
      </w:r>
    </w:p>
    <w:p>
      <w:pPr>
        <w:spacing w:after="0" w:line="200" w:lineRule="exact"/>
        <w:rPr>
          <w:sz w:val="20"/>
          <w:szCs w:val="20"/>
          <w:color w:val="auto"/>
        </w:rPr>
      </w:pPr>
    </w:p>
    <w:p>
      <w:pPr>
        <w:sectPr>
          <w:pgSz w:w="11900" w:h="16838" w:orient="portrait"/>
          <w:cols w:equalWidth="0" w:num="2">
            <w:col w:w="7420" w:space="720"/>
            <w:col w:w="3200"/>
          </w:cols>
          <w:pgMar w:left="320" w:top="44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Through and including , 2022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2022.</w:t>
      </w:r>
    </w:p>
    <w:p>
      <w:pPr>
        <w:sectPr>
          <w:pgSz w:w="11900" w:h="16838" w:orient="portrait"/>
          <w:cols w:equalWidth="0" w:num="1">
            <w:col w:w="11340"/>
          </w:cols>
          <w:pgMar w:left="320" w:top="448" w:right="239" w:bottom="1440" w:gutter="0" w:footer="0" w:header="0"/>
          <w:type w:val="continuous"/>
        </w:sectPr>
      </w:pPr>
    </w:p>
    <w:bookmarkStart w:id="288" w:name="page289"/>
    <w:bookmarkEnd w:id="2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1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6"/>
          <w:szCs w:val="16"/>
          <w:color w:val="auto"/>
        </w:rPr>
        <w:t>Unless otherwise indicated, all references to “Tempus,” the “company,” “we,” “our,” “us” or similar terms refer to Tempus Labs, Inc. and its subsidiaries.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sets forth all expenses to be paid by us, other than underwriting discounts and commissions, in connection with this offering. All amounts shown are estimates except for the SEC registration fee, the FINRA filing fee and the exchange listing fee.</w:t>
      </w:r>
    </w:p>
    <w:p>
      <w:pPr>
        <w:sectPr>
          <w:pgSz w:w="11900" w:h="16838" w:orient="portrait"/>
          <w:cols w:equalWidth="0" w:num="1">
            <w:col w:w="11340"/>
          </w:cols>
          <w:pgMar w:left="320" w:top="448" w:right="23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97725" cy="133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filing fee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Miscellaneous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97725" cy="133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138430</wp:posOffset>
            </wp:positionV>
            <wp:extent cx="79184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*Tobe completed by amendment.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489" w:hanging="489"/>
        <w:spacing w:after="0"/>
        <w:tabs>
          <w:tab w:leader="none" w:pos="489"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43"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0861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4" w:lineRule="exact"/>
        <w:rPr>
          <w:sz w:val="20"/>
          <w:szCs w:val="20"/>
          <w:color w:val="auto"/>
        </w:rPr>
      </w:pPr>
    </w:p>
    <w:p>
      <w:pPr>
        <w:ind w:left="489" w:hanging="489"/>
        <w:spacing w:after="0"/>
        <w:tabs>
          <w:tab w:leader="none" w:pos="489"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0861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30861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115" w:lineRule="exact"/>
        <w:rPr>
          <w:sz w:val="20"/>
          <w:szCs w:val="20"/>
          <w:color w:val="auto"/>
        </w:rPr>
      </w:pPr>
    </w:p>
    <w:p>
      <w:pPr>
        <w:sectPr>
          <w:pgSz w:w="11900" w:h="16838" w:orient="portrait"/>
          <w:cols w:equalWidth="0" w:num="2">
            <w:col w:w="10011" w:space="720"/>
            <w:col w:w="609"/>
          </w:cols>
          <w:pgMar w:left="320" w:top="448" w:right="239" w:bottom="1440" w:gutter="0" w:footer="0" w:header="0"/>
          <w:type w:val="continuous"/>
        </w:sect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closing of this offering permits indemnification of our directors, officers, employees, and other agents to the maximum extent permitted by the Delaware General Corporation Law, and our amended and restated bylaws that will be in effect on the closing of this offering provide that we will indemnify our directors and executive officers and permit us to indemnify our other officers, employees, and other agents, in each case to the maximum extent permitted by the Delaware General Corporation Law.</w:t>
      </w:r>
    </w:p>
    <w:p>
      <w:pPr>
        <w:spacing w:after="0" w:line="15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Tempus Labs, Inc., provided that such director or executive officer acted in good faith and in a manner that the director or executive officer reasonably believed to be in, or not opposed to, the best interest of Tempus Labs, Inc. At present, there is no pending litigation or proceeding involving a director or executive officer of Tempus Labs, Inc. regarding which indemnification is sought, nor is the registrant aware of any threatened litigation that may result in claims for indemnification.</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340"/>
          </w:cols>
          <w:pgMar w:left="320" w:top="448" w:right="239" w:bottom="1440" w:gutter="0" w:footer="0" w:header="0"/>
          <w:type w:val="continuous"/>
        </w:sectPr>
      </w:pPr>
    </w:p>
    <w:bookmarkStart w:id="289" w:name="page290"/>
    <w:bookmarkEnd w:id="2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underwriters are obligated, under certain circumstances, under the underwriting agreement to be filed as Exhibit 1.1 hereto, to indemnify us and our officers and directors against liabilities under the Securities Act.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regarding all unregistered securities sold since January 1, 2019:</w:t>
      </w:r>
    </w:p>
    <w:p>
      <w:pPr>
        <w:spacing w:after="0" w:line="121" w:lineRule="exact"/>
        <w:rPr>
          <w:sz w:val="20"/>
          <w:szCs w:val="20"/>
          <w:color w:val="auto"/>
        </w:rPr>
      </w:pPr>
    </w:p>
    <w:p>
      <w:pPr>
        <w:ind w:left="1460" w:hanging="444"/>
        <w:spacing w:after="0" w:line="267" w:lineRule="auto"/>
        <w:tabs>
          <w:tab w:leader="none" w:pos="14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RSUs representing 7,532,363 shares of our Class A common stock to our employees, consultants, and directors, having a fair market value ranging from $3.60 to $50.70 per share.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PSUs representing 6,000,000 shares of our Class A common stock to our employees, consultants, and directors, having a fair market value ranging from $33.48 to $42.64 per share.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an option to purchase 210,000 shares of our Class A common stock to Revolution Growth Management Company, Inc., having an exercise price of $0.8542 per share.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2019, we issued and sold an aggregate of 1,058,600 shares of our voting common stock at a price per share of $9.64, for an aggregate purchase price of approximately $10.2 million, in private placements to two accredited investors.</w:t>
      </w:r>
    </w:p>
    <w:p>
      <w:pPr>
        <w:spacing w:after="0" w:line="77"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August 2018 through April 2019, we issued and sold an aggregate of 6,630,905 shares of our Series E convertible preferred stock at a price per share of $16.7428, for an aggregate purchase price of approximately $111.0 million, in private placements to 17 accredited investors, exclusive of the 886,304 shares repurchased by us in April 2019 at the original issue price per share, for an aggregate repurchase price of approximately $14.8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April through July 2019, we issued and sold an aggregate of 8,077,674 shares of our Series F convertible preferred stock at a price per share of $24.7596, for an aggregate purchase price of approximately $200.0 million, in private placements to 22 accredited investors, exclusive of the 203,521 shares and the 395,811 shares repurchased by us in May and July 2019, respectively, at the original issue price per share, for an aggregate repurchase price of approximately $14.8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February through April 2020, we issued and sold an aggregate of 2,537,290 shares of our Series G convertible preferred stock at a price per share of $38.3524, for an aggregate purchase price of approximately $97.3 million, in private placements to 20 accredited investors, exclusive of 130,370 shares repurchased by us in April 2020 at the original issue price per share, for an aggregate repurchase price of approximately $5.0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and January 2021, we issued and sold an aggregate of 3,453,139 shares of our Series G-2 convertible preferred stock at a price per share of $57.3069, for an aggregate purchase price of approximately $189.0 million, in private placements to 15 accredited investors, exclusive of the 130,876 shares repurchased by us in January 2021 at the original issue price per share, for an aggregate repurchase price of approximately $7.5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49" w:lineRule="auto"/>
        <w:tabs>
          <w:tab w:leader="none" w:pos="14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2020, in connection with our entry into an agreement for use of Google LLC’s, or Google’s, Google Cloud Platform, we issued Google a convertible promissory note, or the Note, in the original principal amount of $330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For more information regarding the Note, see the section titled “Description of Capital Stock—Convertible Promissory Note.”</w:t>
      </w:r>
    </w:p>
    <w:p>
      <w:pPr>
        <w:spacing w:after="0" w:line="94"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2021, in connection with our entry into a master services agreement, we issued a warrant to AstraZeneca to purchase $100 million in shares of our Class A common stock at an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340"/>
          </w:cols>
          <w:pgMar w:left="320" w:top="448" w:right="2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exercise price equal to the price per share at which our common stock is valued in connection with the consummation of this offering.</w:t>
      </w:r>
    </w:p>
    <w:p>
      <w:pPr>
        <w:spacing w:after="0" w:line="121" w:lineRule="exact"/>
        <w:rPr>
          <w:sz w:val="20"/>
          <w:szCs w:val="20"/>
          <w:color w:val="auto"/>
        </w:rPr>
      </w:pPr>
    </w:p>
    <w:p>
      <w:pPr>
        <w:jc w:val="both"/>
        <w:ind w:left="1460" w:hanging="444"/>
        <w:spacing w:after="0" w:line="288" w:lineRule="auto"/>
        <w:tabs>
          <w:tab w:leader="none" w:pos="14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2022, we entered into a unit purchase agreement with Highline Consulting, LLC, a California limited liability company, or Highline, Highline Consulting Parent, LLC, and the unitholders of Highline, which collectively we refer to as the Sellers, pursuant to which we acquired all of the issued and outstanding equity interests in Highline. Following the closing, the Sellers will be entitled to receive contingent consideration from us in an aggregate amount of up to $5.0 million, payable in a combination of cash and shares of our Class A common stock, contingent upon certain individual Sellers remaining employed by us as of the first and second anniversary of the closing.</w:t>
      </w:r>
    </w:p>
    <w:p>
      <w:pPr>
        <w:spacing w:after="0" w:line="64" w:lineRule="exact"/>
        <w:rPr>
          <w:rFonts w:ascii="Times New Roman" w:cs="Times New Roman" w:eastAsia="Times New Roman" w:hAnsi="Times New Roman"/>
          <w:sz w:val="16"/>
          <w:szCs w:val="16"/>
          <w:color w:val="auto"/>
        </w:rPr>
      </w:pPr>
    </w:p>
    <w:p>
      <w:pPr>
        <w:ind w:left="1460" w:hanging="444"/>
        <w:spacing w:after="0" w:line="267" w:lineRule="auto"/>
        <w:tabs>
          <w:tab w:leader="none" w:pos="14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purchase of all of the outstanding shares of AKESOgen, Inc., we expect to issue on or around December 9, 2022 of 145,466 shares of Class A common stock to former stockholders of AKESOgen, Inc.</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we issued and sold an aggregate of 1,483,242 shares of our Series G-3 convertible preferred stock at a price per share of $57.3069, for an aggregate purchase price of approximately $85.0 million, in private placements to five accredited investors.</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3" w:lineRule="exact"/>
        <w:rPr>
          <w:sz w:val="20"/>
          <w:szCs w:val="20"/>
          <w:color w:val="auto"/>
        </w:rPr>
      </w:pPr>
    </w:p>
    <w:p>
      <w:pPr>
        <w:ind w:left="1240" w:hanging="670"/>
        <w:spacing w:after="0"/>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the Exhibit Index on the page immediately preceding the signature page for a list of exhibits filed as part of this registration statement on Form S-1, which Exhibit Index is incorporated herein by reference.</w:t>
      </w:r>
    </w:p>
    <w:p>
      <w:pPr>
        <w:spacing w:after="0" w:line="196" w:lineRule="exact"/>
        <w:rPr>
          <w:sz w:val="20"/>
          <w:szCs w:val="20"/>
          <w:color w:val="auto"/>
        </w:rPr>
      </w:pPr>
    </w:p>
    <w:p>
      <w:pPr>
        <w:ind w:left="1240" w:hanging="670"/>
        <w:spacing w:after="0"/>
        <w:tabs>
          <w:tab w:leader="none" w:pos="12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340"/>
          </w:cols>
          <w:pgMar w:left="320" w:top="448" w:right="2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21" w:lineRule="exact"/>
        <w:rPr>
          <w:sz w:val="20"/>
          <w:szCs w:val="20"/>
          <w:color w:val="auto"/>
        </w:rPr>
      </w:pPr>
    </w:p>
    <w:p>
      <w:pPr>
        <w:jc w:val="both"/>
        <w:ind w:left="1240" w:hanging="670"/>
        <w:spacing w:after="0" w:line="255" w:lineRule="auto"/>
        <w:tabs>
          <w:tab w:leader="none" w:pos="12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on Rule 430A and contained in a form of prospectus filed by the registrant under Rule 424(b)(1) or (4) or 497(h) under the Securities Act will be deemed to be part of this registration statement as of the time it was declared effective.</w:t>
      </w:r>
    </w:p>
    <w:p>
      <w:pPr>
        <w:spacing w:after="0" w:line="88" w:lineRule="exact"/>
        <w:rPr>
          <w:rFonts w:ascii="Times New Roman" w:cs="Times New Roman" w:eastAsia="Times New Roman" w:hAnsi="Times New Roman"/>
          <w:sz w:val="18"/>
          <w:szCs w:val="18"/>
          <w:color w:val="auto"/>
        </w:rPr>
      </w:pPr>
    </w:p>
    <w:p>
      <w:pPr>
        <w:jc w:val="both"/>
        <w:ind w:left="1240" w:hanging="670"/>
        <w:spacing w:after="0" w:line="255" w:lineRule="auto"/>
        <w:tabs>
          <w:tab w:leader="none" w:pos="12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340"/>
          </w:cols>
          <w:pgMar w:left="320" w:top="448" w:right="2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900" w:type="dxa"/>
            <w:vAlign w:val="bottom"/>
            <w:gridSpan w:val="3"/>
          </w:tcPr>
          <w:p>
            <w:pPr>
              <w:ind w:left="40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7"/>
        </w:trPr>
        <w:tc>
          <w:tcPr>
            <w:tcW w:w="80" w:type="dxa"/>
            <w:vAlign w:val="bottom"/>
          </w:tcPr>
          <w:p>
            <w:pPr>
              <w:spacing w:after="0"/>
              <w:rPr>
                <w:sz w:val="24"/>
                <w:szCs w:val="24"/>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900" w:type="dxa"/>
            <w:vAlign w:val="bottom"/>
            <w:gridSpan w:val="3"/>
            <w:vMerge w:val="restart"/>
          </w:tcPr>
          <w:p>
            <w:pPr>
              <w:ind w:left="5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Tenth Amended and Restated Certificate of Incorporation of Tempus Labs, Inc., as amended, as currently in effect.</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Tempus Labs, Inc., to be in effect on the closing of the offering.</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Amended and Restated Bylaws of Tempus Labs, Inc., as currently in effect.</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Amended and Restated Bylaws of Tempus Labs, Inc., to be in effect on the closing of the offering.</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Class A Common Stock Certificate.</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Warrant to Purchase Class A Common Stock of Tempus Labs, Inc. dated November 17, 2021 (included in Exhibit 10.16).</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Opinion of Cooley LLP.</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Tenth Amended and Restated Investor Rights Agreement, dated April 18, 2022.</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Tempus Labs, Inc. Third Amended and Restated 2015 Stock Plan, as amended.</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w:t>
            </w: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Forms of Grant Notices and Award Agreements under the Tempus Labs, Inc. Third Amended and Restated 2015 Stock Plan, as amended.</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Tempus Labs, Inc. 2022 Equity Incentive Plan.</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Forms of Grant Notice, Stock Option Agreement and Notice of Exercise under the Tempus Labs, Inc. 2022 Equity Incentive Plan.</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Forms of Restricted Stock Unit Grant Notice and Award Agreement under the Tempus Labs, Inc. 2022 Equity Incentive Plan.</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Indemnification Agreement entered into by and between Tempus Labs, Inc. and each director and executive officer.</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Eric Lefkofsky, dated January 1, 2022.</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Erik Phelps, dated January 1, 2022.</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Ryan Fukushima, dated January 1, 2022.</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360" w:type="dxa"/>
            <w:vAlign w:val="bottom"/>
          </w:tcPr>
          <w:p>
            <w:pPr>
              <w:spacing w:after="0"/>
              <w:rPr>
                <w:sz w:val="24"/>
                <w:szCs w:val="24"/>
                <w:color w:val="auto"/>
              </w:rPr>
            </w:pP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James Rogers, dated January 1, 2022.</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10.12#**</w:t>
            </w: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Agreement of Lease, by and between Tempus Labs, Inc. and EQC 600 West Chicago Property LLC, dated January 18, 2018, as amended.</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10.13†**</w:t>
            </w: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Supply Agreement, by and between Tempus Labs, Inc. and Illumina, Inc., dated June 29, 2021.</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10.14†**</w:t>
            </w: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8"/>
              </w:rPr>
              <w:t>Amended and Restated Convertible Promissory Note, by and between Tempus Labs, Inc. and Google LLC, dated November 19, 2020.</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10.15†**</w:t>
            </w:r>
          </w:p>
        </w:tc>
        <w:tc>
          <w:tcPr>
            <w:tcW w:w="9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Master Agreement, by and between Tempus Labs, Inc. and Pathos AI, Inc., dated August 19, 2021.</w:t>
            </w:r>
          </w:p>
        </w:tc>
        <w:tc>
          <w:tcPr>
            <w:tcW w:w="0" w:type="dxa"/>
            <w:vAlign w:val="bottom"/>
          </w:tcPr>
          <w:p>
            <w:pPr>
              <w:spacing w:after="0"/>
              <w:rPr>
                <w:sz w:val="1"/>
                <w:szCs w:val="1"/>
                <w:color w:val="auto"/>
              </w:rPr>
            </w:pPr>
          </w:p>
        </w:tc>
      </w:tr>
      <w:tr>
        <w:trPr>
          <w:trHeight w:val="354"/>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900" w:type="dxa"/>
            <w:vAlign w:val="bottom"/>
            <w:gridSpan w:val="3"/>
          </w:tcPr>
          <w:p>
            <w:pPr>
              <w:ind w:left="4600"/>
              <w:spacing w:after="0"/>
              <w:rPr>
                <w:sz w:val="20"/>
                <w:szCs w:val="20"/>
                <w:color w:val="auto"/>
              </w:rPr>
            </w:pPr>
            <w:r>
              <w:rPr>
                <w:rFonts w:ascii="Times New Roman" w:cs="Times New Roman" w:eastAsia="Times New Roman" w:hAnsi="Times New Roman"/>
                <w:sz w:val="18"/>
                <w:szCs w:val="18"/>
                <w:color w:val="auto"/>
              </w:rPr>
              <w:t>II-5</w:t>
            </w:r>
          </w:p>
        </w:tc>
        <w:tc>
          <w:tcPr>
            <w:tcW w:w="0" w:type="dxa"/>
            <w:vAlign w:val="bottom"/>
          </w:tcPr>
          <w:p>
            <w:pPr>
              <w:spacing w:after="0"/>
              <w:rPr>
                <w:sz w:val="1"/>
                <w:szCs w:val="1"/>
                <w:color w:val="auto"/>
              </w:rPr>
            </w:pPr>
          </w:p>
        </w:tc>
      </w:tr>
    </w:tbl>
    <w:p>
      <w:pPr>
        <w:sectPr>
          <w:pgSz w:w="11900" w:h="16838" w:orient="portrait"/>
          <w:cols w:equalWidth="0" w:num="1">
            <w:col w:w="10840"/>
          </w:cols>
          <w:pgMar w:left="320" w:top="448" w:right="7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180" w:type="dxa"/>
            <w:vAlign w:val="bottom"/>
            <w:gridSpan w:val="3"/>
            <w:vMerge w:val="restart"/>
          </w:tcPr>
          <w:p>
            <w:pPr>
              <w:ind w:left="5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10.16†**</w:t>
            </w: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Master Services Agreement, by and between Tempus Labs, Inc. and AstraZeneca AB, dated November 17, 2021.</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Tempus Labs, Inc. 2022 Employee Stock Purchase Plan.</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10.18†</w:t>
            </w: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Strategic Collaboration Agreement, by and between Tempus Labs, Inc. and Glaxosmithkline LLC, dated August 1, 2022.</w:t>
            </w:r>
          </w:p>
        </w:tc>
        <w:tc>
          <w:tcPr>
            <w:tcW w:w="0" w:type="dxa"/>
            <w:vAlign w:val="bottom"/>
          </w:tcPr>
          <w:p>
            <w:pPr>
              <w:spacing w:after="0"/>
              <w:rPr>
                <w:sz w:val="1"/>
                <w:szCs w:val="1"/>
                <w:color w:val="auto"/>
              </w:rPr>
            </w:pPr>
          </w:p>
        </w:tc>
      </w:tr>
      <w:tr>
        <w:trPr>
          <w:trHeight w:val="297"/>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Credit Agreement, by and among Tempus Labs, Inc., the lenders party thereto, Ares Capital Corporation and Ares Capital Management LLC,</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dated September 22, 2022.</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List of Subsidiaries of Tempus Labs, Inc.</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 of PricewaterhouseCoopers, LLP, independent registered public accounting firm.</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 of Cooley LLP (included in Exhibit 5.1).</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Power of Attorney (included on page II-7).</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9184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right="8640" w:firstLine="5"/>
        <w:spacing w:after="0" w:line="285" w:lineRule="auto"/>
        <w:tabs>
          <w:tab w:leader="none" w:pos="446"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submitted by amendment. ** Previously submitted.</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Indicates management contract or compensatory plan.</w:t>
      </w:r>
    </w:p>
    <w:p>
      <w:pPr>
        <w:spacing w:after="0" w:line="3" w:lineRule="exact"/>
        <w:rPr>
          <w:rFonts w:ascii="Times New Roman" w:cs="Times New Roman" w:eastAsia="Times New Roman" w:hAnsi="Times New Roman"/>
          <w:sz w:val="16"/>
          <w:szCs w:val="16"/>
          <w:color w:val="auto"/>
        </w:rPr>
      </w:pPr>
    </w:p>
    <w:p>
      <w:pPr>
        <w:ind w:left="460" w:hanging="446"/>
        <w:spacing w:after="0" w:line="2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†Certain portions of this exhibit (indicated by asterisks) have been omitted because they are not material and are the type that the registrant treats as private or confidential.</w:t>
      </w:r>
    </w:p>
    <w:p>
      <w:pPr>
        <w:ind w:left="460" w:hanging="446"/>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#Certain schedules and exhibits to this exhibit have been omitted pursuant to Item 601(a)(5) of Regulation S-K. A copy of any omitted schedule and/or exhibit will be furnished to the SEC upon request.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340"/>
          </w:cols>
          <w:pgMar w:left="320" w:top="448" w:right="2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undersigned, thereunto duly authorized, in Chicago, Illinois, on</w:t>
            </w:r>
          </w:p>
        </w:tc>
        <w:tc>
          <w:tcPr>
            <w:tcW w:w="2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2022.</w:t>
            </w:r>
          </w:p>
        </w:tc>
        <w:tc>
          <w:tcPr>
            <w:tcW w:w="6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428"/>
        </w:trPr>
        <w:tc>
          <w:tcPr>
            <w:tcW w:w="4900" w:type="dxa"/>
            <w:vAlign w:val="bottom"/>
          </w:tcPr>
          <w:p>
            <w:pPr>
              <w:spacing w:after="0"/>
              <w:rPr>
                <w:sz w:val="24"/>
                <w:szCs w:val="24"/>
                <w:color w:val="auto"/>
              </w:rPr>
            </w:pPr>
          </w:p>
        </w:tc>
        <w:tc>
          <w:tcPr>
            <w:tcW w:w="644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TEMPUS LABS, INC.</w:t>
            </w:r>
          </w:p>
        </w:tc>
      </w:tr>
      <w:tr>
        <w:trPr>
          <w:trHeight w:val="459"/>
        </w:trPr>
        <w:tc>
          <w:tcPr>
            <w:tcW w:w="4900" w:type="dxa"/>
            <w:vAlign w:val="bottom"/>
          </w:tcPr>
          <w:p>
            <w:pPr>
              <w:spacing w:after="0"/>
              <w:rPr>
                <w:sz w:val="24"/>
                <w:szCs w:val="24"/>
                <w:color w:val="auto"/>
              </w:rPr>
            </w:pPr>
          </w:p>
        </w:tc>
        <w:tc>
          <w:tcPr>
            <w:tcW w:w="24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r>
        <w:trPr>
          <w:trHeight w:val="198"/>
        </w:trPr>
        <w:tc>
          <w:tcPr>
            <w:tcW w:w="4900" w:type="dxa"/>
            <w:vAlign w:val="bottom"/>
          </w:tcPr>
          <w:p>
            <w:pPr>
              <w:spacing w:after="0"/>
              <w:rPr>
                <w:sz w:val="17"/>
                <w:szCs w:val="17"/>
                <w:color w:val="auto"/>
              </w:rPr>
            </w:pPr>
          </w:p>
        </w:tc>
        <w:tc>
          <w:tcPr>
            <w:tcW w:w="2440" w:type="dxa"/>
            <w:vAlign w:val="bottom"/>
          </w:tcPr>
          <w:p>
            <w:pPr>
              <w:ind w:left="1920"/>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39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Eric Lefkofsky</w:t>
            </w:r>
          </w:p>
        </w:tc>
      </w:tr>
      <w:tr>
        <w:trPr>
          <w:trHeight w:val="228"/>
        </w:trPr>
        <w:tc>
          <w:tcPr>
            <w:tcW w:w="4900" w:type="dxa"/>
            <w:vAlign w:val="bottom"/>
          </w:tcPr>
          <w:p>
            <w:pPr>
              <w:spacing w:after="0"/>
              <w:rPr>
                <w:sz w:val="19"/>
                <w:szCs w:val="19"/>
                <w:color w:val="auto"/>
              </w:rPr>
            </w:pPr>
          </w:p>
        </w:tc>
        <w:tc>
          <w:tcPr>
            <w:tcW w:w="24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Eric Lefkofsky and James Rogers,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00" w:type="dxa"/>
            <w:vAlign w:val="bottom"/>
          </w:tcPr>
          <w:p>
            <w:pPr>
              <w:spacing w:after="0"/>
              <w:rPr>
                <w:sz w:val="14"/>
                <w:szCs w:val="14"/>
                <w:color w:val="auto"/>
              </w:rPr>
            </w:pPr>
          </w:p>
        </w:tc>
      </w:tr>
      <w:tr>
        <w:trPr>
          <w:trHeight w:val="413"/>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Bartolucci</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J. Barris</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340"/>
          </w:cols>
          <w:pgMar w:left="320" w:top="448" w:right="2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88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00" w:type="dxa"/>
            <w:vAlign w:val="bottom"/>
          </w:tcPr>
          <w:p>
            <w:pPr>
              <w:spacing w:after="0"/>
              <w:rPr>
                <w:sz w:val="14"/>
                <w:szCs w:val="14"/>
                <w:color w:val="auto"/>
              </w:rPr>
            </w:pPr>
          </w:p>
        </w:tc>
      </w:tr>
      <w:tr>
        <w:trPr>
          <w:trHeight w:val="413"/>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2022</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040"/>
          </w:cols>
          <w:pgMar w:left="320" w:top="448" w:right="53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TENTH AMENDED AND RESTATED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242 and 245 of the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195" w:lineRule="exact"/>
        <w:rPr>
          <w:sz w:val="20"/>
          <w:szCs w:val="20"/>
          <w:color w:val="auto"/>
        </w:rPr>
      </w:pPr>
    </w:p>
    <w:p>
      <w:pPr>
        <w:ind w:right="400" w:firstLine="428"/>
        <w:spacing w:after="0" w:line="267" w:lineRule="auto"/>
        <w:rPr>
          <w:sz w:val="20"/>
          <w:szCs w:val="20"/>
          <w:color w:val="auto"/>
        </w:rPr>
      </w:pPr>
      <w:r>
        <w:rPr>
          <w:rFonts w:ascii="Times New Roman" w:cs="Times New Roman" w:eastAsia="Times New Roman" w:hAnsi="Times New Roman"/>
          <w:sz w:val="18"/>
          <w:szCs w:val="18"/>
          <w:color w:val="auto"/>
        </w:rPr>
        <w:t>Tempus Labs, Inc., a corporation organized and existing under and by virtue of the provisions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110" w:lineRule="exact"/>
        <w:rPr>
          <w:sz w:val="20"/>
          <w:szCs w:val="20"/>
          <w:color w:val="auto"/>
        </w:rPr>
      </w:pPr>
    </w:p>
    <w:p>
      <w:pPr>
        <w:ind w:right="700" w:firstLine="436"/>
        <w:spacing w:after="0" w:line="267" w:lineRule="auto"/>
        <w:tabs>
          <w:tab w:leader="none" w:pos="60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name of this corporation is Tempus Labs, Inc., and that this corporation was originally incorporated pursuant to the DGCL on September 21, 2015 under the name Bioin, Inc.</w:t>
      </w:r>
    </w:p>
    <w:p>
      <w:pPr>
        <w:spacing w:after="0" w:line="169" w:lineRule="exact"/>
        <w:rPr>
          <w:rFonts w:ascii="Times New Roman" w:cs="Times New Roman" w:eastAsia="Times New Roman" w:hAnsi="Times New Roman"/>
          <w:sz w:val="18"/>
          <w:szCs w:val="18"/>
          <w:color w:val="auto"/>
        </w:rPr>
      </w:pPr>
    </w:p>
    <w:p>
      <w:pPr>
        <w:ind w:right="100" w:firstLine="436"/>
        <w:spacing w:after="0" w:line="245" w:lineRule="auto"/>
        <w:tabs>
          <w:tab w:leader="none" w:pos="60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original Certificate of Incorporation of this corporation was amended by a Certificate of Amendment filed with the Secretary of State of the State of Delaware on September 29, 2015, and was further amended by a Certificate of Amendment filed with the Secretary of State of the State of Delaware on February 12, 2016. The Amended and Restated Certificate of Incorporation was filed on June 20, 2016 and was amended by a Certificate of Amendment filed with the Secretary of State of the State of Delaware on October 6, 2016. The Second Amended and Restated Certificate of Incorporation was filed on November 22, 2016 with the Secretary of State of the State of Delaware. The Third Amended and Restated Certificate of Incorporation was filed on April 17, 2017 with the Secretary of State of the State of Delaware. The Fourth Amended and Restated Certificate of Incorporation was filed on September 8, 2017 with the Secretary of State of the State of Delaware. The Fifth Amended and Restated Certificate of Incorporation was filed on March 16, 2018 with the Secretary of State of the State of Delaware. The Sixth Amended and Restated Certificate of Incorporation was filed on August 23, 2018 with the Secretary of State of the State of Delaware. The Seventh Amended and Restated Certificate of Incorporation was filed on April 30, 2019 with the Secretary of State of the State of Delaware. The Eighth Amended and Restated Certificate of Incorporation was filed on February 6, 2020 with the Secretary of State of the State of Delaware. The Ninth Amended and Restated Certificate of Incorporation was filed on November 19, 2020 with the Secretary of State of the State of Delaware, and was further amended by a Certificate of Amendment filed with the Secretary of State of the State of Delaware on March 15, 2021.</w:t>
      </w:r>
    </w:p>
    <w:p>
      <w:pPr>
        <w:spacing w:after="0" w:line="193" w:lineRule="exact"/>
        <w:rPr>
          <w:rFonts w:ascii="Times New Roman" w:cs="Times New Roman" w:eastAsia="Times New Roman" w:hAnsi="Times New Roman"/>
          <w:sz w:val="18"/>
          <w:szCs w:val="18"/>
          <w:color w:val="auto"/>
        </w:rPr>
      </w:pPr>
    </w:p>
    <w:p>
      <w:pPr>
        <w:ind w:right="40" w:firstLine="436"/>
        <w:spacing w:after="0" w:line="251" w:lineRule="auto"/>
        <w:tabs>
          <w:tab w:leader="none" w:pos="60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Board of Directors duly adopted resolutions proposing to amend and restate the Ninth Amended and Restated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ectPr>
          <w:pgSz w:w="11900" w:h="16838" w:orient="portrait"/>
          <w:cols w:equalWidth="0" w:num="1">
            <w:col w:w="10720"/>
          </w:cols>
          <w:pgMar w:left="580" w:top="119" w:right="599" w:bottom="1440" w:gutter="0" w:footer="0" w:header="0"/>
        </w:sectPr>
      </w:pPr>
    </w:p>
    <w:bookmarkStart w:id="297" w:name="page298"/>
    <w:bookmarkEnd w:id="297"/>
    <w:p>
      <w:pPr>
        <w:ind w:right="6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RESOLVED, </w:t>
      </w:r>
      <w:r>
        <w:rPr>
          <w:rFonts w:ascii="Times New Roman" w:cs="Times New Roman" w:eastAsia="Times New Roman" w:hAnsi="Times New Roman"/>
          <w:sz w:val="18"/>
          <w:szCs w:val="18"/>
          <w:color w:val="auto"/>
        </w:rPr>
        <w:t>that the Ninth Amended and Restated Certificate of Incorporation of this corporation be amended and restated in its entirety to read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this corporation is Tempus Labs,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right="10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address of the registered office of the Corporation in the State of Delaware is 1209 Orange Street, City of Wilmington, County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Castle, Delaware 19801. The name of its registered agent at such address is The Corporation Trust Company.</w:t>
      </w:r>
    </w:p>
    <w:p>
      <w:pPr>
        <w:spacing w:after="0" w:line="164" w:lineRule="exact"/>
        <w:rPr>
          <w:sz w:val="20"/>
          <w:szCs w:val="20"/>
          <w:color w:val="auto"/>
        </w:rPr>
      </w:pPr>
    </w:p>
    <w:p>
      <w:pPr>
        <w:ind w:right="46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purpose of the Corporation shall be to engage in any lawful act or activity for which a corporation may be organized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DGCL.</w:t>
      </w:r>
    </w:p>
    <w:p>
      <w:pPr>
        <w:spacing w:after="0" w:line="164" w:lineRule="exact"/>
        <w:rPr>
          <w:sz w:val="20"/>
          <w:szCs w:val="20"/>
          <w:color w:val="auto"/>
        </w:rPr>
      </w:pPr>
    </w:p>
    <w:p>
      <w:pPr>
        <w:jc w:val="both"/>
        <w:ind w:right="540" w:firstLine="428"/>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FOURTH: </w:t>
      </w:r>
      <w:r>
        <w:rPr>
          <w:rFonts w:ascii="Times New Roman" w:cs="Times New Roman" w:eastAsia="Times New Roman" w:hAnsi="Times New Roman"/>
          <w:sz w:val="16"/>
          <w:szCs w:val="16"/>
          <w:color w:val="auto"/>
        </w:rPr>
        <w:t>The Corporation is authorized to issue four classes of stock to be designated, respectively, “Class A Common Stock,” “Class B</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Common Stock,” “Nonvoting Common Stock” and “Preferred Stock.” The total number of shares of all classes of stock which the Corporation is authorized to issue is 333,628,363 shares, of which (i) 195,865,548 shares shall be Class A Common Stock (the “</w:t>
      </w:r>
      <w:r>
        <w:rPr>
          <w:rFonts w:ascii="Times New Roman" w:cs="Times New Roman" w:eastAsia="Times New Roman" w:hAnsi="Times New Roman"/>
          <w:sz w:val="16"/>
          <w:szCs w:val="16"/>
          <w:b w:val="1"/>
          <w:bCs w:val="1"/>
          <w:i w:val="1"/>
          <w:iCs w:val="1"/>
          <w:color w:val="auto"/>
        </w:rPr>
        <w:t>Class A Common Stock</w:t>
      </w:r>
      <w:r>
        <w:rPr>
          <w:rFonts w:ascii="Times New Roman" w:cs="Times New Roman" w:eastAsia="Times New Roman" w:hAnsi="Times New Roman"/>
          <w:sz w:val="16"/>
          <w:szCs w:val="16"/>
          <w:color w:val="auto"/>
        </w:rPr>
        <w:t>”), (ii)</w:t>
      </w:r>
    </w:p>
    <w:p>
      <w:pPr>
        <w:spacing w:after="0" w:line="1" w:lineRule="exact"/>
        <w:rPr>
          <w:sz w:val="20"/>
          <w:szCs w:val="20"/>
          <w:color w:val="auto"/>
        </w:rPr>
      </w:pPr>
    </w:p>
    <w:p>
      <w:pPr>
        <w:ind w:right="460"/>
        <w:spacing w:after="0" w:line="247" w:lineRule="auto"/>
        <w:rPr>
          <w:sz w:val="20"/>
          <w:szCs w:val="20"/>
          <w:color w:val="auto"/>
        </w:rPr>
      </w:pPr>
      <w:r>
        <w:rPr>
          <w:rFonts w:ascii="Times New Roman" w:cs="Times New Roman" w:eastAsia="Times New Roman" w:hAnsi="Times New Roman"/>
          <w:sz w:val="18"/>
          <w:szCs w:val="18"/>
          <w:color w:val="auto"/>
        </w:rPr>
        <w:t>5,374,899 shares shall be Class B Common Stock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(iii) 66,946,627 shares shall be Nonvoting Common Stock (the “</w:t>
      </w:r>
      <w:r>
        <w:rPr>
          <w:rFonts w:ascii="Times New Roman" w:cs="Times New Roman" w:eastAsia="Times New Roman" w:hAnsi="Times New Roman"/>
          <w:sz w:val="18"/>
          <w:szCs w:val="18"/>
          <w:b w:val="1"/>
          <w:bCs w:val="1"/>
          <w:i w:val="1"/>
          <w:iCs w:val="1"/>
          <w:color w:val="auto"/>
        </w:rPr>
        <w:t>Nonvoting Common Stock</w:t>
      </w:r>
      <w:r>
        <w:rPr>
          <w:rFonts w:ascii="Times New Roman" w:cs="Times New Roman" w:eastAsia="Times New Roman" w:hAnsi="Times New Roman"/>
          <w:sz w:val="18"/>
          <w:szCs w:val="18"/>
          <w:color w:val="auto"/>
        </w:rPr>
        <w:t>”), and (iv) 65,441,289 shares shall be Preferred Stock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right="20" w:firstLine="428"/>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Each share of Class A Common Stock and Class B Common Stock (referred to herein, collectively, as the “</w:t>
      </w:r>
      <w:r>
        <w:rPr>
          <w:rFonts w:ascii="Times New Roman" w:cs="Times New Roman" w:eastAsia="Times New Roman" w:hAnsi="Times New Roman"/>
          <w:sz w:val="18"/>
          <w:szCs w:val="18"/>
          <w:b w:val="1"/>
          <w:bCs w:val="1"/>
          <w:i w:val="1"/>
          <w:iCs w:val="1"/>
          <w:color w:val="auto"/>
        </w:rPr>
        <w:t>Voting Common Stock</w:t>
      </w:r>
      <w:r>
        <w:rPr>
          <w:rFonts w:ascii="Times New Roman" w:cs="Times New Roman" w:eastAsia="Times New Roman" w:hAnsi="Times New Roman"/>
          <w:sz w:val="18"/>
          <w:szCs w:val="18"/>
          <w:color w:val="auto"/>
        </w:rPr>
        <w: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 par value of $0.0001 per share. Each share of Nonvoting Common Stock shall have a par value of $0.0001 per share. The Voting Common Stock and Nonvoting Common Stock are referred to herein, collectively, as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color w:val="auto"/>
        </w:rPr>
        <w:t>10,000,000 of the authorized shares of Preferred Stock are hereby designated “Series A Preferred Stock” (referred to herein as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Series A Preferred Stock</w:t>
      </w:r>
      <w:r>
        <w:rPr>
          <w:rFonts w:ascii="Times New Roman" w:cs="Times New Roman" w:eastAsia="Times New Roman" w:hAnsi="Times New Roman"/>
          <w:sz w:val="16"/>
          <w:szCs w:val="16"/>
          <w:color w:val="auto"/>
        </w:rPr>
        <w:t>”), 5,374,899 of the authorized shares of Preferred Stock are hereby designated “Series B Preferred Stock” (referred to herein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the “</w:t>
      </w:r>
      <w:r>
        <w:rPr>
          <w:rFonts w:ascii="Times New Roman" w:cs="Times New Roman" w:eastAsia="Times New Roman" w:hAnsi="Times New Roman"/>
          <w:sz w:val="16"/>
          <w:szCs w:val="16"/>
          <w:b w:val="1"/>
          <w:bCs w:val="1"/>
          <w:i w:val="1"/>
          <w:iCs w:val="1"/>
          <w:color w:val="auto"/>
        </w:rPr>
        <w:t>Series B Preferred Stock</w:t>
      </w:r>
      <w:r>
        <w:rPr>
          <w:rFonts w:ascii="Times New Roman" w:cs="Times New Roman" w:eastAsia="Times New Roman" w:hAnsi="Times New Roman"/>
          <w:sz w:val="16"/>
          <w:szCs w:val="16"/>
          <w:color w:val="auto"/>
        </w:rPr>
        <w:t>”), 2,500,000 of the authorized shares of Preferred Stock are hereby designated “Series B-1 Preferred Stock” (referred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herein as the “</w:t>
      </w:r>
      <w:r>
        <w:rPr>
          <w:rFonts w:ascii="Times New Roman" w:cs="Times New Roman" w:eastAsia="Times New Roman" w:hAnsi="Times New Roman"/>
          <w:sz w:val="16"/>
          <w:szCs w:val="16"/>
          <w:b w:val="1"/>
          <w:bCs w:val="1"/>
          <w:i w:val="1"/>
          <w:iCs w:val="1"/>
          <w:color w:val="auto"/>
        </w:rPr>
        <w:t>Series B-1 Preferred Stock</w:t>
      </w:r>
      <w:r>
        <w:rPr>
          <w:rFonts w:ascii="Times New Roman" w:cs="Times New Roman" w:eastAsia="Times New Roman" w:hAnsi="Times New Roman"/>
          <w:sz w:val="16"/>
          <w:szCs w:val="16"/>
          <w:color w:val="auto"/>
        </w:rPr>
        <w:t>”), 4,191,173 of the authorized shares of Preferred Stock are hereby designated “Series B-2 Preferred Stock”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(referred to herein as the “</w:t>
      </w:r>
      <w:r>
        <w:rPr>
          <w:rFonts w:ascii="Times New Roman" w:cs="Times New Roman" w:eastAsia="Times New Roman" w:hAnsi="Times New Roman"/>
          <w:sz w:val="16"/>
          <w:szCs w:val="16"/>
          <w:b w:val="1"/>
          <w:bCs w:val="1"/>
          <w:i w:val="1"/>
          <w:iCs w:val="1"/>
          <w:color w:val="auto"/>
        </w:rPr>
        <w:t>Series B-2 Preferred Stock</w:t>
      </w:r>
      <w:r>
        <w:rPr>
          <w:rFonts w:ascii="Times New Roman" w:cs="Times New Roman" w:eastAsia="Times New Roman" w:hAnsi="Times New Roman"/>
          <w:sz w:val="16"/>
          <w:szCs w:val="16"/>
          <w:color w:val="auto"/>
        </w:rPr>
        <w:t>”), 9,779,403 of the authorized shares of Preferred Stock are hereby designated “Series C Preferred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(referred to herein as the “</w:t>
      </w:r>
      <w:r>
        <w:rPr>
          <w:rFonts w:ascii="Times New Roman" w:cs="Times New Roman" w:eastAsia="Times New Roman" w:hAnsi="Times New Roman"/>
          <w:sz w:val="18"/>
          <w:szCs w:val="18"/>
          <w:b w:val="1"/>
          <w:bCs w:val="1"/>
          <w:i w:val="1"/>
          <w:iCs w:val="1"/>
          <w:color w:val="auto"/>
        </w:rPr>
        <w:t>Series C Preferred Stock</w:t>
      </w:r>
      <w:r>
        <w:rPr>
          <w:rFonts w:ascii="Times New Roman" w:cs="Times New Roman" w:eastAsia="Times New Roman" w:hAnsi="Times New Roman"/>
          <w:sz w:val="18"/>
          <w:szCs w:val="18"/>
          <w:color w:val="auto"/>
        </w:rPr>
        <w:t>”), 8,534,330 of the authorized shares of Preferred Stock are hereby designated “Series 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(referred to herein as the “</w:t>
      </w:r>
      <w:r>
        <w:rPr>
          <w:rFonts w:ascii="Times New Roman" w:cs="Times New Roman" w:eastAsia="Times New Roman" w:hAnsi="Times New Roman"/>
          <w:sz w:val="18"/>
          <w:szCs w:val="18"/>
          <w:b w:val="1"/>
          <w:bCs w:val="1"/>
          <w:i w:val="1"/>
          <w:iCs w:val="1"/>
          <w:color w:val="auto"/>
        </w:rPr>
        <w:t>Series D Preferred Stock</w:t>
      </w:r>
      <w:r>
        <w:rPr>
          <w:rFonts w:ascii="Times New Roman" w:cs="Times New Roman" w:eastAsia="Times New Roman" w:hAnsi="Times New Roman"/>
          <w:sz w:val="18"/>
          <w:szCs w:val="18"/>
          <w:color w:val="auto"/>
        </w:rPr>
        <w:t>”), 6,630,905 of the authorized shares of Preferred Stock are hereby designated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E Preferred Stock” (referred to herein as the “</w:t>
      </w:r>
      <w:r>
        <w:rPr>
          <w:rFonts w:ascii="Times New Roman" w:cs="Times New Roman" w:eastAsia="Times New Roman" w:hAnsi="Times New Roman"/>
          <w:sz w:val="18"/>
          <w:szCs w:val="18"/>
          <w:b w:val="1"/>
          <w:bCs w:val="1"/>
          <w:i w:val="1"/>
          <w:iCs w:val="1"/>
          <w:color w:val="auto"/>
        </w:rPr>
        <w:t>Series E Preferred Stock</w:t>
      </w:r>
      <w:r>
        <w:rPr>
          <w:rFonts w:ascii="Times New Roman" w:cs="Times New Roman" w:eastAsia="Times New Roman" w:hAnsi="Times New Roman"/>
          <w:sz w:val="18"/>
          <w:szCs w:val="18"/>
          <w:color w:val="auto"/>
        </w:rPr>
        <w:t>”), 8,077,674 of the authorized shares of Preferred Stock are hereby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designated “Series F Preferred Stock” (referred to herein as the “</w:t>
      </w:r>
      <w:r>
        <w:rPr>
          <w:rFonts w:ascii="Times New Roman" w:cs="Times New Roman" w:eastAsia="Times New Roman" w:hAnsi="Times New Roman"/>
          <w:sz w:val="16"/>
          <w:szCs w:val="16"/>
          <w:b w:val="1"/>
          <w:bCs w:val="1"/>
          <w:i w:val="1"/>
          <w:iCs w:val="1"/>
          <w:color w:val="auto"/>
        </w:rPr>
        <w:t>Series F Preferred Stock</w:t>
      </w:r>
      <w:r>
        <w:rPr>
          <w:rFonts w:ascii="Times New Roman" w:cs="Times New Roman" w:eastAsia="Times New Roman" w:hAnsi="Times New Roman"/>
          <w:sz w:val="16"/>
          <w:szCs w:val="16"/>
          <w:color w:val="auto"/>
        </w:rPr>
        <w:t>”), 2,537,290 of the authorized shares of Preferred Stock 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designated “Series G Preferred Stock” (referred to herein as the “</w:t>
      </w:r>
      <w:r>
        <w:rPr>
          <w:rFonts w:ascii="Times New Roman" w:cs="Times New Roman" w:eastAsia="Times New Roman" w:hAnsi="Times New Roman"/>
          <w:sz w:val="18"/>
          <w:szCs w:val="18"/>
          <w:b w:val="1"/>
          <w:bCs w:val="1"/>
          <w:i w:val="1"/>
          <w:iCs w:val="1"/>
          <w:color w:val="auto"/>
        </w:rPr>
        <w:t>Series G Preferred Stock</w:t>
      </w:r>
      <w:r>
        <w:rPr>
          <w:rFonts w:ascii="Times New Roman" w:cs="Times New Roman" w:eastAsia="Times New Roman" w:hAnsi="Times New Roman"/>
          <w:sz w:val="18"/>
          <w:szCs w:val="18"/>
          <w:color w:val="auto"/>
        </w:rPr>
        <w:t>”), 3,453,139 of the authorized shares of Preferred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are hereby designated “Series G-2 Preferred Stock” (referred to herein as the “</w:t>
      </w:r>
      <w:r>
        <w:rPr>
          <w:rFonts w:ascii="Times New Roman" w:cs="Times New Roman" w:eastAsia="Times New Roman" w:hAnsi="Times New Roman"/>
          <w:sz w:val="18"/>
          <w:szCs w:val="18"/>
          <w:b w:val="1"/>
          <w:bCs w:val="1"/>
          <w:i w:val="1"/>
          <w:iCs w:val="1"/>
          <w:color w:val="auto"/>
        </w:rPr>
        <w:t>Series G-2 Preferred Stock</w:t>
      </w:r>
      <w:r>
        <w:rPr>
          <w:rFonts w:ascii="Times New Roman" w:cs="Times New Roman" w:eastAsia="Times New Roman" w:hAnsi="Times New Roman"/>
          <w:sz w:val="18"/>
          <w:szCs w:val="18"/>
          <w:color w:val="auto"/>
        </w:rPr>
        <w:t>”) and 4,362,476 of the authorized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Preferred Stock are hereby designated “Series G-3 Preferred Stock” (referred to herein as the “</w:t>
      </w:r>
      <w:r>
        <w:rPr>
          <w:rFonts w:ascii="Times New Roman" w:cs="Times New Roman" w:eastAsia="Times New Roman" w:hAnsi="Times New Roman"/>
          <w:sz w:val="18"/>
          <w:szCs w:val="18"/>
          <w:b w:val="1"/>
          <w:bCs w:val="1"/>
          <w:i w:val="1"/>
          <w:iCs w:val="1"/>
          <w:color w:val="auto"/>
        </w:rPr>
        <w:t>Series G-3 Preferred Stock</w:t>
      </w:r>
      <w:r>
        <w:rPr>
          <w:rFonts w:ascii="Times New Roman" w:cs="Times New Roman" w:eastAsia="Times New Roman" w:hAnsi="Times New Roman"/>
          <w:sz w:val="18"/>
          <w:szCs w:val="18"/>
          <w:color w:val="auto"/>
        </w:rPr>
        <w:t>”). Each share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Series A Preferred Stock, Series B Preferred Stock, Series B-1 Preferred Stock, Series B-2 Preferred Stock, Series C Preferred Stock, Series D Preferred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Series E Preferred Stock, Series F Preferred Stock, Series G Preferred Stock, Series G-2 Preferred Stock and Series G-3 Preferred Stock shall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 par value of $0.0001 per share.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20"/>
          </w:cols>
          <w:pgMar w:left="580" w:top="264" w:right="599" w:bottom="1440" w:gutter="0" w:footer="0" w:header="0"/>
        </w:sectPr>
      </w:pPr>
    </w:p>
    <w:bookmarkStart w:id="298" w:name="page299"/>
    <w:bookmarkEnd w:id="298"/>
    <w:p>
      <w:pPr>
        <w:ind w:left="4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SEVENTH: </w:t>
      </w:r>
      <w:r>
        <w:rPr>
          <w:rFonts w:ascii="Times New Roman" w:cs="Times New Roman" w:eastAsia="Times New Roman" w:hAnsi="Times New Roman"/>
          <w:sz w:val="16"/>
          <w:szCs w:val="16"/>
          <w:color w:val="auto"/>
        </w:rPr>
        <w:t>The rights, preferences, privileges, restrictions and other matters relating to the Common Stock and Preferred Stock are as follows:</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COMMON STOCK</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Common Stock shall have the following rights, preferences, powers, privileges and restrictions, qualifications and limitations.</w:t>
      </w:r>
    </w:p>
    <w:p>
      <w:pPr>
        <w:spacing w:after="0" w:line="213" w:lineRule="exact"/>
        <w:rPr>
          <w:sz w:val="20"/>
          <w:szCs w:val="20"/>
          <w:color w:val="auto"/>
        </w:rPr>
      </w:pPr>
    </w:p>
    <w:p>
      <w:pPr>
        <w:ind w:right="20" w:firstLine="964"/>
        <w:spacing w:after="0" w:line="248"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voting, dividend, liquidation and other rights, powers and preferences of the holders of the Class A Common Stock, Class B Common Stock and Nonvoting Common Stock are subject to and qualified by the rights, powers and preferences of the holders of the Preferred Stock set forth herein. Except as otherwise provided in this Tenth Amended and Restated Certificate of Incorporation, as amended (the “</w:t>
      </w:r>
      <w:r>
        <w:rPr>
          <w:rFonts w:ascii="Times New Roman" w:cs="Times New Roman" w:eastAsia="Times New Roman" w:hAnsi="Times New Roman"/>
          <w:sz w:val="18"/>
          <w:szCs w:val="18"/>
          <w:b w:val="1"/>
          <w:bCs w:val="1"/>
          <w:i w:val="1"/>
          <w:iCs w:val="1"/>
          <w:color w:val="auto"/>
        </w:rPr>
        <w:t>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or required by applicable law, shares of Class A Common Stock, Class B Common Stock and Nonvoting Common Stock shall have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same rights, privileges and powers, rank equally (including as to dividends and distributions, and upon any liquidation, dissolution, distribution of assets or winding up of the Corporation), share ratably and be identical in all respects and as to all matters.</w:t>
      </w:r>
    </w:p>
    <w:p>
      <w:pPr>
        <w:spacing w:after="0" w:line="187" w:lineRule="exact"/>
        <w:rPr>
          <w:sz w:val="20"/>
          <w:szCs w:val="20"/>
          <w:color w:val="auto"/>
        </w:rPr>
      </w:pPr>
    </w:p>
    <w:p>
      <w:pPr>
        <w:ind w:firstLine="972"/>
        <w:spacing w:after="0" w:line="245" w:lineRule="auto"/>
        <w:tabs>
          <w:tab w:leader="none" w:pos="113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required by applicable law, at all meetings of stockholders and on all matters submitted to a vote of stockholders of the Corporation generally (including written actions in lieu of meetings), each holder of the Class A Common Stock shall be entitled to one (1) vote for each share of Class A Common Stock held of record by such holder, and each holder of Class B Common Stock shall be entitled to fifteen (15) votes for each share of Class B Common Stock held of record by such holder. Except as otherwise required by applicable law or provided in this Restated Certificate, the holders of shares of Class A Common Stock and Class B Common Stock, as such, shall (a) at all times vote together as a single class on all matters (including the election of directors) submitted to a vote of the stockholders of the Corporation generally, (b) be entitled to notice of any stockholders’ meeting in accordance with the Amended and Restated Bylaws of the Corporation (as the same may be amended and/or restated from time to time,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xml:space="preserve">”), and (c) be entitled to vote upon such matters and in such manner as may be provided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as otherwise required by law, holders of Voting Common Stock, as such, shall not be entitled to vote on any amendment to this Restated Certificate that relates solely to the terms of one or more outstanding series of Preferred Stock if the holders of such affected series are entitled, either separately or together with the holders of one or more other such series, to vote thereon pursuant to the Restated Certificate or pursuant to the DGCL. The holders of Nonvoting Common Stock shall have no voting rights, except as required by law. There shall be no cumulative voting. Subject to </w:t>
      </w:r>
      <w:r>
        <w:rPr>
          <w:rFonts w:ascii="Times New Roman" w:cs="Times New Roman" w:eastAsia="Times New Roman" w:hAnsi="Times New Roman"/>
          <w:sz w:val="18"/>
          <w:szCs w:val="18"/>
          <w:u w:val="single" w:color="auto"/>
          <w:color w:val="auto"/>
        </w:rPr>
        <w:t>Sections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xml:space="preserve"> of Part B below, the number of authorized shares of Class A Common Stock, Class B Common Stock, Nonvoting Common Stock or Preferred Stock may be increased or decreased (but not below (i) the number of shares thereof then outstanding and (ii) with respect to the Class A Common Stock, the number of shares of Class A Common Stock reserved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Part A of this Article Seventh) by (in addition to any vote of the holders of one or more series of Preferred Stock that may be required by the terms of this Restated Certificate)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580" w:top="263" w:right="619" w:bottom="1440" w:gutter="0" w:footer="0" w:header="0"/>
        </w:sectPr>
      </w:pPr>
    </w:p>
    <w:bookmarkStart w:id="299" w:name="page300"/>
    <w:bookmarkEnd w:id="29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affirmative vote of the holders of capital stock representing a majority of the voting power of all the then-outstanding shares of capital stock of the Corporation entitled to vote thereon, irrespective of the provisions of Section 242(b)(2) of DGCL, and no vote of the holders of any shares of Nonvoting Common Stock, voting as a separate class, shall be required therefor.</w:t>
      </w:r>
    </w:p>
    <w:p>
      <w:pPr>
        <w:spacing w:after="0" w:line="180" w:lineRule="exact"/>
        <w:rPr>
          <w:sz w:val="20"/>
          <w:szCs w:val="20"/>
          <w:color w:val="auto"/>
        </w:rPr>
      </w:pPr>
    </w:p>
    <w:p>
      <w:pPr>
        <w:ind w:left="1140" w:hanging="168"/>
        <w:spacing w:after="0"/>
        <w:tabs>
          <w:tab w:leader="none" w:pos="11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firstLine="1393"/>
        <w:spacing w:after="0" w:line="24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Optional Conversion of Class B Common Stock</w:t>
      </w:r>
      <w:r>
        <w:rPr>
          <w:rFonts w:ascii="Times New Roman" w:cs="Times New Roman" w:eastAsia="Times New Roman" w:hAnsi="Times New Roman"/>
          <w:sz w:val="18"/>
          <w:szCs w:val="18"/>
          <w:color w:val="auto"/>
        </w:rPr>
        <w:t xml:space="preserve">. Each share of Class B Common Stock shall be convertible into one (1) fully paid and nonassessable share of Class A Common Stock at the option of the holder thereof at any time upon written notice to the Corporation. Before any holder of Class B Common Stock shall be entitled to convert any shares of Class B Common Stock into shares of Class A Common Stock, such holder shall surrender the certificate or certificates therefor (if any), duly endorsed, at the principal corporate office of the Corporation or of any transfer agent for the Class B Common Stock, and shall provide written notice to the Corporation at its principal corporate office, of such conversion election and shall state therein the name or names (i) in which the certificate or certificates representing the shares of Class A Common Stock into which the shares of Class B Common Stock are so converted are to be issued (if such shares of Class A Common Stock are certificated) or (ii) in which such shares of Class A Common Stock are to be registered in book-entry form (if such shares of Class A Common Stock are uncertificated). If the shares of Class A Common Stock into which the shares of Class B Common Stock are to be converted are to be issued in a name or names other than the name of the holder of the shares of Class B Common Stock being converted, such notice shall be accompanied by a written instrument or instruments of transfer, in form satisfactory to the Corporation, duly executed by the holder. The Corporation shall, as soon as practicable thereafter, issue and deliver at such office to such holder, or to the nominee or nominees of such holder, a certificate or certificates representing the number of shares of Class A Common Stock to which such holder shall be entitled upon such conversion (if such shares of Class A Common Stock are certificated) or shall register such shares of Class A Common Stock in book-entry form (if such shares of Class A Common Stock are uncertificated). Such conversion shall be deemed to be effective immediately prior to the close of business on the date of such surrender of the shares of Class B Common Stock to be converted following or contemporaneously with the provision of written notice of such conversion election as required by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shares of Class A Common Stock issuable upon such conversion shall be deemed to be outstanding as of such time, and the Person or Persons entitled to receive the shares of Class A Common Stock issuable upon such conversion shall be deemed to be the record holder or holders of such shares of Class A Common Stock as of such time.</w:t>
      </w:r>
    </w:p>
    <w:p>
      <w:pPr>
        <w:spacing w:after="0" w:line="203" w:lineRule="exact"/>
        <w:rPr>
          <w:sz w:val="20"/>
          <w:szCs w:val="20"/>
          <w:color w:val="auto"/>
        </w:rPr>
      </w:pPr>
    </w:p>
    <w:p>
      <w:pPr>
        <w:ind w:right="100" w:firstLine="1393"/>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Automatic Conversion of Class B Common Stock</w:t>
      </w:r>
      <w:r>
        <w:rPr>
          <w:rFonts w:ascii="Times New Roman" w:cs="Times New Roman" w:eastAsia="Times New Roman" w:hAnsi="Times New Roman"/>
          <w:sz w:val="18"/>
          <w:szCs w:val="18"/>
          <w:color w:val="auto"/>
        </w:rPr>
        <w:t>. Each share of Class B Common Stock shall automatically, without further action by the Corporation or the holder thereof, convert into one (1) fully paid and nonassessable share of Class A Common Stock upon the occurrence of any event described below:</w:t>
      </w:r>
    </w:p>
    <w:p>
      <w:pPr>
        <w:spacing w:after="0" w:line="7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3.2.1 the date that is twenty (20) years from the Effective Time;</w:t>
      </w:r>
    </w:p>
    <w:p>
      <w:pPr>
        <w:spacing w:after="0" w:line="213" w:lineRule="exact"/>
        <w:rPr>
          <w:sz w:val="20"/>
          <w:szCs w:val="20"/>
          <w:color w:val="auto"/>
        </w:rPr>
      </w:pPr>
    </w:p>
    <w:p>
      <w:pPr>
        <w:ind w:right="620" w:firstLine="1928"/>
        <w:spacing w:after="0" w:line="255" w:lineRule="auto"/>
        <w:rPr>
          <w:sz w:val="20"/>
          <w:szCs w:val="20"/>
          <w:color w:val="auto"/>
        </w:rPr>
      </w:pPr>
      <w:r>
        <w:rPr>
          <w:rFonts w:ascii="Times New Roman" w:cs="Times New Roman" w:eastAsia="Times New Roman" w:hAnsi="Times New Roman"/>
          <w:sz w:val="18"/>
          <w:szCs w:val="18"/>
          <w:color w:val="auto"/>
        </w:rPr>
        <w:t xml:space="preserve">3.2.2 the first date on which Eric P. Lefkofsky and his Controlled Affiliates (as defined in </w:t>
      </w:r>
      <w:r>
        <w:rPr>
          <w:rFonts w:ascii="Times New Roman" w:cs="Times New Roman" w:eastAsia="Times New Roman" w:hAnsi="Times New Roman"/>
          <w:sz w:val="18"/>
          <w:szCs w:val="18"/>
          <w:u w:val="single" w:color="auto"/>
          <w:color w:val="auto"/>
        </w:rPr>
        <w:t>Section 5.1.1(g)</w:t>
      </w:r>
      <w:r>
        <w:rPr>
          <w:rFonts w:ascii="Times New Roman" w:cs="Times New Roman" w:eastAsia="Times New Roman" w:hAnsi="Times New Roman"/>
          <w:sz w:val="18"/>
          <w:szCs w:val="18"/>
          <w:color w:val="auto"/>
        </w:rPr>
        <w:t xml:space="preserve"> below) collectively own less than 10,000,000 shares of capital stock of the Corporation, as adjusted for any stock splits, stock dividends, combinations, subdivisions, recapitalizations or the like;</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80"/>
          </w:cols>
          <w:pgMar w:left="580" w:top="266" w:right="639" w:bottom="1440" w:gutter="0" w:footer="0" w:header="0"/>
        </w:sectPr>
      </w:pPr>
    </w:p>
    <w:bookmarkStart w:id="300" w:name="page301"/>
    <w:bookmarkEnd w:id="300"/>
    <w:p>
      <w:pPr>
        <w:ind w:right="60" w:firstLine="19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3.2.3 the date on which Eric P. Lefkofsky is no longer providing services to the Company as an executive officer or member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w:t>
      </w:r>
    </w:p>
    <w:p>
      <w:pPr>
        <w:spacing w:after="0" w:line="170" w:lineRule="exact"/>
        <w:rPr>
          <w:sz w:val="20"/>
          <w:szCs w:val="20"/>
          <w:color w:val="auto"/>
        </w:rPr>
      </w:pPr>
    </w:p>
    <w:p>
      <w:pPr>
        <w:jc w:val="both"/>
        <w:ind w:firstLine="1928"/>
        <w:spacing w:after="0" w:line="255" w:lineRule="auto"/>
        <w:rPr>
          <w:sz w:val="20"/>
          <w:szCs w:val="20"/>
          <w:color w:val="auto"/>
        </w:rPr>
      </w:pPr>
      <w:r>
        <w:rPr>
          <w:rFonts w:ascii="Times New Roman" w:cs="Times New Roman" w:eastAsia="Times New Roman" w:hAnsi="Times New Roman"/>
          <w:sz w:val="18"/>
          <w:szCs w:val="18"/>
          <w:color w:val="auto"/>
        </w:rPr>
        <w:t>3.2.4 any sale, assignment, transfer, conveyance, hypothecation or other disposition of any legal or beneficial interest in such share, whether or not for value and whether voluntary or involuntary or by operation of law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other than a Transfer by a holder of Class B Common Stock to any of its Controlled Affiliates.</w:t>
      </w:r>
    </w:p>
    <w:p>
      <w:pPr>
        <w:spacing w:after="0" w:line="180" w:lineRule="exact"/>
        <w:rPr>
          <w:sz w:val="20"/>
          <w:szCs w:val="20"/>
          <w:color w:val="auto"/>
        </w:rPr>
      </w:pPr>
    </w:p>
    <w:p>
      <w:pPr>
        <w:ind w:firstLine="1393"/>
        <w:spacing w:after="0" w:line="25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Mandatory Conversion of Nonvoting Common Stock</w:t>
      </w:r>
      <w:r>
        <w:rPr>
          <w:rFonts w:ascii="Times New Roman" w:cs="Times New Roman" w:eastAsia="Times New Roman" w:hAnsi="Times New Roman"/>
          <w:sz w:val="18"/>
          <w:szCs w:val="18"/>
          <w:color w:val="auto"/>
        </w:rPr>
        <w:t xml:space="preserve">. All outstanding shares of Nonvoting Common Stock shall automatically be converted into shares of Class A Common Stock at the Nonvoting Mandatory Conversion Time (as defined below).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Part B of this Article Seventh states the mandatory conversion conditions and mechanics.</w:t>
      </w:r>
    </w:p>
    <w:p>
      <w:pPr>
        <w:spacing w:after="0" w:line="180" w:lineRule="exact"/>
        <w:rPr>
          <w:sz w:val="20"/>
          <w:szCs w:val="20"/>
          <w:color w:val="auto"/>
        </w:rPr>
      </w:pPr>
    </w:p>
    <w:p>
      <w:pPr>
        <w:jc w:val="both"/>
        <w:ind w:right="80" w:firstLine="972"/>
        <w:spacing w:after="0" w:line="251" w:lineRule="auto"/>
        <w:tabs>
          <w:tab w:leader="none" w:pos="1139"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The Corporation shall at all times reserve and keep available out of its authorized but unissued shares of Class A Common Stock, solely for the purpose of effecting the conversion of the shares of Class B Common Stock, such number of shares of Class A Common Stock as shall from time to time be sufficient to effect the conversion of all outstanding shares of Class B Common Stock into shares of Class A Common Stock.</w:t>
      </w:r>
    </w:p>
    <w:p>
      <w:pPr>
        <w:spacing w:after="0" w:line="184" w:lineRule="exact"/>
        <w:rPr>
          <w:rFonts w:ascii="Times New Roman" w:cs="Times New Roman" w:eastAsia="Times New Roman" w:hAnsi="Times New Roman"/>
          <w:sz w:val="18"/>
          <w:szCs w:val="18"/>
          <w:color w:val="auto"/>
        </w:rPr>
      </w:pPr>
    </w:p>
    <w:p>
      <w:pPr>
        <w:ind w:left="640" w:hanging="204"/>
        <w:spacing w:after="0"/>
        <w:tabs>
          <w:tab w:leader="none" w:pos="6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213" w:lineRule="exact"/>
        <w:rPr>
          <w:sz w:val="20"/>
          <w:szCs w:val="20"/>
          <w:color w:val="auto"/>
        </w:rPr>
      </w:pPr>
    </w:p>
    <w:p>
      <w:pPr>
        <w:ind w:right="580" w:firstLine="428"/>
        <w:spacing w:after="0" w:line="267" w:lineRule="auto"/>
        <w:rPr>
          <w:sz w:val="20"/>
          <w:szCs w:val="20"/>
          <w:color w:val="auto"/>
        </w:rPr>
      </w:pPr>
      <w:r>
        <w:rPr>
          <w:rFonts w:ascii="Times New Roman" w:cs="Times New Roman" w:eastAsia="Times New Roman" w:hAnsi="Times New Roman"/>
          <w:sz w:val="18"/>
          <w:szCs w:val="18"/>
          <w:color w:val="auto"/>
        </w:rPr>
        <w:t>The Preferred Stock shall have the following rights, preferences, powers, privileges and restrictions, qualifications and limitations. Unless otherwise indicated, references to “Sections” in this Part B of this Article Seventh refer to sections of Part B of this Article Seventh.</w:t>
      </w:r>
    </w:p>
    <w:p>
      <w:pPr>
        <w:spacing w:after="0" w:line="170" w:lineRule="exact"/>
        <w:rPr>
          <w:sz w:val="20"/>
          <w:szCs w:val="20"/>
          <w:color w:val="auto"/>
        </w:rPr>
      </w:pPr>
    </w:p>
    <w:p>
      <w:pPr>
        <w:ind w:left="1140" w:hanging="168"/>
        <w:spacing w:after="0"/>
        <w:tabs>
          <w:tab w:leader="none" w:pos="11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40" w:firstLine="1393"/>
        <w:spacing w:after="0" w:line="245"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Series G-3 PIK Dividends</w:t>
      </w:r>
      <w:r>
        <w:rPr>
          <w:rFonts w:ascii="Times New Roman" w:cs="Times New Roman" w:eastAsia="Times New Roman" w:hAnsi="Times New Roman"/>
          <w:sz w:val="18"/>
          <w:szCs w:val="18"/>
          <w:color w:val="auto"/>
        </w:rPr>
        <w:t>. From and after the date of the issuance of any share of Series G-3 Preferred Stock, dividends shall accrue on such share of Series G-3 Preferred Stock, at the rate of four percent (4.0%) per annum on the sum of (i) the Series G-3 Original Issue Price (subject to appropriate adjustment in the event of any stock dividend, stock split, combination or other similar recapitalization with respect to such class or series) plus (ii) all accrued but unpaid dividends thereon. Such dividends on the shares of Series G-3 Preferred Stock shall accrue from day to day, whether or not declared and whether or not there are any funds of the Corporation legally available for the payment of dividends, and shall be cumulative. To the extent permitted by applicable law, the Corporation shall pay all of the accrued dividends on shares of Series G-3 Preferred Stock in fully paid and non-assessable shares of Series G-3 Preferred Stock (such dividends being the “</w:t>
      </w:r>
      <w:r>
        <w:rPr>
          <w:rFonts w:ascii="Times New Roman" w:cs="Times New Roman" w:eastAsia="Times New Roman" w:hAnsi="Times New Roman"/>
          <w:sz w:val="18"/>
          <w:szCs w:val="18"/>
          <w:b w:val="1"/>
          <w:bCs w:val="1"/>
          <w:i w:val="1"/>
          <w:iCs w:val="1"/>
          <w:color w:val="auto"/>
        </w:rPr>
        <w:t>Series G-3 PIK Dividends</w:t>
      </w:r>
      <w:r>
        <w:rPr>
          <w:rFonts w:ascii="Times New Roman" w:cs="Times New Roman" w:eastAsia="Times New Roman" w:hAnsi="Times New Roman"/>
          <w:sz w:val="18"/>
          <w:szCs w:val="18"/>
          <w:color w:val="auto"/>
        </w:rPr>
        <w:t>”). The Series G-3 PIK Dividends shall be paid by delivering to each record holder of shares of Series G-3 Preferred Stock a number of whole shares of Series G-3 Preferred Stock determined by dividing (x) the accrued and unpaid dividends on the Series G-3 Preferred Stock on the applicable Series G-3 Dividend Payment Date by (y) the Series G-3 Original Issue Price (subject to appropriate adjustment in the event of any stock dividend, stock split, combination or other similar recapitalization with respect to such class or</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80"/>
          </w:cols>
          <w:pgMar w:left="580" w:top="266" w:right="639" w:bottom="1440" w:gutter="0" w:footer="0" w:header="0"/>
        </w:sectPr>
      </w:pPr>
    </w:p>
    <w:bookmarkStart w:id="301" w:name="page302"/>
    <w:bookmarkEnd w:id="301"/>
    <w:p>
      <w:pPr>
        <w:ind w:right="4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series), on January 15 of each year (or the following business day, each such date, a “</w:t>
      </w:r>
      <w:r>
        <w:rPr>
          <w:rFonts w:ascii="Times New Roman" w:cs="Times New Roman" w:eastAsia="Times New Roman" w:hAnsi="Times New Roman"/>
          <w:sz w:val="16"/>
          <w:szCs w:val="16"/>
          <w:b w:val="1"/>
          <w:bCs w:val="1"/>
          <w:i w:val="1"/>
          <w:iCs w:val="1"/>
          <w:color w:val="auto"/>
        </w:rPr>
        <w:t>Series G-3 Dividend Payment Date</w:t>
      </w:r>
      <w:r>
        <w:rPr>
          <w:rFonts w:ascii="Times New Roman" w:cs="Times New Roman" w:eastAsia="Times New Roman" w:hAnsi="Times New Roman"/>
          <w:sz w:val="16"/>
          <w:szCs w:val="16"/>
          <w:color w:val="auto"/>
        </w:rPr>
        <w:t xml:space="preserve">”). If and to the extent that any portion of the accrued but unpaid dividends required to be paid on a Series G-3 Dividend Payment Date are not paid on such Series G-3 Dividend Payment Date, such unpaid portion of the dividends on the Series G-3 Preferred Stock shall accumulate and compound on the applicable Series G-3 Dividend Payment Date and subject to the provisions of this </w:t>
      </w:r>
      <w:r>
        <w:rPr>
          <w:rFonts w:ascii="Times New Roman" w:cs="Times New Roman" w:eastAsia="Times New Roman" w:hAnsi="Times New Roman"/>
          <w:sz w:val="16"/>
          <w:szCs w:val="16"/>
          <w:u w:val="single" w:color="auto"/>
          <w:color w:val="auto"/>
        </w:rPr>
        <w:t>Subsection 1.1</w:t>
      </w:r>
      <w:r>
        <w:rPr>
          <w:rFonts w:ascii="Times New Roman" w:cs="Times New Roman" w:eastAsia="Times New Roman" w:hAnsi="Times New Roman"/>
          <w:sz w:val="16"/>
          <w:szCs w:val="16"/>
          <w:color w:val="auto"/>
        </w:rPr>
        <w:t xml:space="preserve"> shall be payable on the following Series G-3 Dividend Payment Date, in each case whether or not declared by the Board. All Series G-3 PIK Dividends on the shares of Series G-3 Preferred Stock shall be prior to and in preference to any dividend paid with respect to shares of Series G Preferred Stock, Series F Preferred Stock, Series E Preferred Stock, Series D Preferred Stock, Series C Preferred Stock, Series B-2 Preferred Stock, Series B-1 Preferred Stock and Series B Preferred Stock, Series A Preferred Stock, Common Stock or any other class or series of capital stock of the Corporation ranking junior to shares of Series G-3 Preferred Stock in respect of payment of dividends, and except as provided herein, shall be paid before any dividends are declared and paid, or any other distributions or redemptions are made, with respect to shares of Series A Preferred Stock, Common Stock (other than dividends on shares of Common Stock payable in shares of Common Stock) or other classes or series of capital stock of the Corporation ranking junior to shares of Series G-3 Preferred Stock in respect of payment of dividends;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for clarity, Series F Accruing Dividends, Series E Accruing Dividends, Series D Accruing Dividends, Series C Accruing Dividends, Series B-2 Accruing Dividends, Series B-1 Accruing Dividends, Series B Accruing Dividends, and Series A Accruing Dividends may be paid in respect of shares of Series F Preferred Stock, Series E Preferred Stock, Series D Preferred Stock, Series C Preferred Stock, Series B-2 Preferred Stock, Series B-1 Preferred Stock,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w:t>
      </w:r>
    </w:p>
    <w:p>
      <w:pPr>
        <w:spacing w:after="0" w:line="378" w:lineRule="exact"/>
        <w:rPr>
          <w:sz w:val="20"/>
          <w:szCs w:val="20"/>
          <w:color w:val="auto"/>
        </w:rPr>
      </w:pPr>
    </w:p>
    <w:p>
      <w:pPr>
        <w:ind w:right="40" w:firstLine="1393"/>
        <w:spacing w:after="0" w:line="277"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Accruing Series G Dividends</w:t>
      </w:r>
      <w:r>
        <w:rPr>
          <w:rFonts w:ascii="Times New Roman" w:cs="Times New Roman" w:eastAsia="Times New Roman" w:hAnsi="Times New Roman"/>
          <w:sz w:val="16"/>
          <w:szCs w:val="16"/>
          <w:color w:val="auto"/>
        </w:rPr>
        <w:t>. From and after the date of the issuance of any share of Series G Preferred Stock, dividends shall accrue on such share of Series G Preferred Stock, at the rate of six percent (6.0%) per annum on the sum of (i) the Series G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cs="Times New Roman" w:eastAsia="Times New Roman" w:hAnsi="Times New Roman"/>
          <w:sz w:val="16"/>
          <w:szCs w:val="16"/>
          <w:b w:val="1"/>
          <w:bCs w:val="1"/>
          <w:i w:val="1"/>
          <w:iCs w:val="1"/>
          <w:color w:val="auto"/>
        </w:rPr>
        <w:t>Series G Accruing Dividends</w:t>
      </w:r>
      <w:r>
        <w:rPr>
          <w:rFonts w:ascii="Times New Roman" w:cs="Times New Roman" w:eastAsia="Times New Roman" w:hAnsi="Times New Roman"/>
          <w:sz w:val="16"/>
          <w:szCs w:val="16"/>
          <w:color w:val="auto"/>
        </w:rPr>
        <w:t xml:space="preserve">”). Series G Accruing Dividends shall accrue from day to day, whether or not declared and whether or not there are any funds of the Corporation legally available for the payment of dividends, and shall be cumulative;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except as set forth in </w:t>
      </w:r>
      <w:r>
        <w:rPr>
          <w:rFonts w:ascii="Times New Roman" w:cs="Times New Roman" w:eastAsia="Times New Roman" w:hAnsi="Times New Roman"/>
          <w:sz w:val="16"/>
          <w:szCs w:val="16"/>
          <w:u w:val="single" w:color="auto"/>
          <w:color w:val="auto"/>
        </w:rPr>
        <w:t>Subsection 2.3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2.4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2.7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w:t>
      </w:r>
    </w:p>
    <w:p>
      <w:pPr>
        <w:spacing w:after="0" w:line="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4.3.1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5.2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such Series G Accruing Dividends shall be payable only when, as and if declared by the Board of Directors of the Corporation. All Series G Accruing Dividends on the shares of Series G Preferred Stock shall be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to any dividend paid with respect to shares of Series F Preferred Stock, Series E Preferred Stock, Series D Preferred Stock, Series C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Series B-2 Preferred Stock, Series B-1 Preferred Stock and Series B Preferred Stock and prior to and in preference to any dividend on any shares of Series A Preferred Stock, Common Stock or any other class or series of capital stock of the Corporation ranking junior to shares of Series G Preferred Stock in respect of payment of dividends, and except as provided herein, shall be paid before any dividends are declared and paid, or any other distributions or redemptions are made, with respect to shares of Series A Preferred Stock, Common Stock (other than dividends on shares of Common Stock payable in shares of Common Stock) or other classes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00"/>
          </w:cols>
          <w:pgMar w:left="580" w:top="261" w:right="619" w:bottom="1440" w:gutter="0" w:footer="0" w:header="0"/>
        </w:sectPr>
      </w:pPr>
    </w:p>
    <w:bookmarkStart w:id="302" w:name="page303"/>
    <w:bookmarkEnd w:id="302"/>
    <w:p>
      <w:pPr>
        <w:ind w:right="8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or series of capital stock of the Corporation ranking junior to shares of Series G Preferred Stock in respect of payment of dividends;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clarity, Series F Accruing Dividends, Series E Accruing Dividends, Series D Accruing Dividends, Series C Accruing Dividends, Series B-2 Accruing Dividends, Series B-1 Accruing Dividends, Series B Accruing Dividends, and Series A Accruing Dividends may be paid in respect of shares of Series F Preferred Stock, Series E Preferred Stock, Series D Preferred Stock, Series C Preferred Stock, Series B-2 Preferred Stock, Series B-1 Preferred Stock,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Accruing Series F Dividends, Accruing Series E Dividends, Accruing Series D Dividends and Accruing Series C Dividends</w:t>
      </w:r>
      <w:r>
        <w:rPr>
          <w:rFonts w:ascii="Times New Roman" w:cs="Times New Roman" w:eastAsia="Times New Roman" w:hAnsi="Times New Roman"/>
          <w:sz w:val="18"/>
          <w:szCs w:val="18"/>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From and after the date of the issuance of any share of Series F Preferred Stock, any share of Series E Preferred Stock, any share of Series D Preferred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and any share of Series C Preferred Stock, dividends shall accrue on such share of Series F Preferred Stock, Series E Preferred Stock, Series 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Preferred Stock or Series C Preferred Stock, as applicable, at the rate of six percent (6.0%) per annum on the sum of (i) the Series F Original Issue Price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(subject to appropriate adjustment in the event of any stock dividend, stock split, combination or other similar recapitalization with respect to such class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series), the Series E Original Issue Price (subject to appropriate adjustment in the event of any stock dividend, stock split, combination or other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similar recapitalization with respect to such class or series), the Series D Original Issue Price (subject to appropriate adjustment in the event of any stock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 stock split, combination or other similar recapitalization with respect to such class or series), or the Series C Original Issue Price (subject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appropriate adjustment in the event of any stock dividend, stock split, combination or other similar recapitalization with respect to such class or series),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 plus (ii) all accrued but unpaid dividends thereon (as applicable, the “</w:t>
      </w:r>
      <w:r>
        <w:rPr>
          <w:rFonts w:ascii="Times New Roman" w:cs="Times New Roman" w:eastAsia="Times New Roman" w:hAnsi="Times New Roman"/>
          <w:sz w:val="18"/>
          <w:szCs w:val="18"/>
          <w:b w:val="1"/>
          <w:bCs w:val="1"/>
          <w:i w:val="1"/>
          <w:iCs w:val="1"/>
          <w:color w:val="auto"/>
        </w:rPr>
        <w:t>Series F Accruing Dividends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Series E Accruing Dividends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Series D Accruing Dividends</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i w:val="1"/>
          <w:iCs w:val="1"/>
          <w:color w:val="auto"/>
        </w:rPr>
        <w:t>Series C Accruing Dividends</w:t>
      </w:r>
      <w:r>
        <w:rPr>
          <w:rFonts w:ascii="Times New Roman" w:cs="Times New Roman" w:eastAsia="Times New Roman" w:hAnsi="Times New Roman"/>
          <w:sz w:val="16"/>
          <w:szCs w:val="16"/>
          <w:color w:val="auto"/>
        </w:rPr>
        <w:t>”). Series F Accruing Dividends, Series E Accruing Dividends, Series D Accruing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and Series C Accruing Dividends shall accrue from day to day, whether or not declared and whether or not there are any funds of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Corporation legally available for the payment of dividends, and shall be cumulative;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as set forth in </w:t>
      </w:r>
      <w:r>
        <w:rPr>
          <w:rFonts w:ascii="Times New Roman" w:cs="Times New Roman" w:eastAsia="Times New Roman" w:hAnsi="Times New Roman"/>
          <w:sz w:val="18"/>
          <w:szCs w:val="18"/>
          <w:u w:val="single" w:color="auto"/>
          <w:color w:val="auto"/>
        </w:rPr>
        <w:t>Subsection 2.4</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4.3.1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5.2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unless a holder of shares of Preferred Stock has made a prior written election delivered to the Corporation to receive payment of such accrued dividends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cash, such Series F Accruing Dividends, Series E Accruing Dividends, Series D Accruing Dividends and Series C Accruing Dividends shall be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only when, as and if declared by the Board of Directors of the Corporation. If and to the extent that a holder has made such election,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shall pay all of the Series F Accruing Dividends, the Series E Accruing Dividends, the Series D Accruing Dividends and the Series 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Accruing Dividends on the applicable shares of Preferred Stock held by such holder in cash on January 15 of each year (or the following business day,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such date, a “</w:t>
      </w:r>
      <w:r>
        <w:rPr>
          <w:rFonts w:ascii="Times New Roman" w:cs="Times New Roman" w:eastAsia="Times New Roman" w:hAnsi="Times New Roman"/>
          <w:sz w:val="16"/>
          <w:szCs w:val="16"/>
          <w:b w:val="1"/>
          <w:bCs w:val="1"/>
          <w:i w:val="1"/>
          <w:iCs w:val="1"/>
          <w:color w:val="auto"/>
        </w:rPr>
        <w:t>Dividend Payment Date</w:t>
      </w:r>
      <w:r>
        <w:rPr>
          <w:rFonts w:ascii="Times New Roman" w:cs="Times New Roman" w:eastAsia="Times New Roman" w:hAnsi="Times New Roman"/>
          <w:sz w:val="16"/>
          <w:szCs w:val="16"/>
          <w:color w:val="auto"/>
        </w:rPr>
        <w:t xml:space="preserve">”), but only to the extent out of funds legally available therefor;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in the event any such holder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makes such election, the Series F Accruing Dividends, the Series E Accruing Dividends, the Series D Accruing Dividends and the Series C Accruing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Dividends with respect to the applicable shares of Preferred Stock held by such holder shall accrue on such shares at the rate of five percent (5.0%) per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annum rather than six percent (6.0%) per annum. If and to the extent that any portion of the accrued but unpaid dividends required to be paid on 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Payment Date are not paid on such Dividend Payment Date, such unpaid portion of the Series F Accruing Dividends, Series E</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00"/>
          </w:cols>
          <w:pgMar w:left="580" w:top="266" w:right="619" w:bottom="1440" w:gutter="0" w:footer="0" w:header="0"/>
        </w:sectPr>
      </w:pPr>
    </w:p>
    <w:bookmarkStart w:id="303" w:name="page304"/>
    <w:bookmarkEnd w:id="303"/>
    <w:p>
      <w:pPr>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Accruing Dividends, Series D Accruing Dividends or Series C Accruing Dividends shall accumulate and compound on the applicable Dividend Payment Date and subject to the provisions of this </w:t>
      </w:r>
      <w:r>
        <w:rPr>
          <w:rFonts w:ascii="Times New Roman" w:cs="Times New Roman" w:eastAsia="Times New Roman" w:hAnsi="Times New Roman"/>
          <w:sz w:val="16"/>
          <w:szCs w:val="16"/>
          <w:u w:val="single" w:color="auto"/>
          <w:color w:val="auto"/>
        </w:rPr>
        <w:t>Subsection 1.2</w:t>
      </w:r>
      <w:r>
        <w:rPr>
          <w:rFonts w:ascii="Times New Roman" w:cs="Times New Roman" w:eastAsia="Times New Roman" w:hAnsi="Times New Roman"/>
          <w:sz w:val="16"/>
          <w:szCs w:val="16"/>
          <w:color w:val="auto"/>
        </w:rPr>
        <w:t xml:space="preserve"> shall be payable on the following Dividend Payment Date, in each case whether or not declared by the Board of Directors of the Corporation. All Series F Accruing Dividends on the shares of Series F Preferred Stock, Series E Accruing Dividends on the shares of Series E Preferred Stock, Series D Accruing Dividends on the shares of Series D Preferred Stock and Series C Accruing Dividends on the shares of Series C Preferred Stock shall be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to any dividend paid with respect to each other and with respect to shares of Series G Preferred Stock, Series B-2 Preferred Stock, Series B-1 Preferred Stock and Series B Preferred Stock and prior to and in preference to any dividend on any shares of Series A Preferred Stock, Common Stock or any other class or series of capital stock of the Corporation ranking junior to shares of Series F Preferred Stock, Series E Preferred Stock, Series D Preferred Stock and Series C Preferred Stock in respect of payment of dividends, and except as provided herein, shall be paid before any dividends are declared and paid, or any other distributions or redemptions are made, with respect to shares of Series A Preferred Stock, Common Stock (other than dividends on shares of Common Stock payable in shares of Common Stock) or other classes or series of capital stock of the Corporation ranking junior to shares of Series F Preferred Stock, Series E Preferred Stock, Series D Preferred Stock and Series C Preferred Stock in respect of payment of dividends;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for clarity, Series B-2 Accruing Dividends, Series B-1 Accruing Dividends, Series B Accruing Dividends, and Series A Accruing Dividends may be paid in respect of shares of Series B-2 Preferred Stock, Series B-1 Preferred Stock,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w:t>
      </w:r>
    </w:p>
    <w:p>
      <w:pPr>
        <w:spacing w:after="0" w:line="377" w:lineRule="exact"/>
        <w:rPr>
          <w:sz w:val="20"/>
          <w:szCs w:val="20"/>
          <w:color w:val="auto"/>
        </w:rPr>
      </w:pPr>
    </w:p>
    <w:p>
      <w:pPr>
        <w:ind w:right="40" w:firstLine="1393"/>
        <w:spacing w:after="0" w:line="245"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Accruing Series B-2 Dividends</w:t>
      </w:r>
      <w:r>
        <w:rPr>
          <w:rFonts w:ascii="Times New Roman" w:cs="Times New Roman" w:eastAsia="Times New Roman" w:hAnsi="Times New Roman"/>
          <w:sz w:val="18"/>
          <w:szCs w:val="18"/>
          <w:color w:val="auto"/>
        </w:rPr>
        <w:t>. From and after the date of the issuance of any share of Series B-2 Preferred Stock, dividends shall accrue on such share of Series B-2 Preferred Stock at the rate of five percent (5.0%) per annum on the sum of (i) the Series B-2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cs="Times New Roman" w:eastAsia="Times New Roman" w:hAnsi="Times New Roman"/>
          <w:sz w:val="18"/>
          <w:szCs w:val="18"/>
          <w:b w:val="1"/>
          <w:bCs w:val="1"/>
          <w:i w:val="1"/>
          <w:iCs w:val="1"/>
          <w:color w:val="auto"/>
        </w:rPr>
        <w:t>Series B-2 Accruing Dividends</w:t>
      </w:r>
      <w:r>
        <w:rPr>
          <w:rFonts w:ascii="Times New Roman" w:cs="Times New Roman" w:eastAsia="Times New Roman" w:hAnsi="Times New Roman"/>
          <w:sz w:val="18"/>
          <w:szCs w:val="18"/>
          <w:color w:val="auto"/>
        </w:rPr>
        <w:t xml:space="preserve">”). Series B-2 Accruing Dividends shall accrue from day to day, whether or not declared and whether or not there are any funds of the Corporation legally available for the payment of dividends, and shall be cumulative. All Series B-2 Accruing Dividends shall be paid in cash on each Dividend Payment Date, but only to the extent out of funds legally available therefor, or upon a Liquidation Event, Deemed Liquidation Event or conversion, as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holders of a majority of the outstanding shares of Series B-2 Preferred Stock may elect, in their sole discretion and on behalf of all of the holders of shares of Series B-2 Preferred Stock, for the Corporation to not pay all or any portion of the Series B-2 Accruing Dividends upon ten (10) days’ advance notice to the Board of Directors of the Corporation. If and to the extent that any portion of the Series B-2 Accruing Dividends are not paid on a Dividend Payment Date by reason of such election or otherwise, such unpaid portion of the Series B-2 Accruing Dividends shall accumulate and compound on the applicable Dividend Payment Date whether or not declared by the Board of Directors of the Corporation. All Series B-2 Accruing Dividends on the shares of Series B-2 Preferred Stock shall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any dividend paid with respect to shares of Series G Preferred Stock, Series F Preferred Stock, Series E Preferred Stock, Series D Preferred Stock, Series C Preferred Stock, Series B-1 Preferred Stock and Series B Preferred Stock and prior to and</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00"/>
          </w:cols>
          <w:pgMar w:left="580" w:top="265" w:right="619" w:bottom="1440" w:gutter="0" w:footer="0" w:header="0"/>
        </w:sectPr>
      </w:pPr>
    </w:p>
    <w:bookmarkStart w:id="304" w:name="page305"/>
    <w:bookmarkEnd w:id="304"/>
    <w:p>
      <w:pPr>
        <w:ind w:right="10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in preference to any dividend on any shares of Series A Preferred Stock, Common Stock or any other class or series of capital stock of the Corporation ranking junior to shares of Series B-2 Preferred Stock in respect of payment of dividends, and except as provided herein, shall be paid before any dividends are declared and paid, or any other distributions or redemptions are made, with respect to shares of Series A Preferred Stock or Common Stock (other than dividends on shares of Common Stock payable in shares of Common Stock) or other classes or series of capital stock of the Corporation ranking junior to shares of Series B-2 Preferred Stock in respect of payment of dividends;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clarity, Series B-1 Accruing Dividends, Series B Accruing Dividends, and Series A Accruing Dividends may be paid in respect of shares of Series B-1 Preferred Stock,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firstLine="1393"/>
        <w:spacing w:after="0" w:line="244"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Accruing Series B-1 Dividends</w:t>
      </w:r>
      <w:r>
        <w:rPr>
          <w:rFonts w:ascii="Times New Roman" w:cs="Times New Roman" w:eastAsia="Times New Roman" w:hAnsi="Times New Roman"/>
          <w:sz w:val="18"/>
          <w:szCs w:val="18"/>
          <w:color w:val="auto"/>
        </w:rPr>
        <w:t>. From and after the date of the issuance of any share of Series B-1 Preferred Stock, dividends shall accrue on such share of Series B-1 Preferred Stock at the rate of five percent (5.0%) per annum on the sum of (i) the Series B-1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cs="Times New Roman" w:eastAsia="Times New Roman" w:hAnsi="Times New Roman"/>
          <w:sz w:val="18"/>
          <w:szCs w:val="18"/>
          <w:b w:val="1"/>
          <w:bCs w:val="1"/>
          <w:i w:val="1"/>
          <w:iCs w:val="1"/>
          <w:color w:val="auto"/>
        </w:rPr>
        <w:t>Series B-1 Accruing Dividends</w:t>
      </w:r>
      <w:r>
        <w:rPr>
          <w:rFonts w:ascii="Times New Roman" w:cs="Times New Roman" w:eastAsia="Times New Roman" w:hAnsi="Times New Roman"/>
          <w:sz w:val="18"/>
          <w:szCs w:val="18"/>
          <w:color w:val="auto"/>
        </w:rPr>
        <w:t xml:space="preserve">”). Series B-1 Accruing Dividends shall accrue from day to day, whether or not declared and whether or not there are any funds of the Corporation legally available for the payment of dividends, and shall be cumulative. All Series B-1 Accruing Dividends shall be paid in cash on each Dividend Payment Date, but only to the extent out of funds legally available therefor, or upon a Liquidation Event, Deemed Liquidation Event or conversion, as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holders of a majority of the outstanding shares of Series B-1 Preferred Stock may elect, in their sole discretion and on behalf of all of the holders of shares of Series B-1 Preferred Stock, for the Corporation to not pay all or any portion of the Series B-1 Accruing Dividends upon ten (10) days’ advance notice to the Board of Directors of the Corporation. If and to the extent that any portion of the Series B-1 Accruing Dividends are not paid on a Dividend Payment Date by reason of such election or otherwise, such unpaid portion of the Series B-1 Accruing Dividends shall accumulate and compound on the applicable Dividend Payment Date whether or not declared by the Board of Directors of the Corporation. All Series B-1 Accruing Dividends on the shares of Series B-1 Preferred Stock shall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any dividend paid with respect to shares of Series G Preferred Stock, Series F Preferred Stock, Series E Preferred Stock, Series D Preferred Stock, Series C Preferred Stock, Series B-2 Preferred Stock and Series B Preferred Stock and prior to and in preference to any dividend on any shares of Series A Preferred Stock, Common Stock or any other class or series of capital stock of the Corporation ranking junior to shares of Series B-1 Preferred Stock in respect of payment of dividends, and except as provided, herein, shall be paid before any dividends are declared and paid, or any other distributions or redemptions are made, with respect to shares of Series A Preferred Stock or Common Stock (other than dividends on shares of Common Stock payable in shares of Common Stock) or other classes or series of capital stock of the Corporation ranking junior to shares of Series B-1 Preferred Stock in respect of payment of dividends;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clarity, Series B Accruing Dividends and Series A Accruing Dividends may be paid in respect of shares of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60"/>
          </w:cols>
          <w:pgMar w:left="580" w:top="265" w:right="659" w:bottom="1440" w:gutter="0" w:footer="0" w:header="0"/>
        </w:sectPr>
      </w:pPr>
    </w:p>
    <w:bookmarkStart w:id="305" w:name="page306"/>
    <w:bookmarkEnd w:id="305"/>
    <w:p>
      <w:pPr>
        <w:ind w:firstLine="1393"/>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1.6 </w:t>
      </w:r>
      <w:r>
        <w:rPr>
          <w:rFonts w:ascii="Times New Roman" w:cs="Times New Roman" w:eastAsia="Times New Roman" w:hAnsi="Times New Roman"/>
          <w:sz w:val="16"/>
          <w:szCs w:val="16"/>
          <w:u w:val="single" w:color="auto"/>
          <w:color w:val="auto"/>
        </w:rPr>
        <w:t>Accruing Series B Dividends</w:t>
      </w:r>
      <w:r>
        <w:rPr>
          <w:rFonts w:ascii="Times New Roman" w:cs="Times New Roman" w:eastAsia="Times New Roman" w:hAnsi="Times New Roman"/>
          <w:sz w:val="16"/>
          <w:szCs w:val="16"/>
          <w:color w:val="auto"/>
        </w:rPr>
        <w:t>. From and after the date of the issuance of any share of Series B Preferred Stock, dividends shall accrue on such share of Series B Preferred Stock at the rate of five percent (5.0%) per annum on the sum of (i) the Series B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cs="Times New Roman" w:eastAsia="Times New Roman" w:hAnsi="Times New Roman"/>
          <w:sz w:val="16"/>
          <w:szCs w:val="16"/>
          <w:b w:val="1"/>
          <w:bCs w:val="1"/>
          <w:i w:val="1"/>
          <w:iCs w:val="1"/>
          <w:color w:val="auto"/>
        </w:rPr>
        <w:t>Series B Accruing Dividends</w:t>
      </w:r>
      <w:r>
        <w:rPr>
          <w:rFonts w:ascii="Times New Roman" w:cs="Times New Roman" w:eastAsia="Times New Roman" w:hAnsi="Times New Roman"/>
          <w:sz w:val="16"/>
          <w:szCs w:val="16"/>
          <w:color w:val="auto"/>
        </w:rPr>
        <w:t xml:space="preserve">”). Series B Accruing Dividends shall accrue from day to day, whether or not declared and whether or not there are any funds of the Corporation legally available for the payment of dividends, and shall be cumulative. All Series B Accruing Dividends shall be paid in cash on each Dividend Payment Date, but only to the extent out of funds legally available therefor, or upon a Liquidation Event, Deemed Liquidation Event or conversion, as set forth herein;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holders of a majority of the outstanding shares of Series B Preferred Stock may elect, in their sole discretion and on behalf of all of the holders of shares of Series B Preferred Stock, for the Corporation to not pay all or any portion of the Series B Accruing Dividends upon ten (10) days’ advance notice to the Board of Directors of the Corporation. If and to the extent that any portion of the Series B Accruing Dividends are not paid on a Dividend Payment Date by reason of such election or otherwise, such unpaid portion of the Series B Accruing Dividends shall accumulate and compound on the applicable Dividend Payment Date whether or not declared by the Board of Directors of the Corporation. All Series B Accruing Dividends on the shares of Series B Preferred Stock shall be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to any dividend paid with respect to shares of Series G Preferred Stock, Series F Preferred Stock, Series E Preferred Stock, Series D Preferred Stock, Series C Preferred Stock, Series B-2 Preferred Stock and Series B-1 Preferred Stock and prior to and in preference to any dividend on any shares of Series A Preferred Stock, Common Stock or any other class or series of capital stock of the Corporation ranking junior to shares of Series B Preferred Stock in respect of payment of dividends, and except as provided herein, shall be paid before any dividends are declared and paid, or any other distributions or redemptions are made, with respect to shares of Series A Preferred Stock or Common Stock (other than dividends on shares of Common Stock payable in shares of Common Stock) or other classes or series of capital stock of the Corporation ranking junior to shares of Series B Preferred Stock in respect of payment of dividends;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for clarity, Series A Accruing Dividends may be paid in respect of shares of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7" w:lineRule="exact"/>
        <w:rPr>
          <w:sz w:val="20"/>
          <w:szCs w:val="20"/>
          <w:color w:val="auto"/>
        </w:rPr>
      </w:pPr>
    </w:p>
    <w:p>
      <w:pPr>
        <w:ind w:firstLine="1393"/>
        <w:spacing w:after="0" w:line="246"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Accruing Series A Dividends</w:t>
      </w:r>
      <w:r>
        <w:rPr>
          <w:rFonts w:ascii="Times New Roman" w:cs="Times New Roman" w:eastAsia="Times New Roman" w:hAnsi="Times New Roman"/>
          <w:sz w:val="18"/>
          <w:szCs w:val="18"/>
          <w:color w:val="auto"/>
        </w:rPr>
        <w:t>. From and after the date of the issuance of any share of Series A Preferred Stock, dividends shall accrue on such share of Series A Preferred Stock at the rate of five percent (5.0%) per annum on the sum of (i) the Series A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cs="Times New Roman" w:eastAsia="Times New Roman" w:hAnsi="Times New Roman"/>
          <w:sz w:val="18"/>
          <w:szCs w:val="18"/>
          <w:b w:val="1"/>
          <w:bCs w:val="1"/>
          <w:i w:val="1"/>
          <w:iCs w:val="1"/>
          <w:color w:val="auto"/>
        </w:rPr>
        <w:t>Series A Accruing Dividends</w:t>
      </w:r>
      <w:r>
        <w:rPr>
          <w:rFonts w:ascii="Times New Roman" w:cs="Times New Roman" w:eastAsia="Times New Roman" w:hAnsi="Times New Roman"/>
          <w:sz w:val="18"/>
          <w:szCs w:val="18"/>
          <w:color w:val="auto"/>
        </w:rPr>
        <w:t>”). Series A Accruing Dividends shall accrue from day to day, whether or not declared and whether or not there are any funds of the Corporation legally available for the payment of dividends, and shall be cumulative. All Series A Accruing Dividends shall be paid in cash on each Dividend Payment Date, but only (i) after the payment of all Series G Accruing Dividends, Series F Accruing Dividends, Series E Accruing Dividends, Series D Accruing Dividends, Series C Accruing Dividends, Series B-2 Accruing Dividends, Series B-1 Accruing Dividends and Series B Accruing Dividends, in each case, to the extent required to be paid on such Dividend Payment Date and (ii) to the extent out of</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80"/>
          </w:cols>
          <w:pgMar w:left="580" w:top="265" w:right="639" w:bottom="1440" w:gutter="0" w:footer="0" w:header="0"/>
        </w:sectPr>
      </w:pPr>
    </w:p>
    <w:bookmarkStart w:id="306" w:name="page307"/>
    <w:bookmarkEnd w:id="306"/>
    <w:p>
      <w:pPr>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funds legally available therefor, or upon a Liquidation Event, Deemed Liquidation Event or conversion, as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holders of a majority of the outstanding shares of Series A Preferred Stock may elect, in their sole discretion and on behalf of all of the holders of shares of Series A Preferred Stock, for the Corporation to not pay all or any portion of the Series A Accruing Dividends upon ten (10) days’ advance notice to the Board of Directors of the Corporation. If and to the extent that any portion of the Series A Accruing Dividends are not paid on a Dividend Payment Date by reason of such election or otherwise, such unpaid portion of the Series A Accruing Dividends shall accumulate and compound on the applicable Dividend Payment Date whether or not declared by the Board of Directors of the Corporation. All Series A Accruing Dividends on the shares of Series A Preferred Stock shall be prior to and in preference to any dividend on any shares of Common Stock or any other class or series of capital stock of the Corporation ranking junior to shares of Series A Preferred Stock in respect of payment of dividends and except as provided herein, shall be paid before any dividends are declared and paid, or any other distributions or redemptions are made, with respect to shares of Common Stock (other than dividends on shares of Common Stock payable in shares of Common Stock) or other classes or series of capital stock of the Corporation ranking junior to shares of Series A Preferred Stock in respect of payment of dividends.</w:t>
      </w:r>
    </w:p>
    <w:p>
      <w:pPr>
        <w:spacing w:after="0" w:line="196" w:lineRule="exact"/>
        <w:rPr>
          <w:sz w:val="20"/>
          <w:szCs w:val="20"/>
          <w:color w:val="auto"/>
        </w:rPr>
      </w:pPr>
    </w:p>
    <w:p>
      <w:pPr>
        <w:ind w:firstLine="1393"/>
        <w:spacing w:after="0" w:line="277" w:lineRule="auto"/>
        <w:rPr>
          <w:sz w:val="20"/>
          <w:szCs w:val="20"/>
          <w:color w:val="auto"/>
        </w:rPr>
      </w:pPr>
      <w:r>
        <w:rPr>
          <w:rFonts w:ascii="Times New Roman" w:cs="Times New Roman" w:eastAsia="Times New Roman" w:hAnsi="Times New Roman"/>
          <w:sz w:val="16"/>
          <w:szCs w:val="16"/>
          <w:color w:val="auto"/>
        </w:rPr>
        <w:t xml:space="preserve">1.8 </w:t>
      </w:r>
      <w:r>
        <w:rPr>
          <w:rFonts w:ascii="Times New Roman" w:cs="Times New Roman" w:eastAsia="Times New Roman" w:hAnsi="Times New Roman"/>
          <w:sz w:val="16"/>
          <w:szCs w:val="16"/>
          <w:u w:val="single" w:color="auto"/>
          <w:color w:val="auto"/>
        </w:rPr>
        <w:t>Preferred Stock Dividends</w:t>
      </w:r>
      <w:r>
        <w:rPr>
          <w:rFonts w:ascii="Times New Roman" w:cs="Times New Roman" w:eastAsia="Times New Roman" w:hAnsi="Times New Roman"/>
          <w:sz w:val="16"/>
          <w:szCs w:val="16"/>
          <w:color w:val="auto"/>
        </w:rPr>
        <w:t xml:space="preserve">. The Corporation shall not declare, pay or set aside any dividends on shares of any other class or series of capital stock of the Corporation (other than as set forth in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or dividends on shares of Common Stock payable in shares of Common Stock) unless (in addition to the obtaining of any consents required elsewhere in this Restated Certificate) the holders of the Preferred Stock then outstanding shall first receive, or simultaneously receive, a dividend on each outstanding share of Preferred Stock in an amount at least equal to (i) in the case of a dividend on Common Stock or any class or series that is convertible into Common Stock, that dividend per share of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Preferred Stock, in each case calculated on the record date for determination of holders entitled to receive such dividend or (ii) in the case of a dividend on any class or series that is not convertible into Common Stock, at a rate per share of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Series A Original Issue Price, the Series B Original Issue Price, the Series B-1 Original Issue Price, the Series B-2 Original Issue Price, the Series C Original Issue Price, the Series D Original Issue Price, the Series E Original Issue Price, the Series F Original Issue Price, the Series G Original Issue Price, the Series G-2 Original Issue Price or the Series G-3 Original Issue Price, as the case may be;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the Corporation declares, pays or sets aside, on the same date, a dividend on shares of more than one class or series of capital stock of the Corporation, the dividend payable to the holders of Preferred Stock pursuant to this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shall be calculated based upon the dividend on the class or series of capital stock that would result in the highest Preferred Stock dividend.</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20"/>
          </w:cols>
          <w:pgMar w:left="580" w:top="265" w:right="599" w:bottom="1440" w:gutter="0" w:footer="0" w:header="0"/>
        </w:sectPr>
      </w:pPr>
    </w:p>
    <w:bookmarkStart w:id="307" w:name="page308"/>
    <w:bookmarkEnd w:id="307"/>
    <w:p>
      <w:pPr>
        <w:ind w:right="20" w:firstLine="1393"/>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1.9 </w:t>
      </w:r>
      <w:r>
        <w:rPr>
          <w:rFonts w:ascii="Times New Roman" w:cs="Times New Roman" w:eastAsia="Times New Roman" w:hAnsi="Times New Roman"/>
          <w:sz w:val="16"/>
          <w:szCs w:val="16"/>
          <w:u w:val="single" w:color="auto"/>
          <w:color w:val="auto"/>
        </w:rPr>
        <w:t>Original Issue Price</w:t>
      </w:r>
      <w:r>
        <w:rPr>
          <w:rFonts w:ascii="Times New Roman" w:cs="Times New Roman" w:eastAsia="Times New Roman" w:hAnsi="Times New Roman"/>
          <w:sz w:val="16"/>
          <w:szCs w:val="16"/>
          <w:color w:val="auto"/>
        </w:rPr>
        <w:t>. For purposes of this Restated Certificate, (i) the “</w:t>
      </w:r>
      <w:r>
        <w:rPr>
          <w:rFonts w:ascii="Times New Roman" w:cs="Times New Roman" w:eastAsia="Times New Roman" w:hAnsi="Times New Roman"/>
          <w:sz w:val="16"/>
          <w:szCs w:val="16"/>
          <w:b w:val="1"/>
          <w:bCs w:val="1"/>
          <w:i w:val="1"/>
          <w:iCs w:val="1"/>
          <w:color w:val="auto"/>
        </w:rPr>
        <w:t>Series A Original Issue Price</w:t>
      </w:r>
      <w:r>
        <w:rPr>
          <w:rFonts w:ascii="Times New Roman" w:cs="Times New Roman" w:eastAsia="Times New Roman" w:hAnsi="Times New Roman"/>
          <w:sz w:val="16"/>
          <w:szCs w:val="16"/>
          <w:color w:val="auto"/>
        </w:rPr>
        <w:t>” means $1.00 per share of Series A Preferred Stock, subject to appropriate adjustment in the event of any stock dividend, stock split, combination or other similar recapitalization with respect to the Series A Preferred Stock after the filing date hereof, (ii) the “</w:t>
      </w:r>
      <w:r>
        <w:rPr>
          <w:rFonts w:ascii="Times New Roman" w:cs="Times New Roman" w:eastAsia="Times New Roman" w:hAnsi="Times New Roman"/>
          <w:sz w:val="16"/>
          <w:szCs w:val="16"/>
          <w:b w:val="1"/>
          <w:bCs w:val="1"/>
          <w:i w:val="1"/>
          <w:iCs w:val="1"/>
          <w:color w:val="auto"/>
        </w:rPr>
        <w:t>Series B Original Issue Price</w:t>
      </w:r>
      <w:r>
        <w:rPr>
          <w:rFonts w:ascii="Times New Roman" w:cs="Times New Roman" w:eastAsia="Times New Roman" w:hAnsi="Times New Roman"/>
          <w:sz w:val="16"/>
          <w:szCs w:val="16"/>
          <w:color w:val="auto"/>
        </w:rPr>
        <w:t>” means $1.8605 per share of Series B Preferred Stock, subject to appropriate adjustment in the event of any stock dividend, stock split, combination or other similar recapitalization with respect to the Series B Preferred Stock after the filing date hereof, (iii) the “</w:t>
      </w:r>
      <w:r>
        <w:rPr>
          <w:rFonts w:ascii="Times New Roman" w:cs="Times New Roman" w:eastAsia="Times New Roman" w:hAnsi="Times New Roman"/>
          <w:sz w:val="16"/>
          <w:szCs w:val="16"/>
          <w:b w:val="1"/>
          <w:bCs w:val="1"/>
          <w:i w:val="1"/>
          <w:iCs w:val="1"/>
          <w:color w:val="auto"/>
        </w:rPr>
        <w:t>Series B-1 Original Issue Price</w:t>
      </w:r>
      <w:r>
        <w:rPr>
          <w:rFonts w:ascii="Times New Roman" w:cs="Times New Roman" w:eastAsia="Times New Roman" w:hAnsi="Times New Roman"/>
          <w:sz w:val="16"/>
          <w:szCs w:val="16"/>
          <w:color w:val="auto"/>
        </w:rPr>
        <w:t>” means $4.00 per share of Series B-1 Preferred Stock, subject to appropriate adjustment in the event of any stock dividend, stock split, combination or other similar recapitalization with respect to the Series B-1 Preferred Stock after the filing date hereof, (iv) the “</w:t>
      </w:r>
      <w:r>
        <w:rPr>
          <w:rFonts w:ascii="Times New Roman" w:cs="Times New Roman" w:eastAsia="Times New Roman" w:hAnsi="Times New Roman"/>
          <w:sz w:val="16"/>
          <w:szCs w:val="16"/>
          <w:b w:val="1"/>
          <w:bCs w:val="1"/>
          <w:i w:val="1"/>
          <w:iCs w:val="1"/>
          <w:color w:val="auto"/>
        </w:rPr>
        <w:t>Series B-2 Original Issue Price</w:t>
      </w:r>
      <w:r>
        <w:rPr>
          <w:rFonts w:ascii="Times New Roman" w:cs="Times New Roman" w:eastAsia="Times New Roman" w:hAnsi="Times New Roman"/>
          <w:sz w:val="16"/>
          <w:szCs w:val="16"/>
          <w:color w:val="auto"/>
        </w:rPr>
        <w:t>” means $7.1579 per share of Series B-2 Preferred Stock, subject to appropriate adjustment in the event of any stock dividend, stock split, combination or other similar recapitalization with respect to the Series B-2 Preferred Stock after the filing date hereof, (v) the “</w:t>
      </w:r>
      <w:r>
        <w:rPr>
          <w:rFonts w:ascii="Times New Roman" w:cs="Times New Roman" w:eastAsia="Times New Roman" w:hAnsi="Times New Roman"/>
          <w:sz w:val="16"/>
          <w:szCs w:val="16"/>
          <w:b w:val="1"/>
          <w:bCs w:val="1"/>
          <w:i w:val="1"/>
          <w:iCs w:val="1"/>
          <w:color w:val="auto"/>
        </w:rPr>
        <w:t>Series C Original Issue Price</w:t>
      </w:r>
      <w:r>
        <w:rPr>
          <w:rFonts w:ascii="Times New Roman" w:cs="Times New Roman" w:eastAsia="Times New Roman" w:hAnsi="Times New Roman"/>
          <w:sz w:val="16"/>
          <w:szCs w:val="16"/>
          <w:color w:val="auto"/>
        </w:rPr>
        <w:t>” means $7.1579 per share of Series C Preferred Stock, subject to appropriate adjustment in the event of any stock dividend, stock split, combination or other similar recapitalization with respect to the Series C Preferred Stock after the filing date hereof, (vi) the “</w:t>
      </w:r>
      <w:r>
        <w:rPr>
          <w:rFonts w:ascii="Times New Roman" w:cs="Times New Roman" w:eastAsia="Times New Roman" w:hAnsi="Times New Roman"/>
          <w:sz w:val="16"/>
          <w:szCs w:val="16"/>
          <w:b w:val="1"/>
          <w:bCs w:val="1"/>
          <w:i w:val="1"/>
          <w:iCs w:val="1"/>
          <w:color w:val="auto"/>
        </w:rPr>
        <w:t>Series D Original Issue Price</w:t>
      </w:r>
      <w:r>
        <w:rPr>
          <w:rFonts w:ascii="Times New Roman" w:cs="Times New Roman" w:eastAsia="Times New Roman" w:hAnsi="Times New Roman"/>
          <w:sz w:val="16"/>
          <w:szCs w:val="16"/>
          <w:color w:val="auto"/>
        </w:rPr>
        <w:t>” means $9.3739 per share of Series D Preferred Stock, subject to appropriate adjustment in the event of any stock dividend, stock split, combination or other similar recapitalization with respect to the Series D Preferred Stock after the filing date hereof, (vii) the “</w:t>
      </w:r>
      <w:r>
        <w:rPr>
          <w:rFonts w:ascii="Times New Roman" w:cs="Times New Roman" w:eastAsia="Times New Roman" w:hAnsi="Times New Roman"/>
          <w:sz w:val="16"/>
          <w:szCs w:val="16"/>
          <w:b w:val="1"/>
          <w:bCs w:val="1"/>
          <w:i w:val="1"/>
          <w:iCs w:val="1"/>
          <w:color w:val="auto"/>
        </w:rPr>
        <w:t>Series E Original Issue Price</w:t>
      </w:r>
      <w:r>
        <w:rPr>
          <w:rFonts w:ascii="Times New Roman" w:cs="Times New Roman" w:eastAsia="Times New Roman" w:hAnsi="Times New Roman"/>
          <w:sz w:val="16"/>
          <w:szCs w:val="16"/>
          <w:color w:val="auto"/>
        </w:rPr>
        <w:t>” means $16.7428 per share of Series E Preferred Stock, subject to appropriate adjustment in the event of any stock dividend, stock split, combination or other similar recapitalization with respect to the Series E Preferred Stock after the filing date hereof, (viii) the “</w:t>
      </w:r>
      <w:r>
        <w:rPr>
          <w:rFonts w:ascii="Times New Roman" w:cs="Times New Roman" w:eastAsia="Times New Roman" w:hAnsi="Times New Roman"/>
          <w:sz w:val="16"/>
          <w:szCs w:val="16"/>
          <w:b w:val="1"/>
          <w:bCs w:val="1"/>
          <w:i w:val="1"/>
          <w:iCs w:val="1"/>
          <w:color w:val="auto"/>
        </w:rPr>
        <w:t>Series F Original Issue Price</w:t>
      </w:r>
      <w:r>
        <w:rPr>
          <w:rFonts w:ascii="Times New Roman" w:cs="Times New Roman" w:eastAsia="Times New Roman" w:hAnsi="Times New Roman"/>
          <w:sz w:val="16"/>
          <w:szCs w:val="16"/>
          <w:color w:val="auto"/>
        </w:rPr>
        <w:t>” means $24.7596 per share of Series F Preferred Stock, subject to appropriate adjustment in the event of any stock dividend, stock split, combination or other similar recapitalization with respect to the Series F Preferred Stock after the filing date hereof, (ix) the “</w:t>
      </w:r>
      <w:r>
        <w:rPr>
          <w:rFonts w:ascii="Times New Roman" w:cs="Times New Roman" w:eastAsia="Times New Roman" w:hAnsi="Times New Roman"/>
          <w:sz w:val="16"/>
          <w:szCs w:val="16"/>
          <w:b w:val="1"/>
          <w:bCs w:val="1"/>
          <w:i w:val="1"/>
          <w:iCs w:val="1"/>
          <w:color w:val="auto"/>
        </w:rPr>
        <w:t>Series G Original Issue Price</w:t>
      </w:r>
      <w:r>
        <w:rPr>
          <w:rFonts w:ascii="Times New Roman" w:cs="Times New Roman" w:eastAsia="Times New Roman" w:hAnsi="Times New Roman"/>
          <w:sz w:val="16"/>
          <w:szCs w:val="16"/>
          <w:color w:val="auto"/>
        </w:rPr>
        <w:t>” means $38.3524 per share of Series G Preferred Stock, subject to appropriate adjustment in the event of any stock dividend, stock split, combination or other similar recapitalization with respect to the Series G Preferred Stock after the filing date hereof, (x) the “</w:t>
      </w:r>
      <w:r>
        <w:rPr>
          <w:rFonts w:ascii="Times New Roman" w:cs="Times New Roman" w:eastAsia="Times New Roman" w:hAnsi="Times New Roman"/>
          <w:sz w:val="16"/>
          <w:szCs w:val="16"/>
          <w:b w:val="1"/>
          <w:bCs w:val="1"/>
          <w:i w:val="1"/>
          <w:iCs w:val="1"/>
          <w:color w:val="auto"/>
        </w:rPr>
        <w:t>Series G-2 Original Issue Price</w:t>
      </w:r>
      <w:r>
        <w:rPr>
          <w:rFonts w:ascii="Times New Roman" w:cs="Times New Roman" w:eastAsia="Times New Roman" w:hAnsi="Times New Roman"/>
          <w:sz w:val="16"/>
          <w:szCs w:val="16"/>
          <w:color w:val="auto"/>
        </w:rPr>
        <w:t>” means $57.3069 per share of Series G-2 Preferred Stock, subject to appropriate adjustment in the event of any stock dividend, stock split, combination or other similar recapitalization with respect to the Series G-2 Preferred Stock after the filing date hereof and (xi) the “</w:t>
      </w:r>
      <w:r>
        <w:rPr>
          <w:rFonts w:ascii="Times New Roman" w:cs="Times New Roman" w:eastAsia="Times New Roman" w:hAnsi="Times New Roman"/>
          <w:sz w:val="16"/>
          <w:szCs w:val="16"/>
          <w:b w:val="1"/>
          <w:bCs w:val="1"/>
          <w:i w:val="1"/>
          <w:iCs w:val="1"/>
          <w:color w:val="auto"/>
        </w:rPr>
        <w:t>Series G-3 Original Issue Price</w:t>
      </w:r>
      <w:r>
        <w:rPr>
          <w:rFonts w:ascii="Times New Roman" w:cs="Times New Roman" w:eastAsia="Times New Roman" w:hAnsi="Times New Roman"/>
          <w:sz w:val="16"/>
          <w:szCs w:val="16"/>
          <w:color w:val="auto"/>
        </w:rPr>
        <w:t>” means $57.3069 per share of Series G-3 Preferred Stock, subject to appropriate adjustment in the event of any stock dividend, stock split, combination or other similar recapitalization with respect to the Series G-3 Preferred Stock after the filing date hereof.</w:t>
      </w:r>
    </w:p>
    <w:p>
      <w:pPr>
        <w:spacing w:after="0" w:line="200" w:lineRule="exact"/>
        <w:rPr>
          <w:sz w:val="20"/>
          <w:szCs w:val="20"/>
          <w:color w:val="auto"/>
        </w:rPr>
      </w:pPr>
    </w:p>
    <w:p>
      <w:pPr>
        <w:spacing w:after="0" w:line="386" w:lineRule="exact"/>
        <w:rPr>
          <w:sz w:val="20"/>
          <w:szCs w:val="20"/>
          <w:color w:val="auto"/>
        </w:rPr>
      </w:pPr>
    </w:p>
    <w:p>
      <w:pPr>
        <w:ind w:left="1140" w:hanging="168"/>
        <w:spacing w:after="0"/>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Dissolution or Winding Up; Certain Mergers, Consolidations and Asset Sales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80" w:firstLine="428"/>
        <w:spacing w:after="0" w:line="267"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Corporation or Deemed Liquidation Event (as defined below), the proceeds or assets of the Corporation available for distribution to stockholders shall be distributed as follows:</w:t>
      </w:r>
    </w:p>
    <w:p>
      <w:pPr>
        <w:spacing w:after="0" w:line="65" w:lineRule="exact"/>
        <w:rPr>
          <w:sz w:val="20"/>
          <w:szCs w:val="20"/>
          <w:color w:val="auto"/>
        </w:rPr>
      </w:pPr>
    </w:p>
    <w:p>
      <w:pPr>
        <w:ind w:firstLine="1393"/>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Preferential Payments to Holders of Series G-3 Preferred Stock</w:t>
      </w:r>
      <w:r>
        <w:rPr>
          <w:rFonts w:ascii="Times New Roman" w:cs="Times New Roman" w:eastAsia="Times New Roman" w:hAnsi="Times New Roman"/>
          <w:sz w:val="18"/>
          <w:szCs w:val="18"/>
          <w:color w:val="auto"/>
        </w:rPr>
        <w:t>. The holders of shares of Series G-3 Preferred Stock then outstanding shall be entitled to be paid out of the proceeds or assets of the Corporation available for distribution to its stockholders, before any payment shall be made to the holders of Series G-2 Preferred Stock, Series G Preferred Stock,</w:t>
      </w:r>
    </w:p>
    <w:p>
      <w:pPr>
        <w:spacing w:after="0" w:line="1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640"/>
          </w:cols>
          <w:pgMar w:left="580" w:top="261" w:right="679" w:bottom="1440" w:gutter="0" w:footer="0" w:header="0"/>
        </w:sectPr>
      </w:pPr>
    </w:p>
    <w:bookmarkStart w:id="308" w:name="page309"/>
    <w:bookmarkEnd w:id="308"/>
    <w:p>
      <w:pPr>
        <w:jc w:val="both"/>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Series F Preferred Stock, Series E Preferred Stock, Series D Preferred Stock, Series C Preferred Stock, Series B-2 Preferred Stock, Series B-1 Preferred Stock, Series B Preferred Stock, Series A Preferred Stock or Common Stock by reason of their ownership thereof, an amount per share equal to the greater of (i) 1.0 times the Series G-3 Original Issue Price, plus any accrued but unpaid Series G-3 PIK Dividends, together with any other declared but unpaid dividends thereon, or (ii) such amount per share as would have been payable had all shares of Series G-3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G-3 Preferred Stock is hereinafter referred to as the “</w:t>
      </w:r>
      <w:r>
        <w:rPr>
          <w:rFonts w:ascii="Times New Roman" w:cs="Times New Roman" w:eastAsia="Times New Roman" w:hAnsi="Times New Roman"/>
          <w:sz w:val="18"/>
          <w:szCs w:val="18"/>
          <w:b w:val="1"/>
          <w:bCs w:val="1"/>
          <w:i w:val="1"/>
          <w:iCs w:val="1"/>
          <w:color w:val="auto"/>
        </w:rPr>
        <w:t>Series G-3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G-3 Preferred Stock the full amount to which they shall be entitled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the holders of shares of Series G-3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6" w:lineRule="exact"/>
        <w:rPr>
          <w:sz w:val="20"/>
          <w:szCs w:val="20"/>
          <w:color w:val="auto"/>
        </w:rPr>
      </w:pPr>
    </w:p>
    <w:p>
      <w:pPr>
        <w:jc w:val="both"/>
        <w:ind w:firstLine="1393"/>
        <w:spacing w:after="0" w:line="245"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Preferential Payments to Holders of Series G-2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G-3 Preferred Stock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holders of shares of Series G-2 Preferred Stock then outstanding shall be entitled to be paid out of the proceeds or assets of the Corporation available for distribution to its stockholders, before any payment shall be made to the holders of Series G Preferred Stock, Series F Preferred Stock, Series E Preferred Stock, Series D Preferred Stock, Series C Preferred Stock, Series B-2 Preferred Stock, Series B-1 Preferred Stock, Series B Preferred Stock, Series A Preferred Stock or Common Stock by reason of their ownership thereof, an amount per share equal to the greater of (i) 1.0 times the Series G-2 Original Issue Price, plus any declared but unpaid dividends thereon, or (ii) such amount per share as would have been payable had all shares of Series G-2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G-2 Preferred Stock is hereinafter referred to as the “</w:t>
      </w:r>
      <w:r>
        <w:rPr>
          <w:rFonts w:ascii="Times New Roman" w:cs="Times New Roman" w:eastAsia="Times New Roman" w:hAnsi="Times New Roman"/>
          <w:sz w:val="18"/>
          <w:szCs w:val="18"/>
          <w:b w:val="1"/>
          <w:bCs w:val="1"/>
          <w:i w:val="1"/>
          <w:iCs w:val="1"/>
          <w:color w:val="auto"/>
        </w:rPr>
        <w:t>Series G-2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G-2 Preferred Stock the full amount to which they shall be entitled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holders of shares of Series G-2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3" w:lineRule="exact"/>
        <w:rPr>
          <w:sz w:val="20"/>
          <w:szCs w:val="20"/>
          <w:color w:val="auto"/>
        </w:rPr>
      </w:pPr>
    </w:p>
    <w:p>
      <w:pPr>
        <w:jc w:val="both"/>
        <w:ind w:firstLine="1393"/>
        <w:spacing w:after="0" w:line="251"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Preferential Payments to Holders of Series G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G-3 Preferred Stock and Series G-2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the holders of shares of Series G Preferred Stock then outstanding shall be entitled to be paid out of the proceeds or assets of the Corporation available for distribution to its stockholders, before any payment shall be made to the holders of Series F Preferred Stock, Series E Preferred Stock, Series D Preferred Stock,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20"/>
          </w:cols>
          <w:pgMar w:left="580" w:top="265" w:right="599" w:bottom="1440" w:gutter="0" w:footer="0" w:header="0"/>
        </w:sectPr>
      </w:pPr>
    </w:p>
    <w:bookmarkStart w:id="309" w:name="page310"/>
    <w:bookmarkEnd w:id="309"/>
    <w:p>
      <w:pPr>
        <w:jc w:val="both"/>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Series C Preferred Stock, Series B-2 Preferred Stock, Series B-1 Preferred Stock, Series B Preferred Stock, Series A Preferred Stock or Common Stock by reason of their ownership thereof, an amount per share equal to the greater of (i) 1.0 times the Series G Original Issue Price, plus any Series G Accruing Dividends accrued but unpaid thereon, together with any other dividends declared but unpaid thereon, or (ii) such amount per share as would have been payable had all shares of Series G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G Preferred Stock is hereinafter referred to as the “</w:t>
      </w:r>
      <w:r>
        <w:rPr>
          <w:rFonts w:ascii="Times New Roman" w:cs="Times New Roman" w:eastAsia="Times New Roman" w:hAnsi="Times New Roman"/>
          <w:sz w:val="18"/>
          <w:szCs w:val="18"/>
          <w:b w:val="1"/>
          <w:bCs w:val="1"/>
          <w:i w:val="1"/>
          <w:iCs w:val="1"/>
          <w:color w:val="auto"/>
        </w:rPr>
        <w:t>Series G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G Preferred Stock the full amount to which they shall be entitled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the holders of shares of Series G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6" w:lineRule="exact"/>
        <w:rPr>
          <w:sz w:val="20"/>
          <w:szCs w:val="20"/>
          <w:color w:val="auto"/>
        </w:rPr>
      </w:pPr>
    </w:p>
    <w:p>
      <w:pPr>
        <w:jc w:val="both"/>
        <w:ind w:firstLine="1393"/>
        <w:spacing w:after="0" w:line="278" w:lineRule="auto"/>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u w:val="single" w:color="auto"/>
          <w:color w:val="auto"/>
        </w:rPr>
        <w:t>Preferential Payments to Holders of Series F Preferred Stock</w:t>
      </w:r>
      <w:r>
        <w:rPr>
          <w:rFonts w:ascii="Times New Roman" w:cs="Times New Roman" w:eastAsia="Times New Roman" w:hAnsi="Times New Roman"/>
          <w:sz w:val="16"/>
          <w:szCs w:val="16"/>
          <w:color w:val="auto"/>
        </w:rPr>
        <w:t xml:space="preserve">. After the payment of all preferential amounts required to be paid to the holders of Series G-3 Preferred Stock, Series G-2 Preferred Stock and Series G Preferred Stock pursuant to </w:t>
      </w:r>
      <w:r>
        <w:rPr>
          <w:rFonts w:ascii="Times New Roman" w:cs="Times New Roman" w:eastAsia="Times New Roman" w:hAnsi="Times New Roman"/>
          <w:sz w:val="16"/>
          <w:szCs w:val="16"/>
          <w:u w:val="single" w:color="auto"/>
          <w:color w:val="auto"/>
        </w:rPr>
        <w:t>Sections 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the holders of shares of Series F Preferred Stock then outstanding shall be entitled to be paid out of the proceeds or assets of the Corporation available for distribution to its stockholders, before any payment shall be made to the holders of Series E Preferred Stock, Series D Preferred Stock, Series C Preferred Stock, Series B-2 Preferred Stock, Series B-1 Preferred Stock, Series B Preferred Stock, Series A Preferred Stock or Common Stock by reason of their ownership thereof, an amount per share equal to the greater of (i) 1.0 times the Series F Original Issue Price, plus any Series F Accruing Dividends accrued but unpaid thereon, together with any other dividends declared but unpaid thereon, or (ii) such amount per share as would have been payable had all shares of Series F Preferred Stock been converted into Voting Common Stock pursuant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immediately prior to such liquidation, dissolution, winding up or Deemed Liquidation Event (the amount payable pursuant to this sentence with respect to the Series F Preferred Stock is hereinafter referred to as the “</w:t>
      </w:r>
      <w:r>
        <w:rPr>
          <w:rFonts w:ascii="Times New Roman" w:cs="Times New Roman" w:eastAsia="Times New Roman" w:hAnsi="Times New Roman"/>
          <w:sz w:val="16"/>
          <w:szCs w:val="16"/>
          <w:b w:val="1"/>
          <w:bCs w:val="1"/>
          <w:i w:val="1"/>
          <w:iCs w:val="1"/>
          <w:color w:val="auto"/>
        </w:rPr>
        <w:t>Series F Liquidation Amount</w:t>
      </w:r>
      <w:r>
        <w:rPr>
          <w:rFonts w:ascii="Times New Roman" w:cs="Times New Roman" w:eastAsia="Times New Roman" w:hAnsi="Times New Roman"/>
          <w:sz w:val="16"/>
          <w:szCs w:val="16"/>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F Preferred Stock the full amount to which they shall be entitled under this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the holders of shares of Series F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380" w:lineRule="exact"/>
        <w:rPr>
          <w:sz w:val="20"/>
          <w:szCs w:val="20"/>
          <w:color w:val="auto"/>
        </w:rPr>
      </w:pPr>
    </w:p>
    <w:p>
      <w:pPr>
        <w:jc w:val="both"/>
        <w:ind w:firstLine="1393"/>
        <w:spacing w:after="0" w:line="249"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Preferential Payments to Holders of Series E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G-3 Preferred Stock, Series G-2 Preferred Stock, Series G Preferred Stock and Series F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the holders of shares of Series E Preferred Stock then outstanding shall be entitled to be paid out of the proceeds or assets of the Corporation available for distribution to its stockholders, before any payment shall be made to the holders of Series D Preferred Stock, Series C Preferred Stock, Series B-2 Preferred Stock, Series B-1 Preferred Stock, Series B</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20"/>
          </w:cols>
          <w:pgMar w:left="580" w:top="265" w:right="599" w:bottom="1440" w:gutter="0" w:footer="0" w:header="0"/>
        </w:sectPr>
      </w:pPr>
    </w:p>
    <w:bookmarkStart w:id="310" w:name="page311"/>
    <w:bookmarkEnd w:id="310"/>
    <w:p>
      <w:pPr>
        <w:jc w:val="both"/>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Preferred Stock, Series A Preferred Stock or Common Stock by reason of their ownership thereof, an amount per share equal to the greater of (i) 1.0 times the Series E Original Issue Price, plus any Series E Accruing Dividends accrued but unpaid thereon, together with any other dividends declared but unpaid thereon, or (ii) such amount per share as would have been payable had all shares of Series E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E Preferred Stock is hereinafter referred to as the “</w:t>
      </w:r>
      <w:r>
        <w:rPr>
          <w:rFonts w:ascii="Times New Roman" w:cs="Times New Roman" w:eastAsia="Times New Roman" w:hAnsi="Times New Roman"/>
          <w:sz w:val="18"/>
          <w:szCs w:val="18"/>
          <w:b w:val="1"/>
          <w:bCs w:val="1"/>
          <w:i w:val="1"/>
          <w:iCs w:val="1"/>
          <w:color w:val="auto"/>
        </w:rPr>
        <w:t>Series E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E Preferred Stock the full amount to which they shall be entitled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holders of shares of Series E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9" w:lineRule="exact"/>
        <w:rPr>
          <w:sz w:val="20"/>
          <w:szCs w:val="20"/>
          <w:color w:val="auto"/>
        </w:rPr>
      </w:pPr>
    </w:p>
    <w:p>
      <w:pPr>
        <w:jc w:val="both"/>
        <w:ind w:firstLine="1393"/>
        <w:spacing w:after="0" w:line="245"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Preferential Payments to Holders of Series D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G-3 Preferred Stock, Series G-2 Preferred Stock, Series G Preferred Stock, Series F Preferred Stock and Series E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the holders of shares of Series D Preferred Stock then outstanding shall be entitled to be paid out of the proceeds or assets of the Corporation available for distribution to its stockholders, before any payment shall be made to the holders of Series C Preferred Stock, Series B-2 Preferred Stock, Series B-1 Preferred Stock, Series B Preferred Stock, Series A Preferred Stock or Common Stock by reason of their ownership thereof, an amount per share equal to the greater of (i) 1.0 times the Series D Original Issue Price, plus any Series D Accruing Dividends accrued but unpaid thereon, together with any other dividends declared but unpaid thereon, or (ii) such amount per share as would have been payable had all shares of Series D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D Preferred Stock is hereinafter referred to as the “</w:t>
      </w:r>
      <w:r>
        <w:rPr>
          <w:rFonts w:ascii="Times New Roman" w:cs="Times New Roman" w:eastAsia="Times New Roman" w:hAnsi="Times New Roman"/>
          <w:sz w:val="18"/>
          <w:szCs w:val="18"/>
          <w:b w:val="1"/>
          <w:bCs w:val="1"/>
          <w:i w:val="1"/>
          <w:iCs w:val="1"/>
          <w:color w:val="auto"/>
        </w:rPr>
        <w:t>Series D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D Preferred Stock the full amount to which they shall be entitled under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the holders of shares of Series D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1" w:lineRule="exact"/>
        <w:rPr>
          <w:sz w:val="20"/>
          <w:szCs w:val="20"/>
          <w:color w:val="auto"/>
        </w:rPr>
      </w:pPr>
    </w:p>
    <w:p>
      <w:pPr>
        <w:jc w:val="both"/>
        <w:ind w:firstLine="1393"/>
        <w:spacing w:after="0" w:line="248"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Preferential Payments to Holders of Series C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G-3 Preferred Stock, Series G-2 Preferred Stock, Series G Preferred Stock, Series F Preferred Stock, Series E Preferred Stock and Series D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the holders of shares of Series C Preferred Stock then outstanding shall be entitled to be paid out of the proceeds or assets of the Corporation available for distribution to its stockholders, before any payment shall be made to the holders of Series B-2 Preferred Stock, Series B-1 Preferred Stock, Series B Preferred Stock, Series A Preferred Stock or Common Stock by reason of their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20"/>
          </w:cols>
          <w:pgMar w:left="580" w:top="265" w:right="599" w:bottom="1440" w:gutter="0" w:footer="0" w:header="0"/>
        </w:sectPr>
      </w:pPr>
    </w:p>
    <w:bookmarkStart w:id="311" w:name="page312"/>
    <w:bookmarkEnd w:id="311"/>
    <w:p>
      <w:pPr>
        <w:jc w:val="both"/>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ownership thereof, an amount per share equal to 1.0 times the Series C Original Issue Price, plus any Series C Accruing Dividends accrued but unpaid thereon, together with any other dividends declared but unpaid thereon (the amount payable pursuant to this sentence with respect to the Series C Preferred Stock is hereinafter referred to as the “</w:t>
      </w:r>
      <w:r>
        <w:rPr>
          <w:rFonts w:ascii="Times New Roman" w:cs="Times New Roman" w:eastAsia="Times New Roman" w:hAnsi="Times New Roman"/>
          <w:sz w:val="18"/>
          <w:szCs w:val="18"/>
          <w:b w:val="1"/>
          <w:bCs w:val="1"/>
          <w:i w:val="1"/>
          <w:iCs w:val="1"/>
          <w:color w:val="auto"/>
        </w:rPr>
        <w:t>Series C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C Preferred Stock the full amount to which they shall be entitled under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the holders of shares of Series C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6" w:lineRule="exact"/>
        <w:rPr>
          <w:sz w:val="20"/>
          <w:szCs w:val="20"/>
          <w:color w:val="auto"/>
        </w:rPr>
      </w:pPr>
    </w:p>
    <w:p>
      <w:pPr>
        <w:jc w:val="both"/>
        <w:ind w:firstLine="1393"/>
        <w:spacing w:after="0" w:line="244"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Preferential Payments to Holders of Series B-2 Preferred Stock, Series B-1 Preferred Stock and Series B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G-3 Preferred Stock, Series G-2 Preferred Stock, Series G Preferred Stock, Series F Preferred Stock, Series E Preferred Stock, Series D Preferred Stock and Series C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the holders of shares of Series B-2 Preferred Stock, Series B-1 Preferred Stock and Series B Preferred Stock then outstanding shall be entitled to be paid out of the proceeds or assets of the Corporation available for distribution to its stockholders, before any payment shall be made to the holders of Series A Preferred Stock or Common Stock by reason of their ownership thereof, an amount per share equal to (i) with respect to each share of Series B-2 Preferred Stock, the greater of (A) 1.0 times the Series B-2 Original Issue Price, plus any Series B-2 Accruing Dividends accrued but unpaid thereon, together with any other dividends declared but unpaid thereon, or (B) such amount per share as would have been payable had all shares of Series B-2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B-2 Preferred Stock is hereinafter referred to as the “</w:t>
      </w:r>
      <w:r>
        <w:rPr>
          <w:rFonts w:ascii="Times New Roman" w:cs="Times New Roman" w:eastAsia="Times New Roman" w:hAnsi="Times New Roman"/>
          <w:sz w:val="18"/>
          <w:szCs w:val="18"/>
          <w:b w:val="1"/>
          <w:bCs w:val="1"/>
          <w:i w:val="1"/>
          <w:iCs w:val="1"/>
          <w:color w:val="auto"/>
        </w:rPr>
        <w:t>Series B-2 Liquidation Amount</w:t>
      </w:r>
      <w:r>
        <w:rPr>
          <w:rFonts w:ascii="Times New Roman" w:cs="Times New Roman" w:eastAsia="Times New Roman" w:hAnsi="Times New Roman"/>
          <w:sz w:val="18"/>
          <w:szCs w:val="18"/>
          <w:color w:val="auto"/>
        </w:rPr>
        <w:t xml:space="preserve">”), (ii) with respect to each share of Series B-1 Preferred Stock, the greater of (A) 1.0 times the Series B-1 Original Issue Price, plus any Series B-1 Accruing Dividends accrued but unpaid thereon, together with any other dividends declared but unpaid thereon, or (B) such amount per share as would have been payable had all shares of Series B-1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B-1 Preferred Stock is hereinafter referred to as the “</w:t>
      </w:r>
      <w:r>
        <w:rPr>
          <w:rFonts w:ascii="Times New Roman" w:cs="Times New Roman" w:eastAsia="Times New Roman" w:hAnsi="Times New Roman"/>
          <w:sz w:val="18"/>
          <w:szCs w:val="18"/>
          <w:b w:val="1"/>
          <w:bCs w:val="1"/>
          <w:i w:val="1"/>
          <w:iCs w:val="1"/>
          <w:color w:val="auto"/>
        </w:rPr>
        <w:t>Series B-1 Liquidation Amount</w:t>
      </w:r>
      <w:r>
        <w:rPr>
          <w:rFonts w:ascii="Times New Roman" w:cs="Times New Roman" w:eastAsia="Times New Roman" w:hAnsi="Times New Roman"/>
          <w:sz w:val="18"/>
          <w:szCs w:val="18"/>
          <w:color w:val="auto"/>
        </w:rPr>
        <w:t xml:space="preserve">”), and (iii) with respect to Series B Preferred Stock, the greater of (A) 1.0 times the Series B Original Issue Price, plus any Series B Accruing Dividends accrued but unpaid thereon, together with any other dividends declared but unpaid thereon, or (B) such amount per share as would have been payable had all shares of Series B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B Preferred Stock is hereinafter referred to as the “</w:t>
      </w:r>
      <w:r>
        <w:rPr>
          <w:rFonts w:ascii="Times New Roman" w:cs="Times New Roman" w:eastAsia="Times New Roman" w:hAnsi="Times New Roman"/>
          <w:sz w:val="18"/>
          <w:szCs w:val="18"/>
          <w:b w:val="1"/>
          <w:bCs w:val="1"/>
          <w:i w:val="1"/>
          <w:iCs w:val="1"/>
          <w:color w:val="auto"/>
        </w:rPr>
        <w:t>Series B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B-2 Preferred Stock, Series B-1 Preferred Stock and Series B Preferred Stock the full amount to which they shall be entitled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the holders of shares of Series B-2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20"/>
          </w:cols>
          <w:pgMar w:left="580" w:top="265" w:right="599" w:bottom="1440" w:gutter="0" w:footer="0" w:header="0"/>
        </w:sectPr>
      </w:pPr>
    </w:p>
    <w:bookmarkStart w:id="312" w:name="page313"/>
    <w:bookmarkEnd w:id="312"/>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Preferred Stock, Series B-1 Preferred Stock and Series B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0" w:lineRule="exact"/>
        <w:rPr>
          <w:sz w:val="20"/>
          <w:szCs w:val="20"/>
          <w:color w:val="auto"/>
        </w:rPr>
      </w:pPr>
    </w:p>
    <w:p>
      <w:pPr>
        <w:jc w:val="both"/>
        <w:ind w:firstLine="1393"/>
        <w:spacing w:after="0" w:line="245"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Preferential Payments to Holders of Series A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G-3 Preferred Stock, Series G-2 Preferred Stock, Series G Preferred Stock, Series F Preferred Stock, Series E Preferred Stock, Series D Preferred Stock, Series C Preferred Stock, Series B-2 Preferred Stock, Series B-1 Preferred Stock and Series B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the holders of shares of Series A Preferred Stock then outstanding shall be entitled to be paid out of the proceeds or assets of the Corporation available for distribution to its stockholders, before any payment shall be made to the holders of Common Stock by reason of their ownership thereof, an amount per share equal to the greater of (i) 1.0 times the Series A Original Issue Price, plus any Series A Accruing Dividends accrued but unpaid thereon, together with any other dividends declared but unpaid thereon, or (ii) such amount per share as would have been payable had all shares of Series A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A Preferred Stock is hereinafter referred to as the “</w:t>
      </w:r>
      <w:r>
        <w:rPr>
          <w:rFonts w:ascii="Times New Roman" w:cs="Times New Roman" w:eastAsia="Times New Roman" w:hAnsi="Times New Roman"/>
          <w:sz w:val="18"/>
          <w:szCs w:val="18"/>
          <w:b w:val="1"/>
          <w:bCs w:val="1"/>
          <w:i w:val="1"/>
          <w:iCs w:val="1"/>
          <w:color w:val="auto"/>
        </w:rPr>
        <w:t>Series A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A Preferred Stock the full amount to which they shall be entitled under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the holders of shares of Series A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1" w:lineRule="exact"/>
        <w:rPr>
          <w:sz w:val="20"/>
          <w:szCs w:val="20"/>
          <w:color w:val="auto"/>
        </w:rPr>
      </w:pPr>
    </w:p>
    <w:p>
      <w:pPr>
        <w:jc w:val="both"/>
        <w:ind w:firstLine="1393"/>
        <w:spacing w:after="0" w:line="279" w:lineRule="auto"/>
        <w:rPr>
          <w:sz w:val="20"/>
          <w:szCs w:val="20"/>
          <w:color w:val="auto"/>
        </w:rPr>
      </w:pPr>
      <w:r>
        <w:rPr>
          <w:rFonts w:ascii="Times New Roman" w:cs="Times New Roman" w:eastAsia="Times New Roman" w:hAnsi="Times New Roman"/>
          <w:sz w:val="16"/>
          <w:szCs w:val="16"/>
          <w:color w:val="auto"/>
        </w:rPr>
        <w:t xml:space="preserve">2.10 </w:t>
      </w:r>
      <w:r>
        <w:rPr>
          <w:rFonts w:ascii="Times New Roman" w:cs="Times New Roman" w:eastAsia="Times New Roman" w:hAnsi="Times New Roman"/>
          <w:sz w:val="16"/>
          <w:szCs w:val="16"/>
          <w:u w:val="single" w:color="auto"/>
          <w:color w:val="auto"/>
        </w:rPr>
        <w:t>Distribution of Remaining Assets</w:t>
      </w:r>
      <w:r>
        <w:rPr>
          <w:rFonts w:ascii="Times New Roman" w:cs="Times New Roman" w:eastAsia="Times New Roman" w:hAnsi="Times New Roman"/>
          <w:sz w:val="16"/>
          <w:szCs w:val="16"/>
          <w:color w:val="auto"/>
        </w:rPr>
        <w:t xml:space="preserve">. After the payment of all preferential amounts required to be paid to the holders of Series G-3 Preferred Stock pursuant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the payment of all preferential amounts required to be paid to the holders of Series G-2 Preferred Stock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the payment of all preferential amounts required to be paid to the holders of Series G Preferred Stock pursuant to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the payment of all preferential amounts required to be paid to the holders of Series F Preferred Stock pursuant to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the payment of all preferential amounts required to be paid to the holders of Series E Preferred Stock pursuant to </w:t>
      </w:r>
      <w:r>
        <w:rPr>
          <w:rFonts w:ascii="Times New Roman" w:cs="Times New Roman" w:eastAsia="Times New Roman" w:hAnsi="Times New Roman"/>
          <w:sz w:val="16"/>
          <w:szCs w:val="16"/>
          <w:u w:val="single" w:color="auto"/>
          <w:color w:val="auto"/>
        </w:rPr>
        <w:t>Section 2.5</w:t>
      </w:r>
      <w:r>
        <w:rPr>
          <w:rFonts w:ascii="Times New Roman" w:cs="Times New Roman" w:eastAsia="Times New Roman" w:hAnsi="Times New Roman"/>
          <w:sz w:val="16"/>
          <w:szCs w:val="16"/>
          <w:color w:val="auto"/>
        </w:rPr>
        <w:t xml:space="preserve">, the payment of all preferential amounts required to be paid to the holders of Series D Preferred Stock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the payment of all preferential amounts required to be paid to the holders of Series C Preferred Stock pursuant to </w:t>
      </w:r>
      <w:r>
        <w:rPr>
          <w:rFonts w:ascii="Times New Roman" w:cs="Times New Roman" w:eastAsia="Times New Roman" w:hAnsi="Times New Roman"/>
          <w:sz w:val="16"/>
          <w:szCs w:val="16"/>
          <w:u w:val="single" w:color="auto"/>
          <w:color w:val="auto"/>
        </w:rPr>
        <w:t>Section 2.7</w:t>
      </w:r>
      <w:r>
        <w:rPr>
          <w:rFonts w:ascii="Times New Roman" w:cs="Times New Roman" w:eastAsia="Times New Roman" w:hAnsi="Times New Roman"/>
          <w:sz w:val="16"/>
          <w:szCs w:val="16"/>
          <w:color w:val="auto"/>
        </w:rPr>
        <w:t xml:space="preserve">, the payment of all preferential amounts required to be paid to the holders of Series B-2 Preferred Stock, Series B-1 Preferred Stock and Series B Preferred Stock pursuant to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 xml:space="preserve">, and the payment of all preferential amounts required to be paid to the holders of Series A Preferred Stock pursuant to </w:t>
      </w:r>
      <w:r>
        <w:rPr>
          <w:rFonts w:ascii="Times New Roman" w:cs="Times New Roman" w:eastAsia="Times New Roman" w:hAnsi="Times New Roman"/>
          <w:sz w:val="16"/>
          <w:szCs w:val="16"/>
          <w:u w:val="single" w:color="auto"/>
          <w:color w:val="auto"/>
        </w:rPr>
        <w:t>Section 2.9</w:t>
      </w:r>
      <w:r>
        <w:rPr>
          <w:rFonts w:ascii="Times New Roman" w:cs="Times New Roman" w:eastAsia="Times New Roman" w:hAnsi="Times New Roman"/>
          <w:sz w:val="16"/>
          <w:szCs w:val="16"/>
          <w:color w:val="auto"/>
        </w:rPr>
        <w:t xml:space="preserve">, the remaining assets of the Corporation available for distribution to its stockholders, if any, shall be distributed among the holders of shares of Series C Preferred Stock and Common Stock,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based on the number of shares then held by each such holder, treating for this purpose all such shares of Series C Preferred Stock as if they had been converted into Common Stock pursuant to this Restated Certificate immediately prior to such Liquidation Event or Deemed Liquidation Event;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the aggregate amount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20"/>
          </w:cols>
          <w:pgMar w:left="580" w:top="265" w:right="599" w:bottom="1440" w:gutter="0" w:footer="0" w:header="0"/>
        </w:sectPr>
      </w:pPr>
    </w:p>
    <w:bookmarkStart w:id="313" w:name="page314"/>
    <w:bookmarkEnd w:id="313"/>
    <w:p>
      <w:pPr>
        <w:jc w:val="both"/>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which the holders of Series D Preferred Stock would otherwise be entitled to receive is less than $18.7478 per share (as adjusted for any stock splits, stock dividends, combinations, subdivisions, recapitalizations or the like), then the remaining assets of the Corporation available for distribution to its stockholders, if any, shall be distributed among the holders of shares of Series C Preferred Stock (excluding, for this purpose, any shares of Series C Preferred Stock held at any time by Eric P. Lefkofsky or any entity in which Eric P. Lefkofsky owned or held, directly or indirectly, the power to direct the management and policies of such entity whether through the ownership of voting securities, contract or otherwise (“</w:t>
      </w:r>
      <w:r>
        <w:rPr>
          <w:rFonts w:ascii="Times New Roman" w:cs="Times New Roman" w:eastAsia="Times New Roman" w:hAnsi="Times New Roman"/>
          <w:sz w:val="18"/>
          <w:szCs w:val="18"/>
          <w:b w:val="1"/>
          <w:bCs w:val="1"/>
          <w:i w:val="1"/>
          <w:iCs w:val="1"/>
          <w:color w:val="auto"/>
        </w:rPr>
        <w:t>Lefkofsky Shares</w:t>
      </w:r>
      <w:r>
        <w:rPr>
          <w:rFonts w:ascii="Times New Roman" w:cs="Times New Roman" w:eastAsia="Times New Roman" w:hAnsi="Times New Roman"/>
          <w:sz w:val="18"/>
          <w:szCs w:val="18"/>
          <w:color w:val="auto"/>
        </w:rPr>
        <w:t xml:space="preserve">”), regardless of whether or not any of the Lefkofsky Shares were subsequently transferred and regardless of the subsequent holders of the Lefkofsky Shares) and Common Stock,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number of shares then held by each such holder, treating for this purpose all such shares of Series C Preferred Stock as if they had been converted into Common Stock pursuant to this Restated Certificate immediately prior to such Liquidation Event or Deemed Liquidation Event.</w:t>
      </w:r>
    </w:p>
    <w:p>
      <w:pPr>
        <w:spacing w:after="0" w:line="1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Deemed Liquidation Events</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jc w:val="both"/>
        <w:ind w:firstLine="1928"/>
        <w:spacing w:after="0" w:line="258" w:lineRule="auto"/>
        <w:rPr>
          <w:sz w:val="20"/>
          <w:szCs w:val="20"/>
          <w:color w:val="auto"/>
        </w:rPr>
      </w:pPr>
      <w:r>
        <w:rPr>
          <w:rFonts w:ascii="Times New Roman" w:cs="Times New Roman" w:eastAsia="Times New Roman" w:hAnsi="Times New Roman"/>
          <w:sz w:val="18"/>
          <w:szCs w:val="18"/>
          <w:color w:val="auto"/>
        </w:rPr>
        <w:t xml:space="preserve">2.11.1 </w:t>
      </w: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Each of the following events shall be considered a “</w:t>
      </w:r>
      <w:r>
        <w:rPr>
          <w:rFonts w:ascii="Times New Roman" w:cs="Times New Roman" w:eastAsia="Times New Roman" w:hAnsi="Times New Roman"/>
          <w:sz w:val="18"/>
          <w:szCs w:val="18"/>
          <w:b w:val="1"/>
          <w:bCs w:val="1"/>
          <w:i w:val="1"/>
          <w:iCs w:val="1"/>
          <w:color w:val="auto"/>
        </w:rPr>
        <w:t>Deemed Liquidation Event</w:t>
      </w:r>
      <w:r>
        <w:rPr>
          <w:rFonts w:ascii="Times New Roman" w:cs="Times New Roman" w:eastAsia="Times New Roman" w:hAnsi="Times New Roman"/>
          <w:sz w:val="18"/>
          <w:szCs w:val="18"/>
          <w:color w:val="auto"/>
        </w:rPr>
        <w:t>” unless the Requisite Preferred Holders (as defined below) elect otherwise by written notice sent to the Corporation at least 10 days prior to the effective date of any such event:</w:t>
      </w:r>
    </w:p>
    <w:p>
      <w:pPr>
        <w:spacing w:after="0" w:line="177" w:lineRule="exact"/>
        <w:rPr>
          <w:sz w:val="20"/>
          <w:szCs w:val="20"/>
          <w:color w:val="auto"/>
        </w:rPr>
      </w:pPr>
    </w:p>
    <w:p>
      <w:pPr>
        <w:jc w:val="both"/>
        <w:ind w:firstLine="1936"/>
        <w:spacing w:after="0" w:line="279" w:lineRule="auto"/>
        <w:tabs>
          <w:tab w:leader="none" w:pos="2202"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merger or consolidation in which the Corporation is a constituent party (or a subsidiary of the Corporation is a constituent party and the Corporation issues shares of its capital stock pursuant to such merger or consolidation) or (ii) a sale or issuance of shares by the Corporation of its voting stock (other than pursuant to a customary venture capital financing of the Corporation where the holder(s) of shares of capital stock of the Corporation outstanding immediately prior to such venture capital financing continue to hold shares which represent, immediately following such venture capital financing, at least a majority, by voting power, of the outstanding shares of capital stock), except in the case of </w:t>
      </w:r>
      <w:r>
        <w:rPr>
          <w:rFonts w:ascii="Times New Roman" w:cs="Times New Roman" w:eastAsia="Times New Roman" w:hAnsi="Times New Roman"/>
          <w:sz w:val="16"/>
          <w:szCs w:val="16"/>
          <w:u w:val="single" w:color="auto"/>
          <w:color w:val="auto"/>
        </w:rPr>
        <w:t>clause (i)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any such merger or consolidation involving the Corporation or a subsidiary or any such sale or issuance by the Corporation in which the holder(s) of shares of capital stock of the Corporation outstanding immediately prior to such merger or consolidation continue to hold shares which represent, or are converted into or exchanged for shares of capital stock that represent, immediately following such merger or consolidation, at least a majority, by voting power, of the outstanding shares of capital stock of (1) the surviving or resulting corporation or (2) if the surviving or resulting corporation is a wholly owned subsidiary of another corporation immediately following such merger or consolidation, the parent corporation of such surviving or resulting corporation, in substantially the same proportions and with substantially the same terms as held immediately prior to such merger or consolidation; or</w:t>
      </w:r>
    </w:p>
    <w:p>
      <w:pPr>
        <w:spacing w:after="0" w:line="167" w:lineRule="exact"/>
        <w:rPr>
          <w:rFonts w:ascii="Times New Roman" w:cs="Times New Roman" w:eastAsia="Times New Roman" w:hAnsi="Times New Roman"/>
          <w:sz w:val="16"/>
          <w:szCs w:val="16"/>
          <w:color w:val="auto"/>
        </w:rPr>
      </w:pPr>
    </w:p>
    <w:p>
      <w:pPr>
        <w:jc w:val="both"/>
        <w:ind w:firstLine="1936"/>
        <w:spacing w:after="0" w:line="249" w:lineRule="auto"/>
        <w:tabs>
          <w:tab w:leader="none" w:pos="218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transfer, exclusive license or other disposition, in a single transaction or series of related transactions, by the Corporation or any subsidiary of the Corporation of all or substantially all the assets or intellectual property of the Corporation and its subsidiaries taken as a whole or the sale or disposition (whether by merger or otherwise) of one or more subsidiaries of the Corporation if substantially all of the assets or intellectual property of the Corporation and its subsidiaries taken as a whole are held by such subsidiary or subsidiaries, except where such sale, lease, transfer, exclusive license or other disposition is to a wholly owned subsidiary of the Corporation.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20"/>
          </w:cols>
          <w:pgMar w:left="580" w:top="265" w:right="599" w:bottom="1440" w:gutter="0" w:footer="0" w:header="0"/>
        </w:sectPr>
      </w:pPr>
    </w:p>
    <w:bookmarkStart w:id="314" w:name="page315"/>
    <w:bookmarkEnd w:id="314"/>
    <w:p>
      <w:pPr>
        <w:ind w:firstLine="1936"/>
        <w:spacing w:after="0" w:line="245" w:lineRule="auto"/>
        <w:tabs>
          <w:tab w:leader="none" w:pos="216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Notwithstanding the foregoing </w:t>
      </w:r>
      <w:r>
        <w:rPr>
          <w:rFonts w:ascii="Times New Roman" w:cs="Times New Roman" w:eastAsia="Times New Roman" w:hAnsi="Times New Roman"/>
          <w:sz w:val="18"/>
          <w:szCs w:val="18"/>
          <w:u w:val="single" w:color="auto"/>
          <w:color w:val="auto"/>
        </w:rPr>
        <w:t>Subsections 2.11.1(a)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2.11.1(b)</w:t>
      </w:r>
      <w:r>
        <w:rPr>
          <w:rFonts w:ascii="Times New Roman" w:cs="Times New Roman" w:eastAsia="Times New Roman" w:hAnsi="Times New Roman"/>
          <w:sz w:val="18"/>
          <w:szCs w:val="18"/>
          <w:color w:val="auto"/>
        </w:rPr>
        <w:t>, (i) no such transaction or series of related transactions (including by way of merger, consolidation, recapitalization, reorganization, sale of securities or otherwise) solely effecting a “Public Offering” shall be deemed a Deemed Liquidation Event, and (ii) a Deemed Liquidation Event shall not include any such transaction effected solely by the issuance of voting securities by the Corporation or any of its Subsidiaries in a bona fide transaction for the purpose of raising capital for the Corporation or its Subsidiary where the holder(s) of shares of capital stock of the Corporation outstanding immediately prior to such transaction continue to hold shares which represent, immediately following such transaction, at least a majority, by voting power, of the outstanding shares of capital stock. “</w:t>
      </w:r>
      <w:r>
        <w:rPr>
          <w:rFonts w:ascii="Times New Roman" w:cs="Times New Roman" w:eastAsia="Times New Roman" w:hAnsi="Times New Roman"/>
          <w:sz w:val="18"/>
          <w:szCs w:val="18"/>
          <w:b w:val="1"/>
          <w:bCs w:val="1"/>
          <w:i w:val="1"/>
          <w:i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means any firm commitment underwritten sale of common equity securities of the Corporation (or any successor thereto, whether by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conversion, consolidation, recapitalization, reorganization or otherwise) pursuant to an effective registration statement under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xml:space="preserve">” (defined as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 filed with the Securities and Exchange Commission on Forms S-1 or S-3 (or any successor forms adopted by the Securities and Exchange Commission);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following shall not be considered a Public Offering: (i) any issuance of common equity securities in connection with and as consideration for a merger or acquisition, and (ii) any issuance of common equity securities or rights to acquire common equity securities to employees, officers, directors, consultants or other service providers of the Corporation or any of its Subsidiaries or others as part of an incentive or compensation plan, agreement or arrangement.</w:t>
      </w:r>
    </w:p>
    <w:p>
      <w:pPr>
        <w:spacing w:after="0" w:line="191"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8"/>
          <w:szCs w:val="18"/>
          <w:color w:val="auto"/>
        </w:rPr>
        <w:t xml:space="preserve">For the avoidance of doubt, nothing contained in this </w:t>
      </w:r>
      <w:r>
        <w:rPr>
          <w:rFonts w:ascii="Times New Roman" w:cs="Times New Roman" w:eastAsia="Times New Roman" w:hAnsi="Times New Roman"/>
          <w:sz w:val="18"/>
          <w:szCs w:val="18"/>
          <w:u w:val="single" w:color="auto"/>
          <w:color w:val="auto"/>
        </w:rPr>
        <w:t>Section 2.11.1</w:t>
      </w:r>
      <w:r>
        <w:rPr>
          <w:rFonts w:ascii="Times New Roman" w:cs="Times New Roman" w:eastAsia="Times New Roman" w:hAnsi="Times New Roman"/>
          <w:sz w:val="18"/>
          <w:szCs w:val="18"/>
          <w:color w:val="auto"/>
        </w:rPr>
        <w:t xml:space="preserve"> or elsewhere in this Restated Certificate (other than the terms and conditions of </w:t>
      </w:r>
      <w:r>
        <w:rPr>
          <w:rFonts w:ascii="Times New Roman" w:cs="Times New Roman" w:eastAsia="Times New Roman" w:hAnsi="Times New Roman"/>
          <w:sz w:val="18"/>
          <w:szCs w:val="18"/>
          <w:u w:val="single" w:color="auto"/>
          <w:color w:val="auto"/>
        </w:rPr>
        <w:t>Sections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if applicable) shall require the consent or approval of holders of the outstanding shares of Series G-3 Preferred Stock, voting as a separate class, Series G-2 Preferred Stock, voting as a separate class, Series G Preferred Stock, voting as a separate class, Series F Preferred Stock, voting as a separate class, Series E Preferred Stock, voting as a separate class, shares of Series D Preferred Stock, voting as a separate class, or shares of Series C Preferred Stock, voting as a separate class, to effect a Deemed Liquidation Event.</w:t>
      </w:r>
    </w:p>
    <w:p>
      <w:pPr>
        <w:spacing w:after="0" w:line="18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 xml:space="preserve">2.11.2 </w:t>
      </w:r>
      <w:r>
        <w:rPr>
          <w:rFonts w:ascii="Times New Roman" w:cs="Times New Roman" w:eastAsia="Times New Roman" w:hAnsi="Times New Roman"/>
          <w:sz w:val="18"/>
          <w:szCs w:val="18"/>
          <w:u w:val="single" w:color="auto"/>
          <w:color w:val="auto"/>
        </w:rPr>
        <w:t>Effecting a Deemed Liquidation Event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ind w:right="20" w:firstLine="1936"/>
        <w:spacing w:after="0" w:line="251" w:lineRule="auto"/>
        <w:tabs>
          <w:tab w:leader="none" w:pos="216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not have the power to effect a Deemed Liquidation Event referred to in </w:t>
      </w:r>
      <w:r>
        <w:rPr>
          <w:rFonts w:ascii="Times New Roman" w:cs="Times New Roman" w:eastAsia="Times New Roman" w:hAnsi="Times New Roman"/>
          <w:sz w:val="18"/>
          <w:szCs w:val="18"/>
          <w:u w:val="single" w:color="auto"/>
          <w:color w:val="auto"/>
        </w:rPr>
        <w:t>Section 2.11.1(a)</w:t>
      </w:r>
      <w:r>
        <w:rPr>
          <w:rFonts w:ascii="Times New Roman" w:cs="Times New Roman" w:eastAsia="Times New Roman" w:hAnsi="Times New Roman"/>
          <w:sz w:val="18"/>
          <w:szCs w:val="18"/>
          <w:color w:val="auto"/>
        </w:rPr>
        <w:t xml:space="preserve"> unless the agreement or plan of merger or consolidation for such transaction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xml:space="preserve">”) provides that the consideration payable to the stockholders of the Corporation shall be allocated among the holders of capital stock of the Corporation in accordance with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20"/>
          </w:cols>
          <w:pgMar w:left="580" w:top="265" w:right="599" w:bottom="1440" w:gutter="0" w:footer="0" w:header="0"/>
        </w:sectPr>
      </w:pPr>
    </w:p>
    <w:bookmarkStart w:id="315" w:name="page316"/>
    <w:bookmarkEnd w:id="315"/>
    <w:p>
      <w:pPr>
        <w:ind w:left="-8" w:right="20" w:firstLine="1936"/>
        <w:spacing w:after="0" w:line="277" w:lineRule="auto"/>
        <w:tabs>
          <w:tab w:leader="none" w:pos="2168" w:val="left"/>
        </w:tabs>
        <w:numPr>
          <w:ilvl w:val="1"/>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In the event of a Deemed Liquidation Event referred to in </w:t>
      </w:r>
      <w:r>
        <w:rPr>
          <w:rFonts w:ascii="Times New Roman" w:cs="Times New Roman" w:eastAsia="Times New Roman" w:hAnsi="Times New Roman"/>
          <w:sz w:val="16"/>
          <w:szCs w:val="16"/>
          <w:u w:val="single" w:color="auto"/>
          <w:color w:val="auto"/>
        </w:rPr>
        <w:t>Section 2.11.1(a)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2.11.1(b)</w:t>
      </w:r>
      <w:r>
        <w:rPr>
          <w:rFonts w:ascii="Times New Roman" w:cs="Times New Roman" w:eastAsia="Times New Roman" w:hAnsi="Times New Roman"/>
          <w:sz w:val="16"/>
          <w:szCs w:val="16"/>
          <w:color w:val="auto"/>
        </w:rPr>
        <w:t xml:space="preserve">, if the Corporation does not effect a dissolution of the Corporation under the DGCL within 90 days after such Deemed Liquidation Event, then (i) the Corporation shall send a written notice to each holder of Preferred Stock no later than the 90th day after the Deemed Liquidation Event advising such holders of their right (and the requirements to be met to secure such right) pursuant to the terms of the following </w:t>
      </w:r>
      <w:r>
        <w:rPr>
          <w:rFonts w:ascii="Times New Roman" w:cs="Times New Roman" w:eastAsia="Times New Roman" w:hAnsi="Times New Roman"/>
          <w:sz w:val="16"/>
          <w:szCs w:val="16"/>
          <w:u w:val="single" w:color="auto"/>
          <w:color w:val="auto"/>
        </w:rPr>
        <w:t>clause (ii)</w:t>
      </w:r>
      <w:r>
        <w:rPr>
          <w:rFonts w:ascii="Times New Roman" w:cs="Times New Roman" w:eastAsia="Times New Roman" w:hAnsi="Times New Roman"/>
          <w:sz w:val="16"/>
          <w:szCs w:val="16"/>
          <w:color w:val="auto"/>
        </w:rPr>
        <w:t>, and (ii) unless (A) the holders of a majority of the outstanding shares of Series G-3 Preferred Stock, voting as a separate class, (B) the holders of a majority of the outstanding shares of Series G-2 Preferred Stock, voting as a separate class, (C) the holders of a majority of the outstanding shares of Series G Preferred Stock, voting as a separate class,</w:t>
      </w:r>
    </w:p>
    <w:p>
      <w:pPr>
        <w:spacing w:after="0" w:line="4" w:lineRule="exact"/>
        <w:rPr>
          <w:rFonts w:ascii="Times New Roman" w:cs="Times New Roman" w:eastAsia="Times New Roman" w:hAnsi="Times New Roman"/>
          <w:sz w:val="16"/>
          <w:szCs w:val="16"/>
          <w:color w:val="auto"/>
        </w:rPr>
      </w:pPr>
    </w:p>
    <w:p>
      <w:pPr>
        <w:ind w:left="-8" w:firstLine="8"/>
        <w:spacing w:after="0" w:line="275" w:lineRule="auto"/>
        <w:tabs>
          <w:tab w:leader="none" w:pos="279"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 majority of the outstanding shares of Series F Preferred Stock, voting as a separate class, (E) the holders of a majority of the outstanding shares of Series E Preferred Stock, voting as a separate class, (F) the holders of at least sixty percent (60%) of the outstanding shares of Series D Preferred Stock, voting as a separate class, (G) the holders of at least sixty percent (60%) of the outstanding shares of Series C Preferred Stock, voting as a separate class, and (H) the holders of a majority of the outstanding shares of Series B-2 Preferred Stock, Series B-1 Preferred Stock, Series B Preferred Stock and Series A Preferred Stock, voting together as a separate class as measured on the basis of voting power set forth in this Restated Certificate, so request otherwise in a written instrument delivered to the Corporation not later than 120 days after such Deemed Liquidation Event, the Corporation shall use the consideration received by the Corporation for such Deemed Liquidation Event (net of any retained liabilities associated with the assets sold or technology licensed, as determined in good faith by the Board)</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together with any other assets of the Corporation available for distribution to its stockholders, all to the extent permitted by Delaware law governing distributions to stockholders (the “</w:t>
      </w:r>
      <w:r>
        <w:rPr>
          <w:rFonts w:ascii="Times New Roman" w:cs="Times New Roman" w:eastAsia="Times New Roman" w:hAnsi="Times New Roman"/>
          <w:sz w:val="16"/>
          <w:szCs w:val="16"/>
          <w:b w:val="1"/>
          <w:bCs w:val="1"/>
          <w:i w:val="1"/>
          <w:iCs w:val="1"/>
          <w:color w:val="auto"/>
        </w:rPr>
        <w:t>Available Proceeds</w:t>
      </w:r>
      <w:r>
        <w:rPr>
          <w:rFonts w:ascii="Times New Roman" w:cs="Times New Roman" w:eastAsia="Times New Roman" w:hAnsi="Times New Roman"/>
          <w:sz w:val="16"/>
          <w:szCs w:val="16"/>
          <w:color w:val="auto"/>
        </w:rPr>
        <w:t xml:space="preserve">”), on the 150th day after such Deemed Liquidation Event, to redeem all outstanding shares of Preferred Stock at a price per share equal to the Series G-3 Liquidation Amount, Series G-2 Liquidation Amount, Series G Liquidation Amount, Series F Liquidation Amount, Series E Liquidation Amount, Series D Liquidation Amount, Series C Liquidation Amount, Series B-2 Liquidation Amount, Series B-1 Liquidation Amount, Series B Liquidation Amount or Series A Liquidation Amount, as applicable. Notwithstanding the foregoing, in the event of a redemption pursuant to the preceding sentence, if the Available Proceeds are not sufficient to redeem all outstanding shares of Preferred Stock, the Corporation shall redeem each holder’s shares of Preferred Stock in the same order of priority as the payment of the Series G-3 Liquidation Amount, Series G-2 Liquidation Amount, Series G Liquidation Amount, Series F Liquidation Amount, Series E Liquidation Amount, Series D Liquidation Amount, Series C Liquidation Amount, Series B-2 Liquidation Amount, Series B-1 Liquidation Amount, Series B Liquidation Amount or Series A Liquidation Amount pursuant to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and shall redeem the remaining shares as soon as it may lawfully do so under Delaware law governing distributions to stockholders. The provisions of </w:t>
      </w:r>
      <w:r>
        <w:rPr>
          <w:rFonts w:ascii="Times New Roman" w:cs="Times New Roman" w:eastAsia="Times New Roman" w:hAnsi="Times New Roman"/>
          <w:sz w:val="16"/>
          <w:szCs w:val="16"/>
          <w:u w:val="single" w:color="auto"/>
          <w:color w:val="auto"/>
        </w:rPr>
        <w:t>Sections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2.11.2(c)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2.11.2(d)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2.11.2(e)</w:t>
      </w:r>
      <w:r>
        <w:rPr>
          <w:rFonts w:ascii="Times New Roman" w:cs="Times New Roman" w:eastAsia="Times New Roman" w:hAnsi="Times New Roman"/>
          <w:sz w:val="16"/>
          <w:szCs w:val="16"/>
          <w:color w:val="auto"/>
        </w:rPr>
        <w:t xml:space="preserve"> shall apply to the redemption of the Preferred Stock pursuant to this </w:t>
      </w:r>
      <w:r>
        <w:rPr>
          <w:rFonts w:ascii="Times New Roman" w:cs="Times New Roman" w:eastAsia="Times New Roman" w:hAnsi="Times New Roman"/>
          <w:sz w:val="16"/>
          <w:szCs w:val="16"/>
          <w:u w:val="single" w:color="auto"/>
          <w:color w:val="auto"/>
        </w:rPr>
        <w:t>Section 2.11.2(b)</w:t>
      </w:r>
      <w:r>
        <w:rPr>
          <w:rFonts w:ascii="Times New Roman" w:cs="Times New Roman" w:eastAsia="Times New Roman" w:hAnsi="Times New Roman"/>
          <w:sz w:val="16"/>
          <w:szCs w:val="16"/>
          <w:color w:val="auto"/>
        </w:rPr>
        <w:t xml:space="preserve">. Prior to the distribution or redemption provided for in this </w:t>
      </w:r>
      <w:r>
        <w:rPr>
          <w:rFonts w:ascii="Times New Roman" w:cs="Times New Roman" w:eastAsia="Times New Roman" w:hAnsi="Times New Roman"/>
          <w:sz w:val="16"/>
          <w:szCs w:val="16"/>
          <w:u w:val="single" w:color="auto"/>
          <w:color w:val="auto"/>
        </w:rPr>
        <w:t>Section 2.11.2(b)</w:t>
      </w:r>
      <w:r>
        <w:rPr>
          <w:rFonts w:ascii="Times New Roman" w:cs="Times New Roman" w:eastAsia="Times New Roman" w:hAnsi="Times New Roman"/>
          <w:sz w:val="16"/>
          <w:szCs w:val="16"/>
          <w:color w:val="auto"/>
        </w:rPr>
        <w:t xml:space="preserve">, the Corporation shall not expend or dissipate the consideration received for such Deemed Liquidation Event, except to discharge expenses incurred in connection with such Deemed Liquidation Event or in the ordinary course of business. For the avoidance of doubt, to the extent any additional Available Proceeds related to such Deemed Liquidation Event become available for distribution to the Corporation’s stockholders pursuant to Delaware law after the date of redemption of the Preferred Stock, such amounts shall be allocated among the holders of such Preferred Stock and Common Stock in accordance with </w:t>
      </w:r>
      <w:r>
        <w:rPr>
          <w:rFonts w:ascii="Times New Roman" w:cs="Times New Roman" w:eastAsia="Times New Roman" w:hAnsi="Times New Roman"/>
          <w:sz w:val="16"/>
          <w:szCs w:val="16"/>
          <w:u w:val="single" w:color="auto"/>
          <w:color w:val="auto"/>
        </w:rPr>
        <w:t>Sections 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2.9</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2.10</w:t>
      </w:r>
      <w:r>
        <w:rPr>
          <w:rFonts w:ascii="Times New Roman" w:cs="Times New Roman" w:eastAsia="Times New Roman" w:hAnsi="Times New Roman"/>
          <w:sz w:val="16"/>
          <w:szCs w:val="16"/>
          <w:color w:val="auto"/>
        </w:rPr>
        <w:t xml:space="preserve"> as if the redemption had not occurred, and the price per share of the Preferred Stock shall be increased to an amount equal to the price per share that would have been paid to such holders if such additional Available Proceeds were available for</w:t>
      </w:r>
    </w:p>
    <w:p>
      <w:pPr>
        <w:spacing w:after="0" w:line="200" w:lineRule="exact"/>
        <w:rPr>
          <w:sz w:val="20"/>
          <w:szCs w:val="20"/>
          <w:color w:val="auto"/>
        </w:rPr>
      </w:pPr>
    </w:p>
    <w:p>
      <w:pPr>
        <w:spacing w:after="0" w:line="3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692"/>
          </w:cols>
          <w:pgMar w:left="588" w:top="265" w:right="619" w:bottom="1440" w:gutter="0" w:footer="0" w:header="0"/>
        </w:sectPr>
      </w:pPr>
    </w:p>
    <w:bookmarkStart w:id="316" w:name="page317"/>
    <w:bookmarkEnd w:id="316"/>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distribution to stockholders of the Corporation as of the date of the redemption of such shares of Preferred Stock (the “</w:t>
      </w:r>
      <w:r>
        <w:rPr>
          <w:rFonts w:ascii="Times New Roman" w:cs="Times New Roman" w:eastAsia="Times New Roman" w:hAnsi="Times New Roman"/>
          <w:sz w:val="18"/>
          <w:szCs w:val="18"/>
          <w:b w:val="1"/>
          <w:bCs w:val="1"/>
          <w:i w:val="1"/>
          <w:iCs w:val="1"/>
          <w:color w:val="auto"/>
        </w:rPr>
        <w:t>Additional Redemption Price</w:t>
      </w:r>
      <w:r>
        <w:rPr>
          <w:rFonts w:ascii="Times New Roman" w:cs="Times New Roman" w:eastAsia="Times New Roman" w:hAnsi="Times New Roman"/>
          <w:sz w:val="18"/>
          <w:szCs w:val="18"/>
          <w:color w:val="auto"/>
        </w:rPr>
        <w:t>”). The Corporation shall promptly pay any Additional Redemption Price to the former holders of Preferred Stock as such amounts become available for distribution to the Corporation’s stockholders pursuant to Delaware law.</w:t>
      </w:r>
    </w:p>
    <w:p>
      <w:pPr>
        <w:spacing w:after="0" w:line="177" w:lineRule="exact"/>
        <w:rPr>
          <w:sz w:val="20"/>
          <w:szCs w:val="20"/>
          <w:color w:val="auto"/>
        </w:rPr>
      </w:pPr>
    </w:p>
    <w:p>
      <w:pPr>
        <w:ind w:right="180" w:firstLine="1936"/>
        <w:spacing w:after="0" w:line="255" w:lineRule="auto"/>
        <w:tabs>
          <w:tab w:leader="none" w:pos="216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effect the redemption contemplated by </w:t>
      </w:r>
      <w:r>
        <w:rPr>
          <w:rFonts w:ascii="Times New Roman" w:cs="Times New Roman" w:eastAsia="Times New Roman" w:hAnsi="Times New Roman"/>
          <w:sz w:val="18"/>
          <w:szCs w:val="18"/>
          <w:u w:val="single" w:color="auto"/>
          <w:color w:val="auto"/>
        </w:rPr>
        <w:t>Section 2.11.2(b)</w:t>
      </w:r>
      <w:r>
        <w:rPr>
          <w:rFonts w:ascii="Times New Roman" w:cs="Times New Roman" w:eastAsia="Times New Roman" w:hAnsi="Times New Roman"/>
          <w:sz w:val="18"/>
          <w:szCs w:val="18"/>
          <w:color w:val="auto"/>
        </w:rPr>
        <w:t>, the Corporation shall send written notice of the mandatory redemption (the “</w:t>
      </w:r>
      <w:r>
        <w:rPr>
          <w:rFonts w:ascii="Times New Roman" w:cs="Times New Roman" w:eastAsia="Times New Roman" w:hAnsi="Times New Roman"/>
          <w:sz w:val="18"/>
          <w:szCs w:val="18"/>
          <w:b w:val="1"/>
          <w:bCs w:val="1"/>
          <w:i w:val="1"/>
          <w:iCs w:val="1"/>
          <w:color w:val="auto"/>
        </w:rPr>
        <w:t>Redemption Notice</w:t>
      </w:r>
      <w:r>
        <w:rPr>
          <w:rFonts w:ascii="Times New Roman" w:cs="Times New Roman" w:eastAsia="Times New Roman" w:hAnsi="Times New Roman"/>
          <w:sz w:val="18"/>
          <w:szCs w:val="18"/>
          <w:color w:val="auto"/>
        </w:rPr>
        <w:t>”) to each holder of record of Preferred Stock not less than 40 days prior to such redemption date. Each Redemption Notice shall state:</w:t>
      </w:r>
    </w:p>
    <w:p>
      <w:pPr>
        <w:spacing w:after="0" w:line="180" w:lineRule="exact"/>
        <w:rPr>
          <w:rFonts w:ascii="Times New Roman" w:cs="Times New Roman" w:eastAsia="Times New Roman" w:hAnsi="Times New Roman"/>
          <w:sz w:val="18"/>
          <w:szCs w:val="18"/>
          <w:color w:val="auto"/>
        </w:rPr>
      </w:pPr>
    </w:p>
    <w:p>
      <w:pPr>
        <w:ind w:right="100" w:firstLine="2364"/>
        <w:spacing w:after="0" w:line="251" w:lineRule="auto"/>
        <w:tabs>
          <w:tab w:leader="none" w:pos="256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Series G-3 Preferred Stock, Series G-2 Preferred Stock, Series G Preferred Stock, Series F Preferred Stock, Series E Preferred Stock, Series D Preferred Stock, Series C Preferred Stock, Series B-2 Preferred Stock, Series B-1 Preferred Stock, Series B Preferred Stock and Series A Preferred Stock held by the holder that the Corporation shall redeem on the redemption date specified in the Redemption Notice;</w:t>
      </w:r>
    </w:p>
    <w:p>
      <w:pPr>
        <w:spacing w:after="0" w:line="184" w:lineRule="exact"/>
        <w:rPr>
          <w:rFonts w:ascii="Times New Roman" w:cs="Times New Roman" w:eastAsia="Times New Roman" w:hAnsi="Times New Roman"/>
          <w:sz w:val="18"/>
          <w:szCs w:val="18"/>
          <w:color w:val="auto"/>
        </w:rPr>
      </w:pPr>
    </w:p>
    <w:p>
      <w:pPr>
        <w:ind w:left="2620" w:hanging="256"/>
        <w:spacing w:after="0"/>
        <w:tabs>
          <w:tab w:leader="none" w:pos="262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 and the redemption price;</w:t>
      </w:r>
    </w:p>
    <w:p>
      <w:pPr>
        <w:spacing w:after="0" w:line="213" w:lineRule="exact"/>
        <w:rPr>
          <w:rFonts w:ascii="Times New Roman" w:cs="Times New Roman" w:eastAsia="Times New Roman" w:hAnsi="Times New Roman"/>
          <w:sz w:val="18"/>
          <w:szCs w:val="18"/>
          <w:color w:val="auto"/>
        </w:rPr>
      </w:pPr>
    </w:p>
    <w:p>
      <w:pPr>
        <w:ind w:left="2680" w:hanging="316"/>
        <w:spacing w:after="0"/>
        <w:tabs>
          <w:tab w:leader="none" w:pos="26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upon which the holder’s right to convert such shares terminates (as determined in accordance with</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and</w:t>
      </w:r>
    </w:p>
    <w:p>
      <w:pPr>
        <w:spacing w:after="0" w:line="195" w:lineRule="exact"/>
        <w:rPr>
          <w:rFonts w:ascii="Times New Roman" w:cs="Times New Roman" w:eastAsia="Times New Roman" w:hAnsi="Times New Roman"/>
          <w:sz w:val="18"/>
          <w:szCs w:val="18"/>
          <w:color w:val="auto"/>
        </w:rPr>
      </w:pPr>
    </w:p>
    <w:p>
      <w:pPr>
        <w:ind w:right="680" w:firstLine="2364"/>
        <w:spacing w:after="0" w:line="267" w:lineRule="auto"/>
        <w:tabs>
          <w:tab w:leader="none" w:pos="2653"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holder is to surrender to the Corporation, in the manner and at the place designated, his, her or its certificate or certificates representing the shares of Preferred Stock to be redeemed.</w:t>
      </w:r>
    </w:p>
    <w:p>
      <w:pPr>
        <w:spacing w:after="0" w:line="17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 xml:space="preserve">If the Corporation receives, on or prior to the 20th day after the date of delivery of the Redemption Notice to a holder of Preferred Stock, written notice from such holder that such holder elects to be excluded from the redemption of the Preferred Stock provided in this </w:t>
      </w:r>
      <w:r>
        <w:rPr>
          <w:rFonts w:ascii="Times New Roman" w:cs="Times New Roman" w:eastAsia="Times New Roman" w:hAnsi="Times New Roman"/>
          <w:sz w:val="18"/>
          <w:szCs w:val="18"/>
          <w:u w:val="single" w:color="auto"/>
          <w:color w:val="auto"/>
        </w:rPr>
        <w:t>Section 2.11.2</w:t>
      </w:r>
      <w:r>
        <w:rPr>
          <w:rFonts w:ascii="Times New Roman" w:cs="Times New Roman" w:eastAsia="Times New Roman" w:hAnsi="Times New Roman"/>
          <w:sz w:val="18"/>
          <w:szCs w:val="18"/>
          <w:color w:val="auto"/>
        </w:rPr>
        <w:t>, then the shares of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Excluded Shares</w:t>
      </w:r>
      <w:r>
        <w:rPr>
          <w:rFonts w:ascii="Times New Roman" w:cs="Times New Roman" w:eastAsia="Times New Roman" w:hAnsi="Times New Roman"/>
          <w:sz w:val="18"/>
          <w:szCs w:val="18"/>
          <w:color w:val="auto"/>
        </w:rPr>
        <w:t xml:space="preserve">.” Excluded Shares shall not be redeemed or redeemable pursuant to this </w:t>
      </w:r>
      <w:r>
        <w:rPr>
          <w:rFonts w:ascii="Times New Roman" w:cs="Times New Roman" w:eastAsia="Times New Roman" w:hAnsi="Times New Roman"/>
          <w:sz w:val="18"/>
          <w:szCs w:val="18"/>
          <w:u w:val="single" w:color="auto"/>
          <w:color w:val="auto"/>
        </w:rPr>
        <w:t>Section 2.11.2</w:t>
      </w:r>
      <w:r>
        <w:rPr>
          <w:rFonts w:ascii="Times New Roman" w:cs="Times New Roman" w:eastAsia="Times New Roman" w:hAnsi="Times New Roman"/>
          <w:sz w:val="18"/>
          <w:szCs w:val="18"/>
          <w:color w:val="auto"/>
        </w:rPr>
        <w:t>, whether on such redemption date or thereafter.</w:t>
      </w:r>
    </w:p>
    <w:p>
      <w:pPr>
        <w:spacing w:after="0" w:line="187" w:lineRule="exact"/>
        <w:rPr>
          <w:sz w:val="20"/>
          <w:szCs w:val="20"/>
          <w:color w:val="auto"/>
        </w:rPr>
      </w:pPr>
    </w:p>
    <w:p>
      <w:pPr>
        <w:ind w:firstLine="1936"/>
        <w:spacing w:after="0" w:line="247" w:lineRule="auto"/>
        <w:tabs>
          <w:tab w:leader="none" w:pos="217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before the applicable redemption date, each holder of shares of Preferred Stock to be redeemed on such redemption date, unless such holder has exercised his, her or its right to convert such shares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redemption price for such shares shall be payable to the order of the person whose name appears on such certificate or certificates as the owner thereof. In the event less than all of the shares of Preferred Stock represented by a certificate are redeemed, a new certificate representing the unredeemed shares of Preferred Stock shall promptly be issued to such holder.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700"/>
          </w:cols>
          <w:pgMar w:left="580" w:top="261" w:right="619" w:bottom="1440" w:gutter="0" w:footer="0" w:header="0"/>
        </w:sectPr>
      </w:pPr>
    </w:p>
    <w:bookmarkStart w:id="317" w:name="page318"/>
    <w:bookmarkEnd w:id="317"/>
    <w:p>
      <w:pPr>
        <w:ind w:right="80" w:firstLine="1936"/>
        <w:spacing w:after="0" w:line="247" w:lineRule="auto"/>
        <w:tabs>
          <w:tab w:leader="none" w:pos="216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If the Redemption Notice shall have been duly given, and if on the applicable redemption date the redemption price payable upon redemption of the shares of Preferred Stock to be redeemed on such redemption date is paid or tendered for payment or deposited with an independent payment agent so as to be available therefor in a timely manner, then notwithstanding that the certificates evidencing any of the shares of Preferred Stock so called for redemption shall not have been surrendered, dividends with respect to such shares of Preferred Stock shall cease to accrue after such redemption date and all rights with respect to such shares shall forthwith after the redemption date terminate, except only the right of the holders to receive the redemption price (including the Additional Redemption Price from time to time, if any) without interest upon surrender of their certificate or certificates therefor.</w:t>
      </w:r>
    </w:p>
    <w:p>
      <w:pPr>
        <w:spacing w:after="0" w:line="18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6"/>
          <w:szCs w:val="16"/>
          <w:color w:val="auto"/>
        </w:rPr>
        <w:t xml:space="preserve">2.11.3 </w:t>
      </w:r>
      <w:r>
        <w:rPr>
          <w:rFonts w:ascii="Times New Roman" w:cs="Times New Roman" w:eastAsia="Times New Roman" w:hAnsi="Times New Roman"/>
          <w:sz w:val="16"/>
          <w:szCs w:val="16"/>
          <w:u w:val="single" w:color="auto"/>
          <w:color w:val="auto"/>
        </w:rPr>
        <w:t>Amount Deemed Paid or Distributed</w:t>
      </w:r>
      <w:r>
        <w:rPr>
          <w:rFonts w:ascii="Times New Roman" w:cs="Times New Roman" w:eastAsia="Times New Roman" w:hAnsi="Times New Roman"/>
          <w:sz w:val="16"/>
          <w:szCs w:val="16"/>
          <w:color w:val="auto"/>
        </w:rPr>
        <w:t>. If the amount deemed paid or distributed in a Deemed Liquidation Event under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is made in property other than in cash, the fair market value of such property, determined as follows:</w:t>
      </w:r>
    </w:p>
    <w:p>
      <w:pPr>
        <w:spacing w:after="0" w:line="195" w:lineRule="exact"/>
        <w:rPr>
          <w:sz w:val="20"/>
          <w:szCs w:val="20"/>
          <w:color w:val="auto"/>
        </w:rPr>
      </w:pPr>
    </w:p>
    <w:p>
      <w:pPr>
        <w:ind w:left="2180" w:hanging="244"/>
        <w:spacing w:after="0"/>
        <w:tabs>
          <w:tab w:leader="none" w:pos="21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securities not subject to investment letters or other similar restrictions on free marketability,</w:t>
      </w:r>
    </w:p>
    <w:p>
      <w:pPr>
        <w:spacing w:after="0" w:line="213" w:lineRule="exact"/>
        <w:rPr>
          <w:rFonts w:ascii="Times New Roman" w:cs="Times New Roman" w:eastAsia="Times New Roman" w:hAnsi="Times New Roman"/>
          <w:sz w:val="18"/>
          <w:szCs w:val="18"/>
          <w:color w:val="auto"/>
        </w:rPr>
      </w:pPr>
    </w:p>
    <w:p>
      <w:pPr>
        <w:ind w:right="60" w:firstLine="2364"/>
        <w:spacing w:after="0" w:line="267" w:lineRule="auto"/>
        <w:tabs>
          <w:tab w:leader="none" w:pos="256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traded on a securities exchange, the value shall be deemed to be the average of the closing prices of the securities on such exchange or market over the 30-period ending three days prior to the closing of such transaction;</w:t>
      </w:r>
    </w:p>
    <w:p>
      <w:pPr>
        <w:spacing w:after="0" w:line="169" w:lineRule="exact"/>
        <w:rPr>
          <w:rFonts w:ascii="Times New Roman" w:cs="Times New Roman" w:eastAsia="Times New Roman" w:hAnsi="Times New Roman"/>
          <w:sz w:val="18"/>
          <w:szCs w:val="18"/>
          <w:color w:val="auto"/>
        </w:rPr>
      </w:pPr>
    </w:p>
    <w:p>
      <w:pPr>
        <w:ind w:right="220" w:firstLine="2364"/>
        <w:spacing w:after="0" w:line="267" w:lineRule="auto"/>
        <w:tabs>
          <w:tab w:leader="none" w:pos="2614"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actively traded over-the-counter, the value shall be deemed to be the average of the closing bid prices over the 30-day period ending three days prior to the closing of such transaction; or</w:t>
      </w:r>
    </w:p>
    <w:p>
      <w:pPr>
        <w:spacing w:after="0" w:line="169" w:lineRule="exact"/>
        <w:rPr>
          <w:rFonts w:ascii="Times New Roman" w:cs="Times New Roman" w:eastAsia="Times New Roman" w:hAnsi="Times New Roman"/>
          <w:sz w:val="18"/>
          <w:szCs w:val="18"/>
          <w:color w:val="auto"/>
        </w:rPr>
      </w:pPr>
    </w:p>
    <w:p>
      <w:pPr>
        <w:ind w:left="2680" w:hanging="316"/>
        <w:spacing w:after="0"/>
        <w:tabs>
          <w:tab w:leader="none" w:pos="2680"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is no active public market, the value shall be the fair market value thereof, as determined in good faith by</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Board.</w:t>
      </w:r>
    </w:p>
    <w:p>
      <w:pPr>
        <w:spacing w:after="0" w:line="195" w:lineRule="exact"/>
        <w:rPr>
          <w:rFonts w:ascii="Times New Roman" w:cs="Times New Roman" w:eastAsia="Times New Roman" w:hAnsi="Times New Roman"/>
          <w:sz w:val="16"/>
          <w:szCs w:val="16"/>
          <w:color w:val="auto"/>
        </w:rPr>
      </w:pPr>
    </w:p>
    <w:p>
      <w:pPr>
        <w:ind w:right="40" w:firstLine="1936"/>
        <w:spacing w:after="0" w:line="251" w:lineRule="auto"/>
        <w:tabs>
          <w:tab w:leader="none" w:pos="217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method of valuation of securities subject to investment letters or other similar restrictions on free marketability (other than restrictions arising solely by virtue of a stockholder’s status as an affiliate or former affiliate) shall take into account an appropriate discount (as determined in good faith by the Board) from the market value as determined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so as to reflect the approximate fair market value thereof.</w:t>
      </w:r>
    </w:p>
    <w:p>
      <w:pPr>
        <w:spacing w:after="0" w:line="184" w:lineRule="exact"/>
        <w:rPr>
          <w:sz w:val="20"/>
          <w:szCs w:val="20"/>
          <w:color w:val="auto"/>
        </w:rPr>
      </w:pPr>
    </w:p>
    <w:p>
      <w:pPr>
        <w:ind w:firstLine="1393"/>
        <w:spacing w:after="0" w:line="281" w:lineRule="auto"/>
        <w:rPr>
          <w:sz w:val="20"/>
          <w:szCs w:val="20"/>
          <w:color w:val="auto"/>
        </w:rPr>
      </w:pPr>
      <w:r>
        <w:rPr>
          <w:rFonts w:ascii="Times New Roman" w:cs="Times New Roman" w:eastAsia="Times New Roman" w:hAnsi="Times New Roman"/>
          <w:sz w:val="16"/>
          <w:szCs w:val="16"/>
          <w:color w:val="auto"/>
        </w:rPr>
        <w:t xml:space="preserve">2.12 </w:t>
      </w:r>
      <w:r>
        <w:rPr>
          <w:rFonts w:ascii="Times New Roman" w:cs="Times New Roman" w:eastAsia="Times New Roman" w:hAnsi="Times New Roman"/>
          <w:sz w:val="16"/>
          <w:szCs w:val="16"/>
          <w:u w:val="single" w:color="auto"/>
          <w:color w:val="auto"/>
        </w:rPr>
        <w:t>Contingent Consideration and Indemnification</w:t>
      </w:r>
      <w:r>
        <w:rPr>
          <w:rFonts w:ascii="Times New Roman" w:cs="Times New Roman" w:eastAsia="Times New Roman" w:hAnsi="Times New Roman"/>
          <w:sz w:val="16"/>
          <w:szCs w:val="16"/>
          <w:color w:val="auto"/>
        </w:rPr>
        <w:t>. In the event of a Deemed Liquidation Event, unless (A) the holders of a majority of the outstanding shares of Series G-3 Preferred Stock, voting as a separate class, (B) the holders of a majority of the outstanding shares of Series G-2 Preferred Stock, voting as a separate class, (C) the holders of a majority of the outstanding shares of Series G Preferred Stock, voting as a separate class, (D) the holders of a majority of the outstanding shares of Series F Preferred Stock, voting as a separate class, (E) the holders of a majority of the outstanding shares of Series E Preferred Stock, voting as a separate class, (F) the holders of at least sixty percent (60%) of the outstanding shares of Series D Preferred Stock, voting as a separate class, (G) the holders of at least sixty percent (60%) of the outstanding shares of Series C Preferred Stock, voting as a separate class, and (H) the holders of a majority of the outstanding shares of Series B-2 Preferred Stock, Series B-1 Preferred Stock, Series B Preferred Stock and Series A Preferred Stock, voting together as a single class as measured on the basis of voting power set forth in this Restated Certificate (the holders described in clauses (A), (B), (C), (D), (E), (F), (G) and (H) referred to herein, collectively, as the “</w:t>
      </w:r>
      <w:r>
        <w:rPr>
          <w:rFonts w:ascii="Times New Roman" w:cs="Times New Roman" w:eastAsia="Times New Roman" w:hAnsi="Times New Roman"/>
          <w:sz w:val="16"/>
          <w:szCs w:val="16"/>
          <w:b w:val="1"/>
          <w:bCs w:val="1"/>
          <w:i w:val="1"/>
          <w:iCs w:val="1"/>
          <w:color w:val="auto"/>
        </w:rPr>
        <w:t>Requisite Preferred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00"/>
          </w:cols>
          <w:pgMar w:left="580" w:top="265" w:right="619" w:bottom="1440" w:gutter="0" w:footer="0" w:header="0"/>
        </w:sectPr>
      </w:pPr>
    </w:p>
    <w:bookmarkStart w:id="318" w:name="page319"/>
    <w:bookmarkEnd w:id="318"/>
    <w:p>
      <w:pPr>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Holders</w:t>
      </w:r>
      <w:r>
        <w:rPr>
          <w:rFonts w:ascii="Times New Roman" w:cs="Times New Roman" w:eastAsia="Times New Roman" w:hAnsi="Times New Roman"/>
          <w:sz w:val="18"/>
          <w:szCs w:val="18"/>
          <w:color w:val="auto"/>
        </w:rPr>
        <w:t>”), otherwise approve in writing, if any portion of the consideration payable to the stockholders of the Corporation in connection with a Deemed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Liquidation Event is payable only upon the satisfaction of contingencies or is placed in escrow, a “holdback” or other similar account to secure the indemnity obligations of the stockholders (such consideration, the “</w:t>
      </w:r>
      <w:r>
        <w:rPr>
          <w:rFonts w:ascii="Times New Roman" w:cs="Times New Roman" w:eastAsia="Times New Roman" w:hAnsi="Times New Roman"/>
          <w:sz w:val="18"/>
          <w:szCs w:val="18"/>
          <w:b w:val="1"/>
          <w:bCs w:val="1"/>
          <w:i w:val="1"/>
          <w:iCs w:val="1"/>
          <w:color w:val="auto"/>
        </w:rPr>
        <w:t>Additional Consideration</w:t>
      </w:r>
      <w:r>
        <w:rPr>
          <w:rFonts w:ascii="Times New Roman" w:cs="Times New Roman" w:eastAsia="Times New Roman" w:hAnsi="Times New Roman"/>
          <w:sz w:val="18"/>
          <w:szCs w:val="18"/>
          <w:color w:val="auto"/>
        </w:rPr>
        <w:t>”), the definitive agreement with respect to such Deemed Liquidation Event shall provide that (a) the portion of the consideration that is not Additional Consideration (the “</w:t>
      </w:r>
      <w:r>
        <w:rPr>
          <w:rFonts w:ascii="Times New Roman" w:cs="Times New Roman" w:eastAsia="Times New Roman" w:hAnsi="Times New Roman"/>
          <w:sz w:val="18"/>
          <w:szCs w:val="18"/>
          <w:b w:val="1"/>
          <w:bCs w:val="1"/>
          <w:i w:val="1"/>
          <w:iCs w:val="1"/>
          <w:color w:val="auto"/>
        </w:rPr>
        <w:t>Initial Consideration</w:t>
      </w:r>
      <w:r>
        <w:rPr>
          <w:rFonts w:ascii="Times New Roman" w:cs="Times New Roman" w:eastAsia="Times New Roman" w:hAnsi="Times New Roman"/>
          <w:sz w:val="18"/>
          <w:szCs w:val="18"/>
          <w:color w:val="auto"/>
        </w:rPr>
        <w:t xml:space="preserve">”) shall be allocated among the holders of capital stock of the Corporation in accordance with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hereof as if the Initial Consideration were the only consideration payable in connection with such Deemed Liquidation Event, and (b) any Additional Consideration which becomes payable or distributable to the stockholders of the Corporation after the initial closing of such Deemed Liquidation Event shall be allocated among the holders of capital stock of the Corporation in strict accordance with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hereof after taking into account any previous payments of the Initial Consideration made to the stockholders of the Corporation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hereof. In connection with the payment of such Additional Consideration, if the Series G-3 Preferred Stock, Series G-2 Preferred Stock, Series G Preferred Stock, Series F Preferred Stock, the Series E Preferred Stock, Series D Preferred Stock, Series C Preferred Stock, Series B-2 Preferred Stock, Series B-1 Preferred Stock, Series B Preferred Stock or Series A Preferred Stock did not convert to Common Stock immediately before the initial closing of the Deemed Liquidation Event and if the Series G-3 Preferred Stock, Series G-2 Preferred Stock, Series G Preferred Stock, Series F Preferred Stock, the Series E Preferred Stock, Series D Preferred Stock, Series C Preferred Stock, Series B-2 Preferred Stock, Series B-1 Preferred Stock, Series B Preferred Stock or Series A Preferred Stock had converted to Common Stock immediately before the initial closing of the Deemed Liquidation Event and the Series G-3 Preferred Stock, Series G-2 Preferred Stock, Series G Preferred Stock, Series F Preferred Stock, the Series E Preferred Stock, Series D Preferred Stock, Series C Preferred Stock, Series B-2 Preferred Stock, Series B-1 Preferred Stock, Series B Preferred Stock or Series A Preferred Stock would have received greater total consideration from the Deemed Liquidation Event after the payments of the Additional Consideration are made, then the Additional Consideration shall be paid to the holders of the Series G-3 Preferred Stock, Series G-2 Preferred Stock, Series G Preferred Stock, Series F Preferred Stock, Series E Preferred Stock, Series D Preferred Stock, Series C Preferred Stock, Series B-2 Preferred Stock, Series B-1 Preferred Stock, Series B Preferred Stock, Series A Preferred Stock or Common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hereof taking into account such deemed conversion, as applicable, and after taking into account any previous payments of the Initial Consideration made to the holders of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hereof.</w:t>
      </w:r>
    </w:p>
    <w:p>
      <w:pPr>
        <w:spacing w:after="0" w:line="205" w:lineRule="exact"/>
        <w:rPr>
          <w:sz w:val="20"/>
          <w:szCs w:val="20"/>
          <w:color w:val="auto"/>
        </w:rPr>
      </w:pPr>
    </w:p>
    <w:p>
      <w:pPr>
        <w:ind w:left="1140" w:hanging="168"/>
        <w:spacing w:after="0"/>
        <w:tabs>
          <w:tab w:leader="none" w:pos="11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4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On any matter presented to the stockholders of the Corporation for their action or consideration at any meeting of stockholders of the Corporation (or by written consent of stockholders in lieu of meeting), (a) each holder of outstanding shares of Series G-3 Preferred Stock, Series G-2 Preferred Stock, Series G Preferred Stock, Series F Preferred Stock, Series E Preferred Stock, Series D Preferred Stock, Series C Preferred Stock, Series B-2 Preferred Stock, Series B-1 Preferred Stock, and Series A Preferred Stock shall be entitled to cast the number of votes equal to the number of whole shares of Class A Common Stock</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680"/>
          </w:cols>
          <w:pgMar w:left="580" w:top="261" w:right="639" w:bottom="1440" w:gutter="0" w:footer="0" w:header="0"/>
        </w:sectPr>
      </w:pPr>
    </w:p>
    <w:bookmarkStart w:id="319" w:name="page320"/>
    <w:bookmarkEnd w:id="319"/>
    <w:p>
      <w:pPr>
        <w:ind w:right="2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into which such shares of Preferred Stock held by such holder are convertible, based on the then-current Conversion Price (as defined below) for such shares, as of the record date for determining stockholders entitled to vote on such matter, and (b) each holder of outstanding shares of Series B Preferred Stock shall be entitled to cast the number of votes equal to the voting power of the number of whole shares of Class B Common Stock into which the shares of Series B Preferred Stock held by such holder are convertible as of the record date for determining stockholders entitled to vote on such matter. Except as provided by applicable law or by the other provisions of this Restated Certificate, holders of Preferred Stock shall vote together with the holders of Voting Common Stock as a single class on all matters (including the election of directors) submitted to a vote of the stockholders of the Corporation.</w:t>
      </w:r>
    </w:p>
    <w:p>
      <w:pPr>
        <w:spacing w:after="0" w:line="1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6"/>
          <w:szCs w:val="16"/>
          <w:color w:val="auto"/>
        </w:rPr>
        <w:t>3.2.1 The holders of record of the shares of Series C Preferred Stock, voting as a separate class, shall be entitled to elect one</w:t>
      </w:r>
    </w:p>
    <w:p>
      <w:pPr>
        <w:spacing w:after="0" w:line="44" w:lineRule="exact"/>
        <w:rPr>
          <w:sz w:val="20"/>
          <w:szCs w:val="20"/>
          <w:color w:val="auto"/>
        </w:rPr>
      </w:pPr>
    </w:p>
    <w:p>
      <w:pPr>
        <w:ind w:right="20" w:firstLine="8"/>
        <w:spacing w:after="0" w:line="244" w:lineRule="auto"/>
        <w:tabs>
          <w:tab w:leader="none" w:pos="24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of the Corporation. The holders of record of the shares of Series B-2 Preferred Stock, Series B-1 Preferred Stock, Series B Preferred Stock, Series A Preferred Stock and Voting Common Stock, voting together as a single class as measured on the basis of voting power set forth in this Restated Certificate, shall be entitled to elect six (6) directors of the Corporation. The holders of record of the shares of Series B-2 Preferred Stock, Series B-1 Preferred Stock, Series B Preferred Stock, Series A Preferred Stock and Voting Common Stock, voting together as a single class as measured on the basis of voting power set forth in this Restated Certificate, shall be entitled to elect two (2) directors of the Corporation who are not employed by the Corporation. The holders of record of the shares of Voting Common Stock and Preferred Stock (voting together as a single class as measured on the basis of voting power set forth in this Restated Certificate) shall be entitled to elect each of the remaining directors of the Corporation. Vacancies and newly created positions on the Board of Directors of the Corporation resulting from any increase in the authorized number of Directors may be filled by approval by the holders of at least a majority of the shares of Voting Common Stock.</w:t>
      </w:r>
    </w:p>
    <w:p>
      <w:pPr>
        <w:spacing w:after="0" w:line="189" w:lineRule="exact"/>
        <w:rPr>
          <w:sz w:val="20"/>
          <w:szCs w:val="20"/>
          <w:color w:val="auto"/>
        </w:rPr>
      </w:pPr>
    </w:p>
    <w:p>
      <w:pPr>
        <w:ind w:firstLine="1928"/>
        <w:spacing w:after="0" w:line="245" w:lineRule="auto"/>
        <w:rPr>
          <w:sz w:val="20"/>
          <w:szCs w:val="20"/>
          <w:color w:val="auto"/>
        </w:rPr>
      </w:pPr>
      <w:r>
        <w:rPr>
          <w:rFonts w:ascii="Times New Roman" w:cs="Times New Roman" w:eastAsia="Times New Roman" w:hAnsi="Times New Roman"/>
          <w:sz w:val="18"/>
          <w:szCs w:val="18"/>
          <w:color w:val="auto"/>
        </w:rPr>
        <w:t xml:space="preserve">3.2.2 Any director elected as provided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capital stock fail to elect a sufficient number of directors to fill all directorships for which they are entitled to elect directors, voting exclusively and as a separate class,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then any directorship not so filled shall remain vacant until such time as the holders entitled to such director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and series. At any meeting held for the purpose of electing or removing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a vacancy in any directorship filled by the holders of such class or series shall be filled only by the vote or written consent in lieu of a meeting of the holders of such class or series entitled to elect such director.</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680"/>
          </w:cols>
          <w:pgMar w:left="580" w:top="265" w:right="639" w:bottom="1440" w:gutter="0" w:footer="0" w:header="0"/>
        </w:sectPr>
      </w:pPr>
    </w:p>
    <w:bookmarkStart w:id="320" w:name="page321"/>
    <w:bookmarkEnd w:id="320"/>
    <w:p>
      <w:pPr>
        <w:ind w:right="200" w:firstLine="1393"/>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Series G-3 Preferred Stock Protective Provisions</w:t>
      </w:r>
      <w:r>
        <w:rPr>
          <w:rFonts w:ascii="Times New Roman" w:cs="Times New Roman" w:eastAsia="Times New Roman" w:hAnsi="Times New Roman"/>
          <w:sz w:val="18"/>
          <w:szCs w:val="18"/>
          <w:color w:val="auto"/>
        </w:rPr>
        <w:t xml:space="preserve">. So long as any shares of Series G-3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G-3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firstLine="1928"/>
        <w:spacing w:after="0" w:line="248" w:lineRule="auto"/>
        <w:rPr>
          <w:sz w:val="20"/>
          <w:szCs w:val="20"/>
          <w:color w:val="auto"/>
        </w:rPr>
      </w:pPr>
      <w:r>
        <w:rPr>
          <w:rFonts w:ascii="Times New Roman" w:cs="Times New Roman" w:eastAsia="Times New Roman" w:hAnsi="Times New Roman"/>
          <w:sz w:val="18"/>
          <w:szCs w:val="18"/>
          <w:color w:val="auto"/>
        </w:rPr>
        <w:t>3.3.1 amend, alter or repeal any provision of the Certificate of Incorporation, as amended, or the Bylaws of the Corporation in a manner that adversely affects the rights, preferences, privileges and restrictions, qualifications or limitations of the Series G-3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G-3 Preferred Stock shall not be deemed to constitute an amendment that adversely affects the rights, preferences, privileges and restrictions, qualifications or limitations of the Series G-3 Preferred Stock); or</w:t>
      </w:r>
    </w:p>
    <w:p>
      <w:pPr>
        <w:spacing w:after="0" w:line="187" w:lineRule="exact"/>
        <w:rPr>
          <w:sz w:val="20"/>
          <w:szCs w:val="20"/>
          <w:color w:val="auto"/>
        </w:rPr>
      </w:pPr>
    </w:p>
    <w:p>
      <w:pPr>
        <w:ind w:right="40" w:firstLine="1928"/>
        <w:spacing w:after="0" w:line="251" w:lineRule="auto"/>
        <w:rPr>
          <w:sz w:val="20"/>
          <w:szCs w:val="20"/>
          <w:color w:val="auto"/>
        </w:rPr>
      </w:pPr>
      <w:r>
        <w:rPr>
          <w:rFonts w:ascii="Times New Roman" w:cs="Times New Roman" w:eastAsia="Times New Roman" w:hAnsi="Times New Roman"/>
          <w:sz w:val="18"/>
          <w:szCs w:val="18"/>
          <w:color w:val="auto"/>
        </w:rPr>
        <w:t>3.3.2 increase the authorized number of shares of Series G-3 Preferred Stock or issue additional shares of Series G-3 Preferred Stock (or any securities or rights exercisable, convertible or exchangeable for any shares of Series G-3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(i) shares of Series G-3 Preferred Stock in order to pay any Series G-3 PIK Dividends, and (ii) any shares of Preferred Stock except the Series G-3 Preferred Stock other than the Series G-3 PIK Dividends).</w:t>
      </w:r>
    </w:p>
    <w:p>
      <w:pPr>
        <w:spacing w:after="0" w:line="184" w:lineRule="exact"/>
        <w:rPr>
          <w:sz w:val="20"/>
          <w:szCs w:val="20"/>
          <w:color w:val="auto"/>
        </w:rPr>
      </w:pPr>
    </w:p>
    <w:p>
      <w:pPr>
        <w:ind w:right="20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Series G-2 Preferred Stock Protective Provisions</w:t>
      </w:r>
      <w:r>
        <w:rPr>
          <w:rFonts w:ascii="Times New Roman" w:cs="Times New Roman" w:eastAsia="Times New Roman" w:hAnsi="Times New Roman"/>
          <w:sz w:val="18"/>
          <w:szCs w:val="18"/>
          <w:color w:val="auto"/>
        </w:rPr>
        <w:t xml:space="preserve">. So long as any shares of Series G-2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G-2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firstLine="1928"/>
        <w:spacing w:after="0" w:line="248" w:lineRule="auto"/>
        <w:rPr>
          <w:sz w:val="20"/>
          <w:szCs w:val="20"/>
          <w:color w:val="auto"/>
        </w:rPr>
      </w:pPr>
      <w:r>
        <w:rPr>
          <w:rFonts w:ascii="Times New Roman" w:cs="Times New Roman" w:eastAsia="Times New Roman" w:hAnsi="Times New Roman"/>
          <w:sz w:val="18"/>
          <w:szCs w:val="18"/>
          <w:color w:val="auto"/>
        </w:rPr>
        <w:t>3.4.1 amend, alter or repeal any provision of the Certificate of Incorporation, as amended, or the Bylaws of the Corporation in a manner that adversely affects the rights, preferences, privileges and restrictions, qualifications or limitations of the Series G-2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G-2 Preferred Stock shall not be deemed to constitute an amendment that adversely affects the rights, preferences, privileges and restrictions, qualifications or limitations of the Series G-2 Preferred Stock); or</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680"/>
          </w:cols>
          <w:pgMar w:left="580" w:top="265" w:right="639" w:bottom="1440" w:gutter="0" w:footer="0" w:header="0"/>
        </w:sectPr>
      </w:pPr>
    </w:p>
    <w:bookmarkStart w:id="321" w:name="page322"/>
    <w:bookmarkEnd w:id="321"/>
    <w:p>
      <w:pPr>
        <w:ind w:firstLine="192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3.4.2 increase the authorized number of shares of Series G-2 Preferred Stock or issue additional shares of Series G-2 Preferred Stock (or any securities or rights exercisable, convertible or exchangeable for any shares of Series G-2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G-2 Preferred Stock).</w:t>
      </w:r>
    </w:p>
    <w:p>
      <w:pPr>
        <w:spacing w:after="0" w:line="180" w:lineRule="exact"/>
        <w:rPr>
          <w:sz w:val="20"/>
          <w:szCs w:val="20"/>
          <w:color w:val="auto"/>
        </w:rPr>
      </w:pPr>
    </w:p>
    <w:p>
      <w:pPr>
        <w:ind w:right="2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Series G Preferred Stock Protective Provisions</w:t>
      </w:r>
      <w:r>
        <w:rPr>
          <w:rFonts w:ascii="Times New Roman" w:cs="Times New Roman" w:eastAsia="Times New Roman" w:hAnsi="Times New Roman"/>
          <w:sz w:val="18"/>
          <w:szCs w:val="18"/>
          <w:color w:val="auto"/>
        </w:rPr>
        <w:t xml:space="preserve">. So long as any shares of Series G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G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right="60" w:firstLine="1928"/>
        <w:spacing w:after="0" w:line="248" w:lineRule="auto"/>
        <w:rPr>
          <w:sz w:val="20"/>
          <w:szCs w:val="20"/>
          <w:color w:val="auto"/>
        </w:rPr>
      </w:pPr>
      <w:r>
        <w:rPr>
          <w:rFonts w:ascii="Times New Roman" w:cs="Times New Roman" w:eastAsia="Times New Roman" w:hAnsi="Times New Roman"/>
          <w:sz w:val="18"/>
          <w:szCs w:val="18"/>
          <w:color w:val="auto"/>
        </w:rPr>
        <w:t>3.5.1 amend, alter or repeal any provision of the Certificate of Incorporation, as amended, or the Bylaws of the Corporation in a manner that adversely affects the rights, preferences, privileges and restrictions, qualifications or limitations of the Series G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G Preferred Stock shall not be deemed to constitute an amendment that adversely affects the rights, preferences, privileges and restrictions, qualifications or limitations of the Series G Preferred Stock); or</w:t>
      </w:r>
    </w:p>
    <w:p>
      <w:pPr>
        <w:spacing w:after="0" w:line="187" w:lineRule="exact"/>
        <w:rPr>
          <w:sz w:val="20"/>
          <w:szCs w:val="20"/>
          <w:color w:val="auto"/>
        </w:rPr>
      </w:pPr>
    </w:p>
    <w:p>
      <w:pPr>
        <w:jc w:val="both"/>
        <w:ind w:right="80" w:firstLine="1928"/>
        <w:spacing w:after="0" w:line="255" w:lineRule="auto"/>
        <w:rPr>
          <w:sz w:val="20"/>
          <w:szCs w:val="20"/>
          <w:color w:val="auto"/>
        </w:rPr>
      </w:pPr>
      <w:r>
        <w:rPr>
          <w:rFonts w:ascii="Times New Roman" w:cs="Times New Roman" w:eastAsia="Times New Roman" w:hAnsi="Times New Roman"/>
          <w:sz w:val="18"/>
          <w:szCs w:val="18"/>
          <w:color w:val="auto"/>
        </w:rPr>
        <w:t>3.5.2 increase the authorized number of shares of Series G Preferred Stock or issue additional shares of Series G Preferred Stock (or any securities or rights exercisable, convertible or exchangeable for any shares of Series G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G Preferred Stock).</w:t>
      </w:r>
    </w:p>
    <w:p>
      <w:pPr>
        <w:spacing w:after="0" w:line="180" w:lineRule="exact"/>
        <w:rPr>
          <w:sz w:val="20"/>
          <w:szCs w:val="20"/>
          <w:color w:val="auto"/>
        </w:rPr>
      </w:pPr>
    </w:p>
    <w:p>
      <w:pPr>
        <w:ind w:right="4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Series F Preferred Stock Protective Provisions</w:t>
      </w:r>
      <w:r>
        <w:rPr>
          <w:rFonts w:ascii="Times New Roman" w:cs="Times New Roman" w:eastAsia="Times New Roman" w:hAnsi="Times New Roman"/>
          <w:sz w:val="18"/>
          <w:szCs w:val="18"/>
          <w:color w:val="auto"/>
        </w:rPr>
        <w:t xml:space="preserve">. So long as any shares of Series F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F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right="60" w:firstLine="1928"/>
        <w:spacing w:after="0" w:line="248" w:lineRule="auto"/>
        <w:rPr>
          <w:sz w:val="20"/>
          <w:szCs w:val="20"/>
          <w:color w:val="auto"/>
        </w:rPr>
      </w:pPr>
      <w:r>
        <w:rPr>
          <w:rFonts w:ascii="Times New Roman" w:cs="Times New Roman" w:eastAsia="Times New Roman" w:hAnsi="Times New Roman"/>
          <w:sz w:val="18"/>
          <w:szCs w:val="18"/>
          <w:color w:val="auto"/>
        </w:rPr>
        <w:t>3.6.1 amend, alter or repeal any provision of the Certificate of Incorporation, as amended, or the Bylaws of the Corporation in a manner that adversely affects the rights, preferences, privileges and restrictions, qualifications or limitations of the Series F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F Preferred Stock shall not be deemed to constitute an amendment that adversely affects the rights, preferences, privileges and restrictions, qualifications or limitations of the Series F Preferred Stock); or</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640"/>
          </w:cols>
          <w:pgMar w:left="580" w:top="265" w:right="679" w:bottom="1440" w:gutter="0" w:footer="0" w:header="0"/>
        </w:sectPr>
      </w:pPr>
    </w:p>
    <w:bookmarkStart w:id="322" w:name="page323"/>
    <w:bookmarkEnd w:id="322"/>
    <w:p>
      <w:pPr>
        <w:ind w:right="100" w:firstLine="192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3.6.2 increase the authorized number of shares of Series F Preferred Stock or issue additional shares of Series F Preferred Stock (or any securities or rights exercisable, convertible or exchangeable for any shares of Series F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F Preferred Stock).</w:t>
      </w:r>
    </w:p>
    <w:p>
      <w:pPr>
        <w:spacing w:after="0" w:line="180" w:lineRule="exact"/>
        <w:rPr>
          <w:sz w:val="20"/>
          <w:szCs w:val="20"/>
          <w:color w:val="auto"/>
        </w:rPr>
      </w:pPr>
    </w:p>
    <w:p>
      <w:pPr>
        <w:ind w:right="4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Series E Preferred Stock Protective Provisions</w:t>
      </w:r>
      <w:r>
        <w:rPr>
          <w:rFonts w:ascii="Times New Roman" w:cs="Times New Roman" w:eastAsia="Times New Roman" w:hAnsi="Times New Roman"/>
          <w:sz w:val="18"/>
          <w:szCs w:val="18"/>
          <w:color w:val="auto"/>
        </w:rPr>
        <w:t xml:space="preserve">. So long as any shares of Series E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E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right="60" w:firstLine="1928"/>
        <w:spacing w:after="0" w:line="248" w:lineRule="auto"/>
        <w:rPr>
          <w:sz w:val="20"/>
          <w:szCs w:val="20"/>
          <w:color w:val="auto"/>
        </w:rPr>
      </w:pPr>
      <w:r>
        <w:rPr>
          <w:rFonts w:ascii="Times New Roman" w:cs="Times New Roman" w:eastAsia="Times New Roman" w:hAnsi="Times New Roman"/>
          <w:sz w:val="18"/>
          <w:szCs w:val="18"/>
          <w:color w:val="auto"/>
        </w:rPr>
        <w:t>3.7.1 amend, alter or repeal any provision of the Certificate of Incorporation, as amended, or the Bylaws of the Corporation in a manner that adversely affects the rights, preferences, privileges and restrictions, qualifications or limitations of the Series E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E Preferred Stock shall not be deemed to constitute an amendment that adversely affects the rights, preferences, privileges and restrictions, qualifications or limitations of the Series E Preferred Stock); or</w:t>
      </w:r>
    </w:p>
    <w:p>
      <w:pPr>
        <w:spacing w:after="0" w:line="187" w:lineRule="exact"/>
        <w:rPr>
          <w:sz w:val="20"/>
          <w:szCs w:val="20"/>
          <w:color w:val="auto"/>
        </w:rPr>
      </w:pPr>
    </w:p>
    <w:p>
      <w:pPr>
        <w:jc w:val="both"/>
        <w:ind w:right="100" w:firstLine="1928"/>
        <w:spacing w:after="0" w:line="255" w:lineRule="auto"/>
        <w:rPr>
          <w:sz w:val="20"/>
          <w:szCs w:val="20"/>
          <w:color w:val="auto"/>
        </w:rPr>
      </w:pPr>
      <w:r>
        <w:rPr>
          <w:rFonts w:ascii="Times New Roman" w:cs="Times New Roman" w:eastAsia="Times New Roman" w:hAnsi="Times New Roman"/>
          <w:sz w:val="18"/>
          <w:szCs w:val="18"/>
          <w:color w:val="auto"/>
        </w:rPr>
        <w:t>3.7.2 increase the authorized number of shares of Series E Preferred Stock or issue additional shares of Series E Preferred Stock (or any securities or rights exercisable, convertible or exchangeable for any shares of Series E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E Preferred Stock).</w:t>
      </w:r>
    </w:p>
    <w:p>
      <w:pPr>
        <w:spacing w:after="0" w:line="180" w:lineRule="exact"/>
        <w:rPr>
          <w:sz w:val="20"/>
          <w:szCs w:val="20"/>
          <w:color w:val="auto"/>
        </w:rPr>
      </w:pPr>
    </w:p>
    <w:p>
      <w:pPr>
        <w:ind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Series D Preferred Stock Protective Provisions</w:t>
      </w:r>
      <w:r>
        <w:rPr>
          <w:rFonts w:ascii="Times New Roman" w:cs="Times New Roman" w:eastAsia="Times New Roman" w:hAnsi="Times New Roman"/>
          <w:sz w:val="18"/>
          <w:szCs w:val="18"/>
          <w:color w:val="auto"/>
        </w:rPr>
        <w:t xml:space="preserve">. So long as any shares of Series D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at least sixty percent (60%) of the then-outstanding shares of Series D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right="60" w:firstLine="1928"/>
        <w:spacing w:after="0" w:line="248" w:lineRule="auto"/>
        <w:rPr>
          <w:sz w:val="20"/>
          <w:szCs w:val="20"/>
          <w:color w:val="auto"/>
        </w:rPr>
      </w:pPr>
      <w:r>
        <w:rPr>
          <w:rFonts w:ascii="Times New Roman" w:cs="Times New Roman" w:eastAsia="Times New Roman" w:hAnsi="Times New Roman"/>
          <w:sz w:val="18"/>
          <w:szCs w:val="18"/>
          <w:color w:val="auto"/>
        </w:rPr>
        <w:t>3.8.1 amend, alter or repeal any provision of the Certificate of Incorporation, as amended, or the Bylaws of the Corporation in a manner that adversely affects the rights, preferences, privileges and restrictions, qualifications or limitations of the Series D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D Preferred Stock shall not be deemed to constitute an amendment that adversely affects the rights, preferences, privileges and restrictions, qualifications or limitations of the Series D Preferred Stock);</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640"/>
          </w:cols>
          <w:pgMar w:left="580" w:top="265" w:right="679" w:bottom="1440" w:gutter="0" w:footer="0" w:header="0"/>
        </w:sectPr>
      </w:pPr>
    </w:p>
    <w:bookmarkStart w:id="323" w:name="page324"/>
    <w:bookmarkEnd w:id="323"/>
    <w:p>
      <w:pPr>
        <w:jc w:val="both"/>
        <w:ind w:right="160" w:firstLine="192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3.8.2 increase the authorized number of shares of Series D Preferred Stock or issue additional shares of Series D Preferred Stock (or any securities or rights exercisable, convertible or exchangeable for any shares of Series D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D Preferred Stock); or</w:t>
      </w:r>
    </w:p>
    <w:p>
      <w:pPr>
        <w:spacing w:after="0" w:line="180" w:lineRule="exact"/>
        <w:rPr>
          <w:sz w:val="20"/>
          <w:szCs w:val="20"/>
          <w:color w:val="auto"/>
        </w:rPr>
      </w:pPr>
    </w:p>
    <w:p>
      <w:pPr>
        <w:ind w:right="240" w:firstLine="1928"/>
        <w:spacing w:after="0" w:line="255" w:lineRule="auto"/>
        <w:rPr>
          <w:sz w:val="20"/>
          <w:szCs w:val="20"/>
          <w:color w:val="auto"/>
        </w:rPr>
      </w:pPr>
      <w:r>
        <w:rPr>
          <w:rFonts w:ascii="Times New Roman" w:cs="Times New Roman" w:eastAsia="Times New Roman" w:hAnsi="Times New Roman"/>
          <w:sz w:val="18"/>
          <w:szCs w:val="18"/>
          <w:color w:val="auto"/>
        </w:rPr>
        <w:t>3.8.3 approve or enter into any agreement with respect to a Deemed Liquidation Event, or consummate a Deemed Liquidation Event, in which the per share amount paid with respect to each share of Series D Preferred Stock is less than $9.3739 (as adjusted for any stock splits, stock dividends, combinations, subdivisions, recapitalizations or the like).</w:t>
      </w:r>
    </w:p>
    <w:p>
      <w:pPr>
        <w:spacing w:after="0" w:line="180" w:lineRule="exact"/>
        <w:rPr>
          <w:sz w:val="20"/>
          <w:szCs w:val="20"/>
          <w:color w:val="auto"/>
        </w:rPr>
      </w:pPr>
    </w:p>
    <w:p>
      <w:pPr>
        <w:ind w:right="10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Series C Preferred Stock Protective Provisions</w:t>
      </w:r>
      <w:r>
        <w:rPr>
          <w:rFonts w:ascii="Times New Roman" w:cs="Times New Roman" w:eastAsia="Times New Roman" w:hAnsi="Times New Roman"/>
          <w:sz w:val="18"/>
          <w:szCs w:val="18"/>
          <w:color w:val="auto"/>
        </w:rPr>
        <w:t xml:space="preserve">. So long as any shares of Series C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at least sixty percent (60%) of the then-outstanding shares of Series C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right="140" w:firstLine="1928"/>
        <w:spacing w:after="0" w:line="248" w:lineRule="auto"/>
        <w:rPr>
          <w:sz w:val="20"/>
          <w:szCs w:val="20"/>
          <w:color w:val="auto"/>
        </w:rPr>
      </w:pPr>
      <w:r>
        <w:rPr>
          <w:rFonts w:ascii="Times New Roman" w:cs="Times New Roman" w:eastAsia="Times New Roman" w:hAnsi="Times New Roman"/>
          <w:sz w:val="18"/>
          <w:szCs w:val="18"/>
          <w:color w:val="auto"/>
        </w:rPr>
        <w:t>3.9.1 amend, alter or repeal any provision of the Certificate of Incorporation, as amended, or the Bylaws of the Corporation in a manner that adversely affects the rights, preferences, privileges and restrictions, qualifications or limitations of the Series C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C Preferred Stock shall not be deemed to constitute an amendment that adversely affects the rights, preferences, privileges and restrictions, qualifications or limitations of the Series C Preferred Stock); or</w:t>
      </w:r>
    </w:p>
    <w:p>
      <w:pPr>
        <w:spacing w:after="0" w:line="187" w:lineRule="exact"/>
        <w:rPr>
          <w:sz w:val="20"/>
          <w:szCs w:val="20"/>
          <w:color w:val="auto"/>
        </w:rPr>
      </w:pPr>
    </w:p>
    <w:p>
      <w:pPr>
        <w:jc w:val="both"/>
        <w:ind w:right="160" w:firstLine="1928"/>
        <w:spacing w:after="0" w:line="255" w:lineRule="auto"/>
        <w:rPr>
          <w:sz w:val="20"/>
          <w:szCs w:val="20"/>
          <w:color w:val="auto"/>
        </w:rPr>
      </w:pPr>
      <w:r>
        <w:rPr>
          <w:rFonts w:ascii="Times New Roman" w:cs="Times New Roman" w:eastAsia="Times New Roman" w:hAnsi="Times New Roman"/>
          <w:sz w:val="18"/>
          <w:szCs w:val="18"/>
          <w:color w:val="auto"/>
        </w:rPr>
        <w:t>3.9.2 increase the authorized number of shares of Series C Preferred Stock or issue additional shares of Series C Preferred Stock (or any securities or rights exercisable, convertible or exchangeable for any shares of Series C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C Preferred Stock).</w:t>
      </w:r>
    </w:p>
    <w:p>
      <w:pPr>
        <w:spacing w:after="0" w:line="180" w:lineRule="exact"/>
        <w:rPr>
          <w:sz w:val="20"/>
          <w:szCs w:val="20"/>
          <w:color w:val="auto"/>
        </w:rPr>
      </w:pPr>
    </w:p>
    <w:p>
      <w:pPr>
        <w:ind w:firstLine="1393"/>
        <w:spacing w:after="0" w:line="247"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Other Preferred Stock Protective Provisions</w:t>
      </w:r>
      <w:r>
        <w:rPr>
          <w:rFonts w:ascii="Times New Roman" w:cs="Times New Roman" w:eastAsia="Times New Roman" w:hAnsi="Times New Roman"/>
          <w:sz w:val="18"/>
          <w:szCs w:val="18"/>
          <w:color w:val="auto"/>
        </w:rPr>
        <w:t xml:space="preserve">. So long as any shares of Series B-2 Preferred Stock, Series B-1 Preferred Stock, Series B Preferred Stock and Series A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at least a majority of the then-outstanding shares of Series B-2 Preferred Stock, Series B-1 Preferred Stock, Series B Preferred Stock and Series A Preferred Stock given in writing or by vote at a meeting, consenting or voting (as the case may be) together as a single class as measured on the basis of voting power set forth in this Restated Certificate,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20"/>
          </w:cols>
          <w:pgMar w:left="580" w:top="265" w:right="599" w:bottom="1440" w:gutter="0" w:footer="0" w:header="0"/>
        </w:sectPr>
      </w:pPr>
    </w:p>
    <w:bookmarkStart w:id="324" w:name="page325"/>
    <w:bookmarkEnd w:id="324"/>
    <w:p>
      <w:pPr>
        <w:ind w:left="19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3.10.1 amend, alter or repeal any provision of the Certificate of Incorporation, as amended, or the Bylaws of the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manner that adversely affects the rights, preferences, privileges and restrictions, qualifications or limitations of the Series B-2 Preferred Stock,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B-1 Preferred Stock, Series B Preferred Stock and Series A Preferred Stock or the holders thereof with respect to the ownership thereof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the rights, preferences, privileges and restrictions, qualifications or limitations of the Series B-2 Preferred Stock, Series B-1 Preferred Stock, Series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 Preferred Stock or Series A Preferred Stock shall not be deemed to constitute an amendment that adversely affects the rights, preferences, privileges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restrictions, qualifications or limitations of the Series B-2 Preferred Stock, Series B-1 Preferred Stock, Series B Preferred Stock and Series 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or</w:t>
      </w:r>
    </w:p>
    <w:p>
      <w:pPr>
        <w:spacing w:after="0" w:line="195" w:lineRule="exact"/>
        <w:rPr>
          <w:sz w:val="20"/>
          <w:szCs w:val="20"/>
          <w:color w:val="auto"/>
        </w:rPr>
      </w:pPr>
    </w:p>
    <w:p>
      <w:pPr>
        <w:ind w:firstLine="1928"/>
        <w:spacing w:after="0" w:line="288" w:lineRule="auto"/>
        <w:rPr>
          <w:sz w:val="20"/>
          <w:szCs w:val="20"/>
          <w:color w:val="auto"/>
        </w:rPr>
      </w:pPr>
      <w:r>
        <w:rPr>
          <w:rFonts w:ascii="Times New Roman" w:cs="Times New Roman" w:eastAsia="Times New Roman" w:hAnsi="Times New Roman"/>
          <w:sz w:val="16"/>
          <w:szCs w:val="16"/>
          <w:color w:val="auto"/>
        </w:rPr>
        <w:t>3.10.2 increase the authorized number of shares of Series B-2 Preferred Stock, Series B-1 Preferred Stock, Series B Preferred Stock or Series A Preferred Stock or issue additional shares of Series B-2 Preferred Stock, Series B-1 Preferred Stock, Series B Preferred Stock or Series A Preferred Stock (or any securities or rights exercisable, convertible or exchangeable for any shares of Series B-2 Preferred Stock, Series B-1 Preferred Stock, Series B Preferred Stock or Series A Preferred Stock)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for the avoidance of doubt, the Corporation may create, authorize or issue any shares of Preferred Stock except the Series B-2 Preferred Stock, Series B-1 Preferred Stock, Series B Preferred Stock or Series A Preferred Stock).</w:t>
      </w:r>
    </w:p>
    <w:p>
      <w:pPr>
        <w:spacing w:after="0" w:line="152" w:lineRule="exact"/>
        <w:rPr>
          <w:sz w:val="20"/>
          <w:szCs w:val="20"/>
          <w:color w:val="auto"/>
        </w:rPr>
      </w:pPr>
    </w:p>
    <w:p>
      <w:pPr>
        <w:ind w:left="1400" w:right="880" w:hanging="428"/>
        <w:spacing w:after="0" w:line="394" w:lineRule="auto"/>
        <w:tabs>
          <w:tab w:leader="none" w:pos="11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The holders of the Preferred Stock shall have conversion rights as follows (the “</w:t>
      </w:r>
      <w:r>
        <w:rPr>
          <w:rFonts w:ascii="Times New Roman" w:cs="Times New Roman" w:eastAsia="Times New Roman" w:hAnsi="Times New Roman"/>
          <w:sz w:val="18"/>
          <w:szCs w:val="18"/>
          <w:b w:val="1"/>
          <w:bCs w:val="1"/>
          <w:i w:val="1"/>
          <w:iCs w:val="1"/>
          <w:color w:val="auto"/>
        </w:rPr>
        <w:t>Conversion Rights</w:t>
      </w:r>
      <w:r>
        <w:rPr>
          <w:rFonts w:ascii="Times New Roman" w:cs="Times New Roman" w:eastAsia="Times New Roman" w:hAnsi="Times New Roman"/>
          <w:sz w:val="18"/>
          <w:szCs w:val="18"/>
          <w:color w:val="auto"/>
        </w:rPr>
        <w:t xml:space="preserve">”): 4.1 </w:t>
      </w:r>
      <w:r>
        <w:rPr>
          <w:rFonts w:ascii="Times New Roman" w:cs="Times New Roman" w:eastAsia="Times New Roman" w:hAnsi="Times New Roman"/>
          <w:sz w:val="18"/>
          <w:szCs w:val="18"/>
          <w:u w:val="single" w:color="auto"/>
          <w:color w:val="auto"/>
        </w:rPr>
        <w:t>Right to Convert</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right="40" w:firstLine="1928"/>
        <w:spacing w:after="0" w:line="245"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Conversion Ratio</w:t>
      </w:r>
      <w:r>
        <w:rPr>
          <w:rFonts w:ascii="Times New Roman" w:cs="Times New Roman" w:eastAsia="Times New Roman" w:hAnsi="Times New Roman"/>
          <w:sz w:val="18"/>
          <w:szCs w:val="18"/>
          <w:color w:val="auto"/>
        </w:rPr>
        <w:t>. Each share of Preferred Stock (other than the Series B Preferred Stock) shall be convertible, at the option of the holder thereof, at any time and from time to time, and without the payment of additional consideration by the holder thereof, into such number of fully paid and non-assessable shares of Class A Common Stock as is determined by dividing the Original Issue Price for such series of Preferred Stock by the Conversion Price (as defined below) for such series of Preferred Stock in effect at the time of conversion. Each share of Series B Preferred Stock shall be convertible, at the option of the holder thereof, at any time and from time to time, and without the payment of additional consideration by the holder thereof, into such number of fully paid and non-assessable shares of Class B Common Stock as is determined by dividing the Original Issue Price for the Series B Preferred Stock by the Conversion Price (as defined below) for the Series B Preferred Stock in effect at the time of conversion. The shares of Class A Common Stock or Class B Common Stock, as applicable, into which shares of Preferred Stock are convertible are referred to herein as the “</w:t>
      </w:r>
      <w:r>
        <w:rPr>
          <w:rFonts w:ascii="Times New Roman" w:cs="Times New Roman" w:eastAsia="Times New Roman" w:hAnsi="Times New Roman"/>
          <w:sz w:val="18"/>
          <w:szCs w:val="18"/>
          <w:b w:val="1"/>
          <w:bCs w:val="1"/>
          <w:i w:val="1"/>
          <w:iCs w:val="1"/>
          <w:color w:val="auto"/>
        </w:rPr>
        <w:t>Conversion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Conversion Price</w:t>
      </w:r>
      <w:r>
        <w:rPr>
          <w:rFonts w:ascii="Times New Roman" w:cs="Times New Roman" w:eastAsia="Times New Roman" w:hAnsi="Times New Roman"/>
          <w:sz w:val="18"/>
          <w:szCs w:val="18"/>
          <w:color w:val="auto"/>
        </w:rPr>
        <w:t>” for each series of Preferred Stock shall initially mean the Original Issue Price for such series of Preferred Stock as in effect on the filing date hereof. Such initial Conversion Price and the rate at which shares of Preferred Stock may be converted into shares of Conversion Stock, shall be subject to adjustment as provided below.</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720"/>
          </w:cols>
          <w:pgMar w:left="580" w:top="265" w:right="599" w:bottom="1440" w:gutter="0" w:footer="0" w:header="0"/>
        </w:sectPr>
      </w:pPr>
    </w:p>
    <w:bookmarkStart w:id="325" w:name="page326"/>
    <w:bookmarkEnd w:id="325"/>
    <w:p>
      <w:pPr>
        <w:ind w:right="20" w:firstLine="1393"/>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4.1.2 </w:t>
      </w:r>
      <w:r>
        <w:rPr>
          <w:rFonts w:ascii="Times New Roman" w:cs="Times New Roman" w:eastAsia="Times New Roman" w:hAnsi="Times New Roman"/>
          <w:sz w:val="18"/>
          <w:szCs w:val="18"/>
          <w:u w:val="single" w:color="auto"/>
          <w:color w:val="auto"/>
        </w:rPr>
        <w:t>Termination of Conversion Rights</w:t>
      </w:r>
      <w:r>
        <w:rPr>
          <w:rFonts w:ascii="Times New Roman" w:cs="Times New Roman" w:eastAsia="Times New Roman" w:hAnsi="Times New Roman"/>
          <w:sz w:val="18"/>
          <w:szCs w:val="18"/>
          <w:color w:val="auto"/>
        </w:rPr>
        <w:t xml:space="preserve">. In the event of a notice of redemption of any shares of Series G-3 Preferred Stock, Series G-2 Preferred Stock, Series G Preferred Stock, Series F Preferred Stock, Series E Preferred Stock or Series D Preferred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Conversion Rights of the shares designated for redemption shall terminate at the close of business on the last full day preceding the date fixed for redemption, unless the applicable redemption price is not fully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9" w:lineRule="exact"/>
        <w:rPr>
          <w:sz w:val="20"/>
          <w:szCs w:val="20"/>
          <w:color w:val="auto"/>
        </w:rPr>
      </w:pPr>
    </w:p>
    <w:p>
      <w:pPr>
        <w:ind w:right="2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of Conversion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Whether or not fractional shares would be issuable upon such conversion shall be determined on the basis of the total number of shares of Preferred Stock the holder is at the time converting into shares of Conversion Stock and the aggregate number of shares of Conversion Stock issuable upon such conversion.</w:t>
      </w:r>
    </w:p>
    <w:p>
      <w:pPr>
        <w:spacing w:after="0" w:line="18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firstLine="1928"/>
        <w:spacing w:after="0" w:line="245"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In order for a holder of Preferred Stock to voluntarily convert shares of Preferred Stock into shares of Conversion Stock, such holder shall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the Preferred Stock represented by such certificate or certificates and, if applicable, any event on which such conversion is contingent. Such notice shall state such holder’s name or the names of the nominees in which such holder wishes the certificate or certificates for shares of Conversion Stock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Times New Roman" w:cs="Times New Roman" w:eastAsia="Times New Roman" w:hAnsi="Times New Roman"/>
          <w:sz w:val="18"/>
          <w:szCs w:val="18"/>
          <w:b w:val="1"/>
          <w:bCs w:val="1"/>
          <w:i w:val="1"/>
          <w:iCs w:val="1"/>
          <w:color w:val="auto"/>
        </w:rPr>
        <w:t>Conversion Time</w:t>
      </w:r>
      <w:r>
        <w:rPr>
          <w:rFonts w:ascii="Times New Roman" w:cs="Times New Roman" w:eastAsia="Times New Roman" w:hAnsi="Times New Roman"/>
          <w:sz w:val="18"/>
          <w:szCs w:val="18"/>
          <w:color w:val="auto"/>
        </w:rPr>
        <w:t>”), and the shares of Conversion Stock issuable upon conversion of the shares represented by such certificate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Conversion Stock issuable upon such conversion in accordance with the provisions hereof and a certificate for the number (if any) of the shares of Preferred Stock represented by the surrendered certificate that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00"/>
          </w:cols>
          <w:pgMar w:left="580" w:top="265" w:right="619" w:bottom="1440" w:gutter="0" w:footer="0" w:header="0"/>
        </w:sectPr>
      </w:pPr>
    </w:p>
    <w:bookmarkStart w:id="326" w:name="page327"/>
    <w:bookmarkEnd w:id="326"/>
    <w:p>
      <w:pPr>
        <w:ind w:right="6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were not converted into Conversion Stock, (ii) pay in cash such amount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in lieu of any fraction of a share of Conversion Stock otherwise issuable upon such conversion, and (iii) pay all declared or accrued but unpaid dividends on the shares of Preferred Stock converted (including, without limitation, all accrued but unpaid Series G-3 PIK Dividends, Series G Accruing Dividends, Series F Accruing Dividends, Series E Accruing Dividends, Series D Accruing Dividends, Series C Accruing Dividends, Series B-2 Accruing Dividends, Series B-1 Accruing Dividends, Series B Accruing Dividends or Series A Accruing Dividends, as applicable).</w:t>
      </w:r>
    </w:p>
    <w:p>
      <w:pPr>
        <w:spacing w:after="0" w:line="187" w:lineRule="exact"/>
        <w:rPr>
          <w:sz w:val="20"/>
          <w:szCs w:val="20"/>
          <w:color w:val="auto"/>
        </w:rPr>
      </w:pPr>
    </w:p>
    <w:p>
      <w:pPr>
        <w:ind w:right="20" w:firstLine="1928"/>
        <w:spacing w:after="0" w:line="245"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Voting Common Stock as shall from time to time be sufficient to effect the conversion of all outstanding Preferred Stock, including the conversion of shares of Series G-3 Preferred Stock issuable as Series G-3 PIK Dividends; and if at any time the number of authorized but unissued shares of Voting Common Stock shall not be sufficient to effect the conversion of all then-outstanding shares of the Preferred Stock, the Corporation shall take such corporate action as may be necessary to increase its authorized but unissued shares of Voting Common Stock, as the case may be, to such number of shares as shall be sufficient for such purposes, including, without limitation, engaging in best efforts to obtain the requisite stockholder approval of any necessary amendment to this Restated Certificate. Before taking any action which would cause an adjustment reducing the Conversion Price below the then par value of the shares of Voting Common Stock issuable upon conversion of the Preferred Stock, the Corporation will take any corporate action which may, in the opinion of its counsel, be necessary in order that the Corporation may validly and legally issue fully paid and non-assessable shares of Voting Common Stock at such adjusted Conversion Price.</w:t>
      </w:r>
    </w:p>
    <w:p>
      <w:pPr>
        <w:spacing w:after="0" w:line="196" w:lineRule="exact"/>
        <w:rPr>
          <w:sz w:val="20"/>
          <w:szCs w:val="20"/>
          <w:color w:val="auto"/>
        </w:rPr>
      </w:pPr>
    </w:p>
    <w:p>
      <w:pPr>
        <w:ind w:firstLine="1928"/>
        <w:spacing w:after="0" w:line="247" w:lineRule="auto"/>
        <w:rPr>
          <w:sz w:val="20"/>
          <w:szCs w:val="20"/>
          <w:color w:val="auto"/>
        </w:rPr>
      </w:pPr>
      <w:r>
        <w:rPr>
          <w:rFonts w:ascii="Times New Roman" w:cs="Times New Roman" w:eastAsia="Times New Roman" w:hAnsi="Times New Roman"/>
          <w:sz w:val="18"/>
          <w:szCs w:val="18"/>
          <w:color w:val="auto"/>
        </w:rPr>
        <w:t xml:space="preserve">4.3.3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Conversion Stock in exchange therefor, to receive payment in lieu of any fraction of a share otherwise issuable upon such conversion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89" w:lineRule="exact"/>
        <w:rPr>
          <w:sz w:val="20"/>
          <w:szCs w:val="20"/>
          <w:color w:val="auto"/>
        </w:rPr>
      </w:pPr>
    </w:p>
    <w:p>
      <w:pPr>
        <w:ind w:right="380" w:firstLine="1928"/>
        <w:spacing w:after="0" w:line="331" w:lineRule="auto"/>
        <w:rPr>
          <w:sz w:val="20"/>
          <w:szCs w:val="20"/>
          <w:color w:val="auto"/>
        </w:rPr>
      </w:pPr>
      <w:r>
        <w:rPr>
          <w:rFonts w:ascii="Times New Roman" w:cs="Times New Roman" w:eastAsia="Times New Roman" w:hAnsi="Times New Roman"/>
          <w:sz w:val="16"/>
          <w:szCs w:val="16"/>
          <w:color w:val="auto"/>
        </w:rPr>
        <w:t xml:space="preserve">4.3.4 </w:t>
      </w:r>
      <w:r>
        <w:rPr>
          <w:rFonts w:ascii="Times New Roman" w:cs="Times New Roman" w:eastAsia="Times New Roman" w:hAnsi="Times New Roman"/>
          <w:sz w:val="16"/>
          <w:szCs w:val="16"/>
          <w:u w:val="single" w:color="auto"/>
          <w:color w:val="auto"/>
        </w:rPr>
        <w:t>No Further Adjustment</w:t>
      </w:r>
      <w:r>
        <w:rPr>
          <w:rFonts w:ascii="Times New Roman" w:cs="Times New Roman" w:eastAsia="Times New Roman" w:hAnsi="Times New Roman"/>
          <w:sz w:val="16"/>
          <w:szCs w:val="16"/>
          <w:color w:val="auto"/>
        </w:rPr>
        <w:t>. Upon any such conversion, no adjustment to the Conversion Price shall be made for any declared or accrued but unpaid dividends on the Preferred Stock surrendered for conversion or on the Conversion Stock delivered upon conversion.</w:t>
      </w:r>
    </w:p>
    <w:p>
      <w:pPr>
        <w:spacing w:after="0" w:line="123" w:lineRule="exact"/>
        <w:rPr>
          <w:sz w:val="20"/>
          <w:szCs w:val="20"/>
          <w:color w:val="auto"/>
        </w:rPr>
      </w:pPr>
    </w:p>
    <w:p>
      <w:pPr>
        <w:ind w:right="20" w:firstLine="1928"/>
        <w:spacing w:after="0" w:line="251" w:lineRule="auto"/>
        <w:rPr>
          <w:sz w:val="20"/>
          <w:szCs w:val="20"/>
          <w:color w:val="auto"/>
        </w:rPr>
      </w:pPr>
      <w:r>
        <w:rPr>
          <w:rFonts w:ascii="Times New Roman" w:cs="Times New Roman" w:eastAsia="Times New Roman" w:hAnsi="Times New Roman"/>
          <w:sz w:val="18"/>
          <w:szCs w:val="18"/>
          <w:color w:val="auto"/>
        </w:rPr>
        <w:t xml:space="preserve">4.3.5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The Corporation shall pay any and all issue and other similar taxes that may be payable in respect of any issuance or delivery of shares of Conversion Stock upon conversion of shares of Preferred Stock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shall not, however, be required to pay any tax which may be payable in respect of any transfer involved in the issuance and delivery of shares of Conversion Stock in a name other than that in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720"/>
          </w:cols>
          <w:pgMar w:left="580" w:top="266" w:right="599" w:bottom="1440" w:gutter="0" w:footer="0" w:header="0"/>
        </w:sectPr>
      </w:pPr>
    </w:p>
    <w:bookmarkStart w:id="327" w:name="page328"/>
    <w:bookmarkEnd w:id="327"/>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8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Adjustments to Conversion Price for Diluting Issues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 xml:space="preserve">4.4.1 </w:t>
      </w:r>
      <w:r>
        <w:rPr>
          <w:rFonts w:ascii="Times New Roman" w:cs="Times New Roman" w:eastAsia="Times New Roman" w:hAnsi="Times New Roman"/>
          <w:sz w:val="18"/>
          <w:szCs w:val="18"/>
          <w:u w:val="single" w:color="auto"/>
          <w:color w:val="auto"/>
        </w:rPr>
        <w:t>Special Definitions</w:t>
      </w:r>
      <w:r>
        <w:rPr>
          <w:rFonts w:ascii="Times New Roman" w:cs="Times New Roman" w:eastAsia="Times New Roman" w:hAnsi="Times New Roman"/>
          <w:sz w:val="18"/>
          <w:szCs w:val="18"/>
          <w:color w:val="auto"/>
        </w:rPr>
        <w:t>. For purposes of this Article Seventh, the following definitions shall apply:</w:t>
      </w:r>
    </w:p>
    <w:p>
      <w:pPr>
        <w:spacing w:after="0" w:line="20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6"/>
          <w:szCs w:val="16"/>
          <w:color w:val="auto"/>
        </w:rPr>
        <w:t>(a) “</w:t>
      </w:r>
      <w:r>
        <w:rPr>
          <w:rFonts w:ascii="Times New Roman" w:cs="Times New Roman" w:eastAsia="Times New Roman" w:hAnsi="Times New Roman"/>
          <w:sz w:val="16"/>
          <w:szCs w:val="16"/>
          <w:b w:val="1"/>
          <w:bCs w:val="1"/>
          <w:i w:val="1"/>
          <w:iCs w:val="1"/>
          <w:color w:val="auto"/>
        </w:rPr>
        <w:t>Option</w:t>
      </w:r>
      <w:r>
        <w:rPr>
          <w:rFonts w:ascii="Times New Roman" w:cs="Times New Roman" w:eastAsia="Times New Roman" w:hAnsi="Times New Roman"/>
          <w:sz w:val="16"/>
          <w:szCs w:val="16"/>
          <w:color w:val="auto"/>
        </w:rPr>
        <w:t>” means rights, options or warrants to subscribe for, purchase or otherwise acquire Common Stock or Convertible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19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6"/>
          <w:szCs w:val="16"/>
          <w:color w:val="auto"/>
        </w:rPr>
        <w:t>(b) “</w:t>
      </w:r>
      <w:r>
        <w:rPr>
          <w:rFonts w:ascii="Times New Roman" w:cs="Times New Roman" w:eastAsia="Times New Roman" w:hAnsi="Times New Roman"/>
          <w:sz w:val="16"/>
          <w:szCs w:val="16"/>
          <w:b w:val="1"/>
          <w:bCs w:val="1"/>
          <w:i w:val="1"/>
          <w:iCs w:val="1"/>
          <w:color w:val="auto"/>
        </w:rPr>
        <w:t>Original Issue Date</w:t>
      </w:r>
      <w:r>
        <w:rPr>
          <w:rFonts w:ascii="Times New Roman" w:cs="Times New Roman" w:eastAsia="Times New Roman" w:hAnsi="Times New Roman"/>
          <w:sz w:val="16"/>
          <w:szCs w:val="16"/>
          <w:color w:val="auto"/>
        </w:rPr>
        <w:t>” for a series of Preferred Stock means the date on which the first share of such series of Preferred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was issued.</w:t>
      </w:r>
    </w:p>
    <w:p>
      <w:pPr>
        <w:spacing w:after="0" w:line="191" w:lineRule="exact"/>
        <w:rPr>
          <w:sz w:val="20"/>
          <w:szCs w:val="20"/>
          <w:color w:val="auto"/>
        </w:rPr>
      </w:pPr>
    </w:p>
    <w:p>
      <w:pPr>
        <w:ind w:firstLine="1936"/>
        <w:spacing w:after="0" w:line="272" w:lineRule="auto"/>
        <w:tabs>
          <w:tab w:leader="none" w:pos="216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means any evidences of indebtedness, shares or other securities directly or indirectly convertible into or exchangeable for Common Stock, but excluding Options.</w:t>
      </w:r>
    </w:p>
    <w:p>
      <w:pPr>
        <w:spacing w:after="0" w:line="161" w:lineRule="exact"/>
        <w:rPr>
          <w:rFonts w:ascii="Times New Roman" w:cs="Times New Roman" w:eastAsia="Times New Roman" w:hAnsi="Times New Roman"/>
          <w:sz w:val="18"/>
          <w:szCs w:val="18"/>
          <w:color w:val="auto"/>
        </w:rPr>
      </w:pPr>
    </w:p>
    <w:p>
      <w:pPr>
        <w:ind w:right="100" w:firstLine="1936"/>
        <w:spacing w:after="0" w:line="253" w:lineRule="auto"/>
        <w:tabs>
          <w:tab w:leader="none" w:pos="217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Shares of Common Stock</w:t>
      </w:r>
      <w:r>
        <w:rPr>
          <w:rFonts w:ascii="Times New Roman" w:cs="Times New Roman" w:eastAsia="Times New Roman" w:hAnsi="Times New Roman"/>
          <w:sz w:val="18"/>
          <w:szCs w:val="18"/>
          <w:color w:val="auto"/>
        </w:rPr>
        <w:t xml:space="preserve">” means all shares of Common Stock issued (or, pursuant to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below, deemed to be issued) by the Corporation after the Original Issue Date of the Series G-3 Preferred Stock, other than (1) the following shares of Common Stock and (2) shares of Common Stock deemed issued pursuant to the following Options and Convertible Securities (clauses (1) and (2), collectively, “</w:t>
      </w:r>
      <w:r>
        <w:rPr>
          <w:rFonts w:ascii="Times New Roman" w:cs="Times New Roman" w:eastAsia="Times New Roman" w:hAnsi="Times New Roman"/>
          <w:sz w:val="18"/>
          <w:szCs w:val="18"/>
          <w:b w:val="1"/>
          <w:bCs w:val="1"/>
          <w:i w:val="1"/>
          <w:iCs w:val="1"/>
          <w:color w:val="auto"/>
        </w:rPr>
        <w:t>Exempted Securities</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right="60" w:firstLine="2364"/>
        <w:spacing w:after="0" w:line="267" w:lineRule="auto"/>
        <w:tabs>
          <w:tab w:leader="none" w:pos="256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as a dividend or distribution on Preferred Stock, including without limitation, the Series G-3 PIK Dividends;</w:t>
      </w:r>
    </w:p>
    <w:p>
      <w:pPr>
        <w:spacing w:after="0" w:line="169" w:lineRule="exact"/>
        <w:rPr>
          <w:rFonts w:ascii="Times New Roman" w:cs="Times New Roman" w:eastAsia="Times New Roman" w:hAnsi="Times New Roman"/>
          <w:sz w:val="18"/>
          <w:szCs w:val="18"/>
          <w:color w:val="auto"/>
        </w:rPr>
      </w:pPr>
    </w:p>
    <w:p>
      <w:pPr>
        <w:ind w:right="120" w:firstLine="2364"/>
        <w:spacing w:after="0" w:line="267" w:lineRule="auto"/>
        <w:tabs>
          <w:tab w:leader="none" w:pos="2614"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Common Stock, Options or Convertible Securities issued by reason of a dividend, stock split, split-up or other distribution on shares of Common Stock that is covered by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4.9</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auto"/>
        </w:rPr>
      </w:pPr>
    </w:p>
    <w:p>
      <w:pPr>
        <w:ind w:right="260" w:firstLine="2364"/>
        <w:spacing w:after="0" w:line="267" w:lineRule="auto"/>
        <w:tabs>
          <w:tab w:leader="none" w:pos="2663"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upon the conversion or exercise of Options, Convertible Securities or other rights to acquire securities of the Corporation;</w:t>
      </w:r>
    </w:p>
    <w:p>
      <w:pPr>
        <w:spacing w:after="0" w:line="169" w:lineRule="exact"/>
        <w:rPr>
          <w:rFonts w:ascii="Times New Roman" w:cs="Times New Roman" w:eastAsia="Times New Roman" w:hAnsi="Times New Roman"/>
          <w:sz w:val="18"/>
          <w:szCs w:val="18"/>
          <w:color w:val="auto"/>
        </w:rPr>
      </w:pPr>
    </w:p>
    <w:p>
      <w:pPr>
        <w:ind w:right="120" w:firstLine="2364"/>
        <w:spacing w:after="0" w:line="267" w:lineRule="auto"/>
        <w:tabs>
          <w:tab w:leader="none" w:pos="2653"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Nonvoting Common Stock or Options issued to employees or directors of, or consultants or advisors to, the Corporation or any of its subsidiaries pursuant to an equity incentive plan, agreement or arrangement approved by the Board;</w:t>
      </w:r>
    </w:p>
    <w:p>
      <w:pPr>
        <w:spacing w:after="0" w:line="169" w:lineRule="exact"/>
        <w:rPr>
          <w:rFonts w:ascii="Times New Roman" w:cs="Times New Roman" w:eastAsia="Times New Roman" w:hAnsi="Times New Roman"/>
          <w:sz w:val="18"/>
          <w:szCs w:val="18"/>
          <w:color w:val="auto"/>
        </w:rPr>
      </w:pPr>
    </w:p>
    <w:p>
      <w:pPr>
        <w:ind w:right="200" w:firstLine="2364"/>
        <w:spacing w:after="0" w:line="331" w:lineRule="auto"/>
        <w:tabs>
          <w:tab w:leader="none" w:pos="2605"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20"/>
          </w:cols>
          <w:pgMar w:left="580" w:top="265" w:right="599" w:bottom="1440" w:gutter="0" w:footer="0" w:header="0"/>
        </w:sectPr>
      </w:pPr>
    </w:p>
    <w:bookmarkStart w:id="328" w:name="page329"/>
    <w:bookmarkEnd w:id="328"/>
    <w:p>
      <w:pPr>
        <w:ind w:right="80" w:firstLine="2364"/>
        <w:spacing w:after="0" w:line="267" w:lineRule="auto"/>
        <w:tabs>
          <w:tab w:leader="none" w:pos="265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shares of Common Stock, Options or Convertible Securities issued to suppliers or third-party service-providers in connection with the provision of goods or services pursuant to transactions approved by the Board;</w:t>
      </w:r>
    </w:p>
    <w:p>
      <w:pPr>
        <w:spacing w:after="0" w:line="169" w:lineRule="exact"/>
        <w:rPr>
          <w:rFonts w:ascii="Times New Roman" w:cs="Times New Roman" w:eastAsia="Times New Roman" w:hAnsi="Times New Roman"/>
          <w:sz w:val="18"/>
          <w:szCs w:val="18"/>
          <w:color w:val="auto"/>
        </w:rPr>
      </w:pPr>
    </w:p>
    <w:p>
      <w:pPr>
        <w:ind w:right="240" w:firstLine="2364"/>
        <w:spacing w:after="0" w:line="255" w:lineRule="auto"/>
        <w:tabs>
          <w:tab w:leader="none" w:pos="270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pursuant to the acquisition of another corporation by the Corporation by merger, purchase of substantially all of the assets or other reorganization or to a joint venture agreement, provided, that such issuances are approved by the Board;</w:t>
      </w:r>
    </w:p>
    <w:p>
      <w:pPr>
        <w:spacing w:after="0" w:line="180" w:lineRule="exact"/>
        <w:rPr>
          <w:rFonts w:ascii="Times New Roman" w:cs="Times New Roman" w:eastAsia="Times New Roman" w:hAnsi="Times New Roman"/>
          <w:sz w:val="18"/>
          <w:szCs w:val="18"/>
          <w:color w:val="auto"/>
        </w:rPr>
      </w:pPr>
    </w:p>
    <w:p>
      <w:pPr>
        <w:ind w:right="540" w:firstLine="2364"/>
        <w:spacing w:after="0" w:line="331" w:lineRule="auto"/>
        <w:tabs>
          <w:tab w:leader="none" w:pos="275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Options or Convertible Securities issued in connection with sponsored research collaboration, technology license, development, OEM, marketing or other similar agreements or strategic partnerships approved by the Board;</w:t>
      </w:r>
    </w:p>
    <w:p>
      <w:pPr>
        <w:spacing w:after="0" w:line="122" w:lineRule="exact"/>
        <w:rPr>
          <w:rFonts w:ascii="Times New Roman" w:cs="Times New Roman" w:eastAsia="Times New Roman" w:hAnsi="Times New Roman"/>
          <w:sz w:val="16"/>
          <w:szCs w:val="16"/>
          <w:color w:val="auto"/>
        </w:rPr>
      </w:pPr>
    </w:p>
    <w:p>
      <w:pPr>
        <w:ind w:left="2660" w:hanging="296"/>
        <w:spacing w:after="0"/>
        <w:tabs>
          <w:tab w:leader="none" w:pos="2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in connection with a Deemed Liquidation</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 or</w:t>
      </w:r>
    </w:p>
    <w:p>
      <w:pPr>
        <w:spacing w:after="0" w:line="195" w:lineRule="exact"/>
        <w:rPr>
          <w:rFonts w:ascii="Times New Roman" w:cs="Times New Roman" w:eastAsia="Times New Roman" w:hAnsi="Times New Roman"/>
          <w:sz w:val="18"/>
          <w:szCs w:val="18"/>
          <w:color w:val="auto"/>
        </w:rPr>
      </w:pPr>
    </w:p>
    <w:p>
      <w:pPr>
        <w:ind w:right="140" w:firstLine="2364"/>
        <w:spacing w:after="0" w:line="267" w:lineRule="auto"/>
        <w:tabs>
          <w:tab w:leader="none" w:pos="260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Common Stock sold to the public in a Public Offering (as defined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or Qualifying Public Offering (as defined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firstLine="1928"/>
        <w:spacing w:after="0" w:line="277" w:lineRule="auto"/>
        <w:rPr>
          <w:sz w:val="20"/>
          <w:szCs w:val="20"/>
          <w:color w:val="auto"/>
        </w:rPr>
      </w:pPr>
      <w:r>
        <w:rPr>
          <w:rFonts w:ascii="Times New Roman" w:cs="Times New Roman" w:eastAsia="Times New Roman" w:hAnsi="Times New Roman"/>
          <w:sz w:val="16"/>
          <w:szCs w:val="16"/>
          <w:color w:val="auto"/>
        </w:rPr>
        <w:t xml:space="preserve">4.4.2 </w:t>
      </w:r>
      <w:r>
        <w:rPr>
          <w:rFonts w:ascii="Times New Roman" w:cs="Times New Roman" w:eastAsia="Times New Roman" w:hAnsi="Times New Roman"/>
          <w:sz w:val="16"/>
          <w:szCs w:val="16"/>
          <w:u w:val="single" w:color="auto"/>
          <w:color w:val="auto"/>
        </w:rPr>
        <w:t>No Adjustment of Conversion Price</w:t>
      </w:r>
      <w:r>
        <w:rPr>
          <w:rFonts w:ascii="Times New Roman" w:cs="Times New Roman" w:eastAsia="Times New Roman" w:hAnsi="Times New Roman"/>
          <w:sz w:val="16"/>
          <w:szCs w:val="16"/>
          <w:color w:val="auto"/>
        </w:rPr>
        <w:t>. No adjustment (A) in the Series A Conversion Price, Series B Conversion Price, Series B-1 Conversion Price, or Series B-2 Conversion Price, as the case may be, shall be made as the result of the issuance or deemed issuance of Additional Shares of Common Stock if the Corporation receives written notice from the holders of a majority of the then outstanding shares of Series A Preferred Stock, Series B Preferred Stock, Series B-1 Preferred Stock and Series B-2 Preferred Stock, voting together as a single class as measured on the basis of voting power set forth in this Restated Certificate, (B) in the Series C Conversion Price shall be made as the result of the issuance or deemed issuance of Additional Shares of Common Stock if the Corporation receives written notice from the holders of at least sixty percent (60%) of the then outstanding shares of Series C Preferred Stock, (C) in the Series D Conversion Price shall be made as the result of the issuance or deemed issuance of Additional Shares of Common Stock if the Corporation receives written notice from the holders of at least sixty percent (60%) of the then outstanding shares of Series D Preferred Stock, (D) in the Series E Conversion Price shall be made as the result of the issuance or deemed issuance of Additional Shares of Common Stock if the Corporation receives written notice from the holders of a majority of the then outstanding shares of Series E Preferred Stock, (E) in the Series F Conversion Price shall be made as the result of the issuance or deemed issuance of Additional Shares of Common Stock if the Corporation receives written notice from the holders of a majority of the then outstanding shares of Series F Preferred Stock, (F) in the Series G Conversion Price shall be made as the result of the issuance or deemed issuance of Additional Shares of Common Stock if the Corporation receives written notice from the holders of a majority of the then outstanding shares of Series G Preferred Stock, (G) in the Series G-2 Conversion Price shall be made as the result of the issuance or deemed issuance of Additional Shares of Common Stock if the Corporation receives written notice from the holders of a majority of the then outstanding shares of Series G-2 Preferred Stock, and (H) in the Series G-3 Conversion Price shall be made as the result of the issuance or deemed issuance of Additional Shares of Common Stock if the</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700"/>
          </w:cols>
          <w:pgMar w:left="580" w:top="265" w:right="619" w:bottom="1440" w:gutter="0" w:footer="0" w:header="0"/>
        </w:sectPr>
      </w:pPr>
    </w:p>
    <w:bookmarkStart w:id="329" w:name="page330"/>
    <w:bookmarkEnd w:id="329"/>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8040" cy="36830"/>
                    </a:xfrm>
                    <a:prstGeom prst="rect">
                      <a:avLst/>
                    </a:prstGeom>
                    <a:noFill/>
                  </pic:spPr>
                </pic:pic>
              </a:graphicData>
            </a:graphic>
          </wp:anchor>
        </w:drawing>
        <w:t>Corporation receives written notice from the holders of a majority of the then outstanding shares of Series G-3 Preferred Stock, respectively, agreeing that no such adjustment shall be made as the result of the issuance or deemed issuance of such Additional Shares of Common Stock, which election may be applied prospectively or retroactively and either generally or in a particular instance.</w:t>
      </w:r>
    </w:p>
    <w:p>
      <w:pPr>
        <w:spacing w:after="0" w:line="18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 xml:space="preserve">4.4.3 </w:t>
      </w:r>
      <w:r>
        <w:rPr>
          <w:rFonts w:ascii="Times New Roman" w:cs="Times New Roman" w:eastAsia="Times New Roman" w:hAnsi="Times New Roman"/>
          <w:sz w:val="18"/>
          <w:szCs w:val="18"/>
          <w:u w:val="single" w:color="auto"/>
          <w:color w:val="auto"/>
        </w:rPr>
        <w:t>Deemed Issue of Additional Shares of Common Stock</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00" w:firstLine="1936"/>
        <w:spacing w:after="0" w:line="247" w:lineRule="auto"/>
        <w:tabs>
          <w:tab w:leader="none" w:pos="216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at any time or from time to time after the Original Issue Date of the Series G-3 Preferred Stock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86" w:lineRule="exact"/>
        <w:rPr>
          <w:rFonts w:ascii="Times New Roman" w:cs="Times New Roman" w:eastAsia="Times New Roman" w:hAnsi="Times New Roman"/>
          <w:sz w:val="18"/>
          <w:szCs w:val="18"/>
          <w:color w:val="auto"/>
        </w:rPr>
      </w:pPr>
    </w:p>
    <w:p>
      <w:pPr>
        <w:ind w:firstLine="1936"/>
        <w:spacing w:after="0" w:line="245" w:lineRule="auto"/>
        <w:tabs>
          <w:tab w:leader="none" w:pos="217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the issuance of which resulted in an adjustment to the Conversion Price pursuant to the terms of </w:t>
      </w:r>
      <w:r>
        <w:rPr>
          <w:rFonts w:ascii="Times New Roman" w:cs="Times New Roman" w:eastAsia="Times New Roman" w:hAnsi="Times New Roman"/>
          <w:sz w:val="18"/>
          <w:szCs w:val="18"/>
          <w:u w:val="single" w:color="auto"/>
          <w:color w:val="auto"/>
        </w:rPr>
        <w:t>Section 4.4.4</w:t>
      </w:r>
      <w:r>
        <w:rPr>
          <w:rFonts w:ascii="Times New Roman" w:cs="Times New Roman" w:eastAsia="Times New Roman" w:hAnsi="Times New Roman"/>
          <w:sz w:val="18"/>
          <w:szCs w:val="18"/>
          <w:color w:val="auto"/>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have the effect of increasing a Conversion Price to an amount which exceeds the lower of (i) the applicable Conversion Price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93" w:lineRule="exact"/>
        <w:rPr>
          <w:rFonts w:ascii="Times New Roman" w:cs="Times New Roman" w:eastAsia="Times New Roman" w:hAnsi="Times New Roman"/>
          <w:sz w:val="18"/>
          <w:szCs w:val="18"/>
          <w:color w:val="auto"/>
        </w:rPr>
      </w:pPr>
    </w:p>
    <w:p>
      <w:pPr>
        <w:jc w:val="both"/>
        <w:ind w:right="100" w:firstLine="1936"/>
        <w:spacing w:after="0" w:line="251" w:lineRule="auto"/>
        <w:tabs>
          <w:tab w:leader="none" w:pos="216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(excluding Options or Convertible Securities which are themselves Exempted Securities), the issuance of which did not result in an adjustment to the applicable Conversion Price pursuant to the terms of </w:t>
      </w:r>
      <w:r>
        <w:rPr>
          <w:rFonts w:ascii="Times New Roman" w:cs="Times New Roman" w:eastAsia="Times New Roman" w:hAnsi="Times New Roman"/>
          <w:sz w:val="18"/>
          <w:szCs w:val="18"/>
          <w:u w:val="single" w:color="auto"/>
          <w:color w:val="auto"/>
        </w:rPr>
        <w:t>Section 4.4.4</w:t>
      </w:r>
      <w:r>
        <w:rPr>
          <w:rFonts w:ascii="Times New Roman" w:cs="Times New Roman" w:eastAsia="Times New Roman" w:hAnsi="Times New Roman"/>
          <w:sz w:val="18"/>
          <w:szCs w:val="18"/>
          <w:color w:val="auto"/>
        </w:rPr>
        <w:t xml:space="preserve"> (either because the consideration per share (determined pursuant to </w:t>
      </w:r>
      <w:r>
        <w:rPr>
          <w:rFonts w:ascii="Times New Roman" w:cs="Times New Roman" w:eastAsia="Times New Roman" w:hAnsi="Times New Roman"/>
          <w:sz w:val="18"/>
          <w:szCs w:val="18"/>
          <w:u w:val="single" w:color="auto"/>
          <w:color w:val="auto"/>
        </w:rPr>
        <w:t>Section 4.4.5</w:t>
      </w:r>
      <w:r>
        <w:rPr>
          <w:rFonts w:ascii="Times New Roman" w:cs="Times New Roman" w:eastAsia="Times New Roman" w:hAnsi="Times New Roman"/>
          <w:sz w:val="18"/>
          <w:szCs w:val="18"/>
          <w:color w:val="auto"/>
        </w:rPr>
        <w:t>) of the Additional Shares of Common Stock subject thereto was equal to or greater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00"/>
          </w:cols>
          <w:pgMar w:left="580" w:top="265" w:right="619" w:bottom="1440" w:gutter="0" w:footer="0" w:header="0"/>
        </w:sectPr>
      </w:pPr>
    </w:p>
    <w:bookmarkStart w:id="330" w:name="page331"/>
    <w:bookmarkEnd w:id="330"/>
    <w:p>
      <w:pPr>
        <w:ind w:right="2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than the applicable Conversion Price then in effect, or because such Option or Convertible Security was issued before the Original Issue Date of the Series G-3 Preferred Stock), are revised after the Original Issue Date of the Series G-3 Preferred Stock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cs="Times New Roman" w:eastAsia="Times New Roman" w:hAnsi="Times New Roman"/>
          <w:sz w:val="18"/>
          <w:szCs w:val="18"/>
          <w:u w:val="single" w:color="auto"/>
          <w:color w:val="auto"/>
        </w:rPr>
        <w:t>Section 4.4.3(a)</w:t>
      </w:r>
      <w:r>
        <w:rPr>
          <w:rFonts w:ascii="Times New Roman" w:cs="Times New Roman" w:eastAsia="Times New Roman" w:hAnsi="Times New Roman"/>
          <w:sz w:val="18"/>
          <w:szCs w:val="18"/>
          <w:color w:val="auto"/>
        </w:rPr>
        <w:t>) shall be deemed to have been issued effective upon such increase or decrease becoming effective.</w:t>
      </w:r>
    </w:p>
    <w:p>
      <w:pPr>
        <w:spacing w:after="0" w:line="186" w:lineRule="exact"/>
        <w:rPr>
          <w:sz w:val="20"/>
          <w:szCs w:val="20"/>
          <w:color w:val="auto"/>
        </w:rPr>
      </w:pPr>
    </w:p>
    <w:p>
      <w:pPr>
        <w:jc w:val="both"/>
        <w:ind w:right="140" w:firstLine="1936"/>
        <w:spacing w:after="0" w:line="251" w:lineRule="auto"/>
        <w:tabs>
          <w:tab w:leader="none" w:pos="217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expiration or termination of any unexercised Option or unconverted or unexchanged Convertible Security (or portion thereof) which resulted (either upon its original issuance or upon a revision of its terms) in an adjustment to a Conversion Price pursuant to the terms of </w:t>
      </w:r>
      <w:r>
        <w:rPr>
          <w:rFonts w:ascii="Times New Roman" w:cs="Times New Roman" w:eastAsia="Times New Roman" w:hAnsi="Times New Roman"/>
          <w:sz w:val="18"/>
          <w:szCs w:val="18"/>
          <w:u w:val="single" w:color="auto"/>
          <w:color w:val="auto"/>
        </w:rPr>
        <w:t>Section 4.4.4</w:t>
      </w:r>
      <w:r>
        <w:rPr>
          <w:rFonts w:ascii="Times New Roman" w:cs="Times New Roman" w:eastAsia="Times New Roman" w:hAnsi="Times New Roman"/>
          <w:sz w:val="18"/>
          <w:szCs w:val="18"/>
          <w:color w:val="auto"/>
        </w:rPr>
        <w:t>, the applicable Conversion Price shall be readjusted to such Conversion Price as would have obtained had such Option or Convertible Security (or portion thereof) never been issued.</w:t>
      </w:r>
    </w:p>
    <w:p>
      <w:pPr>
        <w:spacing w:after="0" w:line="184" w:lineRule="exact"/>
        <w:rPr>
          <w:rFonts w:ascii="Times New Roman" w:cs="Times New Roman" w:eastAsia="Times New Roman" w:hAnsi="Times New Roman"/>
          <w:sz w:val="18"/>
          <w:szCs w:val="18"/>
          <w:color w:val="auto"/>
        </w:rPr>
      </w:pPr>
    </w:p>
    <w:p>
      <w:pPr>
        <w:ind w:firstLine="1936"/>
        <w:spacing w:after="0" w:line="245" w:lineRule="auto"/>
        <w:tabs>
          <w:tab w:leader="none" w:pos="216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w:t>
      </w:r>
    </w:p>
    <w:p>
      <w:pPr>
        <w:spacing w:after="0" w:line="196" w:lineRule="exact"/>
        <w:rPr>
          <w:sz w:val="20"/>
          <w:szCs w:val="20"/>
          <w:color w:val="auto"/>
        </w:rPr>
      </w:pPr>
    </w:p>
    <w:p>
      <w:pPr>
        <w:ind w:right="40" w:firstLine="1928"/>
        <w:spacing w:after="0" w:line="249" w:lineRule="auto"/>
        <w:rPr>
          <w:sz w:val="20"/>
          <w:szCs w:val="20"/>
          <w:color w:val="auto"/>
        </w:rPr>
      </w:pPr>
      <w:r>
        <w:rPr>
          <w:rFonts w:ascii="Times New Roman" w:cs="Times New Roman" w:eastAsia="Times New Roman" w:hAnsi="Times New Roman"/>
          <w:sz w:val="18"/>
          <w:szCs w:val="18"/>
          <w:color w:val="auto"/>
        </w:rPr>
        <w:t xml:space="preserve">4.4.4 </w:t>
      </w:r>
      <w:r>
        <w:rPr>
          <w:rFonts w:ascii="Times New Roman" w:cs="Times New Roman" w:eastAsia="Times New Roman" w:hAnsi="Times New Roman"/>
          <w:sz w:val="18"/>
          <w:szCs w:val="18"/>
          <w:u w:val="single" w:color="auto"/>
          <w:color w:val="auto"/>
        </w:rPr>
        <w:t>Adjustment of Conversion Price Upon Issuance of Additional Shares of Common Stock</w:t>
      </w:r>
      <w:r>
        <w:rPr>
          <w:rFonts w:ascii="Times New Roman" w:cs="Times New Roman" w:eastAsia="Times New Roman" w:hAnsi="Times New Roman"/>
          <w:sz w:val="18"/>
          <w:szCs w:val="18"/>
          <w:color w:val="auto"/>
        </w:rPr>
        <w:t xml:space="preserve">. In the event the Corporation shall at any time after the Original Issue Date of the Series G-3 Preferred Stock issue Additional Shares of Common Stock (including Additional Shares of Common Stock deemed to be issued pursuant to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without consideration or for a consideration per share less than the applicable Conversion Price in effect immediately prior to such issue, then such Conversion Price shall be reduced, concurrently with such issue, to a price (calculated to the nearest one-hundredth of a cent) determined in accordance with the following formula:</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680"/>
          </w:cols>
          <w:pgMar w:left="580" w:top="265" w:right="639" w:bottom="1440" w:gutter="0" w:footer="0" w:header="0"/>
        </w:sectPr>
      </w:pPr>
    </w:p>
    <w:bookmarkStart w:id="331" w:name="page332"/>
    <w:bookmarkEnd w:id="331"/>
    <w:p>
      <w:pPr>
        <w:ind w:left="42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CP</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 xml:space="preserve"> = CP</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 (A + B) ÷ (A + 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foregoing formula, the following definitions shall apply:</w:t>
      </w:r>
    </w:p>
    <w:p>
      <w:pPr>
        <w:spacing w:after="0" w:line="20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CP</w:t>
      </w:r>
      <w:r>
        <w:rPr>
          <w:rFonts w:ascii="Times New Roman" w:cs="Times New Roman" w:eastAsia="Times New Roman" w:hAnsi="Times New Roman"/>
          <w:sz w:val="14"/>
          <w:szCs w:val="14"/>
          <w:b w:val="1"/>
          <w:bCs w:val="1"/>
          <w:i w:val="1"/>
          <w:iCs w:val="1"/>
          <w:color w:val="auto"/>
        </w:rPr>
        <w:t>2</w:t>
      </w:r>
      <w:r>
        <w:rPr>
          <w:rFonts w:ascii="Times New Roman" w:cs="Times New Roman" w:eastAsia="Times New Roman" w:hAnsi="Times New Roman"/>
          <w:sz w:val="18"/>
          <w:szCs w:val="18"/>
          <w:color w:val="auto"/>
        </w:rPr>
        <w:t>” shall mean the applicable Conversion Price in effect immediately after such issue of Additional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18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i w:val="1"/>
          <w:iCs w:val="1"/>
          <w:color w:val="auto"/>
        </w:rPr>
        <w:t>CP</w:t>
      </w:r>
      <w:r>
        <w:rPr>
          <w:rFonts w:ascii="Times New Roman" w:cs="Times New Roman" w:eastAsia="Times New Roman" w:hAnsi="Times New Roman"/>
          <w:sz w:val="14"/>
          <w:szCs w:val="14"/>
          <w:b w:val="1"/>
          <w:bCs w:val="1"/>
          <w:i w:val="1"/>
          <w:iCs w:val="1"/>
          <w:color w:val="auto"/>
        </w:rPr>
        <w:t>1</w:t>
      </w:r>
      <w:r>
        <w:rPr>
          <w:rFonts w:ascii="Times New Roman" w:cs="Times New Roman" w:eastAsia="Times New Roman" w:hAnsi="Times New Roman"/>
          <w:sz w:val="18"/>
          <w:szCs w:val="18"/>
          <w:color w:val="auto"/>
        </w:rPr>
        <w:t>” shall mean the applicable Conversion Price in effect immediately prior to such issue of Additional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189" w:lineRule="exact"/>
        <w:rPr>
          <w:sz w:val="20"/>
          <w:szCs w:val="20"/>
          <w:color w:val="auto"/>
        </w:rPr>
      </w:pPr>
    </w:p>
    <w:p>
      <w:pPr>
        <w:jc w:val="both"/>
        <w:ind w:firstLine="1936"/>
        <w:spacing w:after="0" w:line="253" w:lineRule="auto"/>
        <w:tabs>
          <w:tab w:leader="none" w:pos="216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t>
      </w:r>
      <w:r>
        <w:rPr>
          <w:rFonts w:ascii="Times New Roman" w:cs="Times New Roman" w:eastAsia="Times New Roman" w:hAnsi="Times New Roman"/>
          <w:sz w:val="18"/>
          <w:szCs w:val="18"/>
          <w:color w:val="auto"/>
        </w:rPr>
        <w:t>”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177" w:lineRule="exact"/>
        <w:rPr>
          <w:rFonts w:ascii="Times New Roman" w:cs="Times New Roman" w:eastAsia="Times New Roman" w:hAnsi="Times New Roman"/>
          <w:sz w:val="18"/>
          <w:szCs w:val="18"/>
          <w:color w:val="auto"/>
        </w:rPr>
      </w:pPr>
    </w:p>
    <w:p>
      <w:pPr>
        <w:ind w:right="280" w:firstLine="1936"/>
        <w:spacing w:after="0" w:line="268" w:lineRule="auto"/>
        <w:tabs>
          <w:tab w:leader="none" w:pos="217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w:t>
      </w:r>
      <w:r>
        <w:rPr>
          <w:rFonts w:ascii="Times New Roman" w:cs="Times New Roman" w:eastAsia="Times New Roman" w:hAnsi="Times New Roman"/>
          <w:sz w:val="18"/>
          <w:szCs w:val="18"/>
          <w:color w:val="auto"/>
        </w:rPr>
        <w:t>” shall mean the number of shares of Common Stock that would have been issued if such Additional Shares of Common Stock had been issued at a price per share equal to CP</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 xml:space="preserve"> (determined by dividing the aggregate consideration received by the Corporation in respect of such issue by CP</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 and</w:t>
      </w:r>
    </w:p>
    <w:p>
      <w:pPr>
        <w:spacing w:after="0" w:line="146"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w:t>
      </w:r>
      <w:r>
        <w:rPr>
          <w:rFonts w:ascii="Times New Roman" w:cs="Times New Roman" w:eastAsia="Times New Roman" w:hAnsi="Times New Roman"/>
          <w:sz w:val="18"/>
          <w:szCs w:val="18"/>
          <w:color w:val="auto"/>
        </w:rPr>
        <w:t>” shall mean the number of such Additional Shares of Common Stock issued in such transaction.</w:t>
      </w:r>
    </w:p>
    <w:p>
      <w:pPr>
        <w:spacing w:after="0" w:line="217" w:lineRule="exact"/>
        <w:rPr>
          <w:sz w:val="20"/>
          <w:szCs w:val="20"/>
          <w:color w:val="auto"/>
        </w:rPr>
      </w:pPr>
    </w:p>
    <w:p>
      <w:pPr>
        <w:ind w:right="60" w:firstLine="1928"/>
        <w:spacing w:after="0" w:line="267" w:lineRule="auto"/>
        <w:rPr>
          <w:sz w:val="20"/>
          <w:szCs w:val="20"/>
          <w:color w:val="auto"/>
        </w:rPr>
      </w:pPr>
      <w:r>
        <w:rPr>
          <w:rFonts w:ascii="Times New Roman" w:cs="Times New Roman" w:eastAsia="Times New Roman" w:hAnsi="Times New Roman"/>
          <w:sz w:val="18"/>
          <w:szCs w:val="18"/>
          <w:color w:val="auto"/>
        </w:rPr>
        <w:t xml:space="preserve">4.4.5 </w:t>
      </w:r>
      <w:r>
        <w:rPr>
          <w:rFonts w:ascii="Times New Roman" w:cs="Times New Roman" w:eastAsia="Times New Roman" w:hAnsi="Times New Roman"/>
          <w:sz w:val="18"/>
          <w:szCs w:val="18"/>
          <w:u w:val="single" w:color="auto"/>
          <w:color w:val="auto"/>
        </w:rPr>
        <w:t>Determination of Consideration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the consideration received by the Corporation for the issue of any Additional Shares of Common Stock shall be computed as follows:</w:t>
      </w:r>
    </w:p>
    <w:p>
      <w:pPr>
        <w:spacing w:after="0" w:line="170" w:lineRule="exact"/>
        <w:rPr>
          <w:sz w:val="20"/>
          <w:szCs w:val="20"/>
          <w:color w:val="auto"/>
        </w:rPr>
      </w:pPr>
    </w:p>
    <w:p>
      <w:pPr>
        <w:ind w:left="2180" w:hanging="244"/>
        <w:spacing w:after="0"/>
        <w:tabs>
          <w:tab w:leader="none" w:pos="21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Property</w:t>
      </w:r>
      <w:r>
        <w:rPr>
          <w:rFonts w:ascii="Times New Roman" w:cs="Times New Roman" w:eastAsia="Times New Roman" w:hAnsi="Times New Roman"/>
          <w:sz w:val="18"/>
          <w:szCs w:val="18"/>
          <w:color w:val="auto"/>
        </w:rPr>
        <w:t>: Such consideration shall:</w:t>
      </w:r>
    </w:p>
    <w:p>
      <w:pPr>
        <w:spacing w:after="0" w:line="213" w:lineRule="exact"/>
        <w:rPr>
          <w:rFonts w:ascii="Times New Roman" w:cs="Times New Roman" w:eastAsia="Times New Roman" w:hAnsi="Times New Roman"/>
          <w:sz w:val="18"/>
          <w:szCs w:val="18"/>
          <w:color w:val="auto"/>
        </w:rPr>
      </w:pPr>
    </w:p>
    <w:p>
      <w:pPr>
        <w:ind w:right="160" w:firstLine="2364"/>
        <w:spacing w:after="0" w:line="267" w:lineRule="auto"/>
        <w:tabs>
          <w:tab w:leader="none" w:pos="256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cash, be computed at the aggregate amount of cash received by the Corporation, excluding amounts paid or payable for accrued interest;</w:t>
      </w:r>
    </w:p>
    <w:p>
      <w:pPr>
        <w:spacing w:after="0" w:line="169" w:lineRule="exact"/>
        <w:rPr>
          <w:rFonts w:ascii="Times New Roman" w:cs="Times New Roman" w:eastAsia="Times New Roman" w:hAnsi="Times New Roman"/>
          <w:sz w:val="18"/>
          <w:szCs w:val="18"/>
          <w:color w:val="auto"/>
        </w:rPr>
      </w:pPr>
    </w:p>
    <w:p>
      <w:pPr>
        <w:ind w:right="220" w:firstLine="2364"/>
        <w:spacing w:after="0" w:line="267" w:lineRule="auto"/>
        <w:tabs>
          <w:tab w:leader="none" w:pos="261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property other than cash, be computed at the fair market value thereof at the time of such issue, as determined in good faith by the Board; and</w:t>
      </w:r>
    </w:p>
    <w:p>
      <w:pPr>
        <w:spacing w:after="0" w:line="169" w:lineRule="exact"/>
        <w:rPr>
          <w:rFonts w:ascii="Times New Roman" w:cs="Times New Roman" w:eastAsia="Times New Roman" w:hAnsi="Times New Roman"/>
          <w:sz w:val="18"/>
          <w:szCs w:val="18"/>
          <w:color w:val="auto"/>
        </w:rPr>
      </w:pPr>
    </w:p>
    <w:p>
      <w:pPr>
        <w:jc w:val="both"/>
        <w:ind w:right="60" w:firstLine="2364"/>
        <w:spacing w:after="0" w:line="255" w:lineRule="auto"/>
        <w:tabs>
          <w:tab w:leader="none" w:pos="2663"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as determined in good faith by the Board.</w:t>
      </w:r>
    </w:p>
    <w:p>
      <w:pPr>
        <w:spacing w:after="0" w:line="180" w:lineRule="exact"/>
        <w:rPr>
          <w:rFonts w:ascii="Times New Roman" w:cs="Times New Roman" w:eastAsia="Times New Roman" w:hAnsi="Times New Roman"/>
          <w:sz w:val="18"/>
          <w:szCs w:val="18"/>
          <w:color w:val="auto"/>
        </w:rPr>
      </w:pPr>
    </w:p>
    <w:p>
      <w:pPr>
        <w:ind w:right="180" w:firstLine="1936"/>
        <w:spacing w:after="0" w:line="331" w:lineRule="auto"/>
        <w:tabs>
          <w:tab w:leader="none" w:pos="2176"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Options and Convertible Securities</w:t>
      </w:r>
      <w:r>
        <w:rPr>
          <w:rFonts w:ascii="Times New Roman" w:cs="Times New Roman" w:eastAsia="Times New Roman" w:hAnsi="Times New Roman"/>
          <w:sz w:val="16"/>
          <w:szCs w:val="16"/>
          <w:color w:val="auto"/>
        </w:rPr>
        <w:t xml:space="preserve">. The consideration per share received by the Corporation for Additional Shares of Common Stock deemed to have been issued pursuant to </w:t>
      </w:r>
      <w:r>
        <w:rPr>
          <w:rFonts w:ascii="Times New Roman" w:cs="Times New Roman" w:eastAsia="Times New Roman" w:hAnsi="Times New Roman"/>
          <w:sz w:val="16"/>
          <w:szCs w:val="16"/>
          <w:u w:val="single" w:color="auto"/>
          <w:color w:val="auto"/>
        </w:rPr>
        <w:t>Section 4.4.3</w:t>
      </w:r>
      <w:r>
        <w:rPr>
          <w:rFonts w:ascii="Times New Roman" w:cs="Times New Roman" w:eastAsia="Times New Roman" w:hAnsi="Times New Roman"/>
          <w:sz w:val="16"/>
          <w:szCs w:val="16"/>
          <w:color w:val="auto"/>
        </w:rPr>
        <w:t>, relating to Options and Convertible Securities, shall be determined by dividing:</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720"/>
          </w:cols>
          <w:pgMar w:left="580" w:top="265" w:right="599" w:bottom="1440" w:gutter="0" w:footer="0" w:header="0"/>
        </w:sectPr>
      </w:pPr>
    </w:p>
    <w:bookmarkStart w:id="332" w:name="page333"/>
    <w:bookmarkEnd w:id="332"/>
    <w:p>
      <w:pPr>
        <w:ind w:right="20" w:firstLine="2364"/>
        <w:spacing w:after="0" w:line="249" w:lineRule="auto"/>
        <w:tabs>
          <w:tab w:leader="none" w:pos="256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86" w:lineRule="exact"/>
        <w:rPr>
          <w:rFonts w:ascii="Times New Roman" w:cs="Times New Roman" w:eastAsia="Times New Roman" w:hAnsi="Times New Roman"/>
          <w:sz w:val="18"/>
          <w:szCs w:val="18"/>
          <w:color w:val="auto"/>
        </w:rPr>
      </w:pPr>
    </w:p>
    <w:p>
      <w:pPr>
        <w:ind w:right="20" w:firstLine="2364"/>
        <w:spacing w:after="0" w:line="251" w:lineRule="auto"/>
        <w:tabs>
          <w:tab w:leader="none" w:pos="261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84" w:lineRule="exact"/>
        <w:rPr>
          <w:sz w:val="20"/>
          <w:szCs w:val="20"/>
          <w:color w:val="auto"/>
        </w:rPr>
      </w:pPr>
    </w:p>
    <w:p>
      <w:pPr>
        <w:ind w:right="4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Multiple Closing Dates</w:t>
      </w:r>
      <w:r>
        <w:rPr>
          <w:rFonts w:ascii="Times New Roman" w:cs="Times New Roman" w:eastAsia="Times New Roman" w:hAnsi="Times New Roman"/>
          <w:sz w:val="18"/>
          <w:szCs w:val="18"/>
          <w:color w:val="auto"/>
        </w:rPr>
        <w:t xml:space="preserve">. In the event the Corporation shall issue on more than one date Additional Shares of Common Stock that are a part of one transaction or a series of related transactions and that would result in an adjustment to the applicable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87" w:lineRule="exact"/>
        <w:rPr>
          <w:sz w:val="20"/>
          <w:szCs w:val="20"/>
          <w:color w:val="auto"/>
        </w:rPr>
      </w:pPr>
    </w:p>
    <w:p>
      <w:pPr>
        <w:ind w:firstLine="1393"/>
        <w:spacing w:after="0" w:line="245"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Adjustment for Stock Splits and Combinations</w:t>
      </w:r>
      <w:r>
        <w:rPr>
          <w:rFonts w:ascii="Times New Roman" w:cs="Times New Roman" w:eastAsia="Times New Roman" w:hAnsi="Times New Roman"/>
          <w:sz w:val="18"/>
          <w:szCs w:val="18"/>
          <w:color w:val="auto"/>
        </w:rPr>
        <w:t>. If the Corporation shall at any time or from time to time after the Original Issue Date of the Series G-3 Preferred Stock effect a subdivision of the outstanding Voting Common Stock, the applicable Conversion Price in effect immediately before that subdivision shall be proportionately decreased so that the number of shares of Voting Common Stock issuable on conversion of each share of such series shall be increased in proportion to such increase in the aggregate number of shares of Voting Common Stock outstanding. If the Corporation shall at any time or from time to time after the Original Issue Date of the Series G-3 Preferred Stock combine the outstanding shares of Voting Common Stock, the applicable Conversion Price in effect immediately before the combination shall be proportionately increased so that the number of shares of Voting Common Stock issuable on conversion of each share of such series shall be decreased in proportion to such decrease in the aggregate number of shares of Voting Common Stock outstanding. Any adjustment under this subsection shall become effective at the close of business on the date the subdivision or combination becomes effective. The Corporation shall not effect a subdivision or combination of the outstanding Voting Common Stock or Nonvoting Common Stock, as the case may be, without effecting the same subdivision or combination of the outstanding Nonvoting Common Stock or Voting Common Stock, respectively.</w:t>
      </w:r>
    </w:p>
    <w:p>
      <w:pPr>
        <w:spacing w:after="0" w:line="196" w:lineRule="exact"/>
        <w:rPr>
          <w:sz w:val="20"/>
          <w:szCs w:val="20"/>
          <w:color w:val="auto"/>
        </w:rPr>
      </w:pPr>
    </w:p>
    <w:p>
      <w:pPr>
        <w:ind w:right="80" w:firstLine="1393"/>
        <w:spacing w:after="0" w:line="24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Adjustment for Certain Dividends and Distributions</w:t>
      </w:r>
      <w:r>
        <w:rPr>
          <w:rFonts w:ascii="Times New Roman" w:cs="Times New Roman" w:eastAsia="Times New Roman" w:hAnsi="Times New Roman"/>
          <w:sz w:val="18"/>
          <w:szCs w:val="18"/>
          <w:color w:val="auto"/>
        </w:rPr>
        <w:t>. In the event the Corporation at any time or from time to time after the Original Issue Date of the Series G-3 Preferred Stock shall make or issue, or fix a record date for the determination of holders of Voting Common Stock entitled to receive, a dividend or other distribution payable on the Common Stock in additional shares of Voting Common Stock, then and in each such event the applicable Conversion Price in effect immediately before such event shall be decreased as of the time of such issuance or, in the event such a record date shall have been fixed, as of the close of business on such record date, by multiplying the applicable Conversion Price then in effect by a fraction: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720"/>
          </w:cols>
          <w:pgMar w:left="580" w:top="265" w:right="599" w:bottom="1440" w:gutter="0" w:footer="0" w:header="0"/>
        </w:sectPr>
      </w:pPr>
    </w:p>
    <w:bookmarkStart w:id="333" w:name="page334"/>
    <w:bookmarkEnd w:id="333"/>
    <w:p>
      <w:pPr>
        <w:ind w:right="40" w:firstLine="1936"/>
        <w:spacing w:after="0" w:line="267" w:lineRule="auto"/>
        <w:tabs>
          <w:tab w:leader="none" w:pos="217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numerator of which shall be the total number of shares of Voting Common Stock issued and outstanding immediately prior to the time of such issuance or the close of business on such record date, and</w:t>
      </w:r>
    </w:p>
    <w:p>
      <w:pPr>
        <w:spacing w:after="0" w:line="169" w:lineRule="exact"/>
        <w:rPr>
          <w:rFonts w:ascii="Times New Roman" w:cs="Times New Roman" w:eastAsia="Times New Roman" w:hAnsi="Times New Roman"/>
          <w:sz w:val="18"/>
          <w:szCs w:val="18"/>
          <w:color w:val="auto"/>
        </w:rPr>
      </w:pPr>
    </w:p>
    <w:p>
      <w:pPr>
        <w:ind w:right="400" w:firstLine="1936"/>
        <w:spacing w:after="0" w:line="255" w:lineRule="auto"/>
        <w:tabs>
          <w:tab w:leader="none" w:pos="217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the total number of shares of Voting Common Stock issued and outstanding immediately prior to the time of such issuance or the close of business on such record date plus the number of shares of Common Stock issuable in payment of such dividend or distribution.</w:t>
      </w:r>
    </w:p>
    <w:p>
      <w:pPr>
        <w:spacing w:after="0" w:line="18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subsection as of the time of actual payment of such dividends or distributions, and</w:t>
      </w:r>
    </w:p>
    <w:p>
      <w:pPr>
        <w:spacing w:after="0" w:line="2" w:lineRule="exact"/>
        <w:rPr>
          <w:sz w:val="20"/>
          <w:szCs w:val="20"/>
          <w:color w:val="auto"/>
        </w:rPr>
      </w:pPr>
    </w:p>
    <w:p>
      <w:pPr>
        <w:ind w:right="40" w:firstLine="8"/>
        <w:spacing w:after="0" w:line="278" w:lineRule="auto"/>
        <w:tabs>
          <w:tab w:leader="none" w:pos="248"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no such adjustment shall be made if the holders of Preferred Stock simultaneously receive a dividend or other distribution of shares of Common Stock in a number equal to the number of shares of Voting Common Stock as they would have received if all outstanding shares of Preferred Stock had been converted into Voting Common Stock on the date of such event. The Corporation shall not make or issue, or fix a record date for the determination of holders of Voting Common Stock or Nonvoting Common Stock, as the case may be, a dividend or other distribution payable on the Voting Common Stock or Nonvoting Common Stock, respectively, in additional shares of Common Stock, without making or issuing, or fixing a record date for the determination of the holders of Nonvoting Common Stock or Voting Common Stock, respectively, a dividend or other distribution payable on the Nonvoting Common Stock or Voting Common Stock, respectively, in the same number of additional shares of Common Stock per share of Nonvoting Common Stock or Voting Common Stock, respectively, as payable per share of Voting Common Stock or Nonvoting Common Stock, respectively.</w:t>
      </w:r>
    </w:p>
    <w:p>
      <w:pPr>
        <w:spacing w:after="0" w:line="168" w:lineRule="exact"/>
        <w:rPr>
          <w:sz w:val="20"/>
          <w:szCs w:val="20"/>
          <w:color w:val="auto"/>
        </w:rPr>
      </w:pPr>
    </w:p>
    <w:p>
      <w:pPr>
        <w:ind w:firstLine="1393"/>
        <w:spacing w:after="0" w:line="24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Adjustments for Other Dividends and Distributions</w:t>
      </w:r>
      <w:r>
        <w:rPr>
          <w:rFonts w:ascii="Times New Roman" w:cs="Times New Roman" w:eastAsia="Times New Roman" w:hAnsi="Times New Roman"/>
          <w:sz w:val="18"/>
          <w:szCs w:val="18"/>
          <w:color w:val="auto"/>
        </w:rPr>
        <w:t xml:space="preserve">. In the event the Corporation at any time or from time to time after the Original Issue Date of the Series G-3 Preferred Stock shall make or issue, or fix a record date for the determination of holders of Common Stock entitled to receive, a dividend or other distribution payable in securities of the Corporation (other than a distribution of shares of Voting Common Stock in respect of outstanding shares of Common Stock) or in other property and the provisions of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do not apply to such dividend or distribution, then and in each such event the holders of Preferred Stock shall receive, simultaneously with the distribution to the holders of Voting Common Stock, a dividend or other distribution of such securities or other property in an amount equal to the amount of such securities or other property as they would have received if all outstanding shares of Preferred Stock had been converted into Voting Common Stock on the date of such event. The Corporation shall not make or issue, or fix a record date for the determination of holders of Voting Common Stock or Nonvoting Common Stock, as the case may be, a dividend or other distribution payable on the Voting Common Stock or Nonvoting Common Stock, respectively, in securities of the Corporation or other property, without making or issuing, or fixing a record date for the determination of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700"/>
          </w:cols>
          <w:pgMar w:left="580" w:top="265" w:right="619" w:bottom="1440" w:gutter="0" w:footer="0" w:header="0"/>
        </w:sectPr>
      </w:pPr>
    </w:p>
    <w:bookmarkStart w:id="334" w:name="page335"/>
    <w:bookmarkEnd w:id="334"/>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holders of Nonvoting Common Stock or Voting Common Stock, respectively, a dividend or other distribution payable on the Nonvoting Common Stock or Voting Common Stock, respectively, in the same number of securities of the Corporation or other property per share of Nonvoting Common Stock or Voting Common Stock, respectively, as payable per share of Voting Common Stock or Nonvoting Common Stock, respectively.</w:t>
      </w:r>
    </w:p>
    <w:p>
      <w:pPr>
        <w:spacing w:after="0" w:line="180" w:lineRule="exact"/>
        <w:rPr>
          <w:sz w:val="20"/>
          <w:szCs w:val="20"/>
          <w:color w:val="auto"/>
        </w:rPr>
      </w:pPr>
    </w:p>
    <w:p>
      <w:pPr>
        <w:ind w:firstLine="1393"/>
        <w:spacing w:after="0" w:line="280" w:lineRule="auto"/>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Adjustment for Merger or Reorganization, etc</w:t>
      </w:r>
      <w:r>
        <w:rPr>
          <w:rFonts w:ascii="Times New Roman" w:cs="Times New Roman" w:eastAsia="Times New Roman" w:hAnsi="Times New Roman"/>
          <w:sz w:val="16"/>
          <w:szCs w:val="16"/>
          <w:color w:val="auto"/>
        </w:rPr>
        <w:t xml:space="preserve">. Subject to the provisions of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xml:space="preserve">, if there shall occur any reorganization, recapitalization, reclassification, consolidation or merger involving the Corporation in which the Voting Common Stock (but not the Preferred Stock) is converted into or exchanged for securities, cash or other property (other than a transaction covered by </w:t>
      </w:r>
      <w:r>
        <w:rPr>
          <w:rFonts w:ascii="Times New Roman" w:cs="Times New Roman" w:eastAsia="Times New Roman" w:hAnsi="Times New Roman"/>
          <w:sz w:val="16"/>
          <w:szCs w:val="16"/>
          <w:u w:val="single" w:color="auto"/>
          <w:color w:val="auto"/>
        </w:rPr>
        <w:t>Sections 4.4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4.7</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4.8</w:t>
      </w:r>
      <w:r>
        <w:rPr>
          <w:rFonts w:ascii="Times New Roman" w:cs="Times New Roman" w:eastAsia="Times New Roman" w:hAnsi="Times New Roman"/>
          <w:sz w:val="16"/>
          <w:szCs w:val="16"/>
          <w:color w:val="auto"/>
        </w:rPr>
        <w:t xml:space="preserve">), then, following any such reorganization, recapitalization, reclassification, consolidation or merger, each share of Preferred Stock shall thereafter be convertible in lieu of the Voting Common Stock into which it was convertible prior to such event into the kind and amount of securities, cash or other property which a holder of the number of shares of Voting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shall be made in the application of the provisions in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with respect to the rights and interests thereafter of the holders of the Preferred Stock, to the end that the provisions set forth in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(including provisions with respect to changes in and other adjustments of the Conversion Price) shall thereafter be applicable, as nearly as reasonably may be, in relation to any securities or other property thereafter deliverable upon the conversion of the Preferred Stock.</w:t>
      </w:r>
    </w:p>
    <w:p>
      <w:pPr>
        <w:spacing w:after="0" w:line="374" w:lineRule="exact"/>
        <w:rPr>
          <w:sz w:val="20"/>
          <w:szCs w:val="20"/>
          <w:color w:val="auto"/>
        </w:rPr>
      </w:pPr>
    </w:p>
    <w:p>
      <w:pPr>
        <w:ind w:right="240" w:firstLine="1393"/>
        <w:spacing w:after="0" w:line="285"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Special IPO Adjustment to Conversion Price of Series G-3 Preferred Stock</w:t>
      </w:r>
      <w:r>
        <w:rPr>
          <w:rFonts w:ascii="Times New Roman" w:cs="Times New Roman" w:eastAsia="Times New Roman" w:hAnsi="Times New Roman"/>
          <w:sz w:val="16"/>
          <w:szCs w:val="16"/>
          <w:color w:val="auto"/>
        </w:rPr>
        <w:t xml:space="preserve">. In the event of a Public Offering or Qualifying Public Offering, the Conversion Price of the Series G-3 Preferred Stock then in effect shall be adjusted downward to an amount equal to the </w:t>
      </w:r>
      <w:r>
        <w:rPr>
          <w:rFonts w:ascii="Times New Roman" w:cs="Times New Roman" w:eastAsia="Times New Roman" w:hAnsi="Times New Roman"/>
          <w:sz w:val="16"/>
          <w:szCs w:val="16"/>
          <w:u w:val="single" w:color="auto"/>
          <w:color w:val="auto"/>
        </w:rPr>
        <w:t>lesser of</w:t>
      </w:r>
    </w:p>
    <w:p>
      <w:pPr>
        <w:spacing w:after="0" w:line="1" w:lineRule="exact"/>
        <w:rPr>
          <w:sz w:val="20"/>
          <w:szCs w:val="20"/>
          <w:color w:val="auto"/>
        </w:rPr>
      </w:pPr>
    </w:p>
    <w:p>
      <w:pPr>
        <w:ind w:right="80" w:firstLine="8"/>
        <w:spacing w:after="0" w:line="274" w:lineRule="auto"/>
        <w:tabs>
          <w:tab w:leader="none" w:pos="209"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product of (x) the price per share of Class A Common Stock sold in such Public Offering or Qualifying Public Offering and (y) the Applicable Discount, and (ii) $51.5762 (as adjusted (1) for any stock dividends, combinations, splits, recapitalizations or the like and/or (2) in an appropriate manner pursuant to </w:t>
      </w:r>
      <w:r>
        <w:rPr>
          <w:rFonts w:ascii="Times New Roman" w:cs="Times New Roman" w:eastAsia="Times New Roman" w:hAnsi="Times New Roman"/>
          <w:sz w:val="16"/>
          <w:szCs w:val="16"/>
          <w:u w:val="single" w:color="auto"/>
          <w:color w:val="auto"/>
        </w:rPr>
        <w:t>Section 4.4.4</w:t>
      </w:r>
      <w:r>
        <w:rPr>
          <w:rFonts w:ascii="Times New Roman" w:cs="Times New Roman" w:eastAsia="Times New Roman" w:hAnsi="Times New Roman"/>
          <w:sz w:val="16"/>
          <w:szCs w:val="16"/>
          <w:color w:val="auto"/>
        </w:rPr>
        <w:t xml:space="preserve"> above as if such amount were the Conversion Price of the Series G-3 Preferred Stock). “</w:t>
      </w:r>
      <w:r>
        <w:rPr>
          <w:rFonts w:ascii="Times New Roman" w:cs="Times New Roman" w:eastAsia="Times New Roman" w:hAnsi="Times New Roman"/>
          <w:sz w:val="16"/>
          <w:szCs w:val="16"/>
          <w:b w:val="1"/>
          <w:bCs w:val="1"/>
          <w:i w:val="1"/>
          <w:iCs w:val="1"/>
          <w:color w:val="auto"/>
        </w:rPr>
        <w:t>Applicable Discount</w:t>
      </w:r>
      <w:r>
        <w:rPr>
          <w:rFonts w:ascii="Times New Roman" w:cs="Times New Roman" w:eastAsia="Times New Roman" w:hAnsi="Times New Roman"/>
          <w:sz w:val="16"/>
          <w:szCs w:val="16"/>
          <w:color w:val="auto"/>
        </w:rPr>
        <w:t>” means</w:t>
      </w:r>
    </w:p>
    <w:p>
      <w:pPr>
        <w:ind w:right="140" w:firstLine="8"/>
        <w:spacing w:after="0" w:line="244" w:lineRule="auto"/>
        <w:tabs>
          <w:tab w:leader="none" w:pos="20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90% in the event a Public Offering or Qualifying Public Offering is consummated on or prior to June 30, 2023, or (ii) 85% in the event a Public Offering or Qualifying Public Offering is consummated after June 30, 2023 The downward adjustment of the Conversion Price of the Series G-3 Preferred Stock, if any, pursuant to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shall occur effective as of immediately prior to any conversion of the Series G-3 Preferred Stock into Class A Common Stock in connection with a Public Offering or Qualifying Public Offering (or, in the event that no such conversion occurs, effective as of immediately prior to the closing of such public offering), and for the avoidance of doubt, shall be reflected in the number of shares of Class A Common Stock into which each share of Series G-3 Preferred Stock are converted in connection with such public offering, including, without limitation, a conversion pursuant to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Notwithstanding the foregoing, the Conversion Price of Series G-3 Preferred Stock shall not be reduced at such time if the amount of such reduction would be less than $0.01.</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660"/>
          </w:cols>
          <w:pgMar w:left="580" w:top="265" w:right="659" w:bottom="1440" w:gutter="0" w:footer="0" w:header="0"/>
        </w:sectPr>
      </w:pPr>
    </w:p>
    <w:bookmarkStart w:id="335" w:name="page336"/>
    <w:bookmarkEnd w:id="335"/>
    <w:p>
      <w:pPr>
        <w:ind w:right="40" w:firstLine="1393"/>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4.11 </w:t>
      </w:r>
      <w:r>
        <w:rPr>
          <w:rFonts w:ascii="Times New Roman" w:cs="Times New Roman" w:eastAsia="Times New Roman" w:hAnsi="Times New Roman"/>
          <w:sz w:val="18"/>
          <w:szCs w:val="18"/>
          <w:u w:val="single" w:color="auto"/>
          <w:color w:val="auto"/>
        </w:rPr>
        <w:t>Certificate as to Adjustments</w:t>
      </w:r>
      <w:r>
        <w:rPr>
          <w:rFonts w:ascii="Times New Roman" w:cs="Times New Roman" w:eastAsia="Times New Roman" w:hAnsi="Times New Roman"/>
          <w:sz w:val="18"/>
          <w:szCs w:val="18"/>
          <w:color w:val="auto"/>
        </w:rPr>
        <w:t xml:space="preserve">. Upon the occurrence of each adjustment or readjustment of the applicable Conversion Price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at its expense shall, as promptly as reasonably practicable,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furnish or cause to be furnished to such holder a certificate setting forth (i) the applicable Conversion Price then in effect, and (ii) the number of shares of Voting Common Stock and the amount, if any, of other securities, cash or property which then would be received upon the conversion of Preferred Stock.</w:t>
      </w:r>
    </w:p>
    <w:p>
      <w:pPr>
        <w:spacing w:after="0" w:line="18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Notice of Record Date</w:t>
      </w:r>
      <w:r>
        <w:rPr>
          <w:rFonts w:ascii="Times New Roman" w:cs="Times New Roman" w:eastAsia="Times New Roman" w:hAnsi="Times New Roman"/>
          <w:sz w:val="18"/>
          <w:szCs w:val="18"/>
          <w:color w:val="auto"/>
        </w:rPr>
        <w:t>. In the event:</w:t>
      </w:r>
    </w:p>
    <w:p>
      <w:pPr>
        <w:spacing w:after="0" w:line="213" w:lineRule="exact"/>
        <w:rPr>
          <w:sz w:val="20"/>
          <w:szCs w:val="20"/>
          <w:color w:val="auto"/>
        </w:rPr>
      </w:pPr>
    </w:p>
    <w:p>
      <w:pPr>
        <w:ind w:firstLine="1936"/>
        <w:spacing w:after="0" w:line="255" w:lineRule="auto"/>
        <w:tabs>
          <w:tab w:leader="none" w:pos="216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80"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capital reorganization of the Corporation, any reclassification of the Common Stock of the Corporation, or any</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Deemed Liquidation Event; or</w:t>
      </w:r>
    </w:p>
    <w:p>
      <w:pPr>
        <w:spacing w:after="0" w:line="195"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voluntary or involuntary dissolution, liquidation or winding-up of the Corporation,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then, and in each such case, the Corporation will send or cause to be sent to the holders of the Preferred Stock a notice specifying, as the case may be,</w:t>
      </w:r>
    </w:p>
    <w:p>
      <w:pPr>
        <w:spacing w:after="0" w:line="44" w:lineRule="exact"/>
        <w:rPr>
          <w:sz w:val="20"/>
          <w:szCs w:val="20"/>
          <w:color w:val="auto"/>
        </w:rPr>
      </w:pPr>
    </w:p>
    <w:p>
      <w:pPr>
        <w:ind w:firstLine="8"/>
        <w:spacing w:after="0" w:line="274" w:lineRule="auto"/>
        <w:tabs>
          <w:tab w:leader="none" w:pos="209"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(10) days prior to the record date or effective date for the event specified in such notice.</w:t>
      </w:r>
    </w:p>
    <w:p>
      <w:pPr>
        <w:spacing w:after="0" w:line="195" w:lineRule="exact"/>
        <w:rPr>
          <w:rFonts w:ascii="Times New Roman" w:cs="Times New Roman" w:eastAsia="Times New Roman" w:hAnsi="Times New Roman"/>
          <w:sz w:val="16"/>
          <w:szCs w:val="16"/>
          <w:color w:val="auto"/>
        </w:rPr>
      </w:pPr>
    </w:p>
    <w:p>
      <w:pPr>
        <w:ind w:left="1140" w:hanging="168"/>
        <w:spacing w:after="0"/>
        <w:tabs>
          <w:tab w:leader="none" w:pos="114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Trigger Events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ind w:right="780" w:firstLine="1936"/>
        <w:spacing w:after="0" w:line="255" w:lineRule="auto"/>
        <w:tabs>
          <w:tab w:leader="none" w:pos="216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either (i) the closing of the sale of shares of Class A Common Stock to the public in a firm-commitment underwritten public offering pursuant to an effective registration statement under the Securities Act of 1933, as amended, resulting in at least $100,000,000 of gross proceeds to the Corporation, before deductions of the underwriting discount</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660"/>
          </w:cols>
          <w:pgMar w:left="580" w:top="265" w:right="659" w:bottom="1440" w:gutter="0" w:footer="0" w:header="0"/>
        </w:sectPr>
      </w:pPr>
    </w:p>
    <w:bookmarkStart w:id="336" w:name="page337"/>
    <w:bookmarkEnd w:id="336"/>
    <w:p>
      <w:pPr>
        <w:ind w:right="2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and commissions (a “</w:t>
      </w:r>
      <w:r>
        <w:rPr>
          <w:rFonts w:ascii="Times New Roman" w:cs="Times New Roman" w:eastAsia="Times New Roman" w:hAnsi="Times New Roman"/>
          <w:sz w:val="18"/>
          <w:szCs w:val="18"/>
          <w:b w:val="1"/>
          <w:bCs w:val="1"/>
          <w:i w:val="1"/>
          <w:iCs w:val="1"/>
          <w:color w:val="auto"/>
        </w:rPr>
        <w:t>Public Offering</w:t>
      </w:r>
      <w:r>
        <w:rPr>
          <w:rFonts w:ascii="Times New Roman" w:cs="Times New Roman" w:eastAsia="Times New Roman" w:hAnsi="Times New Roman"/>
          <w:sz w:val="18"/>
          <w:szCs w:val="18"/>
          <w:color w:val="auto"/>
        </w:rPr>
        <w:t>”), or (ii) the date and time, or the occurrence of an event, specified by vote or written consent of the holders of a majority of the outstanding shares of Series G-3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8"/>
          <w:szCs w:val="18"/>
          <w:b w:val="1"/>
          <w:bCs w:val="1"/>
          <w:i w:val="1"/>
          <w:iCs w:val="1"/>
          <w:color w:val="auto"/>
        </w:rPr>
        <w:t>Series G-3 Preferred Stock Mandatory Conversion Time</w:t>
      </w:r>
      <w:r>
        <w:rPr>
          <w:rFonts w:ascii="Times New Roman" w:cs="Times New Roman" w:eastAsia="Times New Roman" w:hAnsi="Times New Roman"/>
          <w:sz w:val="18"/>
          <w:szCs w:val="18"/>
          <w:color w:val="auto"/>
        </w:rPr>
        <w:t>”), (A) all outstanding shares of Series G-3 Preferred Stock shall automatically be converted into shares of Class A Common Stock, in each case at the then effective conversion rate and (B) such shares may not be reissued by the Corporation.</w:t>
      </w:r>
    </w:p>
    <w:p>
      <w:pPr>
        <w:spacing w:after="0" w:line="186" w:lineRule="exact"/>
        <w:rPr>
          <w:sz w:val="20"/>
          <w:szCs w:val="20"/>
          <w:color w:val="auto"/>
        </w:rPr>
      </w:pPr>
    </w:p>
    <w:p>
      <w:pPr>
        <w:ind w:right="80" w:firstLine="1936"/>
        <w:spacing w:after="0" w:line="281" w:lineRule="auto"/>
        <w:tabs>
          <w:tab w:leader="none" w:pos="2176"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either (i) the closing of the sale of shares of Class A Common Stock to the public in a firm-commitment underwritten public offering pursuant to an effective registration statement under the Securities Act of 1933, as amended, at an offering price per share of not less than $68.7683 (subject to appropriate adjustment in the event of any stock dividend, stock split, combination or other similar recapitalization with respect to the Class A Common Stock), resulting in at least $100,000,000 of gross proceeds to the Corporation, before deductions of the underwriting discount and commissions (a “</w:t>
      </w:r>
      <w:r>
        <w:rPr>
          <w:rFonts w:ascii="Times New Roman" w:cs="Times New Roman" w:eastAsia="Times New Roman" w:hAnsi="Times New Roman"/>
          <w:sz w:val="16"/>
          <w:szCs w:val="16"/>
          <w:b w:val="1"/>
          <w:bCs w:val="1"/>
          <w:i w:val="1"/>
          <w:iCs w:val="1"/>
          <w:color w:val="auto"/>
        </w:rPr>
        <w:t>Qualifying Public Offering</w:t>
      </w:r>
      <w:r>
        <w:rPr>
          <w:rFonts w:ascii="Times New Roman" w:cs="Times New Roman" w:eastAsia="Times New Roman" w:hAnsi="Times New Roman"/>
          <w:sz w:val="16"/>
          <w:szCs w:val="16"/>
          <w:color w:val="auto"/>
        </w:rPr>
        <w:t>”), or (ii) the date and time, or the occurrence of an event, specified by vote or written consent of the holders of a majority of the outstanding shares of Series G-2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6"/>
          <w:szCs w:val="16"/>
          <w:b w:val="1"/>
          <w:bCs w:val="1"/>
          <w:i w:val="1"/>
          <w:iCs w:val="1"/>
          <w:color w:val="auto"/>
        </w:rPr>
        <w:t>Series G-2 Preferred 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Mandatory Conversion Time</w:t>
      </w:r>
      <w:r>
        <w:rPr>
          <w:rFonts w:ascii="Times New Roman" w:cs="Times New Roman" w:eastAsia="Times New Roman" w:hAnsi="Times New Roman"/>
          <w:sz w:val="16"/>
          <w:szCs w:val="16"/>
          <w:color w:val="auto"/>
        </w:rPr>
        <w:t>”), (A) all outstanding shares of Series G-2 Preferred Stock shall automatically be converted into shares of Class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Common Stock, in each case at the then effective conversion rate and (B) such shares may not be reissued by the Corporation.</w:t>
      </w:r>
    </w:p>
    <w:p>
      <w:pPr>
        <w:spacing w:after="0" w:line="161" w:lineRule="exact"/>
        <w:rPr>
          <w:rFonts w:ascii="Times New Roman" w:cs="Times New Roman" w:eastAsia="Times New Roman" w:hAnsi="Times New Roman"/>
          <w:sz w:val="16"/>
          <w:szCs w:val="16"/>
          <w:color w:val="auto"/>
        </w:rPr>
      </w:pPr>
    </w:p>
    <w:p>
      <w:pPr>
        <w:ind w:right="40" w:firstLine="1936"/>
        <w:spacing w:after="0" w:line="288" w:lineRule="auto"/>
        <w:tabs>
          <w:tab w:leader="none" w:pos="2166"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either (i) the closing of a Qualifying Public Offering, or (ii) the date and time, or the occurrence of an event, specified by vote or written consent of the holders of a majority of the outstanding shares of Series G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6"/>
          <w:szCs w:val="16"/>
          <w:b w:val="1"/>
          <w:bCs w:val="1"/>
          <w:i w:val="1"/>
          <w:iCs w:val="1"/>
          <w:color w:val="auto"/>
        </w:rPr>
        <w:t>Series 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Preferred Stock Mandatory Conversion Time</w:t>
      </w:r>
      <w:r>
        <w:rPr>
          <w:rFonts w:ascii="Times New Roman" w:cs="Times New Roman" w:eastAsia="Times New Roman" w:hAnsi="Times New Roman"/>
          <w:sz w:val="16"/>
          <w:szCs w:val="16"/>
          <w:color w:val="auto"/>
        </w:rPr>
        <w:t>”), (A) all outstanding shares of Series G Preferred Stock shall automatically be converted into shares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Class A Common Stock, in each case at the then effective conversion rate and (B) such shares may not be reissued by the Corporation.</w:t>
      </w:r>
    </w:p>
    <w:p>
      <w:pPr>
        <w:spacing w:after="0" w:line="156" w:lineRule="exact"/>
        <w:rPr>
          <w:rFonts w:ascii="Times New Roman" w:cs="Times New Roman" w:eastAsia="Times New Roman" w:hAnsi="Times New Roman"/>
          <w:sz w:val="16"/>
          <w:szCs w:val="16"/>
          <w:color w:val="auto"/>
        </w:rPr>
      </w:pPr>
    </w:p>
    <w:p>
      <w:pPr>
        <w:ind w:firstLine="1936"/>
        <w:spacing w:after="0" w:line="288" w:lineRule="auto"/>
        <w:tabs>
          <w:tab w:leader="none" w:pos="2176"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either (i) the closing of a Qualifying Public Offering, or (ii) the date and time, or the occurrence of an event, specified by vote or written consent of the holders of a majority of the outstanding shares of Series F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6"/>
          <w:szCs w:val="16"/>
          <w:b w:val="1"/>
          <w:bCs w:val="1"/>
          <w:i w:val="1"/>
          <w:iCs w:val="1"/>
          <w:color w:val="auto"/>
        </w:rPr>
        <w:t>Series 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Preferred Stock Mandatory Conversion Time</w:t>
      </w:r>
      <w:r>
        <w:rPr>
          <w:rFonts w:ascii="Times New Roman" w:cs="Times New Roman" w:eastAsia="Times New Roman" w:hAnsi="Times New Roman"/>
          <w:sz w:val="16"/>
          <w:szCs w:val="16"/>
          <w:color w:val="auto"/>
        </w:rPr>
        <w:t>”), (A) all outstanding shares of Series F Preferred Stock shall automatically be converted into shares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Class A Common Stock, in each case at the then effective conversion rate and (B) such shares may not be reissued by the Corporation.</w:t>
      </w:r>
    </w:p>
    <w:p>
      <w:pPr>
        <w:spacing w:after="0" w:line="156" w:lineRule="exact"/>
        <w:rPr>
          <w:rFonts w:ascii="Times New Roman" w:cs="Times New Roman" w:eastAsia="Times New Roman" w:hAnsi="Times New Roman"/>
          <w:sz w:val="16"/>
          <w:szCs w:val="16"/>
          <w:color w:val="auto"/>
        </w:rPr>
      </w:pPr>
    </w:p>
    <w:p>
      <w:pPr>
        <w:ind w:right="120" w:firstLine="1936"/>
        <w:spacing w:after="0" w:line="288" w:lineRule="auto"/>
        <w:tabs>
          <w:tab w:leader="none" w:pos="2166"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either (i) the closing of a Qualifying Public Offering, or (ii) the date and time, or the occurrence of an event, specified by vote or written consent of the holders of at least a majority of the outstanding shares of Series E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6"/>
          <w:szCs w:val="16"/>
          <w:b w:val="1"/>
          <w:bCs w:val="1"/>
          <w:i w:val="1"/>
          <w:iCs w:val="1"/>
          <w:color w:val="auto"/>
        </w:rPr>
        <w:t>Series E Preferred Stock Mandatory Conversion Time</w:t>
      </w:r>
      <w:r>
        <w:rPr>
          <w:rFonts w:ascii="Times New Roman" w:cs="Times New Roman" w:eastAsia="Times New Roman" w:hAnsi="Times New Roman"/>
          <w:sz w:val="16"/>
          <w:szCs w:val="16"/>
          <w:color w:val="auto"/>
        </w:rPr>
        <w:t>”), (A) all outstanding shares of Series E Preferred Stock shall automatically be converted into shares of Class A Common Stock, in each case at the then effective conversion rate and (B) such shares may not be reissued by the Corporation.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700"/>
          </w:cols>
          <w:pgMar w:left="580" w:top="261" w:right="619" w:bottom="1440" w:gutter="0" w:footer="0" w:header="0"/>
        </w:sectPr>
      </w:pPr>
    </w:p>
    <w:bookmarkStart w:id="337" w:name="page338"/>
    <w:bookmarkEnd w:id="337"/>
    <w:p>
      <w:pPr>
        <w:ind w:left="-20" w:right="240" w:firstLine="1936"/>
        <w:spacing w:after="0" w:line="248" w:lineRule="auto"/>
        <w:tabs>
          <w:tab w:leader="none" w:pos="2127"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Upon either (i) the closing of a Qualifying Public Offering, or (ii) the date and time, or the occurrence of an event, specified by vote or written consent of the holders of at least sixty percent (60%) of the outstanding shares of Series D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8"/>
          <w:szCs w:val="18"/>
          <w:b w:val="1"/>
          <w:bCs w:val="1"/>
          <w:i w:val="1"/>
          <w:iCs w:val="1"/>
          <w:color w:val="auto"/>
        </w:rPr>
        <w:t>Series D Preferred Stock Mandatory Conversion Time</w:t>
      </w:r>
      <w:r>
        <w:rPr>
          <w:rFonts w:ascii="Times New Roman" w:cs="Times New Roman" w:eastAsia="Times New Roman" w:hAnsi="Times New Roman"/>
          <w:sz w:val="18"/>
          <w:szCs w:val="18"/>
          <w:color w:val="auto"/>
        </w:rPr>
        <w:t>”), (A) all outstanding shares of Series D Preferred Stock shall automatically be converted into shares of Class A Common Stock, in each case at the then effective conversion rate and (B) such shares may not be reissued by the Corporation.</w:t>
      </w:r>
    </w:p>
    <w:p>
      <w:pPr>
        <w:spacing w:after="0" w:line="187" w:lineRule="exact"/>
        <w:rPr>
          <w:rFonts w:ascii="Times New Roman" w:cs="Times New Roman" w:eastAsia="Times New Roman" w:hAnsi="Times New Roman"/>
          <w:sz w:val="18"/>
          <w:szCs w:val="18"/>
          <w:color w:val="auto"/>
        </w:rPr>
      </w:pPr>
    </w:p>
    <w:p>
      <w:pPr>
        <w:ind w:left="-20" w:right="260" w:firstLine="1936"/>
        <w:spacing w:after="0" w:line="248" w:lineRule="auto"/>
        <w:tabs>
          <w:tab w:leader="none" w:pos="215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either (i) the closing of a Qualifying Public Offering, or (ii) the date and time, or the occurrence of an event, specified by vote or written consent of the holders of at least sixty percent (60%) of the outstanding shares of Series C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8"/>
          <w:szCs w:val="18"/>
          <w:b w:val="1"/>
          <w:bCs w:val="1"/>
          <w:i w:val="1"/>
          <w:iCs w:val="1"/>
          <w:color w:val="auto"/>
        </w:rPr>
        <w:t>Series C Preferred Stock Mandatory Conversion Time</w:t>
      </w:r>
      <w:r>
        <w:rPr>
          <w:rFonts w:ascii="Times New Roman" w:cs="Times New Roman" w:eastAsia="Times New Roman" w:hAnsi="Times New Roman"/>
          <w:sz w:val="18"/>
          <w:szCs w:val="18"/>
          <w:color w:val="auto"/>
        </w:rPr>
        <w:t>”), (A) all outstanding shares of Series C Preferred Stock shall automatically be converted into shares of Class A Common Stock, in each case at the then effective conversion rate and (B) such shares may not be reissued by the Corporation.</w:t>
      </w:r>
    </w:p>
    <w:p>
      <w:pPr>
        <w:spacing w:after="0" w:line="187" w:lineRule="exact"/>
        <w:rPr>
          <w:rFonts w:ascii="Times New Roman" w:cs="Times New Roman" w:eastAsia="Times New Roman" w:hAnsi="Times New Roman"/>
          <w:sz w:val="18"/>
          <w:szCs w:val="18"/>
          <w:color w:val="auto"/>
        </w:rPr>
      </w:pPr>
    </w:p>
    <w:p>
      <w:pPr>
        <w:ind w:left="-20" w:firstLine="1936"/>
        <w:spacing w:after="0" w:line="277" w:lineRule="auto"/>
        <w:tabs>
          <w:tab w:leader="none" w:pos="2156"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either (i) the closing of the sale of shares of Class A Common Stock to the public in a firm-commitment underwritten public offering pursuant to an effective registration statement under the Securities Act of 1933, as amended, at an offering price of not less than the Series B-2 Original Issue Price, resulting in at least $20,000,000 of gross proceeds to the Corporation, before deductions of the underwriting discount and commissions, or (ii) the date and time, or the occurrence of an event, specified by vote or written consent of the holders of a majority of the outstanding shares of Series B-2 Preferred Stock, Series B-1 Preferred Stock, Series B Preferred Stock and Series A Preferred Stock, voting together as a single class as measured on the basis of voting power set forth in this Restated Certificate (the time of such closing or the date and time specified or the time of the event specified in such vote or written consent is referred to herein as the “</w:t>
      </w:r>
      <w:r>
        <w:rPr>
          <w:rFonts w:ascii="Times New Roman" w:cs="Times New Roman" w:eastAsia="Times New Roman" w:hAnsi="Times New Roman"/>
          <w:sz w:val="16"/>
          <w:szCs w:val="16"/>
          <w:b w:val="1"/>
          <w:bCs w:val="1"/>
          <w:i w:val="1"/>
          <w:iCs w:val="1"/>
          <w:color w:val="auto"/>
        </w:rPr>
        <w:t>Preferred Stock Mandatory Conversion Time</w:t>
      </w:r>
      <w:r>
        <w:rPr>
          <w:rFonts w:ascii="Times New Roman" w:cs="Times New Roman" w:eastAsia="Times New Roman" w:hAnsi="Times New Roman"/>
          <w:sz w:val="16"/>
          <w:szCs w:val="16"/>
          <w:color w:val="auto"/>
        </w:rPr>
        <w:t>”), (A) all outstanding shares of Series B-2 Preferred Stock, Series B-1 Preferred Stock, and Series A Preferred Stock shall automatically be converted into shares of Class A Common Stock and all outstanding shares of Series B Preferred Stock shall automatically be converted into shares of Class B Common Stock, in each case at the then effective conversion rate, and (B) such shares may not be reissued by the Corporation. In addition, each share of Series B Preferred Stock shall automatically be converted into shares of Class A Common Stock, based on the then-effective Conversion Price, upon any sale, assignment, transfer, conveyance, hypothecation or other disposition of any legal or beneficial interest in such share, whether or not for value and whether voluntary or involuntary or by operation of law (a “</w:t>
      </w:r>
      <w:r>
        <w:rPr>
          <w:rFonts w:ascii="Times New Roman" w:cs="Times New Roman" w:eastAsia="Times New Roman" w:hAnsi="Times New Roman"/>
          <w:sz w:val="16"/>
          <w:szCs w:val="16"/>
          <w:b w:val="1"/>
          <w:bCs w:val="1"/>
          <w:i w:val="1"/>
          <w:iCs w:val="1"/>
          <w:color w:val="auto"/>
        </w:rPr>
        <w:t>Series B Preferred Transfer</w:t>
      </w:r>
      <w:r>
        <w:rPr>
          <w:rFonts w:ascii="Times New Roman" w:cs="Times New Roman" w:eastAsia="Times New Roman" w:hAnsi="Times New Roman"/>
          <w:sz w:val="16"/>
          <w:szCs w:val="16"/>
          <w:color w:val="auto"/>
        </w:rPr>
        <w:t>”), other than (i) any Series B Preferred Transfer without consideration by a holder of Series B Preferred Stock to such holder’s ancestors, descendants, siblings or spouse or to trusts or other entities established primarily for the purpose of estate planning for the benefit of such persons or such holder, (ii) any Series B Preferred Transfer or Transfers by a holder of Series B Preferred Stock to another holder of Series B Preferred Stock or its Controlled Affiliate (as defined below), (iii) any Series B Preferred Transfer</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700"/>
          </w:cols>
          <w:pgMar w:left="600" w:top="265" w:right="599" w:bottom="1440" w:gutter="0" w:footer="0" w:header="0"/>
        </w:sectPr>
      </w:pPr>
    </w:p>
    <w:bookmarkStart w:id="338" w:name="page339"/>
    <w:bookmarkEnd w:id="338"/>
    <w:p>
      <w:pPr>
        <w:ind w:right="2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or Transfers to Controlled Affiliates, or (iv) any Series B Preferred Transfer or Transfers by (A) a partnership transferring to its partners or former partners in accordance with their interest in the partnership, (B) a corporation transferring to a wholly-owned subsidiary, its stockholders or to former stockholders in accordance with their interest in the corporation, or (C) a limited liability company transferring to its members or former members in accordance with their interest in the limited liability company. For purposes of this Restated Certificate, “</w:t>
      </w:r>
      <w:r>
        <w:rPr>
          <w:rFonts w:ascii="Times New Roman" w:cs="Times New Roman" w:eastAsia="Times New Roman" w:hAnsi="Times New Roman"/>
          <w:sz w:val="18"/>
          <w:szCs w:val="18"/>
          <w:b w:val="1"/>
          <w:bCs w:val="1"/>
          <w:i w:val="1"/>
          <w:iCs w:val="1"/>
          <w:color w:val="auto"/>
        </w:rPr>
        <w:t>Controlled Affiliate</w:t>
      </w:r>
      <w:r>
        <w:rPr>
          <w:rFonts w:ascii="Times New Roman" w:cs="Times New Roman" w:eastAsia="Times New Roman" w:hAnsi="Times New Roman"/>
          <w:sz w:val="18"/>
          <w:szCs w:val="18"/>
          <w:color w:val="auto"/>
        </w:rPr>
        <w:t>” shall mean, with respect to any person or entity, any other person or entity which, directly or indirectly, is controlled by, or is under common control with, such person or entity, where “control” shall mean and include the ownership or eighty percent (80%) or more of the voting securities or other voting interest of another person or entity.</w:t>
      </w:r>
    </w:p>
    <w:p>
      <w:pPr>
        <w:spacing w:after="0" w:line="189" w:lineRule="exact"/>
        <w:rPr>
          <w:sz w:val="20"/>
          <w:szCs w:val="20"/>
          <w:color w:val="auto"/>
        </w:rPr>
      </w:pPr>
    </w:p>
    <w:p>
      <w:pPr>
        <w:ind w:right="80" w:firstLine="1928"/>
        <w:spacing w:after="0" w:line="247"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Nonvoting Common Stock</w:t>
      </w:r>
      <w:r>
        <w:rPr>
          <w:rFonts w:ascii="Times New Roman" w:cs="Times New Roman" w:eastAsia="Times New Roman" w:hAnsi="Times New Roman"/>
          <w:sz w:val="18"/>
          <w:szCs w:val="18"/>
          <w:color w:val="auto"/>
        </w:rPr>
        <w:t>. Upon the closing of the sale of shares of Class A Common Stock to the public in a firm-commitment underwritten public offering pursuant to an effective registration statement under the Securities Act of 1933, as amended (the time of such closing is referred to herein as the “</w:t>
      </w:r>
      <w:r>
        <w:rPr>
          <w:rFonts w:ascii="Times New Roman" w:cs="Times New Roman" w:eastAsia="Times New Roman" w:hAnsi="Times New Roman"/>
          <w:sz w:val="18"/>
          <w:szCs w:val="18"/>
          <w:b w:val="1"/>
          <w:bCs w:val="1"/>
          <w:i w:val="1"/>
          <w:iCs w:val="1"/>
          <w:color w:val="auto"/>
        </w:rPr>
        <w:t>Nonvoting Mandatory Conversion Time</w:t>
      </w:r>
      <w:r>
        <w:rPr>
          <w:rFonts w:ascii="Times New Roman" w:cs="Times New Roman" w:eastAsia="Times New Roman" w:hAnsi="Times New Roman"/>
          <w:sz w:val="18"/>
          <w:szCs w:val="18"/>
          <w:color w:val="auto"/>
        </w:rPr>
        <w:t>”), then each outstanding share of Nonvoting Stock shall automatically be converted into one (1) share of Class A Common Stock. The Series G-3 Preferred Stock Mandatory Conversion Time, Series G-2 Preferred Stock Mandatory Conversion Time, Series G Preferred Stock Mandatory Conversion Time, Series F Preferred Stock Mandatory Conversion Time, Series E Preferred Stock Mandatory Conversion Time, Series D Preferred Stock Mandatory Conversion Time, Series C Preferred Stock Mandatory Conversion Time, Preferred Stock Mandatory Conversion Time and the Nonvoting Mandatory Conversion Time shall each be referred to as the “</w:t>
      </w:r>
      <w:r>
        <w:rPr>
          <w:rFonts w:ascii="Times New Roman" w:cs="Times New Roman" w:eastAsia="Times New Roman" w:hAnsi="Times New Roman"/>
          <w:sz w:val="18"/>
          <w:szCs w:val="18"/>
          <w:b w:val="1"/>
          <w:bCs w:val="1"/>
          <w:i w:val="1"/>
          <w:iCs w:val="1"/>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Conversion Time</w:t>
      </w:r>
      <w:r>
        <w:rPr>
          <w:rFonts w:ascii="Times New Roman" w:cs="Times New Roman" w:eastAsia="Times New Roman" w:hAnsi="Times New Roman"/>
          <w:sz w:val="18"/>
          <w:szCs w:val="18"/>
          <w:color w:val="auto"/>
        </w:rPr>
        <w:t>”, as applicable.</w:t>
      </w:r>
    </w:p>
    <w:p>
      <w:pPr>
        <w:spacing w:after="0" w:line="186" w:lineRule="exact"/>
        <w:rPr>
          <w:sz w:val="20"/>
          <w:szCs w:val="20"/>
          <w:color w:val="auto"/>
        </w:rPr>
      </w:pPr>
    </w:p>
    <w:p>
      <w:pPr>
        <w:ind w:firstLine="1393"/>
        <w:spacing w:after="0" w:line="278" w:lineRule="auto"/>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Procedural Requirements</w:t>
      </w:r>
      <w:r>
        <w:rPr>
          <w:rFonts w:ascii="Times New Roman" w:cs="Times New Roman" w:eastAsia="Times New Roman" w:hAnsi="Times New Roman"/>
          <w:sz w:val="16"/>
          <w:szCs w:val="16"/>
          <w:color w:val="auto"/>
        </w:rPr>
        <w:t xml:space="preserve">. All holders of record of shares of each series of Preferred Stock and Nonvoting Common Stock shall be sent written notice of the applicable Mandatory Conversion Time and the place designated for mandatory conversion of all such shares of such series of Preferred Stock and Nonvoting Common Stock pursuant to this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Such notice need not be sent in advance of the occurrence of the Mandatory Conversion Time. Upon receipt of such notice, each holder of shares of such series of Preferred Stock and Nonvoting Common Stock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and Nonvoting Common Stock converted pursuant to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including the rights, if any, to receive notices and vote (other than as a holder of Voting Common Stock), as applicable, will terminate at the applicable Mandatory Conversion Time (notwithstanding the failure of the holder or holders thereof to surrender the certificates at or prior to such time), except only the rights of the holders thereof, upon surrender of their certificate or certificates (or lost certificate affidavit and agreement) therefor, to receive the items provided for in the next sentence of this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As soon as practicable after the applicable Mandatory Conversion Time and the surrender of the certificate or certificates (or lost certificate affidavit and agreement) for Preferred Stock or Nonvoting Common Stock, the</w:t>
      </w: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680"/>
          </w:cols>
          <w:pgMar w:left="580" w:top="265" w:right="639" w:bottom="1440" w:gutter="0" w:footer="0" w:header="0"/>
        </w:sectPr>
      </w:pPr>
    </w:p>
    <w:bookmarkStart w:id="339" w:name="page340"/>
    <w:bookmarkEnd w:id="339"/>
    <w:p>
      <w:pPr>
        <w:ind w:right="20"/>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Corporation shall (a) issue and deliver to such holder, or to his, her or its nominees, a certificate or certificates for the number of full shares of Voting Common Stock issuable on such conversion in accordance with the provisions hereof, (b) pay cash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in lieu of any fraction of a share of Voting Common Stock otherwise issuable upon such conversion, and (c) pay any declared or accrued but unpaid dividends on the shares of Preferred Stock or Nonvoting Common Stock converted (including, without limitation, all accrued but unpaid Series G-3 PIK Dividends, Series G Accruing Dividends, Series F Accruing Dividends, Series E Accruing Dividends, Series D Accruing Dividends, Series C Accruing Dividends, Series B-2 Accruing Dividends, Series B-1 Accruing Dividends, Series B Accruing Dividends or Series A Accruing Dividends, as applicable), at the Corporation’s option, in either (i) cash or (ii) in the case of a public offering, shares of Voting Common Stock determined by dividing (A) the aggregate amount of such unpaid dividends by (B) the final per share public offering price of such securities (and pay cash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in lieu of any fraction of a share of Voting Common Stock otherwise issuable upon such payment in shares of Voting Common Stock). Such converted Preferred Stock and Nonvoting Common Stock shall be retired and cancelled and may not be reissued as shares of such series, and the Corporation may thereafter take such appropriate action (without the need for stockholder action) as may be necessary to reduce the authorized number of shares of Preferred Stock or Nonvoting Common Stock accordingly.</w:t>
      </w:r>
    </w:p>
    <w:p>
      <w:pPr>
        <w:spacing w:after="0" w:line="195" w:lineRule="exact"/>
        <w:rPr>
          <w:sz w:val="20"/>
          <w:szCs w:val="20"/>
          <w:color w:val="auto"/>
        </w:rPr>
      </w:pPr>
    </w:p>
    <w:p>
      <w:pPr>
        <w:ind w:left="1140" w:hanging="168"/>
        <w:spacing w:after="0"/>
        <w:tabs>
          <w:tab w:leader="none" w:pos="11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firstLine="1393"/>
        <w:spacing w:after="0" w:line="277"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Series G-3 Preferred Stock</w:t>
      </w:r>
      <w:r>
        <w:rPr>
          <w:rFonts w:ascii="Times New Roman" w:cs="Times New Roman" w:eastAsia="Times New Roman" w:hAnsi="Times New Roman"/>
          <w:sz w:val="16"/>
          <w:szCs w:val="16"/>
          <w:color w:val="auto"/>
        </w:rPr>
        <w:t>. Unless prohibited by Delaware law governing distributions to stockholders, shares of Series G-3 Preferred Stock shall be redeemed by the Corporation at a price equal to the Series G-3 Original Issue Price, plus any accrued but unpaid Series G-3 PIK Dividends, whether or not declared, together with any other dividends declared but unpaid thereon (the “</w:t>
      </w:r>
      <w:r>
        <w:rPr>
          <w:rFonts w:ascii="Times New Roman" w:cs="Times New Roman" w:eastAsia="Times New Roman" w:hAnsi="Times New Roman"/>
          <w:sz w:val="16"/>
          <w:szCs w:val="16"/>
          <w:b w:val="1"/>
          <w:bCs w:val="1"/>
          <w:i w:val="1"/>
          <w:iCs w:val="1"/>
          <w:color w:val="auto"/>
        </w:rPr>
        <w:t>Series G-3 Redemption Price</w:t>
      </w:r>
      <w:r>
        <w:rPr>
          <w:rFonts w:ascii="Times New Roman" w:cs="Times New Roman" w:eastAsia="Times New Roman" w:hAnsi="Times New Roman"/>
          <w:sz w:val="16"/>
          <w:szCs w:val="16"/>
          <w:color w:val="auto"/>
        </w:rPr>
        <w:t>”), in one (1) cash payment (such date of redemption, the “</w:t>
      </w:r>
      <w:r>
        <w:rPr>
          <w:rFonts w:ascii="Times New Roman" w:cs="Times New Roman" w:eastAsia="Times New Roman" w:hAnsi="Times New Roman"/>
          <w:sz w:val="16"/>
          <w:szCs w:val="16"/>
          <w:b w:val="1"/>
          <w:bCs w:val="1"/>
          <w:i w:val="1"/>
          <w:iCs w:val="1"/>
          <w:color w:val="auto"/>
        </w:rPr>
        <w:t>Series G-3 Redemption Date</w:t>
      </w:r>
      <w:r>
        <w:rPr>
          <w:rFonts w:ascii="Times New Roman" w:cs="Times New Roman" w:eastAsia="Times New Roman" w:hAnsi="Times New Roman"/>
          <w:sz w:val="16"/>
          <w:szCs w:val="16"/>
          <w:color w:val="auto"/>
        </w:rPr>
        <w:t>”) not more than sixty (60) days after receipt by the Corporation, at any time during the period commencing on the date that is seven (7) years from the Original Issue Date of the Series G-3 Preferred Stock and ending sixty (60) days thereafter, of written notice from the holders of a majority of the then outstanding shares of Series G-3 Preferred Stock, voting as a separate class and series, requesting redemption of all shares of Series G-3 Preferred Stock (the “</w:t>
      </w:r>
      <w:r>
        <w:rPr>
          <w:rFonts w:ascii="Times New Roman" w:cs="Times New Roman" w:eastAsia="Times New Roman" w:hAnsi="Times New Roman"/>
          <w:sz w:val="16"/>
          <w:szCs w:val="16"/>
          <w:b w:val="1"/>
          <w:bCs w:val="1"/>
          <w:i w:val="1"/>
          <w:iCs w:val="1"/>
          <w:color w:val="auto"/>
        </w:rPr>
        <w:t>Series G-3 Redemption Request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Series G-3 Excluded Shares (as defined below) shall not be redeemed. Upon receipt of a Series G-3 Redemption Request, the Corporation shall apply all of its assets to any such redemption, and to no other corporate purpose, except to the extent prohibited by Delaware law governing distributions to stockholders. If, on the Series G-3 Redemption Date, Delaware law governing distributions to stockholders prevents the Corporation from redeeming all shares of Series G-3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6"/>
          <w:szCs w:val="16"/>
          <w:b w:val="1"/>
          <w:bCs w:val="1"/>
          <w:i w:val="1"/>
          <w:iCs w:val="1"/>
          <w:color w:val="auto"/>
        </w:rPr>
        <w:t>Series G-3 Redemption Notice</w:t>
      </w:r>
      <w:r>
        <w:rPr>
          <w:rFonts w:ascii="Times New Roman" w:cs="Times New Roman" w:eastAsia="Times New Roman" w:hAnsi="Times New Roman"/>
          <w:sz w:val="16"/>
          <w:szCs w:val="16"/>
          <w:color w:val="auto"/>
        </w:rPr>
        <w:t>”) to each holder of record of Series G-3 Preferred Stock, Series G-2 Preferred Stock, Series G Preferred Stock, Series F Preferred Stock, Series E Preferred Stock and Series D Preferred Stock at least fifteen (15) days but no more than thirty (30) days prior to the Series G-3 Redemption Date. The Series G-3 Redemption Notice shall state (i) the number of shares of Series G-3 Preferred Stock held by the holder that the Corporation shall redeem on the Series G-3 Redemption Date, (ii) the Series G-3 Redemption Date and the Series G-3 Redemption Price, (iii) the date upon which the holder’s right to convert such</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720"/>
          </w:cols>
          <w:pgMar w:left="580" w:top="265" w:right="599" w:bottom="1440" w:gutter="0" w:footer="0" w:header="0"/>
        </w:sectPr>
      </w:pPr>
    </w:p>
    <w:bookmarkStart w:id="340" w:name="page341"/>
    <w:bookmarkEnd w:id="340"/>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shares terminates (as determined in accordance with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and (iv) for holders of shares in certificated form, that the holder is to surrender to the Corporation, in the manner and at the place designated, his, her or its certificate or certificates representing the shares of Series G-3 Preferred Stock to be redeemed.</w:t>
      </w:r>
    </w:p>
    <w:p>
      <w:pPr>
        <w:spacing w:after="0" w:line="18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after the date of delivery of the Series G-3 Redemption Notice to a holder of Series G-3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then the shares of Series G-3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G-3 Excluded Shares</w:t>
      </w:r>
      <w:r>
        <w:rPr>
          <w:rFonts w:ascii="Times New Roman" w:cs="Times New Roman" w:eastAsia="Times New Roman" w:hAnsi="Times New Roman"/>
          <w:sz w:val="18"/>
          <w:szCs w:val="18"/>
          <w:color w:val="auto"/>
        </w:rPr>
        <w:t xml:space="preserve">.” Series G-3 Excluded Shares shall not be redeemed or redeemable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whether on such Series G-3 Redemption Date or thereafter.</w:t>
      </w:r>
    </w:p>
    <w:p>
      <w:pPr>
        <w:spacing w:after="0" w:line="187" w:lineRule="exact"/>
        <w:rPr>
          <w:sz w:val="20"/>
          <w:szCs w:val="20"/>
          <w:color w:val="auto"/>
        </w:rPr>
      </w:pPr>
    </w:p>
    <w:p>
      <w:pPr>
        <w:ind w:firstLine="1393"/>
        <w:spacing w:after="0" w:line="24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Series G-2 Preferred Stock</w:t>
      </w:r>
      <w:r>
        <w:rPr>
          <w:rFonts w:ascii="Times New Roman" w:cs="Times New Roman" w:eastAsia="Times New Roman" w:hAnsi="Times New Roman"/>
          <w:sz w:val="18"/>
          <w:szCs w:val="18"/>
          <w:color w:val="auto"/>
        </w:rPr>
        <w:t>. Unless prohibited by Delaware law governing distributions to stockholders, shares of Series G-2 Preferred Stock shall be redeemed by the Corporation at a price equal to the Series G-2 Original Issue Price per share, together with any other dividends declared but unpaid thereon (the “</w:t>
      </w:r>
      <w:r>
        <w:rPr>
          <w:rFonts w:ascii="Times New Roman" w:cs="Times New Roman" w:eastAsia="Times New Roman" w:hAnsi="Times New Roman"/>
          <w:sz w:val="18"/>
          <w:szCs w:val="18"/>
          <w:b w:val="1"/>
          <w:bCs w:val="1"/>
          <w:i w:val="1"/>
          <w:iCs w:val="1"/>
          <w:color w:val="auto"/>
        </w:rPr>
        <w:t>Series G-2 Redemption Price</w:t>
      </w:r>
      <w:r>
        <w:rPr>
          <w:rFonts w:ascii="Times New Roman" w:cs="Times New Roman" w:eastAsia="Times New Roman" w:hAnsi="Times New Roman"/>
          <w:sz w:val="18"/>
          <w:szCs w:val="18"/>
          <w:color w:val="auto"/>
        </w:rPr>
        <w:t>”), in one (1) cash payment (such date of redemption, the “</w:t>
      </w:r>
      <w:r>
        <w:rPr>
          <w:rFonts w:ascii="Times New Roman" w:cs="Times New Roman" w:eastAsia="Times New Roman" w:hAnsi="Times New Roman"/>
          <w:sz w:val="18"/>
          <w:szCs w:val="18"/>
          <w:b w:val="1"/>
          <w:bCs w:val="1"/>
          <w:i w:val="1"/>
          <w:iCs w:val="1"/>
          <w:color w:val="auto"/>
        </w:rPr>
        <w:t>Series G-2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not more than sixty (60) days after receipt by the Corporation, at any time during the period commencing on the date that is seven (7) years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Original Issue Date of the Series G-3 Preferred Stock and ending sixty (60) days thereafter, of written notice from the holders of a majority of the then outstanding shares of Series G-2 Preferred Stock, voting as a separate class and series, requesting redemption of all shares of Series G-2 Preferred Stock (the “</w:t>
      </w:r>
      <w:r>
        <w:rPr>
          <w:rFonts w:ascii="Times New Roman" w:cs="Times New Roman" w:eastAsia="Times New Roman" w:hAnsi="Times New Roman"/>
          <w:sz w:val="18"/>
          <w:szCs w:val="18"/>
          <w:b w:val="1"/>
          <w:bCs w:val="1"/>
          <w:i w:val="1"/>
          <w:iCs w:val="1"/>
          <w:color w:val="auto"/>
        </w:rPr>
        <w:t>Series G-2 Redemption Request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Series G-2 Excluded Shares (as defined below) shall not be redeemed. Upon receipt of a Series G-2 Redemption Request, the Corporation shall apply all of its assets to any such redemption, and to no other corporate purpose, except to the extent prohibited by Delaware law governing distributions to stockholders. If, on the Series G-2 Redemption Date, Delaware law governing distributions to stockholders prevents the Corporation from redeeming all shares of Series G-2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8"/>
          <w:szCs w:val="18"/>
          <w:b w:val="1"/>
          <w:bCs w:val="1"/>
          <w:i w:val="1"/>
          <w:iCs w:val="1"/>
          <w:color w:val="auto"/>
        </w:rPr>
        <w:t>Series G-2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to each holder of record of Series G-3 Preferred Stock, Series G-2 Preferred Stock, Series G Preferred Stock, Series F Preferred Stock, Series 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Preferred Stock and Series D Preferred Stock at least fifteen (15) days but no more than thirty (30) days prior to the Series G-2 Redemption Date. The Series G-2 Redemption Notice shall state (i) the number of shares of Series G-2 Preferred Stock held by the holder that the Corporation shall redeem on the Series G-2 Redemption Date, (ii) the Series G-2 Redemption Date and the Series G-2 Redemption Price, (iii) the date upon which the holder’s right to convert such shares terminates (as determined in accordance with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and (iv) for holders of shares in certificated form, that the holder is to surrender to the Corporation, in the manner and at the place designated, his, her or its certificate or certificates representing the shares of Series G-2 Preferred Stock to be redeemed.</w:t>
      </w:r>
    </w:p>
    <w:p>
      <w:pPr>
        <w:spacing w:after="0" w:line="20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after the date of delivery of the Series G-2 Redemption Notice to a holder of Series G-2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then the shares of Series G-2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G-2 Excluded Shares</w:t>
      </w:r>
      <w:r>
        <w:rPr>
          <w:rFonts w:ascii="Times New Roman" w:cs="Times New Roman" w:eastAsia="Times New Roman" w:hAnsi="Times New Roman"/>
          <w:sz w:val="18"/>
          <w:szCs w:val="18"/>
          <w:color w:val="auto"/>
        </w:rPr>
        <w:t xml:space="preserve">.” Series G-2 Excluded Shares shall not be redeemed or redeemable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whether on such Series G-2 Redemption Date or thereafter.</w:t>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680"/>
          </w:cols>
          <w:pgMar w:left="580" w:top="265" w:right="639" w:bottom="1440" w:gutter="0" w:footer="0" w:header="0"/>
        </w:sectPr>
      </w:pPr>
    </w:p>
    <w:bookmarkStart w:id="341" w:name="page342"/>
    <w:bookmarkEnd w:id="341"/>
    <w:p>
      <w:pPr>
        <w:ind w:firstLine="1393"/>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6.3 </w:t>
      </w:r>
      <w:r>
        <w:rPr>
          <w:rFonts w:ascii="Times New Roman" w:cs="Times New Roman" w:eastAsia="Times New Roman" w:hAnsi="Times New Roman"/>
          <w:sz w:val="16"/>
          <w:szCs w:val="16"/>
          <w:u w:val="single" w:color="auto"/>
          <w:color w:val="auto"/>
        </w:rPr>
        <w:t>Series G Preferred Stock</w:t>
      </w:r>
      <w:r>
        <w:rPr>
          <w:rFonts w:ascii="Times New Roman" w:cs="Times New Roman" w:eastAsia="Times New Roman" w:hAnsi="Times New Roman"/>
          <w:sz w:val="16"/>
          <w:szCs w:val="16"/>
          <w:color w:val="auto"/>
        </w:rPr>
        <w:t>. Unless prohibited by Delaware law governing distributions to stockholders, shares of Series G Preferred Stock shall be redeemed by the Corporation at a price equal to the Series G Original Issue Price per share, plus any Series G Accruing Dividends accrued but unpaid thereon, whether or not declared, together with any other dividends declared but unpaid thereon (the “</w:t>
      </w:r>
      <w:r>
        <w:rPr>
          <w:rFonts w:ascii="Times New Roman" w:cs="Times New Roman" w:eastAsia="Times New Roman" w:hAnsi="Times New Roman"/>
          <w:sz w:val="16"/>
          <w:szCs w:val="16"/>
          <w:b w:val="1"/>
          <w:bCs w:val="1"/>
          <w:i w:val="1"/>
          <w:iCs w:val="1"/>
          <w:color w:val="auto"/>
        </w:rPr>
        <w:t>Series 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Redemption Price</w:t>
      </w:r>
      <w:r>
        <w:rPr>
          <w:rFonts w:ascii="Times New Roman" w:cs="Times New Roman" w:eastAsia="Times New Roman" w:hAnsi="Times New Roman"/>
          <w:sz w:val="16"/>
          <w:szCs w:val="16"/>
          <w:color w:val="auto"/>
        </w:rPr>
        <w:t>”), in one (1) cash payment (such date of redemption, the “</w:t>
      </w:r>
      <w:r>
        <w:rPr>
          <w:rFonts w:ascii="Times New Roman" w:cs="Times New Roman" w:eastAsia="Times New Roman" w:hAnsi="Times New Roman"/>
          <w:sz w:val="16"/>
          <w:szCs w:val="16"/>
          <w:b w:val="1"/>
          <w:bCs w:val="1"/>
          <w:i w:val="1"/>
          <w:iCs w:val="1"/>
          <w:color w:val="auto"/>
        </w:rPr>
        <w:t>Series G Redemption Date</w:t>
      </w:r>
      <w:r>
        <w:rPr>
          <w:rFonts w:ascii="Times New Roman" w:cs="Times New Roman" w:eastAsia="Times New Roman" w:hAnsi="Times New Roman"/>
          <w:sz w:val="16"/>
          <w:szCs w:val="16"/>
          <w:color w:val="auto"/>
        </w:rPr>
        <w:t>”) not more than sixty (60) days after receipt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Corporation, at any time during the period commencing on the date that is seven (7) years from the Original Issue Date of the Series G-3 Preferred Stock and ending sixty (60) days thereafter, of written notice from the holders of a majority of the then outstanding shares of Series G Preferred Stock, voting as a separate class and series, requesting redemption of all shares of Series G Preferred Stock (the “</w:t>
      </w:r>
      <w:r>
        <w:rPr>
          <w:rFonts w:ascii="Times New Roman" w:cs="Times New Roman" w:eastAsia="Times New Roman" w:hAnsi="Times New Roman"/>
          <w:sz w:val="16"/>
          <w:szCs w:val="16"/>
          <w:b w:val="1"/>
          <w:bCs w:val="1"/>
          <w:i w:val="1"/>
          <w:iCs w:val="1"/>
          <w:color w:val="auto"/>
        </w:rPr>
        <w:t>Series G Redemption Request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Series G Excluded Shares (as defined below) shall not be redeemed. Upon receipt of a Series G Redemption Request, the Corporation shall apply all of its assets to any such redemption, and to no other corporate purpose, except to the extent prohibited by Delaware law governing distributions to stockholders. If, on the Series G Redemption Date, Delaware law governing distributions to stockholders prevents the Corporation from redeeming all shares of Series G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6"/>
          <w:szCs w:val="16"/>
          <w:b w:val="1"/>
          <w:bCs w:val="1"/>
          <w:i w:val="1"/>
          <w:iCs w:val="1"/>
          <w:color w:val="auto"/>
        </w:rPr>
        <w:t>Series G Redemption Notice</w:t>
      </w:r>
      <w:r>
        <w:rPr>
          <w:rFonts w:ascii="Times New Roman" w:cs="Times New Roman" w:eastAsia="Times New Roman" w:hAnsi="Times New Roman"/>
          <w:sz w:val="16"/>
          <w:szCs w:val="16"/>
          <w:color w:val="auto"/>
        </w:rPr>
        <w:t xml:space="preserve">”) to each holder of record of Series G-3 Preferred Stock, Series G-2 Preferred Stock, Series G Preferred Stock, Series F Preferred Stock, Series E Preferred Stock and Series D Preferred Stock at least fifteen (15) days but no more than thirty (30) days prior to the Series G Redemption Date. The Series G Redemption Notice shall state (i) the number of shares of Series G Preferred Stock held by the holder that the Corporation shall redeem on the Series G Redemption Date, (ii) the Series G Redemption Date and the Series G Redemption Price, (iii) the date upon which the holder’s right to convert such shares terminates (as determined in accordance with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and</w:t>
      </w:r>
    </w:p>
    <w:p>
      <w:pPr>
        <w:spacing w:after="0" w:line="191" w:lineRule="exact"/>
        <w:rPr>
          <w:sz w:val="20"/>
          <w:szCs w:val="20"/>
          <w:color w:val="auto"/>
        </w:rPr>
      </w:pPr>
    </w:p>
    <w:p>
      <w:pPr>
        <w:ind w:right="100" w:firstLine="8"/>
        <w:spacing w:after="0" w:line="247" w:lineRule="auto"/>
        <w:tabs>
          <w:tab w:leader="none" w:pos="29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holders of shares in certificated form, that the holder is to surrender to the Corporation, in the manner and at the place designated, his, her or its certificate or certificates representing the shares of Series G Preferred Stock to be redeemed.</w:t>
      </w:r>
    </w:p>
    <w:p>
      <w:pPr>
        <w:spacing w:after="0" w:line="18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after the date of delivery of the Series G Redemption Notice to a holder of Series G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then the shares of Series G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G Excluded Shares</w:t>
      </w:r>
      <w:r>
        <w:rPr>
          <w:rFonts w:ascii="Times New Roman" w:cs="Times New Roman" w:eastAsia="Times New Roman" w:hAnsi="Times New Roman"/>
          <w:sz w:val="18"/>
          <w:szCs w:val="18"/>
          <w:color w:val="auto"/>
        </w:rPr>
        <w:t xml:space="preserve">.” Series G Excluded Shares shall not be redeemed or redeemable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whether on such Series G Redemption Date or thereafter.</w:t>
      </w:r>
    </w:p>
    <w:p>
      <w:pPr>
        <w:spacing w:after="0" w:line="187" w:lineRule="exact"/>
        <w:rPr>
          <w:sz w:val="20"/>
          <w:szCs w:val="20"/>
          <w:color w:val="auto"/>
        </w:rPr>
      </w:pPr>
    </w:p>
    <w:p>
      <w:pPr>
        <w:ind w:right="640" w:firstLine="1393"/>
        <w:spacing w:after="0" w:line="25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Series F Preferred Stock</w:t>
      </w:r>
      <w:r>
        <w:rPr>
          <w:rFonts w:ascii="Times New Roman" w:cs="Times New Roman" w:eastAsia="Times New Roman" w:hAnsi="Times New Roman"/>
          <w:sz w:val="18"/>
          <w:szCs w:val="18"/>
          <w:color w:val="auto"/>
        </w:rPr>
        <w:t>. Unless prohibited by Delaware law governing distributions to stockholders, shares of Series F Preferred Stock shall be redeemed by the Corporation at a price equal to the Series F Original Issue Price per share, plus any Series F Accruing Dividends accrued but unpaid thereon, whether or not declared, together with any other dividends declared but unpaid thereon (the “</w:t>
      </w:r>
      <w:r>
        <w:rPr>
          <w:rFonts w:ascii="Times New Roman" w:cs="Times New Roman" w:eastAsia="Times New Roman" w:hAnsi="Times New Roman"/>
          <w:sz w:val="18"/>
          <w:szCs w:val="18"/>
          <w:b w:val="1"/>
          <w:bCs w:val="1"/>
          <w:i w:val="1"/>
          <w:iCs w:val="1"/>
          <w:color w:val="auto"/>
        </w:rPr>
        <w:t>Series 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in one (1) cash payment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680"/>
          </w:cols>
          <w:pgMar w:left="580" w:top="265" w:right="639" w:bottom="1440" w:gutter="0" w:footer="0" w:header="0"/>
        </w:sectPr>
      </w:pPr>
    </w:p>
    <w:bookmarkStart w:id="342" w:name="page343"/>
    <w:bookmarkEnd w:id="342"/>
    <w:p>
      <w:pPr>
        <w:ind w:right="20"/>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(such date of redemption, the “</w:t>
      </w:r>
      <w:r>
        <w:rPr>
          <w:rFonts w:ascii="Times New Roman" w:cs="Times New Roman" w:eastAsia="Times New Roman" w:hAnsi="Times New Roman"/>
          <w:sz w:val="18"/>
          <w:szCs w:val="18"/>
          <w:b w:val="1"/>
          <w:bCs w:val="1"/>
          <w:i w:val="1"/>
          <w:iCs w:val="1"/>
          <w:color w:val="auto"/>
        </w:rPr>
        <w:t>Series F Redemption Date</w:t>
      </w:r>
      <w:r>
        <w:rPr>
          <w:rFonts w:ascii="Times New Roman" w:cs="Times New Roman" w:eastAsia="Times New Roman" w:hAnsi="Times New Roman"/>
          <w:sz w:val="18"/>
          <w:szCs w:val="18"/>
          <w:color w:val="auto"/>
        </w:rPr>
        <w:t>”) not more than sixty (60) days after receipt by the Corporation, at any time during the period commencing on the date that is seven (7) years from the Original Issue Date of the Series G-3 Preferred Stock and ending sixty (60) days thereafter, of written notice from the holders of a majority of the then outstanding shares of Series F Preferred Stock, voting as a separate class and series, requesting redemption of all shares of Series F Preferred Stock (the “</w:t>
      </w:r>
      <w:r>
        <w:rPr>
          <w:rFonts w:ascii="Times New Roman" w:cs="Times New Roman" w:eastAsia="Times New Roman" w:hAnsi="Times New Roman"/>
          <w:sz w:val="18"/>
          <w:szCs w:val="18"/>
          <w:b w:val="1"/>
          <w:bCs w:val="1"/>
          <w:i w:val="1"/>
          <w:iCs w:val="1"/>
          <w:color w:val="auto"/>
        </w:rPr>
        <w:t>Series F Redemption Request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Series F Excluded Shares (as defined below) shall not be redeemed. Upon receipt of a Series F Redemption Request, the Corporation shall apply all of its assets to any such redemption, and to no other corporate purpose, except to the extent prohibited by Delaware law governing distributions to stockholders. If, on the Series F Redemption Date, Delaware law governing distributions to stockholders prevents the Corporation from redeeming all shares of Series F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8"/>
          <w:szCs w:val="18"/>
          <w:b w:val="1"/>
          <w:bCs w:val="1"/>
          <w:i w:val="1"/>
          <w:iCs w:val="1"/>
          <w:color w:val="auto"/>
        </w:rPr>
        <w:t>Series F Redemption Notice</w:t>
      </w:r>
      <w:r>
        <w:rPr>
          <w:rFonts w:ascii="Times New Roman" w:cs="Times New Roman" w:eastAsia="Times New Roman" w:hAnsi="Times New Roman"/>
          <w:sz w:val="18"/>
          <w:szCs w:val="18"/>
          <w:color w:val="auto"/>
        </w:rPr>
        <w:t xml:space="preserve">”) to each holder of record of Series G-3 Preferred Stock, Series G-2 Preferred Stock, Series G Preferred Stock, Series F Preferred Stock, Series E Preferred Stock and Series D Preferred Stock at least fifteen (15) days but no more than thirty (30) days prior to the Series F Redemption Date. The Series F Redemption Notice shall state (i) the number of shares of Series F Preferred Stock held by the holder that the Corporation shall redeem on the Series F Redemption Date, (ii) the Series F Redemption Date and the Series F Redemption Price, (iii) the date upon which the holder’s right to convert such shares terminates (as determined in accordance with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and (iv) for holders of shares in certificated form, that the holder is to surrender to the Corporation, in the manner and at the place designated, his, her or its certificate or certificates representing the shares of Series F Preferred Stock to be redeemed.</w:t>
      </w:r>
    </w:p>
    <w:p>
      <w:pPr>
        <w:spacing w:after="0" w:line="19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after the date of delivery of the Series F Redemption Notice to a holder of Series F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then the shares of Series F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F Excluded Shares</w:t>
      </w:r>
      <w:r>
        <w:rPr>
          <w:rFonts w:ascii="Times New Roman" w:cs="Times New Roman" w:eastAsia="Times New Roman" w:hAnsi="Times New Roman"/>
          <w:sz w:val="18"/>
          <w:szCs w:val="18"/>
          <w:color w:val="auto"/>
        </w:rPr>
        <w:t xml:space="preserve">.” Series F Excluded Shares shall not be redeemed or redeemable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whether on such Series F Redemption Date or thereafter.</w:t>
      </w:r>
    </w:p>
    <w:p>
      <w:pPr>
        <w:spacing w:after="0" w:line="187" w:lineRule="exact"/>
        <w:rPr>
          <w:sz w:val="20"/>
          <w:szCs w:val="20"/>
          <w:color w:val="auto"/>
        </w:rPr>
      </w:pPr>
    </w:p>
    <w:p>
      <w:pPr>
        <w:ind w:firstLine="1393"/>
        <w:spacing w:after="0" w:line="24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Series E Preferred Stock</w:t>
      </w:r>
      <w:r>
        <w:rPr>
          <w:rFonts w:ascii="Times New Roman" w:cs="Times New Roman" w:eastAsia="Times New Roman" w:hAnsi="Times New Roman"/>
          <w:sz w:val="18"/>
          <w:szCs w:val="18"/>
          <w:color w:val="auto"/>
        </w:rPr>
        <w:t>. Unless prohibited by Delaware law governing distributions to stockholders, shares of Series E Preferred Stock shall be redeemed by the Corporation at a price equal to the Series E Original Issue Price per share, plus any Series E Accruing Dividends accrued but unpaid thereon, whether or not declared, together with any other dividends declared but unpaid thereon (the “</w:t>
      </w:r>
      <w:r>
        <w:rPr>
          <w:rFonts w:ascii="Times New Roman" w:cs="Times New Roman" w:eastAsia="Times New Roman" w:hAnsi="Times New Roman"/>
          <w:sz w:val="18"/>
          <w:szCs w:val="18"/>
          <w:b w:val="1"/>
          <w:bCs w:val="1"/>
          <w:i w:val="1"/>
          <w:iCs w:val="1"/>
          <w:color w:val="auto"/>
        </w:rPr>
        <w:t>Series 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in one (1) cash payment (such date of redemption, the “</w:t>
      </w:r>
      <w:r>
        <w:rPr>
          <w:rFonts w:ascii="Times New Roman" w:cs="Times New Roman" w:eastAsia="Times New Roman" w:hAnsi="Times New Roman"/>
          <w:sz w:val="18"/>
          <w:szCs w:val="18"/>
          <w:b w:val="1"/>
          <w:bCs w:val="1"/>
          <w:i w:val="1"/>
          <w:iCs w:val="1"/>
          <w:color w:val="auto"/>
        </w:rPr>
        <w:t>Series E Redemption Date</w:t>
      </w:r>
      <w:r>
        <w:rPr>
          <w:rFonts w:ascii="Times New Roman" w:cs="Times New Roman" w:eastAsia="Times New Roman" w:hAnsi="Times New Roman"/>
          <w:sz w:val="18"/>
          <w:szCs w:val="18"/>
          <w:color w:val="auto"/>
        </w:rPr>
        <w:t>”) not more than sixty (60) days after receipt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Corporation, at any time during the period commencing on the date that is seven (7) years from the Original Issue Date of the Series G-3 Preferred Stock and ending sixty (60) days thereafter, of written notice from the holders of a majority of the then outstanding shares of Series E Preferred Stock, voting as a separate class and series, requesting redemption of all shares of Series E Preferred Stock (the “</w:t>
      </w:r>
      <w:r>
        <w:rPr>
          <w:rFonts w:ascii="Times New Roman" w:cs="Times New Roman" w:eastAsia="Times New Roman" w:hAnsi="Times New Roman"/>
          <w:sz w:val="18"/>
          <w:szCs w:val="18"/>
          <w:b w:val="1"/>
          <w:bCs w:val="1"/>
          <w:i w:val="1"/>
          <w:iCs w:val="1"/>
          <w:color w:val="auto"/>
        </w:rPr>
        <w:t>Series E Redemption Request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Series E Excluded Shares (as defined below) shall not be redeemed. Upon receipt of a Series E Redemption Request, the Corporation shall apply all of its assets to any such redemption, and to no other corporate purpose, except to the extent prohibited by Delaware law governing distributions to</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720"/>
          </w:cols>
          <w:pgMar w:left="580" w:top="261" w:right="599" w:bottom="1440" w:gutter="0" w:footer="0" w:header="0"/>
        </w:sectPr>
      </w:pPr>
    </w:p>
    <w:bookmarkStart w:id="343" w:name="page344"/>
    <w:bookmarkEnd w:id="343"/>
    <w:p>
      <w:pPr>
        <w:ind w:right="120"/>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stockholders. If, on the Series E Redemption Date, Delaware law governing distributions to stockholders prevents the Corporation from redeeming all shares of Series E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6"/>
          <w:szCs w:val="16"/>
          <w:b w:val="1"/>
          <w:bCs w:val="1"/>
          <w:i w:val="1"/>
          <w:iCs w:val="1"/>
          <w:color w:val="auto"/>
        </w:rPr>
        <w:t>Series E Redemption Notice</w:t>
      </w:r>
      <w:r>
        <w:rPr>
          <w:rFonts w:ascii="Times New Roman" w:cs="Times New Roman" w:eastAsia="Times New Roman" w:hAnsi="Times New Roman"/>
          <w:sz w:val="16"/>
          <w:szCs w:val="16"/>
          <w:color w:val="auto"/>
        </w:rPr>
        <w:t xml:space="preserve">”) to each holder of record of Series G-3 Preferred Stock, Series G-2 Preferred Stock, Series G Preferred Stock, Series F Preferred Stock, Series E Preferred Stock and Series D Preferred Stock at least fifteen (15) days but no more than thirty (30) days prior to the Series E Redemption Date. The Series E Redemption Notice shall state (i) the number of shares of Series E Preferred Stock held by the holder that the Corporation shall redeem on the Series E Redemption Date, (ii) the Series E Redemption Date and the Series E Redemption Price, (iii) the date upon which the holder’s right to convert such shares terminates (as determined in accordance with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and</w:t>
      </w:r>
    </w:p>
    <w:p>
      <w:pPr>
        <w:spacing w:after="0" w:line="6" w:lineRule="exact"/>
        <w:rPr>
          <w:sz w:val="20"/>
          <w:szCs w:val="20"/>
          <w:color w:val="auto"/>
        </w:rPr>
      </w:pPr>
    </w:p>
    <w:p>
      <w:pPr>
        <w:ind w:right="60" w:firstLine="8"/>
        <w:spacing w:after="0" w:line="247" w:lineRule="auto"/>
        <w:tabs>
          <w:tab w:leader="none" w:pos="29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holders of shares in certificated form, that the holder is to surrender to the Corporation, in the manner and at the place designated, his, her or its certificate or certificates representing the shares of Series E Preferred Stock to be redeemed.</w:t>
      </w:r>
    </w:p>
    <w:p>
      <w:pPr>
        <w:spacing w:after="0" w:line="18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after the date of delivery of the Series E Redemption Notice to a holder of Series E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then the shares of Series E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E Excluded Shares</w:t>
      </w:r>
      <w:r>
        <w:rPr>
          <w:rFonts w:ascii="Times New Roman" w:cs="Times New Roman" w:eastAsia="Times New Roman" w:hAnsi="Times New Roman"/>
          <w:sz w:val="18"/>
          <w:szCs w:val="18"/>
          <w:color w:val="auto"/>
        </w:rPr>
        <w:t xml:space="preserve">.” Series E Excluded Shares shall not be redeemed or redeemable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whether on such Series E Redemption Date or thereafter.</w:t>
      </w:r>
    </w:p>
    <w:p>
      <w:pPr>
        <w:spacing w:after="0" w:line="187" w:lineRule="exact"/>
        <w:rPr>
          <w:sz w:val="20"/>
          <w:szCs w:val="20"/>
          <w:color w:val="auto"/>
        </w:rPr>
      </w:pPr>
    </w:p>
    <w:p>
      <w:pPr>
        <w:ind w:firstLine="1393"/>
        <w:spacing w:after="0" w:line="278" w:lineRule="auto"/>
        <w:rPr>
          <w:sz w:val="20"/>
          <w:szCs w:val="20"/>
          <w:color w:val="auto"/>
        </w:rPr>
      </w:pPr>
      <w:r>
        <w:rPr>
          <w:rFonts w:ascii="Times New Roman" w:cs="Times New Roman" w:eastAsia="Times New Roman" w:hAnsi="Times New Roman"/>
          <w:sz w:val="16"/>
          <w:szCs w:val="16"/>
          <w:color w:val="auto"/>
        </w:rPr>
        <w:t xml:space="preserve">6.6 </w:t>
      </w:r>
      <w:r>
        <w:rPr>
          <w:rFonts w:ascii="Times New Roman" w:cs="Times New Roman" w:eastAsia="Times New Roman" w:hAnsi="Times New Roman"/>
          <w:sz w:val="16"/>
          <w:szCs w:val="16"/>
          <w:u w:val="single" w:color="auto"/>
          <w:color w:val="auto"/>
        </w:rPr>
        <w:t>Series D Preferred Stock</w:t>
      </w:r>
      <w:r>
        <w:rPr>
          <w:rFonts w:ascii="Times New Roman" w:cs="Times New Roman" w:eastAsia="Times New Roman" w:hAnsi="Times New Roman"/>
          <w:sz w:val="16"/>
          <w:szCs w:val="16"/>
          <w:color w:val="auto"/>
        </w:rPr>
        <w:t>. Unless prohibited by Delaware law governing distributions to stockholders, shares of Series D Preferred Stock shall be redeemed by the Corporation at a price equal to the Series D Original Issue Price per share, plus any Series D Accruing Dividends accrued but unpaid thereon, whether or not declared, together with any other dividends declared but unpaid thereon (the “</w:t>
      </w:r>
      <w:r>
        <w:rPr>
          <w:rFonts w:ascii="Times New Roman" w:cs="Times New Roman" w:eastAsia="Times New Roman" w:hAnsi="Times New Roman"/>
          <w:sz w:val="16"/>
          <w:szCs w:val="16"/>
          <w:b w:val="1"/>
          <w:bCs w:val="1"/>
          <w:i w:val="1"/>
          <w:iCs w:val="1"/>
          <w:color w:val="auto"/>
        </w:rPr>
        <w:t>Series 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Redemption Price</w:t>
      </w:r>
      <w:r>
        <w:rPr>
          <w:rFonts w:ascii="Times New Roman" w:cs="Times New Roman" w:eastAsia="Times New Roman" w:hAnsi="Times New Roman"/>
          <w:sz w:val="16"/>
          <w:szCs w:val="16"/>
          <w:color w:val="auto"/>
        </w:rPr>
        <w:t>”), in one (1) cash payment (such date of redemption, the “</w:t>
      </w:r>
      <w:r>
        <w:rPr>
          <w:rFonts w:ascii="Times New Roman" w:cs="Times New Roman" w:eastAsia="Times New Roman" w:hAnsi="Times New Roman"/>
          <w:sz w:val="16"/>
          <w:szCs w:val="16"/>
          <w:b w:val="1"/>
          <w:bCs w:val="1"/>
          <w:i w:val="1"/>
          <w:iCs w:val="1"/>
          <w:color w:val="auto"/>
        </w:rPr>
        <w:t>Series D Redemption Date</w:t>
      </w:r>
      <w:r>
        <w:rPr>
          <w:rFonts w:ascii="Times New Roman" w:cs="Times New Roman" w:eastAsia="Times New Roman" w:hAnsi="Times New Roman"/>
          <w:sz w:val="16"/>
          <w:szCs w:val="16"/>
          <w:color w:val="auto"/>
        </w:rPr>
        <w:t>” and together with each of the Series 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Redemption Date, the Series F Redemption Date and the Series E Redemption Date, a “</w:t>
      </w:r>
      <w:r>
        <w:rPr>
          <w:rFonts w:ascii="Times New Roman" w:cs="Times New Roman" w:eastAsia="Times New Roman" w:hAnsi="Times New Roman"/>
          <w:sz w:val="16"/>
          <w:szCs w:val="16"/>
          <w:b w:val="1"/>
          <w:bCs w:val="1"/>
          <w:i w:val="1"/>
          <w:iCs w:val="1"/>
          <w:color w:val="auto"/>
        </w:rPr>
        <w:t>Redemption Date</w:t>
      </w:r>
      <w:r>
        <w:rPr>
          <w:rFonts w:ascii="Times New Roman" w:cs="Times New Roman" w:eastAsia="Times New Roman" w:hAnsi="Times New Roman"/>
          <w:sz w:val="16"/>
          <w:szCs w:val="16"/>
          <w:color w:val="auto"/>
        </w:rPr>
        <w:t>”) not more than sixty (60) days after receipt by the Corporation, at any time during the period commencing on the date that is seven (7) years from the Original Issue Date of the Series G-3 Preferred Stock and ending sixty (60) days thereafter, of written notice from the holders of at least sixty percent (60%) of the then outstanding shares of Series D Preferred Stock, voting as a separate class and series, requesting redemption of all shares of Series D Preferred Stock (the “</w:t>
      </w:r>
      <w:r>
        <w:rPr>
          <w:rFonts w:ascii="Times New Roman" w:cs="Times New Roman" w:eastAsia="Times New Roman" w:hAnsi="Times New Roman"/>
          <w:sz w:val="16"/>
          <w:szCs w:val="16"/>
          <w:b w:val="1"/>
          <w:bCs w:val="1"/>
          <w:i w:val="1"/>
          <w:iCs w:val="1"/>
          <w:color w:val="auto"/>
        </w:rPr>
        <w:t>Series 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Redemption Request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Series D Excluded Shares (as defined below) shall not be redeemed. Upon receipt of a Series 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Redemption Request, the Corporation shall apply all of its assets to any such redemption, and to no other corporate purpose, except to the extent prohibited by Delaware law governing distributions to stockholders. If, on the Series D Redemption Date, Delaware law governing distributions to stockholders prevents the Corporation from redeeming all shares of Series D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6"/>
          <w:szCs w:val="16"/>
          <w:b w:val="1"/>
          <w:bCs w:val="1"/>
          <w:i w:val="1"/>
          <w:iCs w:val="1"/>
          <w:color w:val="auto"/>
        </w:rPr>
        <w:t>Series D Redemption Notice</w:t>
      </w:r>
      <w:r>
        <w:rPr>
          <w:rFonts w:ascii="Times New Roman" w:cs="Times New Roman" w:eastAsia="Times New Roman" w:hAnsi="Times New Roman"/>
          <w:sz w:val="16"/>
          <w:szCs w:val="16"/>
          <w:color w:val="auto"/>
        </w:rPr>
        <w:t>”) to each holder of record of Series G-3 Preferred Stock, Series G-2 Preferred Stock, Series G Preferred Stock, Series F Preferred Stock, Series E Preferred Stock and Series D</w:t>
      </w: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640"/>
          </w:cols>
          <w:pgMar w:left="580" w:top="265" w:right="679" w:bottom="1440" w:gutter="0" w:footer="0" w:header="0"/>
        </w:sectPr>
      </w:pPr>
    </w:p>
    <w:bookmarkStart w:id="344" w:name="page345"/>
    <w:bookmarkEnd w:id="344"/>
    <w:p>
      <w:pPr>
        <w:spacing w:after="0" w:line="28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Preferred Stock at least fifteen (15) days but no more than thirty (30) days prior to the Series D Redemption Date. The Series D Redemption Notice shall state (i) the number of shares of Series D Preferred Stock held by the holder that the Corporation shall redeem on the Series D Redemption Date, (ii) the Series D Redemption Date and the Series D Redemption Price, (iii) the date upon which the holder’s right to convert such shares terminates (as determined in accordance with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and (iv) for holders of shares in certificated form, that the holder is to surrender to the Corporation, in the manner and at the place designated, his, her or its certificate or certificates representing the shares of Series D Preferred Stock to be redeemed.</w:t>
      </w:r>
    </w:p>
    <w:p>
      <w:pPr>
        <w:spacing w:after="0" w:line="15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after the date of delivery of the Series D Redemption Notice to a holder of Series D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then the shares of Series D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D Excluded Shares</w:t>
      </w:r>
      <w:r>
        <w:rPr>
          <w:rFonts w:ascii="Times New Roman" w:cs="Times New Roman" w:eastAsia="Times New Roman" w:hAnsi="Times New Roman"/>
          <w:sz w:val="18"/>
          <w:szCs w:val="18"/>
          <w:color w:val="auto"/>
        </w:rPr>
        <w:t xml:space="preserve">.” Series D Excluded Shares shall not be redeemed or redeemable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whether on such Series D Redemption Date or thereafter.</w:t>
      </w:r>
    </w:p>
    <w:p>
      <w:pPr>
        <w:spacing w:after="0" w:line="187" w:lineRule="exact"/>
        <w:rPr>
          <w:sz w:val="20"/>
          <w:szCs w:val="20"/>
          <w:color w:val="auto"/>
        </w:rPr>
      </w:pPr>
    </w:p>
    <w:p>
      <w:pPr>
        <w:ind w:right="40" w:firstLine="1393"/>
        <w:spacing w:after="0" w:line="244"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Priority of Redemption Payments</w:t>
      </w:r>
      <w:r>
        <w:rPr>
          <w:rFonts w:ascii="Times New Roman" w:cs="Times New Roman" w:eastAsia="Times New Roman" w:hAnsi="Times New Roman"/>
          <w:sz w:val="18"/>
          <w:szCs w:val="18"/>
          <w:color w:val="auto"/>
        </w:rPr>
        <w:t xml:space="preserve">. Notwithstanding anything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to the contrary, if (i) the Corporation receives a Series G-3 Redemption Request, Series G-2 Redemption Request, Series G Redemption Request, Series F Redemption Request, Series E Redemption Request and/or a Series D Redemption Request, and (ii) on the applicable Redemption Date, Delaware law governing distributions to stockholders prevents the Corporation from redeeming all of the shares of Series G-3 Preferred Stock, Series G-2 Preferred Stock, Series G Preferred Stock, Series F Preferred Stock, Series E Preferred Stock and/or Series D Preferred Stock, then the Corporation shall so notify the holders of shares of Series G-3 Preferred Stock, Series G-2 Preferred Stock, Series G Preferred Stock, Series F Preferred Stock, Series E Preferred Stock and/or Series D Preferred Stock, as applicable, and the Corporation shall redeem such shares of Series G-3 Preferred Stock, Series G-2 Preferred Stock, Series G Preferred Stock, Series F Preferred Stock, Series E Preferred Stock and/or Series D Preferred Stock in the following order of priority: (A)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the Corporation shall redeem the number of shares of Series G-3 Preferred Stock which the 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G-3 Preferred Stock, and shall redeem the remaining shares of Series G-3 Preferred Stock as soon as it may lawfully do so under such law; (B)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after redemption of all shares of Series G-3 Preferred Stock, the Corporation shall redeem the number of shares of Series G-2 Preferred Stock which the Corporation may redeem in a manner consistent with such law,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among all holders of Series G-2 Preferred Stock, and shall redeem the remaining shares of Series G-2 Preferred Stock as soon as it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lawfully do so under such law; (C)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after redemption of all shares of Series G-3 Preferred Stock and Series G-2 Preferred Stock, the Corporation shall redeem the number of shares of Series G Preferred Stock which the 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G Preferred Stock, and shall redeem the remaining shares of Series G Preferred Stock as soon as it may lawfully do so under such law; (D)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after redemption of all shares of Series G-3 Preferred Stock, Series G-2 Preferred Stock and Series G Preferred Stock, the Corporation shall redeem the number of shares of Series F Preferred Stock which the 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F Preferred Stock, and shall redeem the remaining shares of Series F Preferred Stock as soon as it may lawfully do so under such law; (E)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after</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720"/>
          </w:cols>
          <w:pgMar w:left="580" w:top="265" w:right="599" w:bottom="1440" w:gutter="0" w:footer="0" w:header="0"/>
        </w:sectPr>
      </w:pPr>
    </w:p>
    <w:bookmarkStart w:id="345" w:name="page346"/>
    <w:bookmarkEnd w:id="345"/>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redemption of all shares of Series G-3 Preferred Stock, Series G-2 Preferred Stock, Series G Preferred Stock and Series F Preferred Stock, the Corporation shall redeem the number of shares of Series E Preferred Stock which the Corporation may redeem in a manner consistent with such law,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among all holders of Series E Preferred Stock, and shall redeem the remaining shares of Series E Preferred Stock as soon as it may lawfully do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such law; and (F)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after redemption of all shares of Series G-3 Preferred Stock, Series G-2 Preferred Stock, Series G Preferred Stock, Series F Preferred Stock and Series E Preferred Stock, the Corporation shall redeem the number of shares of Series D Preferred Stock which the 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D Preferred Stock, and shall redeem the remaining shares of Series D Preferred Stock as soon as it may lawfully do so under such law.</w:t>
      </w:r>
    </w:p>
    <w:p>
      <w:pPr>
        <w:spacing w:after="0" w:line="189" w:lineRule="exact"/>
        <w:rPr>
          <w:sz w:val="20"/>
          <w:szCs w:val="20"/>
          <w:color w:val="auto"/>
        </w:rPr>
      </w:pPr>
    </w:p>
    <w:p>
      <w:pPr>
        <w:ind w:right="20" w:firstLine="1393"/>
        <w:spacing w:after="0" w:line="245"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Surrender of Certificates; Payment</w:t>
      </w:r>
      <w:r>
        <w:rPr>
          <w:rFonts w:ascii="Times New Roman" w:cs="Times New Roman" w:eastAsia="Times New Roman" w:hAnsi="Times New Roman"/>
          <w:sz w:val="18"/>
          <w:szCs w:val="18"/>
          <w:color w:val="auto"/>
        </w:rPr>
        <w:t>. On or before the Series G-3 Redemption Date, Series G-2 Redemption Date, Series G Redemption Date, Series F Redemption Date, Series E Redemption Date and/or the Series D Redemption Date, each holder of Series G-3 Preferred Stock, Series G-2 Preferred Stock, Series G Preferred Stock, Series F Preferred Stock, Series E Preferred Stock or Series D Preferred Stock, as applicable, having shares redeemed shall, if a holder of shares in certificated form,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Series G-3 Redemption Notice, Series G-2 Redemption Notice, Series G Redemption Notice, Series F Redemption Notice, Series E Redemption Notice or the Series D Redemption Notice, and thereupon the Series G-3 Redemption Notice, Series G-2 Redemption Notice, Series G Redemption Notice, Series F Redemption Price, Series E Redemption Price or the Series D Redemption Price for such shares shall be payable to the order of the person whose name appears on such certificate or certificates as the owner thereof.</w:t>
      </w:r>
    </w:p>
    <w:p>
      <w:pPr>
        <w:spacing w:after="0" w:line="196" w:lineRule="exact"/>
        <w:rPr>
          <w:sz w:val="20"/>
          <w:szCs w:val="20"/>
          <w:color w:val="auto"/>
        </w:rPr>
      </w:pPr>
    </w:p>
    <w:p>
      <w:pPr>
        <w:ind w:right="20" w:firstLine="1393"/>
        <w:spacing w:after="0" w:line="278" w:lineRule="auto"/>
        <w:rPr>
          <w:sz w:val="20"/>
          <w:szCs w:val="20"/>
          <w:color w:val="auto"/>
        </w:rPr>
      </w:pPr>
      <w:r>
        <w:rPr>
          <w:rFonts w:ascii="Times New Roman" w:cs="Times New Roman" w:eastAsia="Times New Roman" w:hAnsi="Times New Roman"/>
          <w:sz w:val="16"/>
          <w:szCs w:val="16"/>
          <w:color w:val="auto"/>
        </w:rPr>
        <w:t xml:space="preserve">6.9 </w:t>
      </w:r>
      <w:r>
        <w:rPr>
          <w:rFonts w:ascii="Times New Roman" w:cs="Times New Roman" w:eastAsia="Times New Roman" w:hAnsi="Times New Roman"/>
          <w:sz w:val="16"/>
          <w:szCs w:val="16"/>
          <w:u w:val="single" w:color="auto"/>
          <w:color w:val="auto"/>
        </w:rPr>
        <w:t>Rights Subsequent to Redemption</w:t>
      </w:r>
      <w:r>
        <w:rPr>
          <w:rFonts w:ascii="Times New Roman" w:cs="Times New Roman" w:eastAsia="Times New Roman" w:hAnsi="Times New Roman"/>
          <w:sz w:val="16"/>
          <w:szCs w:val="16"/>
          <w:color w:val="auto"/>
        </w:rPr>
        <w:t>. If the Series G-3 Redemption Notice, Series G-2 Redemption Notice, Series G Redemption Notice, the Series F Redemption Notice, the Series E Redemption Notice or the Series D Redemption Notice shall have been duly given, and if the Series G-3 Redemption Price, Series G-2 Redemption Price, Series G Redemption Price, the Series F Redemption Price, the Series E Redemption Price or the Series D Redemption Price payable upon redemption of the shares of Series G-3 Preferred Stock, Series G-2 Preferred Stock, Series G Preferred Stock, Series F Preferred Stock, Series E Preferred Stock or Series D Preferred Stock to be redeemed (or shares of Voting Common Stock into which such shares of Series G-3 Preferred Stock, Series G-2 Preferred Stock, Series G Preferred Stock, Series F Preferred Stock, Series E Preferred Stock or Series D Preferred Stock have been converted) is paid or tendered for payment or deposited with an independent payment agent so as to be available therefor in a timely manner, then notwithstanding that any certificates evidencing any of the shares of Series G-3 Preferred Stock, Series G-2 Preferred Stock, Series G Preferred Stock, Series F Preferred Stock, Series E Preferred Stock or Series D Preferred Stock (or shares of Voting Common Stock into which such shares of Series G-3 Preferred Stock, Series G-2 Preferred Stock, Series G Preferred Stock, Series F Preferred Stock, Series E Preferred Stock or Series D Preferred Stock have been converted) so called for redemption shall not have been surrendered, dividends with respect to such shares shall cease to accrue after such date and all rights with respect to such shares shall forthwith after such date terminate, except only the right of the holders to receive the Series G-3 Redemption Price, Series G-2 Redemption Price, Series G Redemption Price, Series F Redemption Price, the Series E Redemption Price or the Series D Redemption Price, as applicable, without interest upon surrender of any such certificate or certificates therefor.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700"/>
          </w:cols>
          <w:pgMar w:left="580" w:top="265" w:right="619" w:bottom="1440" w:gutter="0" w:footer="0" w:header="0"/>
        </w:sectPr>
      </w:pPr>
    </w:p>
    <w:bookmarkStart w:id="346" w:name="page347"/>
    <w:bookmarkEnd w:id="346"/>
    <w:p>
      <w:pPr>
        <w:ind w:right="200" w:firstLine="139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6.10 </w:t>
      </w:r>
      <w:r>
        <w:rPr>
          <w:rFonts w:ascii="Times New Roman" w:cs="Times New Roman" w:eastAsia="Times New Roman" w:hAnsi="Times New Roman"/>
          <w:sz w:val="18"/>
          <w:szCs w:val="18"/>
          <w:u w:val="single" w:color="auto"/>
          <w:color w:val="auto"/>
        </w:rPr>
        <w:t>Failure to Pay Redemption Price</w:t>
      </w:r>
      <w:r>
        <w:rPr>
          <w:rFonts w:ascii="Times New Roman" w:cs="Times New Roman" w:eastAsia="Times New Roman" w:hAnsi="Times New Roman"/>
          <w:sz w:val="18"/>
          <w:szCs w:val="18"/>
          <w:color w:val="auto"/>
        </w:rPr>
        <w:t>. If, for any reason, the Corporation fails to pay the Series G-3 Redemption Price, Series G-2 Redemption Price, Series G Redemption Price, the Series F Redemption Price, the Series E Redemption Price and/or the Series D Redemption Price when due (including as a result of any applicable law prohibiting payment), then:</w:t>
      </w:r>
    </w:p>
    <w:p>
      <w:pPr>
        <w:spacing w:after="0" w:line="180" w:lineRule="exact"/>
        <w:rPr>
          <w:sz w:val="20"/>
          <w:szCs w:val="20"/>
          <w:color w:val="auto"/>
        </w:rPr>
      </w:pPr>
    </w:p>
    <w:p>
      <w:pPr>
        <w:ind w:right="40" w:firstLine="1928"/>
        <w:spacing w:after="0" w:line="277" w:lineRule="auto"/>
        <w:rPr>
          <w:sz w:val="20"/>
          <w:szCs w:val="20"/>
          <w:color w:val="auto"/>
        </w:rPr>
      </w:pPr>
      <w:r>
        <w:rPr>
          <w:rFonts w:ascii="Times New Roman" w:cs="Times New Roman" w:eastAsia="Times New Roman" w:hAnsi="Times New Roman"/>
          <w:sz w:val="16"/>
          <w:szCs w:val="16"/>
          <w:color w:val="auto"/>
        </w:rPr>
        <w:t>6.10.1 The Corporation shall, if requested by (i) the holders of a majority of the outstanding shares of Series G-3 Preferred Stock subject to redemption, voting as a separate class and series, upon failure to pay the Series G-3 Redemption Price, (ii) the holders of a majority of the outstanding shares of Series G-2 Preferred Stock subject to redemption, voting as a separate class and series, upon failure to pay the Series G-2 Redemption Price, (iii) the holders of a majority of the outstanding shares of Series G Preferred Stock subject to redemption, voting as a separate class and series, upon failure to pay the Series G Redemption Price, (iv) the holders of a majority of the outstanding shares of Series F Preferred Stock subject to redemption, voting as a separate class and series, upon failure to pay the Series F Redemption Price, (v) the holders of a majority of the outstanding shares of Series E Preferred Stock subject to redemption, voting as a separate class and series, upon failure to pay the Series E Redemption Price, or</w:t>
      </w:r>
    </w:p>
    <w:p>
      <w:pPr>
        <w:spacing w:after="0" w:line="2" w:lineRule="exact"/>
        <w:rPr>
          <w:sz w:val="20"/>
          <w:szCs w:val="20"/>
          <w:color w:val="auto"/>
        </w:rPr>
      </w:pPr>
    </w:p>
    <w:p>
      <w:pPr>
        <w:ind w:right="40" w:firstLine="8"/>
        <w:spacing w:after="0" w:line="274" w:lineRule="auto"/>
        <w:tabs>
          <w:tab w:leader="none" w:pos="296"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at least sixty percent (60%) of the outstanding shares of Series D Preferred Stock subject to redemption, voting as a separate class and series, upon failure to pay the Series D Redemption Price, in each case by delivery of written notice to the Corporation, initiate a sale process (the “</w:t>
      </w:r>
      <w:r>
        <w:rPr>
          <w:rFonts w:ascii="Times New Roman" w:cs="Times New Roman" w:eastAsia="Times New Roman" w:hAnsi="Times New Roman"/>
          <w:sz w:val="16"/>
          <w:szCs w:val="16"/>
          <w:b w:val="1"/>
          <w:bCs w:val="1"/>
          <w:i w:val="1"/>
          <w:iCs w:val="1"/>
          <w:color w:val="auto"/>
        </w:rPr>
        <w:t>Sale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Process</w:t>
      </w:r>
      <w:r>
        <w:rPr>
          <w:rFonts w:ascii="Times New Roman" w:cs="Times New Roman" w:eastAsia="Times New Roman" w:hAnsi="Times New Roman"/>
          <w:sz w:val="16"/>
          <w:szCs w:val="16"/>
          <w:color w:val="auto"/>
        </w:rPr>
        <w:t>”) in accordance with this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 intended to result in a transaction constituting a Deemed Liquidation Event. In furtherance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foregoing, upon receipt of such written notice, the Corporation shall, and shall cause its officers, employees, consultants, counsel and advisors to use all commercially reasonable efforts to consummate a transaction that would constitute a Deemed Liquidation Event, including without limitation by taking (or causing to be taken) the actions set forth in this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this obligation and the obligations set forth in </w:t>
      </w:r>
      <w:r>
        <w:rPr>
          <w:rFonts w:ascii="Times New Roman" w:cs="Times New Roman" w:eastAsia="Times New Roman" w:hAnsi="Times New Roman"/>
          <w:sz w:val="16"/>
          <w:szCs w:val="16"/>
          <w:u w:val="single" w:color="auto"/>
          <w:color w:val="auto"/>
        </w:rPr>
        <w:t>Subsections 6.10.2</w:t>
      </w:r>
      <w:r>
        <w:rPr>
          <w:rFonts w:ascii="Times New Roman" w:cs="Times New Roman" w:eastAsia="Times New Roman" w:hAnsi="Times New Roman"/>
          <w:sz w:val="16"/>
          <w:szCs w:val="16"/>
          <w:color w:val="auto"/>
        </w:rPr>
        <w:t xml:space="preserve"> and</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6.10.3</w:t>
      </w:r>
      <w:r>
        <w:rPr>
          <w:rFonts w:ascii="Times New Roman" w:cs="Times New Roman" w:eastAsia="Times New Roman" w:hAnsi="Times New Roman"/>
          <w:sz w:val="16"/>
          <w:szCs w:val="16"/>
          <w:color w:val="auto"/>
        </w:rPr>
        <w:t xml:space="preserve"> shall not require the Board or the stockholders of the Corporation to approve any transaction that would constitute a Deemed Liquidation Event.</w:t>
      </w:r>
    </w:p>
    <w:p>
      <w:pPr>
        <w:spacing w:after="0" w:line="214" w:lineRule="exact"/>
        <w:rPr>
          <w:sz w:val="20"/>
          <w:szCs w:val="20"/>
          <w:color w:val="auto"/>
        </w:rPr>
      </w:pPr>
    </w:p>
    <w:p>
      <w:pPr>
        <w:ind w:firstLine="1393"/>
        <w:spacing w:after="0" w:line="253" w:lineRule="auto"/>
        <w:rPr>
          <w:sz w:val="20"/>
          <w:szCs w:val="20"/>
          <w:color w:val="auto"/>
        </w:rPr>
      </w:pPr>
      <w:r>
        <w:rPr>
          <w:rFonts w:ascii="Times New Roman" w:cs="Times New Roman" w:eastAsia="Times New Roman" w:hAnsi="Times New Roman"/>
          <w:sz w:val="18"/>
          <w:szCs w:val="18"/>
          <w:color w:val="auto"/>
        </w:rPr>
        <w:t>6.10.2 The Corporation shall engage a reputable investment bank (the “</w:t>
      </w:r>
      <w:r>
        <w:rPr>
          <w:rFonts w:ascii="Times New Roman" w:cs="Times New Roman" w:eastAsia="Times New Roman" w:hAnsi="Times New Roman"/>
          <w:sz w:val="18"/>
          <w:szCs w:val="18"/>
          <w:b w:val="1"/>
          <w:bCs w:val="1"/>
          <w:i w:val="1"/>
          <w:iCs w:val="1"/>
          <w:color w:val="auto"/>
        </w:rPr>
        <w:t>Financial Advisor</w:t>
      </w:r>
      <w:r>
        <w:rPr>
          <w:rFonts w:ascii="Times New Roman" w:cs="Times New Roman" w:eastAsia="Times New Roman" w:hAnsi="Times New Roman"/>
          <w:sz w:val="18"/>
          <w:szCs w:val="18"/>
          <w:color w:val="auto"/>
        </w:rPr>
        <w:t xml:space="preserve">”) to assist with the Sale Process. The Financial Advisor, as well as any other advisors engaged pursuant to this </w:t>
      </w:r>
      <w:r>
        <w:rPr>
          <w:rFonts w:ascii="Times New Roman" w:cs="Times New Roman" w:eastAsia="Times New Roman" w:hAnsi="Times New Roman"/>
          <w:sz w:val="18"/>
          <w:szCs w:val="18"/>
          <w:u w:val="single" w:color="auto"/>
          <w:color w:val="auto"/>
        </w:rPr>
        <w:t>Subsection 6.10.2</w:t>
      </w:r>
      <w:r>
        <w:rPr>
          <w:rFonts w:ascii="Times New Roman" w:cs="Times New Roman" w:eastAsia="Times New Roman" w:hAnsi="Times New Roman"/>
          <w:sz w:val="18"/>
          <w:szCs w:val="18"/>
          <w:color w:val="auto"/>
        </w:rPr>
        <w:t>, shall represent the Corporation, and only the Corporation, in the Sale Process, and the costs, fees and expenses of such advisors shall be paid by the Corporation (or may be paid through a reduction from the sale proceeds payable to the stockholders of the Corporation).</w:t>
      </w:r>
    </w:p>
    <w:p>
      <w:pPr>
        <w:spacing w:after="0" w:line="181" w:lineRule="exact"/>
        <w:rPr>
          <w:sz w:val="20"/>
          <w:szCs w:val="20"/>
          <w:color w:val="auto"/>
        </w:rPr>
      </w:pPr>
    </w:p>
    <w:p>
      <w:pPr>
        <w:ind w:right="180" w:firstLine="1393"/>
        <w:spacing w:after="0" w:line="251" w:lineRule="auto"/>
        <w:rPr>
          <w:sz w:val="20"/>
          <w:szCs w:val="20"/>
          <w:color w:val="auto"/>
        </w:rPr>
      </w:pPr>
      <w:r>
        <w:rPr>
          <w:rFonts w:ascii="Times New Roman" w:cs="Times New Roman" w:eastAsia="Times New Roman" w:hAnsi="Times New Roman"/>
          <w:sz w:val="18"/>
          <w:szCs w:val="18"/>
          <w:color w:val="auto"/>
        </w:rPr>
        <w:t xml:space="preserve">6.10.3 Without limiting the generality of the provisions of </w:t>
      </w:r>
      <w:r>
        <w:rPr>
          <w:rFonts w:ascii="Times New Roman" w:cs="Times New Roman" w:eastAsia="Times New Roman" w:hAnsi="Times New Roman"/>
          <w:sz w:val="18"/>
          <w:szCs w:val="18"/>
          <w:u w:val="single" w:color="auto"/>
          <w:color w:val="auto"/>
        </w:rPr>
        <w:t>Subsection 6.10.1</w:t>
      </w:r>
      <w:r>
        <w:rPr>
          <w:rFonts w:ascii="Times New Roman" w:cs="Times New Roman" w:eastAsia="Times New Roman" w:hAnsi="Times New Roman"/>
          <w:sz w:val="18"/>
          <w:szCs w:val="18"/>
          <w:color w:val="auto"/>
        </w:rPr>
        <w:t>, the Corporation shall, at the request of (i) the holders of a majority of the outstanding shares of Series G-3 Preferred Stock subject to redemption, voting as a separate class and series, (ii) the holders of a majority of the outstanding shares of Series G-2 Preferred Stock subject to redemption, voting as a separate class and series, (iii) the holders of a majority of the outstanding shares of Series G Preferred Stock subject to redemption, voting as a separate class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20"/>
          </w:cols>
          <w:pgMar w:left="580" w:top="265" w:right="599" w:bottom="1440" w:gutter="0" w:footer="0" w:header="0"/>
        </w:sectPr>
      </w:pPr>
    </w:p>
    <w:bookmarkStart w:id="347" w:name="page348"/>
    <w:bookmarkEnd w:id="347"/>
    <w:p>
      <w:pPr>
        <w:ind w:right="100"/>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and series, (iv) the holders of a majority of the outstanding shares of Series F Preferred Stock subject to redemption, voting as a separate class and series, (v) the holders of a majority of the outstanding shares of Series E Preferred Stock subject to redemption, voting as a separate class and series, or</w:t>
      </w:r>
    </w:p>
    <w:p>
      <w:pPr>
        <w:spacing w:after="0" w:line="1" w:lineRule="exact"/>
        <w:rPr>
          <w:sz w:val="20"/>
          <w:szCs w:val="20"/>
          <w:color w:val="auto"/>
        </w:rPr>
      </w:pPr>
    </w:p>
    <w:p>
      <w:pPr>
        <w:ind w:firstLine="8"/>
        <w:spacing w:after="0" w:line="247" w:lineRule="auto"/>
        <w:tabs>
          <w:tab w:leader="none" w:pos="29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sixty percent (60%) of the outstanding shares of Series D Preferred Stock subject to redemption, voting as a separate class and series, as applicable, and shall cause its employees, officers, consultants, counsel and advisors to:</w:t>
      </w:r>
    </w:p>
    <w:p>
      <w:pPr>
        <w:spacing w:after="0" w:line="186"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the Financial Advisor to provide a valuation of the Corporation and create a list of potential acquirers;</w:t>
      </w:r>
    </w:p>
    <w:p>
      <w:pPr>
        <w:spacing w:after="0" w:line="213"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Financial Advisor in creating a list of potential acquirers;</w:t>
      </w:r>
    </w:p>
    <w:p>
      <w:pPr>
        <w:spacing w:after="0" w:line="213" w:lineRule="exact"/>
        <w:rPr>
          <w:rFonts w:ascii="Times New Roman" w:cs="Times New Roman" w:eastAsia="Times New Roman" w:hAnsi="Times New Roman"/>
          <w:sz w:val="18"/>
          <w:szCs w:val="18"/>
          <w:color w:val="auto"/>
        </w:rPr>
      </w:pPr>
    </w:p>
    <w:p>
      <w:pPr>
        <w:ind w:right="260" w:firstLine="1936"/>
        <w:spacing w:after="0" w:line="267" w:lineRule="auto"/>
        <w:tabs>
          <w:tab w:leader="none" w:pos="2166"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Financial Advisor to contact potential acquirers and solicit offers with respect to the Sale Process from such potential acquirers as identified by the Financial Advisor and approved by the Corporation;</w:t>
      </w:r>
    </w:p>
    <w:p>
      <w:pPr>
        <w:spacing w:after="0" w:line="169" w:lineRule="exact"/>
        <w:rPr>
          <w:rFonts w:ascii="Times New Roman" w:cs="Times New Roman" w:eastAsia="Times New Roman" w:hAnsi="Times New Roman"/>
          <w:sz w:val="18"/>
          <w:szCs w:val="18"/>
          <w:color w:val="auto"/>
        </w:rPr>
      </w:pPr>
    </w:p>
    <w:p>
      <w:pPr>
        <w:ind w:right="140" w:firstLine="1936"/>
        <w:spacing w:after="0" w:line="267" w:lineRule="auto"/>
        <w:tabs>
          <w:tab w:leader="none" w:pos="2176"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up and maintain a virtual or actual data room containing due diligence materials customarily provided in connection with a Sale Process, together with any other due diligence materials reasonably requested by any potential acquirer;</w:t>
      </w:r>
    </w:p>
    <w:p>
      <w:pPr>
        <w:spacing w:after="0" w:line="169"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customary non-disclosure agreements with potential acquirers;</w:t>
      </w:r>
    </w:p>
    <w:p>
      <w:pPr>
        <w:spacing w:after="0" w:line="213" w:lineRule="exact"/>
        <w:rPr>
          <w:rFonts w:ascii="Times New Roman" w:cs="Times New Roman" w:eastAsia="Times New Roman" w:hAnsi="Times New Roman"/>
          <w:sz w:val="18"/>
          <w:szCs w:val="18"/>
          <w:color w:val="auto"/>
        </w:rPr>
      </w:pPr>
    </w:p>
    <w:p>
      <w:pPr>
        <w:ind w:firstLine="1936"/>
        <w:spacing w:after="0" w:line="267" w:lineRule="auto"/>
        <w:tabs>
          <w:tab w:leader="none" w:pos="2147"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or assist the Financial Advisor with the preparation of, any marketing, financial or other materials deemed by the Financial Advisor to be necessary or helpful in connection with the Sale Process;</w:t>
      </w:r>
    </w:p>
    <w:p>
      <w:pPr>
        <w:spacing w:after="0" w:line="169"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attend and participate in any meetings, conference calls, or presentations regarding the Corporation and its business with</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potential acquirers; and</w:t>
      </w:r>
    </w:p>
    <w:p>
      <w:pPr>
        <w:spacing w:after="0" w:line="195" w:lineRule="exact"/>
        <w:rPr>
          <w:rFonts w:ascii="Times New Roman" w:cs="Times New Roman" w:eastAsia="Times New Roman" w:hAnsi="Times New Roman"/>
          <w:sz w:val="16"/>
          <w:szCs w:val="16"/>
          <w:color w:val="auto"/>
        </w:rPr>
      </w:pPr>
    </w:p>
    <w:p>
      <w:pPr>
        <w:ind w:right="680" w:firstLine="1936"/>
        <w:spacing w:after="0" w:line="267" w:lineRule="auto"/>
        <w:tabs>
          <w:tab w:leader="none" w:pos="2176"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approval of the Corporation’s Board of Directors, execute a letter of intent or term sheet on terms and conditions reasonably acceptable to the Corporation.</w:t>
      </w:r>
    </w:p>
    <w:p>
      <w:pPr>
        <w:spacing w:after="0" w:line="170" w:lineRule="exact"/>
        <w:rPr>
          <w:sz w:val="20"/>
          <w:szCs w:val="20"/>
          <w:color w:val="auto"/>
        </w:rPr>
      </w:pPr>
    </w:p>
    <w:p>
      <w:pPr>
        <w:ind w:firstLine="1928"/>
        <w:spacing w:after="0" w:line="246" w:lineRule="auto"/>
        <w:rPr>
          <w:sz w:val="20"/>
          <w:szCs w:val="20"/>
          <w:color w:val="auto"/>
        </w:rPr>
      </w:pPr>
      <w:r>
        <w:rPr>
          <w:rFonts w:ascii="Times New Roman" w:cs="Times New Roman" w:eastAsia="Times New Roman" w:hAnsi="Times New Roman"/>
          <w:sz w:val="18"/>
          <w:szCs w:val="18"/>
          <w:color w:val="auto"/>
        </w:rPr>
        <w:t xml:space="preserve">6.10.4 The Corporation shall, upon the request of (i) the holders of a majority of the outstanding shares of Series G-3 Preferred Stock subject to redemption, voting as a separate class and series, (ii) the holders of a majority of the outstanding shares of Series G-2 Preferred Stock subject to redemption, voting as a separate class and series, (iii) the holders of a majority of the outstanding shares of Series G Preferred Stock subject to redemption, voting as a separate class and series, (iv) the holders of a majority of the outstanding shares of Series F Preferred Stock subject to redemption, voting as a separate class and series, (v) the holders of a majority of the outstanding shares of Series E Preferred Stock subject to redemption, voting as a separate class and series, or (vi) the holders of at least sixty percent (60%) of the outstanding shares of Series D Preferred Stock subject to redemption, voting as a separate class and series, as applicable, call a meeting of the Corporation’s Board of Directors to discuss or vote on a proposed transaction constituting a Deemed Liquidation Event or other matters relating to the Sale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herein shall require the Corporation’s Board of Directors to approve any Deemed Liquidation Event.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680"/>
          </w:cols>
          <w:pgMar w:left="580" w:top="266" w:right="639" w:bottom="1440" w:gutter="0" w:footer="0" w:header="0"/>
        </w:sectPr>
      </w:pPr>
    </w:p>
    <w:bookmarkStart w:id="348" w:name="page349"/>
    <w:bookmarkEnd w:id="348"/>
    <w:p>
      <w:pPr>
        <w:ind w:left="1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6.10.5 The covenants set forth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shall terminate and be of no further force or effect upon the earlier of</w:t>
      </w:r>
    </w:p>
    <w:p>
      <w:pPr>
        <w:spacing w:after="0" w:line="21" w:lineRule="exact"/>
        <w:rPr>
          <w:sz w:val="20"/>
          <w:szCs w:val="20"/>
          <w:color w:val="auto"/>
        </w:rPr>
      </w:pPr>
    </w:p>
    <w:p>
      <w:pPr>
        <w:ind w:right="660" w:firstLine="8"/>
        <w:spacing w:after="0" w:line="308" w:lineRule="auto"/>
        <w:tabs>
          <w:tab w:leader="none" w:pos="209"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immediately prior to the consummation of a Public Offering, (ii) the date when the Corporation first becomes subject to the periodic reporting requirements of Section 12(g) or 15(d) of the Securities Exchange Act of 1934, as amended, or (iii) a Deemed Liquidation Event.</w:t>
      </w:r>
    </w:p>
    <w:p>
      <w:pPr>
        <w:spacing w:after="0" w:line="140" w:lineRule="exact"/>
        <w:rPr>
          <w:rFonts w:ascii="Times New Roman" w:cs="Times New Roman" w:eastAsia="Times New Roman" w:hAnsi="Times New Roman"/>
          <w:sz w:val="16"/>
          <w:szCs w:val="16"/>
          <w:color w:val="auto"/>
        </w:rPr>
      </w:pPr>
    </w:p>
    <w:p>
      <w:pPr>
        <w:ind w:right="40" w:firstLine="972"/>
        <w:spacing w:after="0" w:line="251" w:lineRule="auto"/>
        <w:tabs>
          <w:tab w:leader="none" w:pos="113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Converted, Redeemed or Otherwise Acquired Shares</w:t>
      </w:r>
      <w:r>
        <w:rPr>
          <w:rFonts w:ascii="Times New Roman" w:cs="Times New Roman" w:eastAsia="Times New Roman" w:hAnsi="Times New Roman"/>
          <w:sz w:val="18"/>
          <w:szCs w:val="18"/>
          <w:color w:val="auto"/>
        </w:rPr>
        <w:t>. Any shares of Preferred Stock that are converted,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84" w:lineRule="exact"/>
        <w:rPr>
          <w:rFonts w:ascii="Times New Roman" w:cs="Times New Roman" w:eastAsia="Times New Roman" w:hAnsi="Times New Roman"/>
          <w:sz w:val="18"/>
          <w:szCs w:val="18"/>
          <w:color w:val="auto"/>
        </w:rPr>
      </w:pPr>
    </w:p>
    <w:p>
      <w:pPr>
        <w:ind w:firstLine="972"/>
        <w:spacing w:after="0" w:line="244" w:lineRule="auto"/>
        <w:tabs>
          <w:tab w:leader="none" w:pos="113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of the rights, powers, preferences and other terms of the Series G-3 Preferred Stock set forth herein may be waived on behalf of all holders of Series G-3 Preferred Stock by the affirmative written consent or vote of the holders of a majority of the shares of Series G-3 Preferred Stock then outstanding, voting as a separate class. Any of the rights, powers, preferences and other terms of the Series G-2 Preferred Stock set forth herein may be waived on behalf of all holders of Series G-2 Preferred Stock by the affirmative written consent or vote of the holders of a majority of the shares of Series G-2 Preferred Stock then outstanding, voting as a separate class. Any of the rights, powers, preferences and other terms of the Series G Preferred Stock set forth herein may be waived on behalf of all holders of Series G Preferred Stock by the affirmative written consent or vote of the holders of a majority of the shares of Series G Preferred Stock then outstanding, voting as a separate class. Any of the rights, powers, preferences and other terms of the Series F Preferred Stock set forth herein may be waived on behalf of all holders of Series F Preferred Stock by the affirmative written consent or vote of the holders of a majority of the shares of Series F Preferred Stock then outstanding, voting as a separate class. Any of the rights, powers, preferences and other terms of the Series E Preferred Stock set forth herein may be waived on behalf of all holders of Series E Preferred Stock by the affirmative written consent or vote of the holders of a majority of the shares of Series E Preferred Stock then outstanding, voting as a separate class. Any of the rights, powers, preferences and other terms of the Series D Preferred Stock set forth herein may be waived on behalf of all holders of Series D Preferred Stock by the affirmative written consent or vote of the holders of at least sixty percent (60%) of the shares of Series D Preferred Stock then outstanding, voting as a separate class. Any of the rights, powers, preferences and other terms of the Series C Preferred Stock set forth herein may be waived on behalf of all holders of Series C Preferred Stock by the affirmative written consent or vote of the holders of at least sixty percent (60%) of the shares of Series C Preferred Stock then outstanding, voting as a separate class. Any of the rights, powers, preferences and other terms of any other series of Preferred Stock (other than the Series E Preferred Stock, Series D Preferred Stock and Series C Preferred Stock) set forth herein may be waived on behalf of all holders of such series of Preferred Stock by the affirmative written consent or vote of the holders of a majority of the shares of such series of Preferred Stock then outstanding.</w:t>
      </w:r>
    </w:p>
    <w:p>
      <w:pPr>
        <w:spacing w:after="0" w:line="202" w:lineRule="exact"/>
        <w:rPr>
          <w:rFonts w:ascii="Times New Roman" w:cs="Times New Roman" w:eastAsia="Times New Roman" w:hAnsi="Times New Roman"/>
          <w:sz w:val="18"/>
          <w:szCs w:val="18"/>
          <w:color w:val="auto"/>
        </w:rPr>
      </w:pPr>
    </w:p>
    <w:p>
      <w:pPr>
        <w:ind w:right="340" w:firstLine="1936"/>
        <w:spacing w:after="0" w:line="302" w:lineRule="auto"/>
        <w:tabs>
          <w:tab w:leader="none" w:pos="2103" w:val="left"/>
        </w:tabs>
        <w:numPr>
          <w:ilvl w:val="2"/>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required or permitted by the provisions of this Article Seventh to be given to a holder of shares of Preferred Stock shall be mailed, postage prepaid, to the post office address last shown on the records of the Corporation, or given by electronic communication in compliance with the provisions of the DGCL, and shall be deemed sent upon such mailing or electronic transmission.</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720"/>
          </w:cols>
          <w:pgMar w:left="580" w:top="265" w:right="599" w:bottom="1440" w:gutter="0" w:footer="0" w:header="0"/>
        </w:sectPr>
      </w:pPr>
    </w:p>
    <w:bookmarkStart w:id="349" w:name="page350"/>
    <w:bookmarkEnd w:id="349"/>
    <w:p>
      <w:pPr>
        <w:ind w:right="520" w:firstLine="428"/>
        <w:spacing w:after="0" w:line="333"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EIGHTH: </w:t>
      </w:r>
      <w:r>
        <w:rPr>
          <w:rFonts w:ascii="Times New Roman" w:cs="Times New Roman" w:eastAsia="Times New Roman" w:hAnsi="Times New Roman"/>
          <w:sz w:val="16"/>
          <w:szCs w:val="16"/>
          <w:color w:val="auto"/>
        </w:rPr>
        <w:t>Subject to any additional vote required by this Restated Certificate or Bylaws, in furtherance and not in limitation of the powers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conferred by statute, the Board is expressly authorized to make, repeal, alter, amend and rescind any or all of the Bylaws of the Corporation.</w:t>
      </w:r>
    </w:p>
    <w:p>
      <w:pPr>
        <w:spacing w:after="0" w:line="120" w:lineRule="exact"/>
        <w:rPr>
          <w:sz w:val="20"/>
          <w:szCs w:val="20"/>
          <w:color w:val="auto"/>
        </w:rPr>
      </w:pPr>
    </w:p>
    <w:p>
      <w:pPr>
        <w:ind w:right="4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NINTH: </w:t>
      </w:r>
      <w:r>
        <w:rPr>
          <w:rFonts w:ascii="Times New Roman" w:cs="Times New Roman" w:eastAsia="Times New Roman" w:hAnsi="Times New Roman"/>
          <w:sz w:val="18"/>
          <w:szCs w:val="18"/>
          <w:color w:val="auto"/>
        </w:rPr>
        <w:t>Subject to any additional vote required by this Restated Certificate, the number of directors of the Corporation shall be determined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set forth in the Bylaws of the Corporation.</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TENTH: </w:t>
      </w:r>
      <w:r>
        <w:rPr>
          <w:rFonts w:ascii="Times New Roman" w:cs="Times New Roman" w:eastAsia="Times New Roman" w:hAnsi="Times New Roman"/>
          <w:sz w:val="18"/>
          <w:szCs w:val="18"/>
          <w:color w:val="auto"/>
        </w:rPr>
        <w:t>Elections of directors need not be by written ballot unless the Bylaws of the Corporation shall so provide.</w:t>
      </w:r>
    </w:p>
    <w:p>
      <w:pPr>
        <w:spacing w:after="0" w:line="213" w:lineRule="exact"/>
        <w:rPr>
          <w:sz w:val="20"/>
          <w:szCs w:val="20"/>
          <w:color w:val="auto"/>
        </w:rPr>
      </w:pPr>
    </w:p>
    <w:p>
      <w:pPr>
        <w:ind w:right="4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ELEVENTH: </w:t>
      </w:r>
      <w:r>
        <w:rPr>
          <w:rFonts w:ascii="Times New Roman" w:cs="Times New Roman" w:eastAsia="Times New Roman" w:hAnsi="Times New Roman"/>
          <w:sz w:val="18"/>
          <w:szCs w:val="18"/>
          <w:color w:val="auto"/>
        </w:rPr>
        <w:t>Meetings of stockholders may be held within or without the State of Delaware, as the Bylaws of the Corporation may provide.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books of the Corporation may be kept outside the State of Delaware at such place or places as may be designated from time to time by the Board or in the Bylaws of the Corporation.</w:t>
      </w:r>
    </w:p>
    <w:p>
      <w:pPr>
        <w:spacing w:after="0" w:line="178" w:lineRule="exact"/>
        <w:rPr>
          <w:sz w:val="20"/>
          <w:szCs w:val="20"/>
          <w:color w:val="auto"/>
        </w:rPr>
      </w:pPr>
    </w:p>
    <w:p>
      <w:pPr>
        <w:ind w:right="180" w:firstLine="428"/>
        <w:spacing w:after="0" w:line="293" w:lineRule="auto"/>
        <w:rPr>
          <w:sz w:val="20"/>
          <w:szCs w:val="20"/>
          <w:color w:val="auto"/>
        </w:rPr>
      </w:pPr>
      <w:r>
        <w:rPr>
          <w:rFonts w:ascii="Times New Roman" w:cs="Times New Roman" w:eastAsia="Times New Roman" w:hAnsi="Times New Roman"/>
          <w:sz w:val="16"/>
          <w:szCs w:val="16"/>
          <w:b w:val="1"/>
          <w:bCs w:val="1"/>
          <w:color w:val="auto"/>
        </w:rPr>
        <w:t xml:space="preserve">TWELFTH: </w:t>
      </w:r>
      <w:r>
        <w:rPr>
          <w:rFonts w:ascii="Times New Roman" w:cs="Times New Roman" w:eastAsia="Times New Roman" w:hAnsi="Times New Roman"/>
          <w:sz w:val="16"/>
          <w:szCs w:val="16"/>
          <w:color w:val="auto"/>
        </w:rPr>
        <w:t>To the fullest extent permitted by law, a director of the Corporation shall not be personally liable to the Corporation or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stockholders for monetary damages for breach of fiduciary duty as a director. If the DGCL or any other law of the State of Delaware is amended after approval by the stockholders of this Article Twelfth to authorize corporate action further eliminating or limiting the personal liability of directors, then the liability of a director of the Corporation shall be eliminated or limited to the fullest extent permitted by the DGCL as so amended.</w:t>
      </w:r>
    </w:p>
    <w:p>
      <w:pPr>
        <w:spacing w:after="0" w:line="154" w:lineRule="exact"/>
        <w:rPr>
          <w:sz w:val="20"/>
          <w:szCs w:val="20"/>
          <w:color w:val="auto"/>
        </w:rPr>
      </w:pPr>
    </w:p>
    <w:p>
      <w:pPr>
        <w:ind w:firstLine="428"/>
        <w:spacing w:after="0" w:line="255" w:lineRule="auto"/>
        <w:rPr>
          <w:sz w:val="20"/>
          <w:szCs w:val="20"/>
          <w:color w:val="auto"/>
        </w:rPr>
      </w:pPr>
      <w:r>
        <w:rPr>
          <w:rFonts w:ascii="Times New Roman" w:cs="Times New Roman" w:eastAsia="Times New Roman" w:hAnsi="Times New Roman"/>
          <w:sz w:val="18"/>
          <w:szCs w:val="18"/>
          <w:color w:val="auto"/>
        </w:rPr>
        <w:t>Any repeal or modification of the foregoing provisions of this Article Twelfth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78" w:lineRule="exact"/>
        <w:rPr>
          <w:sz w:val="20"/>
          <w:szCs w:val="20"/>
          <w:color w:val="auto"/>
        </w:rPr>
      </w:pPr>
    </w:p>
    <w:p>
      <w:pPr>
        <w:ind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THIRTEENTH: </w:t>
      </w:r>
      <w:r>
        <w:rPr>
          <w:rFonts w:ascii="Times New Roman" w:cs="Times New Roman" w:eastAsia="Times New Roman" w:hAnsi="Times New Roman"/>
          <w:sz w:val="18"/>
          <w:szCs w:val="18"/>
          <w:color w:val="auto"/>
        </w:rPr>
        <w:t>To the fullest extent permitted by applicable law, the Corporation is authorized to provide indemnification of (and advancement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expenses to) directors, officers and agents of the Corporation (and any other persons to which the DGCL permits the Corporation to provide indemnification) through Bylaw provisions, agreements with such agents or other persons, vote of stockholders or disinterested directors or otherwise, in excess of the indemnification and advancement otherwise permitted by Section 145 of the DGCL.</w:t>
      </w:r>
    </w:p>
    <w:p>
      <w:pPr>
        <w:spacing w:after="0" w:line="183" w:lineRule="exact"/>
        <w:rPr>
          <w:sz w:val="20"/>
          <w:szCs w:val="20"/>
          <w:color w:val="auto"/>
        </w:rPr>
      </w:pPr>
    </w:p>
    <w:p>
      <w:pPr>
        <w:ind w:right="160" w:firstLine="428"/>
        <w:spacing w:after="0" w:line="267" w:lineRule="auto"/>
        <w:rPr>
          <w:sz w:val="20"/>
          <w:szCs w:val="20"/>
          <w:color w:val="auto"/>
        </w:rPr>
      </w:pPr>
      <w:r>
        <w:rPr>
          <w:rFonts w:ascii="Times New Roman" w:cs="Times New Roman" w:eastAsia="Times New Roman" w:hAnsi="Times New Roman"/>
          <w:sz w:val="18"/>
          <w:szCs w:val="18"/>
          <w:color w:val="auto"/>
        </w:rPr>
        <w:t>Any amendment, repeal or modification of the foregoing provisions of this Article Thirteenth shall not adversely affect any right or protection of any director, officer or other agent of the Corporation existing at the time of such amendment, repeal or modification.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720"/>
          </w:cols>
          <w:pgMar w:left="580" w:top="263" w:right="599" w:bottom="1440" w:gutter="0" w:footer="0" w:header="0"/>
        </w:sectPr>
      </w:pPr>
    </w:p>
    <w:bookmarkStart w:id="350" w:name="page351"/>
    <w:bookmarkEnd w:id="350"/>
    <w:p>
      <w:pPr>
        <w:ind w:firstLine="428"/>
        <w:spacing w:after="0" w:line="280"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FOURTEENTH: </w:t>
      </w:r>
      <w:r>
        <w:rPr>
          <w:rFonts w:ascii="Times New Roman" w:cs="Times New Roman" w:eastAsia="Times New Roman" w:hAnsi="Times New Roman"/>
          <w:sz w:val="16"/>
          <w:szCs w:val="16"/>
          <w:color w:val="auto"/>
        </w:rPr>
        <w:t>The Corporation renounces, to the fullest extent permitted by law, any interest or expectancy of the Corporation in, or in being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offered an opportunity to participate in, any Excluded Opportunity. An “</w:t>
      </w:r>
      <w:r>
        <w:rPr>
          <w:rFonts w:ascii="Times New Roman" w:cs="Times New Roman" w:eastAsia="Times New Roman" w:hAnsi="Times New Roman"/>
          <w:sz w:val="16"/>
          <w:szCs w:val="16"/>
          <w:b w:val="1"/>
          <w:bCs w:val="1"/>
          <w:i w:val="1"/>
          <w:iCs w:val="1"/>
          <w:color w:val="auto"/>
        </w:rPr>
        <w:t>Excluded Opportunity</w:t>
      </w:r>
      <w:r>
        <w:rPr>
          <w:rFonts w:ascii="Times New Roman" w:cs="Times New Roman" w:eastAsia="Times New Roman" w:hAnsi="Times New Roman"/>
          <w:sz w:val="16"/>
          <w:szCs w:val="16"/>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w:t>
      </w:r>
      <w:r>
        <w:rPr>
          <w:rFonts w:ascii="Times New Roman" w:cs="Times New Roman" w:eastAsia="Times New Roman" w:hAnsi="Times New Roman"/>
          <w:sz w:val="16"/>
          <w:szCs w:val="16"/>
          <w:b w:val="1"/>
          <w:bCs w:val="1"/>
          <w:i w:val="1"/>
          <w:iCs w:val="1"/>
          <w:color w:val="auto"/>
        </w:rPr>
        <w:t>Covered Persons</w:t>
      </w:r>
      <w:r>
        <w:rPr>
          <w:rFonts w:ascii="Times New Roman" w:cs="Times New Roman" w:eastAsia="Times New Roman" w:hAnsi="Times New Roman"/>
          <w:sz w:val="16"/>
          <w:szCs w:val="16"/>
          <w:color w:val="auto"/>
        </w:rPr>
        <w:t>”), unless such matter, transaction or interest is presented to, or acquired, created or developed by, or otherwise comes into the possession of, a Covered Person expressly and solely in such Covered Person’s capacity as a director of the Corporation. Any repeal or modification of this Article Fourteenth will only be prospective and will not affect the rights under this Article Fourteenth in effect at the time of the occurrence or of any actions or omissions to act giving rise to liability. Notwithstanding anything to the contrary contained elsewhere in this Amended and Restated Certificate of Incorporation, the affirmative vote of the Requisite Preferred Holders will be required to amend or repeal or to adopt any provisions inconsistent with this Article Fourteenth.</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FIFTEENTH: </w:t>
      </w:r>
      <w:r>
        <w:rPr>
          <w:rFonts w:ascii="Times New Roman" w:cs="Times New Roman" w:eastAsia="Times New Roman" w:hAnsi="Times New Roman"/>
          <w:sz w:val="18"/>
          <w:szCs w:val="18"/>
          <w:color w:val="auto"/>
        </w:rPr>
        <w:t>The following indemnification provisions shall apply to the persons enumerated below.</w:t>
      </w:r>
    </w:p>
    <w:p>
      <w:pPr>
        <w:spacing w:after="0" w:line="215" w:lineRule="exact"/>
        <w:rPr>
          <w:sz w:val="20"/>
          <w:szCs w:val="20"/>
          <w:color w:val="auto"/>
        </w:rPr>
      </w:pPr>
    </w:p>
    <w:p>
      <w:pPr>
        <w:ind w:right="40" w:firstLine="972"/>
        <w:spacing w:after="0" w:line="280" w:lineRule="auto"/>
        <w:tabs>
          <w:tab w:leader="none" w:pos="1139"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 to Indemnification of Directors and Officers</w:t>
      </w:r>
      <w:r>
        <w:rPr>
          <w:rFonts w:ascii="Times New Roman" w:cs="Times New Roman" w:eastAsia="Times New Roman" w:hAnsi="Times New Roman"/>
          <w:sz w:val="16"/>
          <w:szCs w:val="16"/>
          <w:color w:val="auto"/>
        </w:rPr>
        <w:t>. The Corporation shall indemnify and hold harmless, to the fullest extent permitted by applicable law as it presently exists or may hereafter be amended, any person (an “</w:t>
      </w:r>
      <w:r>
        <w:rPr>
          <w:rFonts w:ascii="Times New Roman" w:cs="Times New Roman" w:eastAsia="Times New Roman" w:hAnsi="Times New Roman"/>
          <w:sz w:val="16"/>
          <w:szCs w:val="16"/>
          <w:b w:val="1"/>
          <w:bCs w:val="1"/>
          <w:i w:val="1"/>
          <w:iCs w:val="1"/>
          <w:color w:val="auto"/>
        </w:rPr>
        <w:t>Indemnified Person</w:t>
      </w:r>
      <w:r>
        <w:rPr>
          <w:rFonts w:ascii="Times New Roman" w:cs="Times New Roman" w:eastAsia="Times New Roman" w:hAnsi="Times New Roman"/>
          <w:sz w:val="16"/>
          <w:szCs w:val="16"/>
          <w:color w:val="auto"/>
        </w:rPr>
        <w:t>”)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6"/>
          <w:szCs w:val="16"/>
          <w:b w:val="1"/>
          <w:bCs w:val="1"/>
          <w:i w:val="1"/>
          <w:iCs w:val="1"/>
          <w:color w:val="auto"/>
        </w:rPr>
        <w:t>Proceeding</w:t>
      </w:r>
      <w:r>
        <w:rPr>
          <w:rFonts w:ascii="Times New Roman" w:cs="Times New Roman" w:eastAsia="Times New Roman" w:hAnsi="Times New Roman"/>
          <w:sz w:val="16"/>
          <w:szCs w:val="16"/>
          <w:color w:val="auto"/>
        </w:rPr>
        <w:t xml:space="preserve">”),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of this Article Fifteenth,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 of the Corporation.</w:t>
      </w:r>
    </w:p>
    <w:p>
      <w:pPr>
        <w:spacing w:after="0" w:line="164" w:lineRule="exact"/>
        <w:rPr>
          <w:rFonts w:ascii="Times New Roman" w:cs="Times New Roman" w:eastAsia="Times New Roman" w:hAnsi="Times New Roman"/>
          <w:sz w:val="16"/>
          <w:szCs w:val="16"/>
          <w:color w:val="auto"/>
        </w:rPr>
      </w:pPr>
    </w:p>
    <w:p>
      <w:pPr>
        <w:ind w:right="20" w:firstLine="972"/>
        <w:spacing w:after="0" w:line="249" w:lineRule="auto"/>
        <w:tabs>
          <w:tab w:leader="none" w:pos="113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of Expenses of Directors and Officers</w:t>
      </w:r>
      <w:r>
        <w:rPr>
          <w:rFonts w:ascii="Times New Roman" w:cs="Times New Roman" w:eastAsia="Times New Roman" w:hAnsi="Times New Roman"/>
          <w:sz w:val="18"/>
          <w:szCs w:val="18"/>
          <w:color w:val="auto"/>
        </w:rPr>
        <w:t>. The Corporation shall pay the expenses (including attorneys’ fees) incurred by an Indemnified Person in defending any Proceeding in advance of its final disposition, provided, however,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Fifteenth or otherwise.</w:t>
      </w:r>
    </w:p>
    <w:p>
      <w:pPr>
        <w:spacing w:after="0" w:line="186" w:lineRule="exact"/>
        <w:rPr>
          <w:rFonts w:ascii="Times New Roman" w:cs="Times New Roman" w:eastAsia="Times New Roman" w:hAnsi="Times New Roman"/>
          <w:sz w:val="18"/>
          <w:szCs w:val="18"/>
          <w:color w:val="auto"/>
        </w:rPr>
      </w:pPr>
    </w:p>
    <w:p>
      <w:pPr>
        <w:ind w:firstLine="972"/>
        <w:spacing w:after="0" w:line="249" w:lineRule="auto"/>
        <w:tabs>
          <w:tab w:leader="none" w:pos="113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by Directors and Officers</w:t>
      </w:r>
      <w:r>
        <w:rPr>
          <w:rFonts w:ascii="Times New Roman" w:cs="Times New Roman" w:eastAsia="Times New Roman" w:hAnsi="Times New Roman"/>
          <w:sz w:val="18"/>
          <w:szCs w:val="18"/>
          <w:color w:val="auto"/>
        </w:rPr>
        <w:t>. If a claim for indemnification or advancement of expenses under this Article Fifteenth is not paid in full within thirty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700"/>
          </w:cols>
          <w:pgMar w:left="580" w:top="263" w:right="619" w:bottom="1440" w:gutter="0" w:footer="0" w:header="0"/>
        </w:sectPr>
      </w:pPr>
    </w:p>
    <w:bookmarkStart w:id="351" w:name="page352"/>
    <w:bookmarkEnd w:id="351"/>
    <w:p>
      <w:pPr>
        <w:ind w:left="-8" w:right="20" w:firstLine="972"/>
        <w:spacing w:after="0" w:line="281" w:lineRule="auto"/>
        <w:tabs>
          <w:tab w:leader="none" w:pos="1131" w:val="left"/>
        </w:tabs>
        <w:numPr>
          <w:ilvl w:val="1"/>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Indemnification of Employees and Agents</w:t>
      </w:r>
      <w:r>
        <w:rPr>
          <w:rFonts w:ascii="Times New Roman" w:cs="Times New Roman" w:eastAsia="Times New Roman" w:hAnsi="Times New Roman"/>
          <w:sz w:val="16"/>
          <w:szCs w:val="16"/>
          <w:color w:val="auto"/>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of the Corporation in its sole discretion. Notwithstanding the foregoing sentence, the Corporation shall not be required to indemnify a person in connection with a Proceeding initiated by such person if the Proceeding was not authorized in advance by the Board of Directors of the Corporation.</w:t>
      </w:r>
    </w:p>
    <w:p>
      <w:pPr>
        <w:spacing w:after="0" w:line="161" w:lineRule="exact"/>
        <w:rPr>
          <w:rFonts w:ascii="Times New Roman" w:cs="Times New Roman" w:eastAsia="Times New Roman" w:hAnsi="Times New Roman"/>
          <w:sz w:val="16"/>
          <w:szCs w:val="16"/>
          <w:color w:val="auto"/>
        </w:rPr>
      </w:pPr>
    </w:p>
    <w:p>
      <w:pPr>
        <w:ind w:left="-8" w:right="80" w:firstLine="972"/>
        <w:spacing w:after="0" w:line="255" w:lineRule="auto"/>
        <w:tabs>
          <w:tab w:leader="none" w:pos="1131"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 of Employees and Agents</w:t>
      </w:r>
      <w:r>
        <w:rPr>
          <w:rFonts w:ascii="Times New Roman" w:cs="Times New Roman" w:eastAsia="Times New Roman" w:hAnsi="Times New Roman"/>
          <w:sz w:val="18"/>
          <w:szCs w:val="18"/>
          <w:color w:val="auto"/>
        </w:rPr>
        <w:t>. The Corporation may pay the expenses (including attorneys’ fees) incurred by an employee or agent in defending any Proceeding in advance of its final disposition on such terms and conditions as may be determined by the Board of Directors of the Corporation.</w:t>
      </w:r>
    </w:p>
    <w:p>
      <w:pPr>
        <w:spacing w:after="0" w:line="180" w:lineRule="exact"/>
        <w:rPr>
          <w:rFonts w:ascii="Times New Roman" w:cs="Times New Roman" w:eastAsia="Times New Roman" w:hAnsi="Times New Roman"/>
          <w:sz w:val="18"/>
          <w:szCs w:val="18"/>
          <w:color w:val="auto"/>
        </w:rPr>
      </w:pPr>
    </w:p>
    <w:p>
      <w:pPr>
        <w:ind w:left="-8" w:firstLine="972"/>
        <w:spacing w:after="0" w:line="255" w:lineRule="auto"/>
        <w:tabs>
          <w:tab w:leader="none" w:pos="1131"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conferred on any person by this Article Fifteenth shall not be exclusive of any other rights which such person may have or hereafter acquire under any statute, provision of the certificate of incorporation, these by-laws, agreement, vote of stockholders or disinterested directors or otherwise.</w:t>
      </w:r>
    </w:p>
    <w:p>
      <w:pPr>
        <w:spacing w:after="0" w:line="180" w:lineRule="exact"/>
        <w:rPr>
          <w:rFonts w:ascii="Times New Roman" w:cs="Times New Roman" w:eastAsia="Times New Roman" w:hAnsi="Times New Roman"/>
          <w:sz w:val="18"/>
          <w:szCs w:val="18"/>
          <w:color w:val="auto"/>
        </w:rPr>
      </w:pPr>
    </w:p>
    <w:p>
      <w:pPr>
        <w:jc w:val="both"/>
        <w:ind w:left="-8" w:right="140" w:firstLine="972"/>
        <w:spacing w:after="0" w:line="251" w:lineRule="auto"/>
        <w:tabs>
          <w:tab w:leader="none" w:pos="1131"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84" w:lineRule="exact"/>
        <w:rPr>
          <w:rFonts w:ascii="Times New Roman" w:cs="Times New Roman" w:eastAsia="Times New Roman" w:hAnsi="Times New Roman"/>
          <w:sz w:val="18"/>
          <w:szCs w:val="18"/>
          <w:color w:val="auto"/>
        </w:rPr>
      </w:pPr>
    </w:p>
    <w:p>
      <w:pPr>
        <w:jc w:val="both"/>
        <w:ind w:left="-8" w:right="220" w:firstLine="972"/>
        <w:spacing w:after="0" w:line="285" w:lineRule="auto"/>
        <w:tabs>
          <w:tab w:leader="none" w:pos="1131" w:val="left"/>
        </w:tabs>
        <w:numPr>
          <w:ilvl w:val="1"/>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The Board of Directors of the Corporation may, to the full extent permitted by applicable law as it presently exists, or may hereafter be amended from time to time, authorize an appropriate officer or officers to purchase and maintain at the Corporation’s expense insurance:</w:t>
      </w:r>
    </w:p>
    <w:p>
      <w:pPr>
        <w:spacing w:after="0" w:line="1" w:lineRule="exact"/>
        <w:rPr>
          <w:rFonts w:ascii="Times New Roman" w:cs="Times New Roman" w:eastAsia="Times New Roman" w:hAnsi="Times New Roman"/>
          <w:sz w:val="16"/>
          <w:szCs w:val="16"/>
          <w:color w:val="auto"/>
        </w:rPr>
      </w:pPr>
    </w:p>
    <w:p>
      <w:pPr>
        <w:ind w:left="-8" w:right="120" w:firstLine="8"/>
        <w:spacing w:after="0" w:line="245" w:lineRule="auto"/>
        <w:tabs>
          <w:tab w:leader="none" w:pos="23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the Corporation for any obligation which it incurs as a result of the indemnification of directors, officers and employees under the provisions of this Article Fifteenth; and (b) to indemnify or insure directors, officers and employees against liability in instances in which they may not otherwise be indemnified by the Corporation under the provisions of this Article Fifteenth.</w:t>
      </w:r>
    </w:p>
    <w:p>
      <w:pPr>
        <w:spacing w:after="0" w:line="12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692"/>
          </w:cols>
          <w:pgMar w:left="588" w:top="265" w:right="619" w:bottom="1440" w:gutter="0" w:footer="0" w:header="0"/>
        </w:sectPr>
      </w:pPr>
    </w:p>
    <w:bookmarkStart w:id="352" w:name="page353"/>
    <w:bookmarkEnd w:id="352"/>
    <w:p>
      <w:pPr>
        <w:ind w:right="280" w:firstLine="972"/>
        <w:spacing w:after="0" w:line="255" w:lineRule="auto"/>
        <w:tabs>
          <w:tab w:leader="none" w:pos="113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Amendment or Repeal</w:t>
      </w:r>
      <w:r>
        <w:rPr>
          <w:rFonts w:ascii="Times New Roman" w:cs="Times New Roman" w:eastAsia="Times New Roman" w:hAnsi="Times New Roman"/>
          <w:sz w:val="18"/>
          <w:szCs w:val="18"/>
          <w:color w:val="auto"/>
        </w:rPr>
        <w:t>. Any repeal or modification of the foregoing provisions of this Article Fifteenth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178" w:lineRule="exact"/>
        <w:rPr>
          <w:sz w:val="20"/>
          <w:szCs w:val="20"/>
          <w:color w:val="auto"/>
        </w:rPr>
      </w:pPr>
    </w:p>
    <w:p>
      <w:pPr>
        <w:ind w:firstLine="428"/>
        <w:spacing w:after="0" w:line="278" w:lineRule="auto"/>
        <w:rPr>
          <w:sz w:val="20"/>
          <w:szCs w:val="20"/>
          <w:color w:val="auto"/>
        </w:rPr>
      </w:pPr>
      <w:r>
        <w:rPr>
          <w:rFonts w:ascii="Times New Roman" w:cs="Times New Roman" w:eastAsia="Times New Roman" w:hAnsi="Times New Roman"/>
          <w:sz w:val="16"/>
          <w:szCs w:val="16"/>
          <w:b w:val="1"/>
          <w:bCs w:val="1"/>
          <w:color w:val="auto"/>
        </w:rPr>
        <w:t xml:space="preserve">SIXTEENTH: </w:t>
      </w:r>
      <w:r>
        <w:rPr>
          <w:rFonts w:ascii="Times New Roman" w:cs="Times New Roman" w:eastAsia="Times New Roman" w:hAnsi="Times New Roman"/>
          <w:sz w:val="16"/>
          <w:szCs w:val="16"/>
          <w:color w:val="auto"/>
        </w:rPr>
        <w:t>Unless the Corporation consents in writing to the selection of an alternative forum, the Court of Chancery in the State of Delaware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w:t>
      </w:r>
    </w:p>
    <w:p>
      <w:pPr>
        <w:spacing w:after="0" w:line="2" w:lineRule="exact"/>
        <w:rPr>
          <w:sz w:val="20"/>
          <w:szCs w:val="20"/>
          <w:color w:val="auto"/>
        </w:rPr>
      </w:pPr>
    </w:p>
    <w:p>
      <w:pPr>
        <w:ind w:right="60" w:firstLine="8"/>
        <w:spacing w:after="0" w:line="244" w:lineRule="auto"/>
        <w:tabs>
          <w:tab w:leader="none" w:pos="20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Sixteenth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Sixteenth (including, without limitation, each portion of any sentence of this Article Sixteenth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398" w:lineRule="exact"/>
        <w:rPr>
          <w:rFonts w:ascii="Times New Roman" w:cs="Times New Roman" w:eastAsia="Times New Roman" w:hAnsi="Times New Roman"/>
          <w:sz w:val="18"/>
          <w:szCs w:val="18"/>
          <w:color w:val="auto"/>
        </w:rPr>
      </w:pPr>
    </w:p>
    <w:p>
      <w:pPr>
        <w:ind w:left="5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13" w:lineRule="exact"/>
        <w:rPr>
          <w:rFonts w:ascii="Times New Roman" w:cs="Times New Roman" w:eastAsia="Times New Roman" w:hAnsi="Times New Roman"/>
          <w:sz w:val="18"/>
          <w:szCs w:val="18"/>
          <w:color w:val="auto"/>
        </w:rPr>
      </w:pPr>
    </w:p>
    <w:p>
      <w:pPr>
        <w:ind w:right="60" w:firstLine="436"/>
        <w:spacing w:after="0" w:line="267" w:lineRule="auto"/>
        <w:tabs>
          <w:tab w:leader="none" w:pos="603"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foregoing amendment and restatement was approved by the holders of the requisite number of shares of this corporation in accordance with Section 228 of the DGCL.</w:t>
      </w:r>
    </w:p>
    <w:p>
      <w:pPr>
        <w:spacing w:after="0" w:line="169" w:lineRule="exact"/>
        <w:rPr>
          <w:rFonts w:ascii="Times New Roman" w:cs="Times New Roman" w:eastAsia="Times New Roman" w:hAnsi="Times New Roman"/>
          <w:sz w:val="18"/>
          <w:szCs w:val="18"/>
          <w:color w:val="auto"/>
        </w:rPr>
      </w:pPr>
    </w:p>
    <w:p>
      <w:pPr>
        <w:ind w:right="140" w:firstLine="436"/>
        <w:spacing w:after="0" w:line="331" w:lineRule="auto"/>
        <w:tabs>
          <w:tab w:leader="none" w:pos="603" w:val="left"/>
        </w:tabs>
        <w:numPr>
          <w:ilvl w:val="1"/>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this Tenth Amended and Restated Certificate of Incorporation, which restates and integrates and further amends the provisions of this corporation’s Ninth Amended and Restated Certificate of Incorporation, has been duly adopted in accordance with Sections 242 and 245 of the DGCL.</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720"/>
          </w:cols>
          <w:pgMar w:left="580" w:top="265" w:right="599" w:bottom="1440" w:gutter="0" w:footer="0" w:header="0"/>
        </w:sectPr>
      </w:pPr>
    </w:p>
    <w:bookmarkStart w:id="353" w:name="page354"/>
    <w:bookmarkEnd w:id="353"/>
    <w:p>
      <w:pPr>
        <w:ind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Tenth Amended and Restated Certificate of Incorporation has been executed by a duly authorized officer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on this 18</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of April,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Ryan Fukushima</w:t>
      </w:r>
    </w:p>
    <w:p>
      <w:pPr>
        <w:spacing w:after="0" w:line="2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Ryan Fukushima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4281170</wp:posOffset>
            </wp:positionH>
            <wp:positionV relativeFrom="paragraph">
              <wp:posOffset>-127635</wp:posOffset>
            </wp:positionV>
            <wp:extent cx="252603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spacing w:after="0" w:line="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Chief Operating Officer</w:t>
      </w:r>
    </w:p>
    <w:p>
      <w:pPr>
        <w:sectPr>
          <w:pgSz w:w="11900" w:h="16838" w:orient="portrait"/>
          <w:cols w:equalWidth="0" w:num="1">
            <w:col w:w="10640"/>
          </w:cols>
          <w:pgMar w:left="580" w:top="263" w:right="679" w:bottom="1440" w:gutter="0" w:footer="0" w:header="0"/>
        </w:sectPr>
      </w:pPr>
    </w:p>
    <w:bookmarkStart w:id="354" w:name="page355"/>
    <w:bookmarkEnd w:id="35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ELEVENTH AMENDED AND RESTATED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Eric Lefkofsky hereby certifies that:</w:t>
      </w:r>
    </w:p>
    <w:p>
      <w:pPr>
        <w:spacing w:after="0" w:line="211" w:lineRule="exact"/>
        <w:rPr>
          <w:sz w:val="20"/>
          <w:szCs w:val="20"/>
          <w:color w:val="auto"/>
        </w:rPr>
      </w:pPr>
    </w:p>
    <w:p>
      <w:pPr>
        <w:ind w:right="32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ONE: </w:t>
      </w:r>
      <w:r>
        <w:rPr>
          <w:rFonts w:ascii="Times New Roman" w:cs="Times New Roman" w:eastAsia="Times New Roman" w:hAnsi="Times New Roman"/>
          <w:sz w:val="18"/>
          <w:szCs w:val="18"/>
          <w:color w:val="auto"/>
        </w:rPr>
        <w:t>The current name of this corporation is Tempus Labs, Inc. The original name of this corporation is Bioin, Inc., and the date of filing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Certificate of Incorporation of this corporation with the Secretary of State of the State of Delaware was September 21, 2015.</w:t>
      </w:r>
    </w:p>
    <w:p>
      <w:pPr>
        <w:spacing w:after="0" w:line="164" w:lineRule="exact"/>
        <w:rPr>
          <w:sz w:val="20"/>
          <w:szCs w:val="20"/>
          <w:color w:val="auto"/>
        </w:rPr>
      </w:pPr>
    </w:p>
    <w:p>
      <w:pPr>
        <w:ind w:right="20" w:firstLine="428"/>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TWO: </w:t>
      </w:r>
      <w:r>
        <w:rPr>
          <w:rFonts w:ascii="Times New Roman" w:cs="Times New Roman" w:eastAsia="Times New Roman" w:hAnsi="Times New Roman"/>
          <w:sz w:val="18"/>
          <w:szCs w:val="18"/>
          <w:color w:val="auto"/>
        </w:rPr>
        <w:t>The original Certificate of Incorporation of this corporation was amended by a Certificate of Amendment filed with the Secretary of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 on September 29, 2015 and was further amended by a Certificate of Amendment filed with the Secretary of State of the State of Delaware on February 12, 2016. The Amended and Restated Certificate of Incorporation was filed on June 20, 2016 and was amended by a Certificate of Amendment filed with the Secretary of State of the State of Delaware on October 6, 2016. The Second Amended and Restated Certificate of Incorporation was filed on November 22, 2016 with the Secretary of State of the State of Delaware. The Third Amended and Restated Certificate of Incorporation was filed on April 17, 2017 with the Secretary of State of the State of Delaware. The Fourth Amended and Restated Certificate of Incorporation was filed on September 8, 2017 with the Secretary of State of the State of Delaware. The Fifth Amended and Restated Certificate of Incorporation was filed on March 16, 2018 with the Secretary of State of the State of Delaware. The Sixth Amended and Restated Certificate of Incorporation was filed on August 23, 2018 with the Secretary of State of the State of Delaware. The Seventh Amended and Restated Certificate of Incorporation was filed on April 30, 2019 with the Secretary of State of the State of Delaware. The Eighth Amended and Restated Certificate of Incorporation was filed on February 6, 2020 with the Secretary of State of the State of Delaware. The Ninth Amended and Restated Certificate of Incorporation was filed on November 19, 2020 with the Secretary of State of the State of Delaware and was further amended by a Certificate of Amendment filed with the Secretary of State of the State of Delaware on March 15, 2021. The Tenth Amended and Restated Certificate of Incorporation was filed on April 18, 2022 with the Secretary of State of the State of Delaware.</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THREE: </w:t>
      </w:r>
      <w:r>
        <w:rPr>
          <w:rFonts w:ascii="Times New Roman" w:cs="Times New Roman" w:eastAsia="Times New Roman" w:hAnsi="Times New Roman"/>
          <w:sz w:val="18"/>
          <w:szCs w:val="18"/>
          <w:color w:val="auto"/>
        </w:rPr>
        <w:t>He is the duly elected and acting Chief Executive Officer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FOUR: </w:t>
      </w:r>
      <w:r>
        <w:rPr>
          <w:rFonts w:ascii="Times New Roman" w:cs="Times New Roman" w:eastAsia="Times New Roman" w:hAnsi="Times New Roman"/>
          <w:sz w:val="18"/>
          <w:szCs w:val="18"/>
          <w:color w:val="auto"/>
        </w:rPr>
        <w:t>The Certificate of Incorporation of this corporation is hereby amended and restated to read as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this company is Tempus Labs,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215" w:lineRule="exact"/>
        <w:rPr>
          <w:sz w:val="20"/>
          <w:szCs w:val="20"/>
          <w:color w:val="auto"/>
        </w:rPr>
      </w:pPr>
    </w:p>
    <w:p>
      <w:pPr>
        <w:ind w:right="200" w:firstLine="428"/>
        <w:spacing w:after="0" w:line="331" w:lineRule="auto"/>
        <w:rPr>
          <w:sz w:val="20"/>
          <w:szCs w:val="20"/>
          <w:color w:val="auto"/>
        </w:rPr>
      </w:pPr>
      <w:r>
        <w:rPr>
          <w:rFonts w:ascii="Times New Roman" w:cs="Times New Roman" w:eastAsia="Times New Roman" w:hAnsi="Times New Roman"/>
          <w:sz w:val="16"/>
          <w:szCs w:val="16"/>
          <w:color w:val="auto"/>
        </w:rPr>
        <w:t>The address of the registered office of the Company in the State of Delaware is 1209 Orange Street, City of Wilmington, County of New Castle, Delaware 19801, and the name of the registered agent of the Company in the State of Delaware at such address is The Corporation Trust Company.</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15" w:lineRule="exact"/>
        <w:rPr>
          <w:sz w:val="20"/>
          <w:szCs w:val="20"/>
          <w:color w:val="auto"/>
        </w:rPr>
      </w:pPr>
    </w:p>
    <w:p>
      <w:pPr>
        <w:ind w:right="220" w:firstLine="428"/>
        <w:spacing w:after="0" w:line="267" w:lineRule="auto"/>
        <w:rPr>
          <w:sz w:val="20"/>
          <w:szCs w:val="20"/>
          <w:color w:val="auto"/>
        </w:rPr>
      </w:pPr>
      <w:r>
        <w:rPr>
          <w:rFonts w:ascii="Times New Roman" w:cs="Times New Roman" w:eastAsia="Times New Roman" w:hAnsi="Times New Roman"/>
          <w:sz w:val="18"/>
          <w:szCs w:val="18"/>
          <w:color w:val="auto"/>
        </w:rPr>
        <w:t>The purpose of the Company is to engage in any lawful act or activity for which a corporation may be organized under the General Corporation Law of the State of Delaware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119" w:right="599" w:bottom="1440" w:gutter="0" w:footer="0" w:header="0"/>
        </w:sectPr>
      </w:pPr>
    </w:p>
    <w:bookmarkStart w:id="355" w:name="page356"/>
    <w:bookmarkEnd w:id="35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IV.</w:t>
      </w:r>
    </w:p>
    <w:p>
      <w:pPr>
        <w:spacing w:after="0" w:line="213" w:lineRule="exact"/>
        <w:rPr>
          <w:sz w:val="20"/>
          <w:szCs w:val="20"/>
          <w:color w:val="auto"/>
        </w:rPr>
      </w:pPr>
    </w:p>
    <w:p>
      <w:pPr>
        <w:jc w:val="both"/>
        <w:ind w:right="20" w:firstLine="428"/>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A. </w:t>
      </w:r>
      <w:r>
        <w:rPr>
          <w:rFonts w:ascii="Times New Roman" w:cs="Times New Roman" w:eastAsia="Times New Roman" w:hAnsi="Times New Roman"/>
          <w:sz w:val="16"/>
          <w:szCs w:val="16"/>
          <w:color w:val="auto"/>
        </w:rPr>
        <w:t>The Company is authorized to issue three classes of stock to be designated, respectively, “Class A Common Stock,” “Class B Common Stock”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“Preferred Stock.” The total number of shares that the Company is authorized to issue is 1,025,500,000 shares, 1,000,000,000 shares of which shall be Class A Common Stock (the “</w:t>
      </w:r>
      <w:r>
        <w:rPr>
          <w:rFonts w:ascii="Times New Roman" w:cs="Times New Roman" w:eastAsia="Times New Roman" w:hAnsi="Times New Roman"/>
          <w:sz w:val="16"/>
          <w:szCs w:val="16"/>
          <w:b w:val="1"/>
          <w:bCs w:val="1"/>
          <w:i w:val="1"/>
          <w:iCs w:val="1"/>
          <w:color w:val="auto"/>
        </w:rPr>
        <w:t>Class A Common Stock</w:t>
      </w:r>
      <w:r>
        <w:rPr>
          <w:rFonts w:ascii="Times New Roman" w:cs="Times New Roman" w:eastAsia="Times New Roman" w:hAnsi="Times New Roman"/>
          <w:sz w:val="16"/>
          <w:szCs w:val="16"/>
          <w:color w:val="auto"/>
        </w:rPr>
        <w:t>”), 5,500,000 shares of which shall be Class B Common Stock (the “</w:t>
      </w:r>
      <w:r>
        <w:rPr>
          <w:rFonts w:ascii="Times New Roman" w:cs="Times New Roman" w:eastAsia="Times New Roman" w:hAnsi="Times New Roman"/>
          <w:sz w:val="16"/>
          <w:szCs w:val="16"/>
          <w:b w:val="1"/>
          <w:bCs w:val="1"/>
          <w:i w:val="1"/>
          <w:iCs w:val="1"/>
          <w:color w:val="auto"/>
        </w:rPr>
        <w:t>Class B Common Stock</w:t>
      </w:r>
      <w:r>
        <w:rPr>
          <w:rFonts w:ascii="Times New Roman" w:cs="Times New Roman" w:eastAsia="Times New Roman" w:hAnsi="Times New Roman"/>
          <w:sz w:val="16"/>
          <w:szCs w:val="16"/>
          <w:color w:val="auto"/>
        </w:rPr>
        <w:t>” together with the Class A Common Stock, the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and 20,000,000 shares of which shall be Preferred Stock (the “</w:t>
      </w:r>
      <w:r>
        <w:rPr>
          <w:rFonts w:ascii="Times New Roman" w:cs="Times New Roman" w:eastAsia="Times New Roman" w:hAnsi="Times New Roman"/>
          <w:sz w:val="16"/>
          <w:szCs w:val="16"/>
          <w:b w:val="1"/>
          <w:bCs w:val="1"/>
          <w:i w:val="1"/>
          <w:iCs w:val="1"/>
          <w:color w:val="auto"/>
        </w:rPr>
        <w:t>Preferred Stock</w:t>
      </w:r>
      <w:r>
        <w:rPr>
          <w:rFonts w:ascii="Times New Roman" w:cs="Times New Roman" w:eastAsia="Times New Roman" w:hAnsi="Times New Roman"/>
          <w:sz w:val="16"/>
          <w:szCs w:val="16"/>
          <w:color w:val="auto"/>
        </w:rPr>
        <w:t>”). The Preferred Stock shall have a par value of $0.0001 per share and the Common Stock shall have a par value of $0.0001 per share.</w:t>
      </w:r>
    </w:p>
    <w:p>
      <w:pPr>
        <w:spacing w:after="0" w:line="51" w:lineRule="exact"/>
        <w:rPr>
          <w:sz w:val="20"/>
          <w:szCs w:val="20"/>
          <w:color w:val="auto"/>
        </w:rPr>
      </w:pPr>
    </w:p>
    <w:p>
      <w:pPr>
        <w:ind w:right="60" w:firstLine="428"/>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Subject to the restrictions of Section 4(d) of Part D of Article IV, the Preferred Stock may be issued from time to time in one or more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Company is hereby expressly authorized by resolution or resolutions to provide for the issue of all or any of the shares of the Preferred Stock in one or more series, and to fix the number of shares of such shares and to determine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(but not above the authorized number of shares of Preferred Stock) or decrease (but not below the number of shares of such series then outstanding) the number of shares of any series subsequent to the issuance of shares of that series.</w:t>
      </w:r>
    </w:p>
    <w:p>
      <w:pPr>
        <w:spacing w:after="0" w:line="81" w:lineRule="exact"/>
        <w:rPr>
          <w:sz w:val="20"/>
          <w:szCs w:val="20"/>
          <w:color w:val="auto"/>
        </w:rPr>
      </w:pPr>
    </w:p>
    <w:p>
      <w:pPr>
        <w:ind w:right="200" w:firstLine="428"/>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number of authorized shares of Preferred Stock, Class A Common Stock or Class B Common Stock may be increased or decreased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below the number of shares thereof then outstanding) by the affirmative vote of the holders of a majority of the voting power of all of the outstanding shares of stock of the Company entitled to vote thereon, without a separate vote of the holders of the Preferred Stock, or of any series thereof, Class A Common Stock or Class B Common Stock unless a vote of any such holders is required pursuant to the terms of any Certificate of Designation filed with respect to any series of Preferred Stock.</w:t>
      </w:r>
    </w:p>
    <w:p>
      <w:pPr>
        <w:spacing w:after="0" w:line="77" w:lineRule="exact"/>
        <w:rPr>
          <w:sz w:val="20"/>
          <w:szCs w:val="20"/>
          <w:color w:val="auto"/>
        </w:rPr>
      </w:pPr>
    </w:p>
    <w:p>
      <w:pPr>
        <w:ind w:right="6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Except as provided above, the rights, preferences, privileges, restrictions and other matters relating to the Class A Common Stock and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are as follows:</w:t>
      </w:r>
    </w:p>
    <w:p>
      <w:pPr>
        <w:spacing w:after="0" w:line="59" w:lineRule="exact"/>
        <w:rPr>
          <w:sz w:val="20"/>
          <w:szCs w:val="20"/>
          <w:color w:val="auto"/>
        </w:rPr>
      </w:pPr>
    </w:p>
    <w:p>
      <w:pPr>
        <w:ind w:left="1140" w:hanging="168"/>
        <w:spacing w:after="0"/>
        <w:tabs>
          <w:tab w:leader="none" w:pos="114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106" w:lineRule="exact"/>
        <w:rPr>
          <w:rFonts w:ascii="Times New Roman" w:cs="Times New Roman" w:eastAsia="Times New Roman" w:hAnsi="Times New Roman"/>
          <w:sz w:val="18"/>
          <w:szCs w:val="18"/>
          <w:b w:val="1"/>
          <w:bCs w:val="1"/>
          <w:color w:val="auto"/>
        </w:rPr>
      </w:pPr>
    </w:p>
    <w:p>
      <w:pPr>
        <w:ind w:firstLine="1400"/>
        <w:spacing w:after="0" w:line="249" w:lineRule="auto"/>
        <w:tabs>
          <w:tab w:leader="none" w:pos="1640" w:val="left"/>
        </w:tabs>
        <w:numPr>
          <w:ilvl w:val="1"/>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means any consolidation or merger of the Company with or into any other Entity, other than any such consolidation or merger in which the stockholders of the Company immediately prior to such consolidation or merger continue to hold a majority of the voting power of the surviving Entity in substantially the same proportions (or, if the surviving Entity is a wholly owned subsidiary of another Entity, the surviving Entity’s Parent) immediately after such consolidation, merger or reorganization; or (B) any transaction or series of related transactions to which the Company is a party in which in excess of 50% of the Company’s voting power is transferred or issued; provided that an Acquisition shall not include any transaction or series of transactions principally for bona fide equity financing purposes.</w:t>
      </w:r>
    </w:p>
    <w:p>
      <w:pPr>
        <w:spacing w:after="0" w:line="76" w:lineRule="exact"/>
        <w:rPr>
          <w:rFonts w:ascii="Times New Roman" w:cs="Times New Roman" w:eastAsia="Times New Roman" w:hAnsi="Times New Roman"/>
          <w:sz w:val="18"/>
          <w:szCs w:val="18"/>
          <w:b w:val="1"/>
          <w:bCs w:val="1"/>
          <w:color w:val="auto"/>
        </w:rPr>
      </w:pPr>
    </w:p>
    <w:p>
      <w:pPr>
        <w:ind w:left="1660" w:hanging="260"/>
        <w:spacing w:after="0"/>
        <w:tabs>
          <w:tab w:leader="none" w:pos="1660" w:val="left"/>
        </w:tabs>
        <w:numPr>
          <w:ilvl w:val="1"/>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Asset Transfer</w:t>
      </w:r>
      <w:r>
        <w:rPr>
          <w:rFonts w:ascii="Times New Roman" w:cs="Times New Roman" w:eastAsia="Times New Roman" w:hAnsi="Times New Roman"/>
          <w:sz w:val="18"/>
          <w:szCs w:val="18"/>
          <w:color w:val="auto"/>
        </w:rPr>
        <w:t>” means the sale, lease or exchange of all or substantially all the assets of the Company.</w:t>
      </w:r>
    </w:p>
    <w:p>
      <w:pPr>
        <w:spacing w:after="0" w:line="108" w:lineRule="exact"/>
        <w:rPr>
          <w:rFonts w:ascii="Times New Roman" w:cs="Times New Roman" w:eastAsia="Times New Roman" w:hAnsi="Times New Roman"/>
          <w:sz w:val="18"/>
          <w:szCs w:val="18"/>
          <w:b w:val="1"/>
          <w:bCs w:val="1"/>
          <w:color w:val="auto"/>
        </w:rPr>
      </w:pPr>
    </w:p>
    <w:p>
      <w:pPr>
        <w:ind w:left="1640" w:hanging="240"/>
        <w:spacing w:after="0"/>
        <w:tabs>
          <w:tab w:leader="none" w:pos="1640" w:val="left"/>
        </w:tabs>
        <w:numPr>
          <w:ilvl w:val="1"/>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60"/>
          </w:cols>
          <w:pgMar w:left="580" w:top="263" w:right="659" w:bottom="1440" w:gutter="0" w:footer="0" w:header="0"/>
        </w:sectPr>
      </w:pPr>
    </w:p>
    <w:bookmarkStart w:id="356" w:name="page357"/>
    <w:bookmarkEnd w:id="356"/>
    <w:p>
      <w:pPr>
        <w:ind w:left="-20" w:right="160" w:firstLine="1400"/>
        <w:spacing w:after="0" w:line="272" w:lineRule="auto"/>
        <w:tabs>
          <w:tab w:leader="none" w:pos="163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means the certificate of incorporation of the Company, as amended and/or restated from time to time, including the terms of any certificate of designations of any series of Preferred Stock.</w:t>
      </w:r>
    </w:p>
    <w:p>
      <w:pPr>
        <w:spacing w:after="0" w:line="55" w:lineRule="exact"/>
        <w:rPr>
          <w:rFonts w:ascii="Times New Roman" w:cs="Times New Roman" w:eastAsia="Times New Roman" w:hAnsi="Times New Roman"/>
          <w:sz w:val="18"/>
          <w:szCs w:val="18"/>
          <w:b w:val="1"/>
          <w:bCs w:val="1"/>
          <w:color w:val="auto"/>
        </w:rPr>
      </w:pPr>
    </w:p>
    <w:p>
      <w:pPr>
        <w:ind w:left="-20" w:right="360" w:firstLine="1400"/>
        <w:spacing w:after="0" w:line="272" w:lineRule="auto"/>
        <w:tabs>
          <w:tab w:leader="none" w:pos="161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 Control</w:t>
      </w:r>
      <w:r>
        <w:rPr>
          <w:rFonts w:ascii="Times New Roman" w:cs="Times New Roman" w:eastAsia="Times New Roman" w:hAnsi="Times New Roman"/>
          <w:sz w:val="18"/>
          <w:szCs w:val="18"/>
          <w:color w:val="auto"/>
        </w:rPr>
        <w:t>” means, with respect to a share of Class B Common Stock, the power (whether exclusive or shared) to direct any sale, assignment, transfer, conveyance hypothecation or other transfer or disposition, directly or indirectly, of such share.</w:t>
      </w:r>
    </w:p>
    <w:p>
      <w:pPr>
        <w:spacing w:after="0" w:line="55" w:lineRule="exact"/>
        <w:rPr>
          <w:rFonts w:ascii="Times New Roman" w:cs="Times New Roman" w:eastAsia="Times New Roman" w:hAnsi="Times New Roman"/>
          <w:sz w:val="18"/>
          <w:szCs w:val="18"/>
          <w:b w:val="1"/>
          <w:bCs w:val="1"/>
          <w:color w:val="auto"/>
        </w:rPr>
      </w:pPr>
    </w:p>
    <w:p>
      <w:pPr>
        <w:ind w:left="1600" w:hanging="220"/>
        <w:spacing w:after="0"/>
        <w:tabs>
          <w:tab w:leader="none" w:pos="160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any corporation, partnership, limited liability company or other legal entity.</w:t>
      </w:r>
    </w:p>
    <w:p>
      <w:pPr>
        <w:spacing w:after="0" w:line="108" w:lineRule="exact"/>
        <w:rPr>
          <w:rFonts w:ascii="Times New Roman" w:cs="Times New Roman" w:eastAsia="Times New Roman" w:hAnsi="Times New Roman"/>
          <w:sz w:val="18"/>
          <w:szCs w:val="18"/>
          <w:b w:val="1"/>
          <w:bCs w:val="1"/>
          <w:color w:val="auto"/>
        </w:rPr>
      </w:pPr>
    </w:p>
    <w:p>
      <w:pPr>
        <w:ind w:left="-20" w:firstLine="1400"/>
        <w:spacing w:after="0" w:line="272" w:lineRule="auto"/>
        <w:tabs>
          <w:tab w:leader="none" w:pos="162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means the time this Eleventh Amended and Restated Certificate of Incorporation of the Company filed with the Secretary of State of the State of Delaware became effective in accordance with the DGCL.</w:t>
      </w:r>
    </w:p>
    <w:p>
      <w:pPr>
        <w:spacing w:after="0" w:line="55" w:lineRule="exact"/>
        <w:rPr>
          <w:rFonts w:ascii="Times New Roman" w:cs="Times New Roman" w:eastAsia="Times New Roman" w:hAnsi="Times New Roman"/>
          <w:sz w:val="18"/>
          <w:szCs w:val="18"/>
          <w:b w:val="1"/>
          <w:bCs w:val="1"/>
          <w:color w:val="auto"/>
        </w:rPr>
      </w:pPr>
    </w:p>
    <w:p>
      <w:pPr>
        <w:ind w:left="-20" w:right="220" w:firstLine="1400"/>
        <w:spacing w:after="0" w:line="258" w:lineRule="auto"/>
        <w:tabs>
          <w:tab w:leader="none" w:pos="163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Family Member</w:t>
      </w:r>
      <w:r>
        <w:rPr>
          <w:rFonts w:ascii="Times New Roman" w:cs="Times New Roman" w:eastAsia="Times New Roman" w:hAnsi="Times New Roman"/>
          <w:sz w:val="18"/>
          <w:szCs w:val="18"/>
          <w:color w:val="auto"/>
        </w:rPr>
        <w:t>” means with respect to any natural person, the spouse, ex-spouse, domestic partner, lineal (including by adoption) descendant or antecedent, brother or sister, the adopted child or adopted grandchild, or the spouse or domestic partner of any child, adopted child, grandchild or adopted grandchild of such individual.</w:t>
      </w:r>
    </w:p>
    <w:p>
      <w:pPr>
        <w:spacing w:after="0" w:line="67" w:lineRule="exact"/>
        <w:rPr>
          <w:rFonts w:ascii="Times New Roman" w:cs="Times New Roman" w:eastAsia="Times New Roman" w:hAnsi="Times New Roman"/>
          <w:sz w:val="18"/>
          <w:szCs w:val="18"/>
          <w:b w:val="1"/>
          <w:bCs w:val="1"/>
          <w:color w:val="auto"/>
        </w:rPr>
      </w:pPr>
    </w:p>
    <w:p>
      <w:pPr>
        <w:ind w:left="-20" w:firstLine="1400"/>
        <w:spacing w:after="0" w:line="272" w:lineRule="auto"/>
        <w:tabs>
          <w:tab w:leader="none" w:pos="1581"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Conversion Date</w:t>
      </w:r>
      <w:r>
        <w:rPr>
          <w:rFonts w:ascii="Times New Roman" w:cs="Times New Roman" w:eastAsia="Times New Roman" w:hAnsi="Times New Roman"/>
          <w:sz w:val="18"/>
          <w:szCs w:val="18"/>
          <w:color w:val="auto"/>
        </w:rPr>
        <w:t>” means 5:00 p.m. in New York City, New York on the last Trading Day of the fiscal year during which a Final Conversion Trigger Event occurs.</w:t>
      </w:r>
    </w:p>
    <w:p>
      <w:pPr>
        <w:spacing w:after="0" w:line="55" w:lineRule="exact"/>
        <w:rPr>
          <w:rFonts w:ascii="Times New Roman" w:cs="Times New Roman" w:eastAsia="Times New Roman" w:hAnsi="Times New Roman"/>
          <w:sz w:val="18"/>
          <w:szCs w:val="18"/>
          <w:b w:val="1"/>
          <w:bCs w:val="1"/>
          <w:color w:val="auto"/>
        </w:rPr>
      </w:pPr>
    </w:p>
    <w:p>
      <w:pPr>
        <w:ind w:left="-20" w:right="20" w:firstLine="1400"/>
        <w:spacing w:after="0" w:line="250" w:lineRule="auto"/>
        <w:tabs>
          <w:tab w:leader="none" w:pos="1591"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Conversion Trigger Event</w:t>
      </w:r>
      <w:r>
        <w:rPr>
          <w:rFonts w:ascii="Times New Roman" w:cs="Times New Roman" w:eastAsia="Times New Roman" w:hAnsi="Times New Roman"/>
          <w:sz w:val="18"/>
          <w:szCs w:val="18"/>
          <w:color w:val="auto"/>
        </w:rPr>
        <w:t>” shall mean the earliest to occur of any of the following (i) the twenty (20) year anniversary of the filing of the Company’s Certificate of Amendment to the Ninth Amended and Restated Certificate of Incorporation, which is March 15, 2041; (ii) the date on which the Founder is no longer providing services to the Company as an executive officer or director; and (iii) the date that the Founder and his controlled entities hold, in the aggregate, fewer than ten million (10,000,000) shares of the Company’s capital stock (as adjusted for stock splits, stock dividends, combinations, subdivisions and recapitalizations).</w:t>
      </w:r>
    </w:p>
    <w:p>
      <w:pPr>
        <w:spacing w:after="0" w:line="77" w:lineRule="exact"/>
        <w:rPr>
          <w:rFonts w:ascii="Times New Roman" w:cs="Times New Roman" w:eastAsia="Times New Roman" w:hAnsi="Times New Roman"/>
          <w:sz w:val="18"/>
          <w:szCs w:val="18"/>
          <w:b w:val="1"/>
          <w:bCs w:val="1"/>
          <w:color w:val="auto"/>
        </w:rPr>
      </w:pPr>
    </w:p>
    <w:p>
      <w:pPr>
        <w:ind w:left="1640" w:hanging="260"/>
        <w:spacing w:after="0"/>
        <w:tabs>
          <w:tab w:leader="none" w:pos="164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w:t>
      </w:r>
      <w:r>
        <w:rPr>
          <w:rFonts w:ascii="Times New Roman" w:cs="Times New Roman" w:eastAsia="Times New Roman" w:hAnsi="Times New Roman"/>
          <w:sz w:val="18"/>
          <w:szCs w:val="18"/>
          <w:color w:val="auto"/>
        </w:rPr>
        <w:t>” means Eric Lefkofsky, an individual.</w:t>
      </w:r>
    </w:p>
    <w:p>
      <w:pPr>
        <w:spacing w:after="0" w:line="108" w:lineRule="exact"/>
        <w:rPr>
          <w:rFonts w:ascii="Times New Roman" w:cs="Times New Roman" w:eastAsia="Times New Roman" w:hAnsi="Times New Roman"/>
          <w:sz w:val="18"/>
          <w:szCs w:val="18"/>
          <w:b w:val="1"/>
          <w:bCs w:val="1"/>
          <w:color w:val="auto"/>
        </w:rPr>
      </w:pPr>
    </w:p>
    <w:p>
      <w:pPr>
        <w:ind w:left="-20" w:firstLine="1400"/>
        <w:spacing w:after="0" w:line="249" w:lineRule="auto"/>
        <w:tabs>
          <w:tab w:leader="none" w:pos="1581"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Liquidation Event</w:t>
      </w:r>
      <w:r>
        <w:rPr>
          <w:rFonts w:ascii="Times New Roman" w:cs="Times New Roman" w:eastAsia="Times New Roman" w:hAnsi="Times New Roman"/>
          <w:sz w:val="18"/>
          <w:szCs w:val="18"/>
          <w:color w:val="auto"/>
        </w:rPr>
        <w:t>” means (i) any Asset Transfer or Acquisition in which cash or other property is, pursuant to the express terms of the Asset Transfer or Acquisition, to be distributed to the stockholders in respect of their shares of capital stock in the Company or (ii) any liquidation, dissolution and winding up of the Company;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the avoidance of doubt, compensation pursuant to any employment, consulting, severance or other compensatory arrangement to be paid to or received by a person who is also a holder of Class A Common Stock, Class B Common Stock or Preferred Stock does not constitute consideration or a “distribution to stockholders” in respect of the Class A Common Stock, Class B Common Stock or Preferred Stock.</w:t>
      </w:r>
    </w:p>
    <w:p>
      <w:pPr>
        <w:spacing w:after="0" w:line="76" w:lineRule="exact"/>
        <w:rPr>
          <w:rFonts w:ascii="Times New Roman" w:cs="Times New Roman" w:eastAsia="Times New Roman" w:hAnsi="Times New Roman"/>
          <w:sz w:val="18"/>
          <w:szCs w:val="18"/>
          <w:b w:val="1"/>
          <w:bCs w:val="1"/>
          <w:color w:val="auto"/>
        </w:rPr>
      </w:pPr>
    </w:p>
    <w:p>
      <w:pPr>
        <w:ind w:left="-20" w:right="120" w:firstLine="1400"/>
        <w:spacing w:after="0" w:line="272" w:lineRule="auto"/>
        <w:tabs>
          <w:tab w:leader="none" w:pos="1678"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of an Entity means any Entity that directly or indirectly owns or controls a majority of the voting power of the voting securities or interests of such Entity.</w:t>
      </w:r>
    </w:p>
    <w:p>
      <w:pPr>
        <w:spacing w:after="0" w:line="55" w:lineRule="exact"/>
        <w:rPr>
          <w:rFonts w:ascii="Times New Roman" w:cs="Times New Roman" w:eastAsia="Times New Roman" w:hAnsi="Times New Roman"/>
          <w:sz w:val="18"/>
          <w:szCs w:val="18"/>
          <w:b w:val="1"/>
          <w:bCs w:val="1"/>
          <w:color w:val="auto"/>
        </w:rPr>
      </w:pPr>
    </w:p>
    <w:p>
      <w:pPr>
        <w:ind w:left="1640" w:hanging="260"/>
        <w:spacing w:after="0"/>
        <w:tabs>
          <w:tab w:leader="none" w:pos="164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Entity</w:t>
      </w:r>
      <w:r>
        <w:rPr>
          <w:rFonts w:ascii="Times New Roman" w:cs="Times New Roman" w:eastAsia="Times New Roman" w:hAnsi="Times New Roman"/>
          <w:sz w:val="18"/>
          <w:szCs w:val="18"/>
          <w:color w:val="auto"/>
        </w:rPr>
        <w:t>” means any of the following:</w:t>
      </w:r>
    </w:p>
    <w:p>
      <w:pPr>
        <w:spacing w:after="0" w:line="112" w:lineRule="exact"/>
        <w:rPr>
          <w:rFonts w:ascii="Times New Roman" w:cs="Times New Roman" w:eastAsia="Times New Roman" w:hAnsi="Times New Roman"/>
          <w:sz w:val="18"/>
          <w:szCs w:val="18"/>
          <w:b w:val="1"/>
          <w:bCs w:val="1"/>
          <w:color w:val="auto"/>
        </w:rPr>
      </w:pPr>
    </w:p>
    <w:p>
      <w:pPr>
        <w:ind w:left="-20" w:right="340" w:firstLine="1936"/>
        <w:spacing w:after="0" w:line="331" w:lineRule="auto"/>
        <w:tabs>
          <w:tab w:leader="none" w:pos="2117" w:val="left"/>
        </w:tabs>
        <w:numPr>
          <w:ilvl w:val="1"/>
          <w:numId w:val="1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trust for the benefit of any person so long as the Founder directly, or indirectly through one or more other Permitted Entities, has exclusive Disposition Control and exclusive Voting Control with respect to the shares of Class B Common Stock held by such trust;</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80"/>
          </w:cols>
          <w:pgMar w:left="600" w:top="261" w:right="619" w:bottom="1440" w:gutter="0" w:footer="0" w:header="0"/>
        </w:sectPr>
      </w:pPr>
    </w:p>
    <w:bookmarkStart w:id="357" w:name="page358"/>
    <w:bookmarkEnd w:id="357"/>
    <w:p>
      <w:pPr>
        <w:ind w:left="-8" w:right="40" w:firstLine="1936"/>
        <w:spacing w:after="0" w:line="255" w:lineRule="auto"/>
        <w:tabs>
          <w:tab w:leader="none" w:pos="2178" w:val="left"/>
        </w:tabs>
        <w:numPr>
          <w:ilvl w:val="1"/>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 trust under the terms of which the Founder has retained a “qualified interest” within the meaning of §2702(b) of the Internal Revenue Code of 1986 (as amended, the “</w:t>
      </w:r>
      <w:r>
        <w:rPr>
          <w:rFonts w:ascii="Times New Roman" w:cs="Times New Roman" w:eastAsia="Times New Roman" w:hAnsi="Times New Roman"/>
          <w:sz w:val="18"/>
          <w:szCs w:val="18"/>
          <w:b w:val="1"/>
          <w:bCs w:val="1"/>
          <w:i w:val="1"/>
          <w:iCs w:val="1"/>
          <w:color w:val="auto"/>
        </w:rPr>
        <w:t>Internal Revenue Code</w:t>
      </w:r>
      <w:r>
        <w:rPr>
          <w:rFonts w:ascii="Times New Roman" w:cs="Times New Roman" w:eastAsia="Times New Roman" w:hAnsi="Times New Roman"/>
          <w:sz w:val="18"/>
          <w:szCs w:val="18"/>
          <w:color w:val="auto"/>
        </w:rPr>
        <w:t>”) or a reversionary interest so long as the Founder has exclusive Disposition Control and exclusive Voting Control with respect to the shares of Class B Common Stock held by such trust;</w:t>
      </w:r>
    </w:p>
    <w:p>
      <w:pPr>
        <w:spacing w:after="0" w:line="75" w:lineRule="exact"/>
        <w:rPr>
          <w:rFonts w:ascii="Times New Roman" w:cs="Times New Roman" w:eastAsia="Times New Roman" w:hAnsi="Times New Roman"/>
          <w:sz w:val="18"/>
          <w:szCs w:val="18"/>
          <w:b w:val="1"/>
          <w:bCs w:val="1"/>
          <w:color w:val="auto"/>
        </w:rPr>
      </w:pPr>
    </w:p>
    <w:p>
      <w:pPr>
        <w:ind w:left="2232" w:hanging="304"/>
        <w:spacing w:after="0"/>
        <w:tabs>
          <w:tab w:leader="none" w:pos="2232" w:val="left"/>
        </w:tabs>
        <w:numPr>
          <w:ilvl w:val="1"/>
          <w:numId w:val="1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trust for the benefit of one or more of (1) the Founder, (2) a Family Member of the Founder, (3) a Permitted Entity or</w:t>
      </w:r>
    </w:p>
    <w:p>
      <w:pPr>
        <w:spacing w:after="0" w:line="43" w:lineRule="exact"/>
        <w:rPr>
          <w:rFonts w:ascii="Times New Roman" w:cs="Times New Roman" w:eastAsia="Times New Roman" w:hAnsi="Times New Roman"/>
          <w:sz w:val="16"/>
          <w:szCs w:val="16"/>
          <w:b w:val="1"/>
          <w:bCs w:val="1"/>
          <w:color w:val="auto"/>
        </w:rPr>
      </w:pPr>
    </w:p>
    <w:p>
      <w:pPr>
        <w:ind w:left="-8" w:right="60" w:firstLine="8"/>
        <w:spacing w:after="0" w:line="274" w:lineRule="auto"/>
        <w:tabs>
          <w:tab w:leader="none" w:pos="24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charitable organization, foundation or similar Entity in which the trustee is one or more of (x) the Founder, (y) a professional in the business of providing trustee services, including private professional fiduciaries, trust companies, accounting, legal or financial advisors, or bank trust departments or (z) a member of the Board of Directors, an executive officer of the Company, a private banker at a nationally or internationally recognized financial institution or a legal advisor of the Founder, in each case, so long as such person is approved by a majority of the members of the Board of Directors other than the Founder (if serving as a member of the Board of Directors), provided, that any such person described in clauses (x), (y) or (z) of the foregoing is subject to appointment and removal solely by the Founder (directly or indirectly through a Permitted Entity) or a Permitted Entity (a “</w:t>
      </w:r>
      <w:r>
        <w:rPr>
          <w:rFonts w:ascii="Times New Roman" w:cs="Times New Roman" w:eastAsia="Times New Roman" w:hAnsi="Times New Roman"/>
          <w:sz w:val="16"/>
          <w:szCs w:val="16"/>
          <w:b w:val="1"/>
          <w:bCs w:val="1"/>
          <w:i w:val="1"/>
          <w:iCs w:val="1"/>
          <w:color w:val="auto"/>
        </w:rPr>
        <w:t>Qualified Trustee</w:t>
      </w:r>
      <w:r>
        <w:rPr>
          <w:rFonts w:ascii="Times New Roman" w:cs="Times New Roman" w:eastAsia="Times New Roman" w:hAnsi="Times New Roman"/>
          <w:sz w:val="16"/>
          <w:szCs w:val="16"/>
          <w:color w:val="auto"/>
        </w:rPr>
        <w:t>”); provided that exclusive Disposition Control and exclusive Voting Control over shares of Class B Common Stock held by such trust is at all times held by one or both of (i) the Qualified Trustee and (ii) the Founder or a Permitted Entity, and if at any time (A) the Founder or a Permitted Entity or (B) the Qualified Trustee does not have exclusive Disposition Control and exclusive Voting Control with respect to the shares of Class B Common Stock held by such trust, then each share of Class B Common Stock then held by such trust shall automatically convert into one</w:t>
      </w:r>
    </w:p>
    <w:p>
      <w:pPr>
        <w:jc w:val="both"/>
        <w:ind w:left="-8" w:right="80" w:firstLine="8"/>
        <w:spacing w:after="0" w:line="274" w:lineRule="auto"/>
        <w:tabs>
          <w:tab w:leader="none" w:pos="24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fully paid and nonassessable share of Class A Common Stock; and provided, further, in the event a Qualified Trustee resigns as trustee, or becomes ineligible to be a Qualified Trustee, or otherwise ceases to serve as a Qualified Trustee, the Founder or Permitted Entity, as applicable, shall have sixty</w:t>
      </w:r>
    </w:p>
    <w:p>
      <w:pPr>
        <w:ind w:left="-8" w:right="160" w:firstLine="8"/>
        <w:spacing w:after="0" w:line="247" w:lineRule="auto"/>
        <w:tabs>
          <w:tab w:leader="none" w:pos="32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to appoint a replacement Qualified Trustee before any shares of Class B Common Stock held by such trust shall be automatically converted into shares of Class A Common Stock;</w:t>
      </w:r>
    </w:p>
    <w:p>
      <w:pPr>
        <w:spacing w:after="0" w:line="81" w:lineRule="exact"/>
        <w:rPr>
          <w:rFonts w:ascii="Times New Roman" w:cs="Times New Roman" w:eastAsia="Times New Roman" w:hAnsi="Times New Roman"/>
          <w:sz w:val="18"/>
          <w:szCs w:val="18"/>
          <w:color w:val="auto"/>
        </w:rPr>
      </w:pPr>
    </w:p>
    <w:p>
      <w:pPr>
        <w:ind w:left="-8" w:right="60" w:firstLine="1936"/>
        <w:spacing w:after="0" w:line="247" w:lineRule="auto"/>
        <w:tabs>
          <w:tab w:leader="none" w:pos="2217" w:val="left"/>
        </w:tabs>
        <w:numPr>
          <w:ilvl w:val="1"/>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trust under the terms of which the Founder has the power to revest in the Founder title to the trust property, if such power is exercisable solely by the Founder without the approval or consent of any other person or with the consent of a “related or subordinate party” within the meaning of §672(c) of the Internal Revenue Code, provided that exclusive Disposition Control and exclusive Voting Control over shares of Class B Common Stock held by such trust is at all times held by one or both of (i) the Qualified Trustee and (ii) the Founder or a Permitted Entity; and provided, in the event a Qualified Trustee resigns as trustee, or becomes ineligible to be a Qualified Trustee, or otherwise ceases to serve as a Qualified Trustee, the Founder or Permitted Entity, as applicable, shall have sixty (60) days to appoint a replacement Qualified Trustee before any shares of Class B Common Stock held by such trust shall be automatically converted into shares of Class A Common Stock. A trust satisfying the conditions of Section 1(n)(iii) or this Section 1(n)(iv) is referred to herein as a “</w:t>
      </w:r>
      <w:r>
        <w:rPr>
          <w:rFonts w:ascii="Times New Roman" w:cs="Times New Roman" w:eastAsia="Times New Roman" w:hAnsi="Times New Roman"/>
          <w:sz w:val="18"/>
          <w:szCs w:val="18"/>
          <w:b w:val="1"/>
          <w:bCs w:val="1"/>
          <w:i w:val="1"/>
          <w:iCs w:val="1"/>
          <w:color w:val="auto"/>
        </w:rPr>
        <w:t>Qualified Trust</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b w:val="1"/>
          <w:bCs w:val="1"/>
          <w:color w:val="auto"/>
        </w:rPr>
      </w:pPr>
    </w:p>
    <w:p>
      <w:pPr>
        <w:ind w:left="-8" w:right="120" w:firstLine="1936"/>
        <w:spacing w:after="0" w:line="251" w:lineRule="auto"/>
        <w:tabs>
          <w:tab w:leader="none" w:pos="2168" w:val="left"/>
        </w:tabs>
        <w:numPr>
          <w:ilvl w:val="1"/>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Individual Retirement Account, as defined in Section 408(a) of the Internal Revenue Code, or a pension, profit sharing, stock bonus or other type of plan or trust of which the Founder is a participant or beneficiary and which satisfies the requirements for qualification under Section 401 of the Internal Revenue Code; provided that in each case the Founder has exclusive Disposition Control and exclusive Voting Control with respect to the shares of Class B Common Stock held in such account, plan or trust;</w:t>
      </w:r>
    </w:p>
    <w:p>
      <w:pPr>
        <w:spacing w:after="0" w:line="79" w:lineRule="exact"/>
        <w:rPr>
          <w:rFonts w:ascii="Times New Roman" w:cs="Times New Roman" w:eastAsia="Times New Roman" w:hAnsi="Times New Roman"/>
          <w:sz w:val="18"/>
          <w:szCs w:val="18"/>
          <w:b w:val="1"/>
          <w:bCs w:val="1"/>
          <w:color w:val="auto"/>
        </w:rPr>
      </w:pPr>
    </w:p>
    <w:p>
      <w:pPr>
        <w:jc w:val="both"/>
        <w:ind w:left="-8" w:firstLine="1936"/>
        <w:spacing w:after="0" w:line="255" w:lineRule="auto"/>
        <w:tabs>
          <w:tab w:leader="none" w:pos="2217" w:val="left"/>
        </w:tabs>
        <w:numPr>
          <w:ilvl w:val="1"/>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charitable organization, foundation or similar Entity organized and operated primarily for religious, scientific, literary, education or a charitable purpose (a “</w:t>
      </w:r>
      <w:r>
        <w:rPr>
          <w:rFonts w:ascii="Times New Roman" w:cs="Times New Roman" w:eastAsia="Times New Roman" w:hAnsi="Times New Roman"/>
          <w:sz w:val="18"/>
          <w:szCs w:val="18"/>
          <w:b w:val="1"/>
          <w:bCs w:val="1"/>
          <w:i w:val="1"/>
          <w:iCs w:val="1"/>
          <w:color w:val="auto"/>
        </w:rPr>
        <w:t>Qualified Charity</w:t>
      </w:r>
      <w:r>
        <w:rPr>
          <w:rFonts w:ascii="Times New Roman" w:cs="Times New Roman" w:eastAsia="Times New Roman" w:hAnsi="Times New Roman"/>
          <w:sz w:val="18"/>
          <w:szCs w:val="18"/>
          <w:color w:val="auto"/>
        </w:rPr>
        <w:t>”) so long as the Founder, directly, or indirectly through one or more other Permitted Entities, or a Qualified Trustee of a Qualified Trust, retains exclusive Disposition Control and exclusive Voting Control</w:t>
      </w:r>
    </w:p>
    <w:p>
      <w:pPr>
        <w:spacing w:after="0" w:line="115"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32"/>
          </w:cols>
          <w:pgMar w:left="588" w:top="266" w:right="679" w:bottom="1440" w:gutter="0" w:footer="0" w:header="0"/>
        </w:sectPr>
      </w:pPr>
    </w:p>
    <w:bookmarkStart w:id="358" w:name="page359"/>
    <w:bookmarkEnd w:id="358"/>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with respect to the shares of Class B Common Stock held by such Qualified Charity, it being understood that the Founder shall be deemed for all purposes hereof to retain exclusive Disposition Control and exclusive Voting Control with respect to the shares of Class B Common Stock held of record by such Qualified Charity as long as the Founder, a Permitted Entity, or a Qualified Trustee of a Qualified Trust has the right to, directly or indirectly, elect and remove such number of the members of the board of directors, managers or other similar persons in a Qualified Charity who have sufficient voting or other power to direct or exercise the Voting Control and Disposition Control of the shares of Class B Common Stock held of record by such Qualified Charity; provided such Transfer does not involve any payment of cash, securities, property or other consideration (other than an interest in such Qualified Charity) to the Founder or such Permitted Entity, as applicable;</w:t>
      </w:r>
    </w:p>
    <w:p>
      <w:pPr>
        <w:spacing w:after="0" w:line="84" w:lineRule="exact"/>
        <w:rPr>
          <w:sz w:val="20"/>
          <w:szCs w:val="20"/>
          <w:color w:val="auto"/>
        </w:rPr>
      </w:pPr>
    </w:p>
    <w:p>
      <w:pPr>
        <w:ind w:right="340" w:firstLine="1936"/>
        <w:spacing w:after="0" w:line="267" w:lineRule="auto"/>
        <w:tabs>
          <w:tab w:leader="none" w:pos="2273"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estate, so long as the Founder has exclusive Disposition Control and exclusive Voting Control with respect to the shares of Class B Common Stock held by such estate; and</w:t>
      </w:r>
    </w:p>
    <w:p>
      <w:pPr>
        <w:spacing w:after="0" w:line="60" w:lineRule="exact"/>
        <w:rPr>
          <w:rFonts w:ascii="Times New Roman" w:cs="Times New Roman" w:eastAsia="Times New Roman" w:hAnsi="Times New Roman"/>
          <w:sz w:val="18"/>
          <w:szCs w:val="18"/>
          <w:b w:val="1"/>
          <w:bCs w:val="1"/>
          <w:color w:val="auto"/>
        </w:rPr>
      </w:pPr>
    </w:p>
    <w:p>
      <w:pPr>
        <w:ind w:right="20" w:firstLine="1936"/>
        <w:spacing w:after="0" w:line="247" w:lineRule="auto"/>
        <w:tabs>
          <w:tab w:leader="none" w:pos="2322"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Entity (each, a “</w:t>
      </w:r>
      <w:r>
        <w:rPr>
          <w:rFonts w:ascii="Times New Roman" w:cs="Times New Roman" w:eastAsia="Times New Roman" w:hAnsi="Times New Roman"/>
          <w:sz w:val="18"/>
          <w:szCs w:val="18"/>
          <w:b w:val="1"/>
          <w:bCs w:val="1"/>
          <w:i w:val="1"/>
          <w:iCs w:val="1"/>
          <w:color w:val="auto"/>
        </w:rPr>
        <w:t>Founder Entity</w:t>
      </w:r>
      <w:r>
        <w:rPr>
          <w:rFonts w:ascii="Times New Roman" w:cs="Times New Roman" w:eastAsia="Times New Roman" w:hAnsi="Times New Roman"/>
          <w:sz w:val="18"/>
          <w:szCs w:val="18"/>
          <w:color w:val="auto"/>
        </w:rPr>
        <w:t>”) in which the Founder, directly, or indirectly through one or more Permitted Entities, or a Qualified Trustee of a Qualified Trust, owns or controls shares, membership interests or other voting interests with sufficient voting control in the Entity, or otherwise has legally enforceable rights, such that the Founder retains exclusive Disposition Control and exclusive Voting Control with respect to the shares of Class B Common Stock held of record by such Founder Entity, it being understood that the Class B Stockholder shall be deemed for all purposes hereof to retain exclusive Disposition Control and exclusive Voting Control with respect to the shares of Class B Common Stock held of record by such Founder Entity as long as the Founder, a Permitted Entity, or a Qualified Trustee of a Qualified Trust has the right to, directly or indirectly, elect and remove such number of the members of the board of directors, managers or other similar persons in a Founder Entity who have sufficient voting or other power to direct or exercise the Voting Control and Disposition Control of the shares of Class B Common Stock held of record by such Founder Entity.</w:t>
      </w:r>
    </w:p>
    <w:p>
      <w:pPr>
        <w:spacing w:after="0" w:line="8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For the sake of clarity, in this Section 1(n), the Founder will be deemed to have exclusive Disposition Control and exclusive Voting Control over shares of Class B Common Stock held by a person if a Permitted Entity or, in the case of a Qualified Trust, a Qualified Trustee has exclusive Disposition Control and exclusive Voting Control over such shares.</w:t>
      </w:r>
    </w:p>
    <w:p>
      <w:pPr>
        <w:spacing w:after="0" w:line="71" w:lineRule="exact"/>
        <w:rPr>
          <w:sz w:val="20"/>
          <w:szCs w:val="20"/>
          <w:color w:val="auto"/>
        </w:rPr>
      </w:pPr>
    </w:p>
    <w:p>
      <w:pPr>
        <w:ind w:left="1640" w:hanging="240"/>
        <w:spacing w:after="0"/>
        <w:tabs>
          <w:tab w:leader="none" w:pos="164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means, and is restricted to, any Transfer of a share of Class B Common Stock:</w:t>
      </w:r>
    </w:p>
    <w:p>
      <w:pPr>
        <w:spacing w:after="0" w:line="112" w:lineRule="exact"/>
        <w:rPr>
          <w:rFonts w:ascii="Times New Roman" w:cs="Times New Roman" w:eastAsia="Times New Roman" w:hAnsi="Times New Roman"/>
          <w:sz w:val="18"/>
          <w:szCs w:val="18"/>
          <w:b w:val="1"/>
          <w:bCs w:val="1"/>
          <w:color w:val="auto"/>
        </w:rPr>
      </w:pPr>
    </w:p>
    <w:p>
      <w:pPr>
        <w:ind w:right="80" w:firstLine="1936"/>
        <w:spacing w:after="0" w:line="255" w:lineRule="auto"/>
        <w:tabs>
          <w:tab w:leader="none" w:pos="2137" w:val="left"/>
        </w:tabs>
        <w:numPr>
          <w:ilvl w:val="1"/>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 Qualified Stockholder who is a natural person (including a natural person serving in a trustee capacity with regard to a trust for the benefit of himself or herself and/or his or her Family Members), to the trustee of a Permitted Entity that is a trust of such Qualified Stockholder or to such Qualified Stockholder in his or her individual capacity or as a trustee of a Permitted Entity that is a trust;</w:t>
      </w:r>
    </w:p>
    <w:p>
      <w:pPr>
        <w:spacing w:after="0" w:line="75" w:lineRule="exact"/>
        <w:rPr>
          <w:rFonts w:ascii="Times New Roman" w:cs="Times New Roman" w:eastAsia="Times New Roman" w:hAnsi="Times New Roman"/>
          <w:sz w:val="18"/>
          <w:szCs w:val="18"/>
          <w:b w:val="1"/>
          <w:bCs w:val="1"/>
          <w:color w:val="auto"/>
        </w:rPr>
      </w:pPr>
    </w:p>
    <w:p>
      <w:pPr>
        <w:ind w:right="60" w:firstLine="1936"/>
        <w:spacing w:after="0" w:line="267" w:lineRule="auto"/>
        <w:tabs>
          <w:tab w:leader="none" w:pos="2186" w:val="left"/>
        </w:tabs>
        <w:numPr>
          <w:ilvl w:val="1"/>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the trustee of a Permitted Entity that is a trust of a Qualified Stockholder, to such Qualified Stockholder, the trustee of any other Permitted Entity that is a trust of such Qualified Stockholder or any Permitted Entity of such Qualified Stockholder;</w:t>
      </w:r>
    </w:p>
    <w:p>
      <w:pPr>
        <w:spacing w:after="0" w:line="64" w:lineRule="exact"/>
        <w:rPr>
          <w:rFonts w:ascii="Times New Roman" w:cs="Times New Roman" w:eastAsia="Times New Roman" w:hAnsi="Times New Roman"/>
          <w:sz w:val="18"/>
          <w:szCs w:val="18"/>
          <w:b w:val="1"/>
          <w:bCs w:val="1"/>
          <w:color w:val="auto"/>
        </w:rPr>
      </w:pPr>
    </w:p>
    <w:p>
      <w:pPr>
        <w:ind w:left="2240" w:hanging="304"/>
        <w:spacing w:after="0"/>
        <w:tabs>
          <w:tab w:leader="none" w:pos="2240" w:val="left"/>
        </w:tabs>
        <w:numPr>
          <w:ilvl w:val="1"/>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 Qualified Stockholder to any Permitted Entity of such Qualified Stockholder; or</w:t>
      </w:r>
    </w:p>
    <w:p>
      <w:pPr>
        <w:spacing w:after="0" w:line="108" w:lineRule="exact"/>
        <w:rPr>
          <w:rFonts w:ascii="Times New Roman" w:cs="Times New Roman" w:eastAsia="Times New Roman" w:hAnsi="Times New Roman"/>
          <w:sz w:val="18"/>
          <w:szCs w:val="18"/>
          <w:b w:val="1"/>
          <w:bCs w:val="1"/>
          <w:color w:val="auto"/>
        </w:rPr>
      </w:pPr>
    </w:p>
    <w:p>
      <w:pPr>
        <w:ind w:right="420" w:firstLine="1936"/>
        <w:spacing w:after="0" w:line="267" w:lineRule="auto"/>
        <w:tabs>
          <w:tab w:leader="none" w:pos="2224" w:val="left"/>
        </w:tabs>
        <w:numPr>
          <w:ilvl w:val="1"/>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 Permitted Entity of a Qualified Stockholder to such Qualified Stockholder or any other Permitted Entity or the trustee of a Permitted Entity that is a trust of such Qualified Stockholder.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20"/>
          </w:cols>
          <w:pgMar w:left="580" w:top="265" w:right="599" w:bottom="1440" w:gutter="0" w:footer="0" w:header="0"/>
        </w:sectPr>
      </w:pPr>
    </w:p>
    <w:bookmarkStart w:id="359" w:name="page360"/>
    <w:bookmarkEnd w:id="359"/>
    <w:p>
      <w:pPr>
        <w:ind w:left="1660" w:hanging="260"/>
        <w:spacing w:after="0"/>
        <w:tabs>
          <w:tab w:leader="none" w:pos="166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a transferee of shares of Class B Common Stock received in a Transfer that constitutes 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Transfer.</w:t>
      </w:r>
    </w:p>
    <w:p>
      <w:pPr>
        <w:spacing w:after="0" w:line="86" w:lineRule="exact"/>
        <w:rPr>
          <w:sz w:val="20"/>
          <w:szCs w:val="20"/>
          <w:color w:val="auto"/>
        </w:rPr>
      </w:pPr>
    </w:p>
    <w:p>
      <w:pPr>
        <w:ind w:right="420" w:firstLine="1400"/>
        <w:spacing w:after="0" w:line="272" w:lineRule="auto"/>
        <w:tabs>
          <w:tab w:leader="none" w:pos="1650" w:val="left"/>
        </w:tabs>
        <w:numPr>
          <w:ilvl w:val="1"/>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Stockholder</w:t>
      </w:r>
      <w:r>
        <w:rPr>
          <w:rFonts w:ascii="Times New Roman" w:cs="Times New Roman" w:eastAsia="Times New Roman" w:hAnsi="Times New Roman"/>
          <w:sz w:val="18"/>
          <w:szCs w:val="18"/>
          <w:color w:val="auto"/>
        </w:rPr>
        <w:t>” means (i) the Founder, (ii) any record holder of a share of Class B Common Stock at the Effective Time, and (iii) a Permitted Transferee.</w:t>
      </w:r>
    </w:p>
    <w:p>
      <w:pPr>
        <w:spacing w:after="0" w:line="55" w:lineRule="exact"/>
        <w:rPr>
          <w:rFonts w:ascii="Times New Roman" w:cs="Times New Roman" w:eastAsia="Times New Roman" w:hAnsi="Times New Roman"/>
          <w:sz w:val="18"/>
          <w:szCs w:val="18"/>
          <w:b w:val="1"/>
          <w:bCs w:val="1"/>
          <w:color w:val="auto"/>
        </w:rPr>
      </w:pPr>
    </w:p>
    <w:p>
      <w:pPr>
        <w:ind w:right="100" w:firstLine="1400"/>
        <w:spacing w:after="0" w:line="272" w:lineRule="auto"/>
        <w:tabs>
          <w:tab w:leader="none" w:pos="1630" w:val="left"/>
        </w:tabs>
        <w:numPr>
          <w:ilvl w:val="1"/>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Nasdaq Stock Market, or any national stock exchange under which the Company’s equity securities are listed for trading, is open for trading.</w:t>
      </w:r>
    </w:p>
    <w:p>
      <w:pPr>
        <w:spacing w:after="0" w:line="55" w:lineRule="exact"/>
        <w:rPr>
          <w:rFonts w:ascii="Times New Roman" w:cs="Times New Roman" w:eastAsia="Times New Roman" w:hAnsi="Times New Roman"/>
          <w:sz w:val="18"/>
          <w:szCs w:val="18"/>
          <w:b w:val="1"/>
          <w:bCs w:val="1"/>
          <w:color w:val="auto"/>
        </w:rPr>
      </w:pPr>
    </w:p>
    <w:p>
      <w:pPr>
        <w:ind w:right="60" w:firstLine="1400"/>
        <w:spacing w:after="0" w:line="249" w:lineRule="auto"/>
        <w:tabs>
          <w:tab w:leader="none" w:pos="1621" w:val="left"/>
        </w:tabs>
        <w:numPr>
          <w:ilvl w:val="1"/>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of a share of Class B Common Stock means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provided, however, that the following shall not be considered a “Transfer” within the meaning of this Article IV:</w:t>
      </w:r>
    </w:p>
    <w:p>
      <w:pPr>
        <w:spacing w:after="0" w:line="80" w:lineRule="exact"/>
        <w:rPr>
          <w:rFonts w:ascii="Times New Roman" w:cs="Times New Roman" w:eastAsia="Times New Roman" w:hAnsi="Times New Roman"/>
          <w:sz w:val="18"/>
          <w:szCs w:val="18"/>
          <w:b w:val="1"/>
          <w:bCs w:val="1"/>
          <w:color w:val="auto"/>
        </w:rPr>
      </w:pPr>
    </w:p>
    <w:p>
      <w:pPr>
        <w:ind w:right="520" w:firstLine="1936"/>
        <w:spacing w:after="0" w:line="267" w:lineRule="auto"/>
        <w:tabs>
          <w:tab w:leader="none" w:pos="2137" w:val="left"/>
        </w:tabs>
        <w:numPr>
          <w:ilvl w:val="2"/>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granting of a revocable proxy to officers or directors of the Company at the request of the Board of Directors in connection with actions to be taken at an annual or special meeting of stockholders;</w:t>
      </w:r>
    </w:p>
    <w:p>
      <w:pPr>
        <w:spacing w:after="0" w:line="64" w:lineRule="exact"/>
        <w:rPr>
          <w:rFonts w:ascii="Times New Roman" w:cs="Times New Roman" w:eastAsia="Times New Roman" w:hAnsi="Times New Roman"/>
          <w:sz w:val="18"/>
          <w:szCs w:val="18"/>
          <w:b w:val="1"/>
          <w:bCs w:val="1"/>
          <w:color w:val="auto"/>
        </w:rPr>
      </w:pPr>
    </w:p>
    <w:p>
      <w:pPr>
        <w:ind w:left="2200" w:hanging="264"/>
        <w:spacing w:after="0"/>
        <w:tabs>
          <w:tab w:leader="none" w:pos="2200" w:val="left"/>
        </w:tabs>
        <w:numPr>
          <w:ilvl w:val="2"/>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existence of any proxy granted prior to the Effective Time or the amendment or expiration of any such proxy;</w:t>
      </w:r>
    </w:p>
    <w:p>
      <w:pPr>
        <w:spacing w:after="0" w:line="108" w:lineRule="exact"/>
        <w:rPr>
          <w:rFonts w:ascii="Times New Roman" w:cs="Times New Roman" w:eastAsia="Times New Roman" w:hAnsi="Times New Roman"/>
          <w:sz w:val="18"/>
          <w:szCs w:val="18"/>
          <w:b w:val="1"/>
          <w:bCs w:val="1"/>
          <w:color w:val="auto"/>
        </w:rPr>
      </w:pPr>
    </w:p>
    <w:p>
      <w:pPr>
        <w:ind w:right="40" w:firstLine="1936"/>
        <w:spacing w:after="0" w:line="281" w:lineRule="auto"/>
        <w:tabs>
          <w:tab w:leader="none" w:pos="2234" w:val="left"/>
        </w:tabs>
        <w:numPr>
          <w:ilvl w:val="2"/>
          <w:numId w:val="1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the Company, (B) either has a term not exceeding one year or is terminable by the holder of the shares subject thereto at any time and</w:t>
      </w:r>
    </w:p>
    <w:p>
      <w:pPr>
        <w:spacing w:after="0" w:line="1" w:lineRule="exact"/>
        <w:rPr>
          <w:rFonts w:ascii="Times New Roman" w:cs="Times New Roman" w:eastAsia="Times New Roman" w:hAnsi="Times New Roman"/>
          <w:sz w:val="16"/>
          <w:szCs w:val="16"/>
          <w:b w:val="1"/>
          <w:bCs w:val="1"/>
          <w:color w:val="auto"/>
        </w:rPr>
      </w:pPr>
    </w:p>
    <w:p>
      <w:pPr>
        <w:ind w:right="320" w:firstLine="8"/>
        <w:spacing w:after="0" w:line="247" w:lineRule="auto"/>
        <w:tabs>
          <w:tab w:leader="none" w:pos="277"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involve any payment of cash, securities, property or other consideration to the holder of the shares subject thereto other than the mutual promise to vote shares in a designated manner;</w:t>
      </w:r>
    </w:p>
    <w:p>
      <w:pPr>
        <w:spacing w:after="0" w:line="81" w:lineRule="exact"/>
        <w:rPr>
          <w:rFonts w:ascii="Times New Roman" w:cs="Times New Roman" w:eastAsia="Times New Roman" w:hAnsi="Times New Roman"/>
          <w:sz w:val="18"/>
          <w:szCs w:val="18"/>
          <w:color w:val="auto"/>
        </w:rPr>
      </w:pPr>
    </w:p>
    <w:p>
      <w:pPr>
        <w:ind w:right="400" w:firstLine="1936"/>
        <w:spacing w:after="0" w:line="251" w:lineRule="auto"/>
        <w:tabs>
          <w:tab w:leader="none" w:pos="2224" w:val="left"/>
        </w:tabs>
        <w:numPr>
          <w:ilvl w:val="2"/>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pledge of shares of Class B Common Stock by a stockholder that creates a mere security interest in such shares pursuant to a bona fide loan or indebtedness transaction for so long as such stockholder continues to exercise exclusive Voting Control over such pledged shares; provided, however, that a foreclosure on such shares or other similar action by the pledgee shall constitute a “Transfer” unless such foreclosure or similar action qualifies as a “Permitted Transfer”; or</w:t>
      </w:r>
    </w:p>
    <w:p>
      <w:pPr>
        <w:spacing w:after="0" w:line="79" w:lineRule="exact"/>
        <w:rPr>
          <w:rFonts w:ascii="Times New Roman" w:cs="Times New Roman" w:eastAsia="Times New Roman" w:hAnsi="Times New Roman"/>
          <w:sz w:val="18"/>
          <w:szCs w:val="18"/>
          <w:b w:val="1"/>
          <w:bCs w:val="1"/>
          <w:color w:val="auto"/>
        </w:rPr>
      </w:pPr>
    </w:p>
    <w:p>
      <w:pPr>
        <w:ind w:firstLine="1936"/>
        <w:spacing w:after="0" w:line="255" w:lineRule="auto"/>
        <w:tabs>
          <w:tab w:leader="none" w:pos="2176" w:val="left"/>
        </w:tabs>
        <w:numPr>
          <w:ilvl w:val="2"/>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entering into, or reaching an agreement, arrangement or understanding regarding, a support or similar voting or tender agreement (with or without granting a proxy) in connection with a Liquidation Event, Asset Transfer or Acquisition that has been approved by the Board of Directors.</w:t>
      </w:r>
    </w:p>
    <w:p>
      <w:pPr>
        <w:spacing w:after="0" w:line="17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shall also be deemed to have occurred with respect to a share of Class B Common Stock beneficially held by (i) a Permitted Transferee on the date that such Permitted Transferee ceases to meet the qualifications to be a Permitted Transferee of the Qualified Stockholder who effected the Transfer of such shares to such Permitted Transferee, or (ii) an Entity that is a Qualified Stockholder, if there occurs a Transfer on a cumulative basis, from and after the Effective Time, of a majority of the voting power of the voting securities of such Entity or any Parent of such Entity, other than a Transfer to parties that were, as of the Effective Time, holders of voting securities of any such Entity or Parent of such Entity.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20"/>
          </w:cols>
          <w:pgMar w:left="580" w:top="261" w:right="599" w:bottom="1440" w:gutter="0" w:footer="0" w:header="0"/>
        </w:sectPr>
      </w:pPr>
    </w:p>
    <w:bookmarkStart w:id="360" w:name="page361"/>
    <w:bookmarkEnd w:id="360"/>
    <w:p>
      <w:pPr>
        <w:ind w:right="200" w:firstLine="1400"/>
        <w:spacing w:after="0" w:line="272" w:lineRule="auto"/>
        <w:tabs>
          <w:tab w:leader="none" w:pos="1611" w:val="left"/>
        </w:tabs>
        <w:numPr>
          <w:ilvl w:val="1"/>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Voting Control</w:t>
      </w:r>
      <w:r>
        <w:rPr>
          <w:rFonts w:ascii="Times New Roman" w:cs="Times New Roman" w:eastAsia="Times New Roman" w:hAnsi="Times New Roman"/>
          <w:sz w:val="18"/>
          <w:szCs w:val="18"/>
          <w:color w:val="auto"/>
        </w:rPr>
        <w:t>” means, with respect to a share of Class B Common Stock, the power (whether exclusive or shared) to vote or direct the voting, directly or indirectly, of such share by proxy, voting agreement or otherwise.</w:t>
      </w:r>
    </w:p>
    <w:p>
      <w:pPr>
        <w:spacing w:after="0" w:line="57" w:lineRule="exact"/>
        <w:rPr>
          <w:rFonts w:ascii="Times New Roman" w:cs="Times New Roman" w:eastAsia="Times New Roman" w:hAnsi="Times New Roman"/>
          <w:sz w:val="18"/>
          <w:szCs w:val="18"/>
          <w:b w:val="1"/>
          <w:bCs w:val="1"/>
          <w:color w:val="auto"/>
        </w:rPr>
      </w:pPr>
    </w:p>
    <w:p>
      <w:pPr>
        <w:ind w:left="1140" w:hanging="168"/>
        <w:spacing w:after="0"/>
        <w:tabs>
          <w:tab w:leader="none" w:pos="114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Relating To Dividends, Subdivisions and Combinations</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b w:val="1"/>
          <w:bCs w:val="1"/>
          <w:color w:val="auto"/>
        </w:rPr>
      </w:pPr>
    </w:p>
    <w:p>
      <w:pPr>
        <w:ind w:firstLine="1400"/>
        <w:spacing w:after="0" w:line="247" w:lineRule="auto"/>
        <w:tabs>
          <w:tab w:leader="none" w:pos="1640" w:val="left"/>
        </w:tabs>
        <w:numPr>
          <w:ilvl w:val="1"/>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prior rights of holders of any Preferred Stock at the time outstanding having prior rights as to dividends, the holders of the Class A Common Stock and Class B Common Stock shall be entitled to receive, when, as and if declared by the Board of Directors, out of any assets of the Company legally available therefor, such dividends as may be declared from time to time by the Board of Directors. Except as permitted in Section 2(b) of this Part D of Article IV, any dividends paid to the holders of shares of Class A Common Stock and Class B Common Stock shall be paid pro rata, on an equal priority, pari passu basis, unless different treatment of the shares of each such class is approved by the affirmative vote of the holders of a majority of the outstanding shares of Class A Common Stock and a majority of the outstanding shares of Class B Common Stock, each voting separately as a class.</w:t>
      </w:r>
    </w:p>
    <w:p>
      <w:pPr>
        <w:spacing w:after="0" w:line="84" w:lineRule="exact"/>
        <w:rPr>
          <w:rFonts w:ascii="Times New Roman" w:cs="Times New Roman" w:eastAsia="Times New Roman" w:hAnsi="Times New Roman"/>
          <w:sz w:val="18"/>
          <w:szCs w:val="18"/>
          <w:b w:val="1"/>
          <w:bCs w:val="1"/>
          <w:color w:val="auto"/>
        </w:rPr>
      </w:pPr>
    </w:p>
    <w:p>
      <w:pPr>
        <w:ind w:left="1660" w:hanging="260"/>
        <w:spacing w:after="0"/>
        <w:tabs>
          <w:tab w:leader="none" w:pos="1660" w:val="left"/>
        </w:tabs>
        <w:numPr>
          <w:ilvl w:val="1"/>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declare or pay any dividend or make any distribution to the holders of Class A Common Stock or</w:t>
      </w:r>
    </w:p>
    <w:p>
      <w:pPr>
        <w:spacing w:after="0" w:line="2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Class B Common Stock payable in securities of the Company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payable in shares of Class B Common Stock, or rights to acquire shares of Class B Common Stock, as applicable, are declared and paid to the holders of Class B Common Stock at the same rate and with the same record date and payment date; and (ii) dividends or other distributions payable in shares of Class B Common Stock or rights to acquire shares of Class B Common Stock may be declared and paid to the holders of Class B Common Stock without the same dividend or distribution being declared and paid to the holders of the Class A Common Stock if, and only if, a dividend payable in shares of Class A Common Stock, or rights to acquire shares of Class A Common Stock, as applicable, are declared and paid to the holders of Class A Common Stock at the same rate and with the same record date and payment date.</w:t>
      </w:r>
    </w:p>
    <w:p>
      <w:pPr>
        <w:spacing w:after="0" w:line="92" w:lineRule="exact"/>
        <w:rPr>
          <w:sz w:val="20"/>
          <w:szCs w:val="20"/>
          <w:color w:val="auto"/>
        </w:rPr>
      </w:pPr>
    </w:p>
    <w:p>
      <w:pPr>
        <w:jc w:val="both"/>
        <w:ind w:right="20" w:firstLine="1400"/>
        <w:spacing w:after="0" w:line="331" w:lineRule="auto"/>
        <w:tabs>
          <w:tab w:leader="none" w:pos="1630" w:val="left"/>
        </w:tabs>
        <w:numPr>
          <w:ilvl w:val="1"/>
          <w:numId w:val="2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the Company in any manner subdivides or combines (including by reclassification) the outstanding shares of Class A Common Stock or Class B Common Stock, then the outstanding shares of all Common Stock will be subdivided or combined in the same proportion and manner.</w:t>
      </w:r>
    </w:p>
    <w:p>
      <w:pPr>
        <w:spacing w:after="0" w:line="15" w:lineRule="exact"/>
        <w:rPr>
          <w:rFonts w:ascii="Times New Roman" w:cs="Times New Roman" w:eastAsia="Times New Roman" w:hAnsi="Times New Roman"/>
          <w:sz w:val="16"/>
          <w:szCs w:val="16"/>
          <w:b w:val="1"/>
          <w:bCs w:val="1"/>
          <w:color w:val="auto"/>
        </w:rPr>
      </w:pPr>
    </w:p>
    <w:p>
      <w:pPr>
        <w:ind w:firstLine="972"/>
        <w:spacing w:after="0" w:line="246" w:lineRule="auto"/>
        <w:tabs>
          <w:tab w:leader="none" w:pos="1139"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Liquidation Rights</w:t>
      </w:r>
      <w:r>
        <w:rPr>
          <w:rFonts w:ascii="Times New Roman" w:cs="Times New Roman" w:eastAsia="Times New Roman" w:hAnsi="Times New Roman"/>
          <w:sz w:val="18"/>
          <w:szCs w:val="18"/>
          <w:color w:val="auto"/>
        </w:rPr>
        <w:t>. In the event of a Liquidation Event, upon the completion of the distributions required with respect to any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may then be outstanding, the remaining assets of the Company legally available for distribution to stockholders, or consideration payable to the stockholders of the Company, in the case of an Acquisition constituting a Liquidation Event, shall be distributed on an equal priority, pro rata basis to the holders of Class A Common Stock and Class B Common Stock (and the holders of any Preferred Stock that may then be outstanding, to the extent required by the Certificate of Incorporation), unless different treatment of the shares of each such class is approved by the affirmative vote of the holders of a majority of the outstanding shares of Class A Common Stock and a majority of the outstanding shares of Class B Common Stock, each voting separately as a class; provided, however, for the avoidance of doubt, compensation pursuant to any employment, consulting, severance or other compensatory arrangement to be paid to or received by a person who is also a holder of Class A Common Stock, Class B Common Stock or Preferred Stock does not constitute consideration or a “distribution to stockholders” in respect of the Class A Common Stock, Class B Common Stock or Preferred Stock.</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00"/>
          </w:cols>
          <w:pgMar w:left="580" w:top="261" w:right="619" w:bottom="1440" w:gutter="0" w:footer="0" w:header="0"/>
        </w:sectPr>
      </w:pPr>
    </w:p>
    <w:bookmarkStart w:id="361" w:name="page362"/>
    <w:bookmarkEnd w:id="361"/>
    <w:p>
      <w:pPr>
        <w:ind w:left="1140" w:hanging="168"/>
        <w:spacing w:after="0"/>
        <w:tabs>
          <w:tab w:leader="none" w:pos="114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Voting Rights</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b w:val="1"/>
          <w:bCs w:val="1"/>
          <w:color w:val="auto"/>
        </w:rPr>
      </w:pPr>
    </w:p>
    <w:p>
      <w:pPr>
        <w:ind w:left="1640" w:hanging="240"/>
        <w:spacing w:after="0"/>
        <w:tabs>
          <w:tab w:leader="none" w:pos="1640" w:val="left"/>
        </w:tabs>
        <w:numPr>
          <w:ilvl w:val="1"/>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Class A Common Stock. </w:t>
      </w:r>
      <w:r>
        <w:rPr>
          <w:rFonts w:ascii="Times New Roman" w:cs="Times New Roman" w:eastAsia="Times New Roman" w:hAnsi="Times New Roman"/>
          <w:sz w:val="18"/>
          <w:szCs w:val="18"/>
          <w:color w:val="auto"/>
        </w:rPr>
        <w:t>Each holder of shares of Class A Common Stock shall be entitled to one vote for each share thereof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w:t>
      </w:r>
    </w:p>
    <w:p>
      <w:pPr>
        <w:spacing w:after="0" w:line="88" w:lineRule="exact"/>
        <w:rPr>
          <w:sz w:val="20"/>
          <w:szCs w:val="20"/>
          <w:color w:val="auto"/>
        </w:rPr>
      </w:pPr>
    </w:p>
    <w:p>
      <w:pPr>
        <w:ind w:left="1660" w:hanging="260"/>
        <w:spacing w:after="0"/>
        <w:tabs>
          <w:tab w:leader="none" w:pos="166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Each holder of shares of Class B Common Stock shall be entitled to thirty (30) votes for each share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held.</w:t>
      </w:r>
    </w:p>
    <w:p>
      <w:pPr>
        <w:spacing w:after="0" w:line="88" w:lineRule="exact"/>
        <w:rPr>
          <w:sz w:val="20"/>
          <w:szCs w:val="20"/>
          <w:color w:val="auto"/>
        </w:rPr>
      </w:pPr>
    </w:p>
    <w:p>
      <w:pPr>
        <w:ind w:firstLine="1400"/>
        <w:spacing w:after="0" w:line="248" w:lineRule="auto"/>
        <w:tabs>
          <w:tab w:leader="none" w:pos="1631"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Generally</w:t>
      </w:r>
      <w:r>
        <w:rPr>
          <w:rFonts w:ascii="Times New Roman" w:cs="Times New Roman" w:eastAsia="Times New Roman" w:hAnsi="Times New Roman"/>
          <w:sz w:val="18"/>
          <w:szCs w:val="18"/>
          <w:color w:val="auto"/>
        </w:rPr>
        <w:t>. Except as required by law or as otherwise set forth herein, the holders of Preferred Stock, Class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and Class B Common Stock shall vote together and not as separate series or classes. Except as otherwise required by applicable law or as otherwise set forth herein, holders of Class A Common Stock and Class B Common Stock, as such,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applicable law.</w:t>
      </w:r>
    </w:p>
    <w:p>
      <w:pPr>
        <w:spacing w:after="0" w:line="82" w:lineRule="exact"/>
        <w:rPr>
          <w:rFonts w:ascii="Times New Roman" w:cs="Times New Roman" w:eastAsia="Times New Roman" w:hAnsi="Times New Roman"/>
          <w:sz w:val="18"/>
          <w:szCs w:val="18"/>
          <w:b w:val="1"/>
          <w:bCs w:val="1"/>
          <w:color w:val="auto"/>
        </w:rPr>
      </w:pPr>
    </w:p>
    <w:p>
      <w:pPr>
        <w:ind w:left="1660" w:hanging="260"/>
        <w:spacing w:after="0"/>
        <w:tabs>
          <w:tab w:leader="none" w:pos="166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B Common Stock Protective Provisions</w:t>
      </w:r>
      <w:r>
        <w:rPr>
          <w:rFonts w:ascii="Times New Roman" w:cs="Times New Roman" w:eastAsia="Times New Roman" w:hAnsi="Times New Roman"/>
          <w:sz w:val="18"/>
          <w:szCs w:val="18"/>
          <w:color w:val="auto"/>
        </w:rPr>
        <w:t>. Notwithstanding anything herein to the contrary, so long as any shares of</w:t>
      </w:r>
    </w:p>
    <w:p>
      <w:pPr>
        <w:spacing w:after="0" w:line="23"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Class B Common Stock remain outstanding, the Company shall not, without the approval by vote or written consent of the holders of a majority of the outstanding shares Class B Common Stock, voting together as a separate class, directly or indirectly, or whether by amendment, or through merger, recapitalization, consolidation or otherwise:</w:t>
      </w:r>
    </w:p>
    <w:p>
      <w:pPr>
        <w:spacing w:after="0" w:line="83" w:lineRule="exact"/>
        <w:rPr>
          <w:sz w:val="20"/>
          <w:szCs w:val="20"/>
          <w:color w:val="auto"/>
        </w:rPr>
      </w:pPr>
    </w:p>
    <w:p>
      <w:pPr>
        <w:ind w:right="240" w:firstLine="1936"/>
        <w:spacing w:after="0" w:line="331" w:lineRule="auto"/>
        <w:tabs>
          <w:tab w:leader="none" w:pos="2137" w:val="left"/>
        </w:tabs>
        <w:numPr>
          <w:ilvl w:val="2"/>
          <w:numId w:val="2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amend, alter, or repeal any provision of the Certificate of Incorporation or the Bylaws of the Company in a manner that modifies the voting, conversion or other powers, preferences, or other special rights or privileges, or restrictions of the Class B Common Stock;</w:t>
      </w:r>
    </w:p>
    <w:p>
      <w:pPr>
        <w:spacing w:after="0" w:line="17" w:lineRule="exact"/>
        <w:rPr>
          <w:rFonts w:ascii="Times New Roman" w:cs="Times New Roman" w:eastAsia="Times New Roman" w:hAnsi="Times New Roman"/>
          <w:sz w:val="16"/>
          <w:szCs w:val="16"/>
          <w:b w:val="1"/>
          <w:bCs w:val="1"/>
          <w:color w:val="auto"/>
        </w:rPr>
      </w:pPr>
    </w:p>
    <w:p>
      <w:pPr>
        <w:ind w:right="160" w:firstLine="1936"/>
        <w:spacing w:after="0" w:line="267" w:lineRule="auto"/>
        <w:tabs>
          <w:tab w:leader="none" w:pos="2186" w:val="left"/>
        </w:tabs>
        <w:numPr>
          <w:ilvl w:val="2"/>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reclassify any outstanding shares of Class A Common Stock into shares having rights as to dividends or liquidation that are senior to the Class B Common Stock or the right to more than one vote for each share thereof;</w:t>
      </w:r>
    </w:p>
    <w:p>
      <w:pPr>
        <w:spacing w:after="0" w:line="64" w:lineRule="exact"/>
        <w:rPr>
          <w:rFonts w:ascii="Times New Roman" w:cs="Times New Roman" w:eastAsia="Times New Roman" w:hAnsi="Times New Roman"/>
          <w:sz w:val="18"/>
          <w:szCs w:val="18"/>
          <w:b w:val="1"/>
          <w:bCs w:val="1"/>
          <w:color w:val="auto"/>
        </w:rPr>
      </w:pPr>
    </w:p>
    <w:p>
      <w:pPr>
        <w:ind w:right="140" w:firstLine="1936"/>
        <w:spacing w:after="0" w:line="267" w:lineRule="auto"/>
        <w:tabs>
          <w:tab w:leader="none" w:pos="2234" w:val="left"/>
        </w:tabs>
        <w:numPr>
          <w:ilvl w:val="2"/>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issue any shares of Preferred Stock having the power (whether exclusive or shared) to vote, or direct the voting of such shares by proxy, voting agreement or otherwise, equal or superior to the Voting Control; or</w:t>
      </w:r>
    </w:p>
    <w:p>
      <w:pPr>
        <w:spacing w:after="0" w:line="64" w:lineRule="exact"/>
        <w:rPr>
          <w:rFonts w:ascii="Times New Roman" w:cs="Times New Roman" w:eastAsia="Times New Roman" w:hAnsi="Times New Roman"/>
          <w:sz w:val="18"/>
          <w:szCs w:val="18"/>
          <w:b w:val="1"/>
          <w:bCs w:val="1"/>
          <w:color w:val="auto"/>
        </w:rPr>
      </w:pPr>
    </w:p>
    <w:p>
      <w:pPr>
        <w:ind w:right="140" w:firstLine="1936"/>
        <w:spacing w:after="0" w:line="331" w:lineRule="auto"/>
        <w:tabs>
          <w:tab w:leader="none" w:pos="2224" w:val="left"/>
        </w:tabs>
        <w:numPr>
          <w:ilvl w:val="2"/>
          <w:numId w:val="2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issue any additional shares of Class B Common Stock or other securities convertible into shares of Class B Common Stock, except for the issuance of Class B Common Stock issuable upon a dividend payable in accordance with Section 2(b) of this Part D of Article IV.</w:t>
      </w:r>
    </w:p>
    <w:p>
      <w:pPr>
        <w:spacing w:after="0" w:line="15" w:lineRule="exact"/>
        <w:rPr>
          <w:rFonts w:ascii="Times New Roman" w:cs="Times New Roman" w:eastAsia="Times New Roman" w:hAnsi="Times New Roman"/>
          <w:sz w:val="16"/>
          <w:szCs w:val="16"/>
          <w:b w:val="1"/>
          <w:bCs w:val="1"/>
          <w:color w:val="auto"/>
        </w:rPr>
      </w:pPr>
    </w:p>
    <w:p>
      <w:pPr>
        <w:ind w:left="1140" w:hanging="168"/>
        <w:spacing w:after="0"/>
        <w:tabs>
          <w:tab w:leader="none" w:pos="114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Optional Conversion</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b w:val="1"/>
          <w:bCs w:val="1"/>
          <w:color w:val="auto"/>
        </w:rPr>
      </w:pPr>
    </w:p>
    <w:p>
      <w:pPr>
        <w:ind w:left="1640" w:hanging="240"/>
        <w:spacing w:after="0"/>
        <w:tabs>
          <w:tab w:leader="none" w:pos="1640" w:val="left"/>
        </w:tabs>
        <w:numPr>
          <w:ilvl w:val="1"/>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Optional Conversion of the Class B Common Stock</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b w:val="1"/>
          <w:bCs w:val="1"/>
          <w:color w:val="auto"/>
        </w:rPr>
      </w:pPr>
    </w:p>
    <w:p>
      <w:pPr>
        <w:ind w:right="60" w:firstLine="1936"/>
        <w:spacing w:after="0" w:line="267" w:lineRule="auto"/>
        <w:tabs>
          <w:tab w:leader="none" w:pos="2137" w:val="left"/>
        </w:tabs>
        <w:numPr>
          <w:ilvl w:val="2"/>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option of the holder thereof, each share of Class B Common Stock shall be convertible, at any time or from time to time, into one fully paid and nonassessable share of Class A Common Stock as provided herein.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20"/>
          </w:cols>
          <w:pgMar w:left="580" w:top="263" w:right="599" w:bottom="1440" w:gutter="0" w:footer="0" w:header="0"/>
        </w:sectPr>
      </w:pPr>
    </w:p>
    <w:bookmarkStart w:id="362" w:name="page363"/>
    <w:bookmarkEnd w:id="362"/>
    <w:p>
      <w:pPr>
        <w:ind w:left="-20" w:firstLine="1936"/>
        <w:spacing w:after="0" w:line="247" w:lineRule="auto"/>
        <w:tabs>
          <w:tab w:leader="none" w:pos="2166" w:val="left"/>
        </w:tabs>
        <w:numPr>
          <w:ilvl w:val="2"/>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Each holder of Class B Common Stock who elects to convert the same into shares of Class A Common Stock shall surrender the certificate or certificates therefor (if any), duly endorsed, at the office of the Company or any transfer agent for the Class B Common Stock, and shall give written notice to the Company at such office that such holder elects to convert the same and shall state therein the number of shares of Class B Common Stock being converted. Such conversion shall be deemed to have been made immediately prior to the close of business on the date of such surrender of the certificate or certificates representing the shares of Class B Common Stock to be converted, or, if the shares are uncertificated, immediately prior to the close of business on the date that the holder delivers notice of such conversion to the Company’s transfer agent and the person entitled to receive the shares of Class A Common Stock issuable upon such conversion shall be treated for all purposes as the record holder of such shares of Class A Common Stock at such time.</w:t>
      </w:r>
    </w:p>
    <w:p>
      <w:pPr>
        <w:spacing w:after="0" w:line="79" w:lineRule="exact"/>
        <w:rPr>
          <w:rFonts w:ascii="Times New Roman" w:cs="Times New Roman" w:eastAsia="Times New Roman" w:hAnsi="Times New Roman"/>
          <w:sz w:val="18"/>
          <w:szCs w:val="18"/>
          <w:b w:val="1"/>
          <w:bCs w:val="1"/>
          <w:color w:val="auto"/>
        </w:rPr>
      </w:pPr>
    </w:p>
    <w:p>
      <w:pPr>
        <w:ind w:left="1120" w:hanging="168"/>
        <w:spacing w:after="0"/>
        <w:tabs>
          <w:tab w:leader="none" w:pos="112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Automatic Conversion</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b w:val="1"/>
          <w:bCs w:val="1"/>
          <w:color w:val="auto"/>
        </w:rPr>
      </w:pPr>
    </w:p>
    <w:p>
      <w:pPr>
        <w:ind w:left="-20" w:right="20" w:firstLine="1400"/>
        <w:spacing w:after="0" w:line="246" w:lineRule="auto"/>
        <w:tabs>
          <w:tab w:leader="none" w:pos="1620" w:val="left"/>
        </w:tabs>
        <w:numPr>
          <w:ilvl w:val="1"/>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Automatic Conversion of the Class B Common Stock</w:t>
      </w:r>
      <w:r>
        <w:rPr>
          <w:rFonts w:ascii="Times New Roman" w:cs="Times New Roman" w:eastAsia="Times New Roman" w:hAnsi="Times New Roman"/>
          <w:sz w:val="18"/>
          <w:szCs w:val="18"/>
          <w:color w:val="auto"/>
        </w:rPr>
        <w:t>. Each share of Class B Common Stock shall automatically be converted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one fully paid and nonassessable share of Class A Common Stock upon a Transfer, other than a Permitted Transfer, of such share of Class B Common Stock. Such conversion shall occur automatically without the need for any further action by the holders of such shares and whether or not the certificates representing such shares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Class B Common Stock so converted shall surrender the certificates representing such shares (if any) at the office of the Company or any transfer agent for the Class A Common Stock.</w:t>
      </w:r>
    </w:p>
    <w:p>
      <w:pPr>
        <w:spacing w:after="0" w:line="83" w:lineRule="exact"/>
        <w:rPr>
          <w:rFonts w:ascii="Times New Roman" w:cs="Times New Roman" w:eastAsia="Times New Roman" w:hAnsi="Times New Roman"/>
          <w:sz w:val="18"/>
          <w:szCs w:val="18"/>
          <w:b w:val="1"/>
          <w:bCs w:val="1"/>
          <w:color w:val="auto"/>
        </w:rPr>
      </w:pPr>
    </w:p>
    <w:p>
      <w:pPr>
        <w:ind w:left="-20" w:firstLine="1400"/>
        <w:spacing w:after="0" w:line="246" w:lineRule="auto"/>
        <w:tabs>
          <w:tab w:leader="none" w:pos="1630" w:val="left"/>
        </w:tabs>
        <w:numPr>
          <w:ilvl w:val="1"/>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Final Conversion</w:t>
      </w:r>
      <w:r>
        <w:rPr>
          <w:rFonts w:ascii="Times New Roman" w:cs="Times New Roman" w:eastAsia="Times New Roman" w:hAnsi="Times New Roman"/>
          <w:sz w:val="18"/>
          <w:szCs w:val="18"/>
          <w:color w:val="auto"/>
        </w:rPr>
        <w:t>. On the Final Conversion Date, each issued share of Class B Common Stock shall automatically, without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action, convert into one share of Class A Common Stock. Following the Final Conversion Date, the Company may no longer issue any additional shares of Class B Common Stock. Such conversion shall occur automatically without the need for any further action by the holders of such shares and whether or not the certificates representing such shares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Class B Common Stock so converted shall surrender the certificates representing such shares (if any) at the office of the Company or any transfer agent for the Class A Common Stock.</w:t>
      </w:r>
    </w:p>
    <w:p>
      <w:pPr>
        <w:spacing w:after="0" w:line="83" w:lineRule="exact"/>
        <w:rPr>
          <w:rFonts w:ascii="Times New Roman" w:cs="Times New Roman" w:eastAsia="Times New Roman" w:hAnsi="Times New Roman"/>
          <w:sz w:val="18"/>
          <w:szCs w:val="18"/>
          <w:b w:val="1"/>
          <w:bCs w:val="1"/>
          <w:color w:val="auto"/>
        </w:rPr>
      </w:pPr>
    </w:p>
    <w:p>
      <w:pPr>
        <w:ind w:left="-20" w:firstLine="1400"/>
        <w:spacing w:after="0" w:line="285" w:lineRule="auto"/>
        <w:tabs>
          <w:tab w:leader="none" w:pos="1611" w:val="left"/>
        </w:tabs>
        <w:numPr>
          <w:ilvl w:val="1"/>
          <w:numId w:val="2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Procedures. </w:t>
      </w:r>
      <w:r>
        <w:rPr>
          <w:rFonts w:ascii="Times New Roman" w:cs="Times New Roman" w:eastAsia="Times New Roman" w:hAnsi="Times New Roman"/>
          <w:sz w:val="16"/>
          <w:szCs w:val="16"/>
          <w:color w:val="auto"/>
        </w:rPr>
        <w:t>The Company may, from time to time, establish such policies and procedures relating to the conversion of Class B</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Common Stock to Class A Common Stock and the general administration of this dual class stock structure, including the issuance of stock certificates (or the establishment of book-entry positions) with respect thereto, as it may deem reasonably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Secretary of the Company as to whether a Transfer results in a conversion to Class A Common Stock shall be conclusive and binding.</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80"/>
          </w:cols>
          <w:pgMar w:left="600" w:top="265" w:right="619" w:bottom="1440" w:gutter="0" w:footer="0" w:header="0"/>
        </w:sectPr>
      </w:pPr>
    </w:p>
    <w:bookmarkStart w:id="363" w:name="page364"/>
    <w:bookmarkEnd w:id="363"/>
    <w:p>
      <w:pPr>
        <w:ind w:firstLine="1400"/>
        <w:spacing w:after="0" w:line="248" w:lineRule="auto"/>
        <w:tabs>
          <w:tab w:leader="none" w:pos="1650" w:val="left"/>
        </w:tabs>
        <w:numPr>
          <w:ilvl w:val="1"/>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Immediate Effect. </w:t>
      </w:r>
      <w:r>
        <w:rPr>
          <w:rFonts w:ascii="Times New Roman" w:cs="Times New Roman" w:eastAsia="Times New Roman" w:hAnsi="Times New Roman"/>
          <w:sz w:val="18"/>
          <w:szCs w:val="18"/>
          <w:color w:val="auto"/>
        </w:rPr>
        <w:t>In the event of a conversion of shares of Class B Common Stock to shares of Class A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Section 6 of Part D of Article IV, such conversion(s) shall be deemed to have been made at the time that the Transfer of shares occurred or immediately upon the Final Conversion Date, as applicable. Upon any conversion of Class B Common Stock to Class A Common Stock, all rights of the holder of shares of Class B Common Stock shall cease and the person or persons in whose names or names the certificate or certificates (or book-entry position(s)) representing the shares of Class A Common Stock are to be issued shall be treated for all purposes as having become the record holder or holders of such shares of Class A Common Stock.</w:t>
      </w:r>
    </w:p>
    <w:p>
      <w:pPr>
        <w:spacing w:after="0" w:line="82" w:lineRule="exact"/>
        <w:rPr>
          <w:rFonts w:ascii="Times New Roman" w:cs="Times New Roman" w:eastAsia="Times New Roman" w:hAnsi="Times New Roman"/>
          <w:sz w:val="18"/>
          <w:szCs w:val="18"/>
          <w:b w:val="1"/>
          <w:bCs w:val="1"/>
          <w:color w:val="auto"/>
        </w:rPr>
      </w:pPr>
    </w:p>
    <w:p>
      <w:pPr>
        <w:ind w:left="1140" w:hanging="168"/>
        <w:spacing w:after="0"/>
        <w:tabs>
          <w:tab w:leader="none" w:pos="114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The Common Stock is not redeemable.</w:t>
      </w:r>
    </w:p>
    <w:p>
      <w:pPr>
        <w:spacing w:after="0" w:line="108" w:lineRule="exact"/>
        <w:rPr>
          <w:rFonts w:ascii="Times New Roman" w:cs="Times New Roman" w:eastAsia="Times New Roman" w:hAnsi="Times New Roman"/>
          <w:sz w:val="18"/>
          <w:szCs w:val="18"/>
          <w:b w:val="1"/>
          <w:bCs w:val="1"/>
          <w:color w:val="auto"/>
        </w:rPr>
      </w:pPr>
    </w:p>
    <w:p>
      <w:pPr>
        <w:ind w:firstLine="972"/>
        <w:spacing w:after="0" w:line="247" w:lineRule="auto"/>
        <w:tabs>
          <w:tab w:leader="none" w:pos="1139"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Reservation of Stock Issuable Upon Conversion</w:t>
      </w:r>
      <w:r>
        <w:rPr>
          <w:rFonts w:ascii="Times New Roman" w:cs="Times New Roman" w:eastAsia="Times New Roman" w:hAnsi="Times New Roman"/>
          <w:sz w:val="18"/>
          <w:szCs w:val="18"/>
          <w:color w:val="auto"/>
        </w:rPr>
        <w:t>. The Company shall at all times reserve and keep available out of its authorized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unissued shares of Class A Common Stock, solely for the purpose of effecting the conversion of the shares of the Class B Common Stock, as applicable, such number of its shares of Class A Common Stock as shall from time to time be sufficient to effect the conversion of all outstanding shares of Class B Common Stock; and if at any time the number of authorized but unissued shares of Class A Common Stock shall not be sufficient to effect the conversion of all then-outstanding shares of Class B Common Stock, as applicable, the Company will take such corporate action as may, in the opinion of its counsel, be necessary to increase its authorized but unissued shares of Class A Common Stock to such numbers of shares as shall be sufficient for such purpose.</w:t>
      </w:r>
    </w:p>
    <w:p>
      <w:pPr>
        <w:spacing w:after="0" w:line="84" w:lineRule="exact"/>
        <w:rPr>
          <w:rFonts w:ascii="Times New Roman" w:cs="Times New Roman" w:eastAsia="Times New Roman" w:hAnsi="Times New Roman"/>
          <w:sz w:val="18"/>
          <w:szCs w:val="18"/>
          <w:b w:val="1"/>
          <w:bCs w:val="1"/>
          <w:color w:val="auto"/>
        </w:rPr>
      </w:pPr>
    </w:p>
    <w:p>
      <w:pPr>
        <w:jc w:val="both"/>
        <w:ind w:right="40" w:firstLine="972"/>
        <w:spacing w:after="0" w:line="333" w:lineRule="auto"/>
        <w:tabs>
          <w:tab w:leader="none" w:pos="1139" w:val="left"/>
        </w:tabs>
        <w:numPr>
          <w:ilvl w:val="0"/>
          <w:numId w:val="2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Prohibition on Reissuance of Shares</w:t>
      </w:r>
      <w:r>
        <w:rPr>
          <w:rFonts w:ascii="Times New Roman" w:cs="Times New Roman" w:eastAsia="Times New Roman" w:hAnsi="Times New Roman"/>
          <w:sz w:val="16"/>
          <w:szCs w:val="16"/>
          <w:color w:val="auto"/>
        </w:rPr>
        <w:t>. Shares of Class B Common Stock that are acquired by the Company for any reason (whether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repurchase, upon conversion, or otherwise) shall be retired in the manner required by law and shall not be reissued as shares of Class B Common Stock.</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215"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Company, and in further definition, limitation and regulation of the powers of the Company, of its directors and of its stockholders or any class thereof, as the case may be, it is further provided that:</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 Board of Directors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firstLine="972"/>
        <w:spacing w:after="0" w:line="288" w:lineRule="auto"/>
        <w:tabs>
          <w:tab w:leader="none" w:pos="1139" w:val="left"/>
        </w:tabs>
        <w:numPr>
          <w:ilvl w:val="0"/>
          <w:numId w:val="2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Generally</w:t>
      </w:r>
      <w:r>
        <w:rPr>
          <w:rFonts w:ascii="Times New Roman" w:cs="Times New Roman" w:eastAsia="Times New Roman" w:hAnsi="Times New Roman"/>
          <w:sz w:val="16"/>
          <w:szCs w:val="16"/>
          <w:color w:val="auto"/>
        </w:rPr>
        <w:t>. Except as otherwise provided in the Certificate of Incorporation or the DGCL, the business and affairs of the Company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managed by or under the direction of the Board of Directors. The number of directors that shall constitute the Board of Directors shall be fixed exclusively by resolutions adopted by the Board of Directors; provided, however, that, notwithstanding the foregoing, until the Final Conversion Date, the number of directors that shall constitute the whole Board of Directors may also be fixed by a resolution approved by the affirmative vote of the holders of a majority of the voting power of the Class A Common Stock and Class B Common Stock, voting together as a single class.</w:t>
      </w:r>
    </w:p>
    <w:p>
      <w:pPr>
        <w:spacing w:after="0" w:line="51" w:lineRule="exact"/>
        <w:rPr>
          <w:rFonts w:ascii="Times New Roman" w:cs="Times New Roman" w:eastAsia="Times New Roman" w:hAnsi="Times New Roman"/>
          <w:sz w:val="16"/>
          <w:szCs w:val="16"/>
          <w:b w:val="1"/>
          <w:bCs w:val="1"/>
          <w:color w:val="auto"/>
        </w:rPr>
      </w:pPr>
    </w:p>
    <w:p>
      <w:pPr>
        <w:ind w:left="1140" w:hanging="168"/>
        <w:spacing w:after="0"/>
        <w:tabs>
          <w:tab w:leader="none" w:pos="114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b w:val="1"/>
          <w:bCs w:val="1"/>
          <w:color w:val="auto"/>
        </w:rPr>
      </w:pPr>
    </w:p>
    <w:p>
      <w:pPr>
        <w:ind w:left="2180" w:hanging="244"/>
        <w:spacing w:after="0"/>
        <w:tabs>
          <w:tab w:leader="none" w:pos="2180" w:val="left"/>
        </w:tabs>
        <w:numPr>
          <w:ilvl w:val="1"/>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Directors shall be elected at each annual meeting of the stockholders to hold office until the next annual meeting.</w:t>
      </w:r>
    </w:p>
    <w:p>
      <w:pPr>
        <w:spacing w:after="0" w:line="90" w:lineRule="exact"/>
        <w:rPr>
          <w:rFonts w:ascii="Times New Roman" w:cs="Times New Roman" w:eastAsia="Times New Roman" w:hAnsi="Times New Roman"/>
          <w:sz w:val="18"/>
          <w:szCs w:val="18"/>
          <w:b w:val="1"/>
          <w:bCs w:val="1"/>
          <w:color w:val="auto"/>
        </w:rPr>
      </w:pPr>
    </w:p>
    <w:p>
      <w:pPr>
        <w:ind w:left="2200" w:hanging="264"/>
        <w:spacing w:after="0"/>
        <w:tabs>
          <w:tab w:leader="none" w:pos="2200" w:val="left"/>
        </w:tabs>
        <w:numPr>
          <w:ilvl w:val="1"/>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stockholder entitled to vote at an election for directors may cumulate votes.</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80"/>
          </w:cols>
          <w:pgMar w:left="580" w:top="263" w:right="639" w:bottom="1440" w:gutter="0" w:footer="0" w:header="0"/>
        </w:sectPr>
      </w:pPr>
    </w:p>
    <w:bookmarkStart w:id="364" w:name="page365"/>
    <w:bookmarkEnd w:id="364"/>
    <w:p>
      <w:pPr>
        <w:jc w:val="both"/>
        <w:ind w:firstLine="1400"/>
        <w:spacing w:after="0" w:line="255" w:lineRule="auto"/>
        <w:tabs>
          <w:tab w:leader="none" w:pos="1630" w:val="left"/>
        </w:tabs>
        <w:numPr>
          <w:ilvl w:val="2"/>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Notwithstanding the foregoing provisions of this section, each director shall serve until his successor is duly elected and qualified or until his or her earlier death, resignation or removal. No decrease in the number of directors constituting the Board of Directors shall shorten the term of any incumbent director.</w:t>
      </w:r>
    </w:p>
    <w:p>
      <w:pPr>
        <w:spacing w:after="0" w:line="75" w:lineRule="exact"/>
        <w:rPr>
          <w:rFonts w:ascii="Times New Roman" w:cs="Times New Roman" w:eastAsia="Times New Roman" w:hAnsi="Times New Roman"/>
          <w:sz w:val="18"/>
          <w:szCs w:val="18"/>
          <w:b w:val="1"/>
          <w:bCs w:val="1"/>
          <w:color w:val="auto"/>
        </w:rPr>
      </w:pPr>
    </w:p>
    <w:p>
      <w:pPr>
        <w:ind w:left="1660" w:hanging="260"/>
        <w:spacing w:after="0"/>
        <w:tabs>
          <w:tab w:leader="none" w:pos="1660" w:val="left"/>
        </w:tabs>
        <w:numPr>
          <w:ilvl w:val="2"/>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Election of directors need not be by written ballot unless the Bylaws so provide.</w:t>
      </w:r>
    </w:p>
    <w:p>
      <w:pPr>
        <w:spacing w:after="0" w:line="106" w:lineRule="exact"/>
        <w:rPr>
          <w:rFonts w:ascii="Times New Roman" w:cs="Times New Roman" w:eastAsia="Times New Roman" w:hAnsi="Times New Roman"/>
          <w:sz w:val="18"/>
          <w:szCs w:val="18"/>
          <w:b w:val="1"/>
          <w:bCs w:val="1"/>
          <w:color w:val="auto"/>
        </w:rPr>
      </w:pPr>
    </w:p>
    <w:p>
      <w:pPr>
        <w:ind w:left="1140" w:hanging="168"/>
        <w:spacing w:after="0"/>
        <w:tabs>
          <w:tab w:leader="none" w:pos="1140" w:val="left"/>
        </w:tabs>
        <w:numPr>
          <w:ilvl w:val="1"/>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Removal of Directors</w:t>
      </w:r>
      <w:r>
        <w:rPr>
          <w:rFonts w:ascii="Times New Roman" w:cs="Times New Roman" w:eastAsia="Times New Roman" w:hAnsi="Times New Roman"/>
          <w:sz w:val="18"/>
          <w:szCs w:val="18"/>
          <w:color w:val="auto"/>
        </w:rPr>
        <w:t>. Subject to any limitations imposed by applicable law, removal shall be as provided in Section 141(k) of the</w:t>
      </w:r>
    </w:p>
    <w:p>
      <w:pPr>
        <w:spacing w:after="0" w:line="2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DGCL.</w:t>
      </w:r>
    </w:p>
    <w:p>
      <w:pPr>
        <w:spacing w:after="0" w:line="88" w:lineRule="exact"/>
        <w:rPr>
          <w:rFonts w:ascii="Times New Roman" w:cs="Times New Roman" w:eastAsia="Times New Roman" w:hAnsi="Times New Roman"/>
          <w:sz w:val="18"/>
          <w:szCs w:val="18"/>
          <w:b w:val="1"/>
          <w:bCs w:val="1"/>
          <w:color w:val="auto"/>
        </w:rPr>
      </w:pPr>
    </w:p>
    <w:p>
      <w:pPr>
        <w:ind w:right="20" w:firstLine="972"/>
        <w:spacing w:after="0" w:line="247" w:lineRule="auto"/>
        <w:tabs>
          <w:tab w:leader="none" w:pos="1139" w:val="left"/>
        </w:tabs>
        <w:numPr>
          <w:ilvl w:val="1"/>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Vacancies</w:t>
      </w:r>
      <w:r>
        <w:rPr>
          <w:rFonts w:ascii="Times New Roman" w:cs="Times New Roman" w:eastAsia="Times New Roman" w:hAnsi="Times New Roman"/>
          <w:sz w:val="18"/>
          <w:szCs w:val="18"/>
          <w:color w:val="auto"/>
        </w:rPr>
        <w:t>. Subject to any limitations imposed by applicable law and subject to the rights of the holders of any series of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vacancies on the Board of Directors resulting from death, resignation, disqualification, removal or other causes and any newly created directorships resulting from any increase in the number of directors shall be filled by the affirmative vote of (a) a majority of the directors then in office, even though less than a quorum of the Board of Directors, or by the sole remaining director, or (b), if such vacancy is created prior to the Final Conversion Date, the holders of a majority of the voting power of the outstanding shares of Class A Common Stock and Class B Common Stock, voting together as a single class.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84" w:lineRule="exact"/>
        <w:rPr>
          <w:rFonts w:ascii="Times New Roman" w:cs="Times New Roman" w:eastAsia="Times New Roman" w:hAnsi="Times New Roman"/>
          <w:sz w:val="18"/>
          <w:szCs w:val="18"/>
          <w:b w:val="1"/>
          <w:bCs w:val="1"/>
          <w:color w:val="auto"/>
        </w:rPr>
      </w:pPr>
    </w:p>
    <w:p>
      <w:pPr>
        <w:ind w:firstLine="972"/>
        <w:spacing w:after="0" w:line="246" w:lineRule="auto"/>
        <w:tabs>
          <w:tab w:leader="none" w:pos="1139" w:val="left"/>
        </w:tabs>
        <w:numPr>
          <w:ilvl w:val="1"/>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Directors</w:t>
      </w:r>
      <w:r>
        <w:rPr>
          <w:rFonts w:ascii="Times New Roman" w:cs="Times New Roman" w:eastAsia="Times New Roman" w:hAnsi="Times New Roman"/>
          <w:sz w:val="18"/>
          <w:szCs w:val="18"/>
          <w:color w:val="auto"/>
        </w:rPr>
        <w:t>. Notwithstanding anything herein to the contrary, during any period when the holders of any series of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voting separately as a series or together with one or more series, have the right to elect additional directors, then upon commencement and for the duration of the period during which such right continues: (i) the then otherwise total authorized number of directors of the Company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Company shall be reduced accordingly.</w:t>
      </w:r>
    </w:p>
    <w:p>
      <w:pPr>
        <w:spacing w:after="0" w:line="81" w:lineRule="exact"/>
        <w:rPr>
          <w:rFonts w:ascii="Times New Roman" w:cs="Times New Roman" w:eastAsia="Times New Roman" w:hAnsi="Times New Roman"/>
          <w:sz w:val="18"/>
          <w:szCs w:val="18"/>
          <w:b w:val="1"/>
          <w:bCs w:val="1"/>
          <w:color w:val="auto"/>
        </w:rPr>
      </w:pPr>
    </w:p>
    <w:p>
      <w:pPr>
        <w:ind w:right="60" w:firstLine="436"/>
        <w:spacing w:after="0" w:line="248" w:lineRule="auto"/>
        <w:tabs>
          <w:tab w:leader="none" w:pos="633"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 Actions</w:t>
      </w:r>
      <w:r>
        <w:rPr>
          <w:rFonts w:ascii="Times New Roman" w:cs="Times New Roman" w:eastAsia="Times New Roman" w:hAnsi="Times New Roman"/>
          <w:sz w:val="18"/>
          <w:szCs w:val="18"/>
          <w:color w:val="auto"/>
        </w:rPr>
        <w:t>. Following the Final Conversion Date, no action shall be taken by the stockholders of the Company except at an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special meeting of stockholders called in accordance with the Bylaws and no action shall be taken by the stockholders by written consent. Advance notice of stockholder nominations for the election of directors and of business to be brought by stockholders before any meeting of the stockholders of the Company shall be given in the manner provided in the Bylaws of the Company. Prior to the Final Conversion Date, any action required or permitted to be taken by the stockholders of the Company at a meeting may be effected by consent in writing or by electronic transmission of such stockholders in compliance with Section 228 of the DGCL.</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20"/>
          </w:cols>
          <w:pgMar w:left="580" w:top="265" w:right="599" w:bottom="1440" w:gutter="0" w:footer="0" w:header="0"/>
        </w:sectPr>
      </w:pPr>
    </w:p>
    <w:bookmarkStart w:id="365" w:name="page366"/>
    <w:bookmarkEnd w:id="365"/>
    <w:p>
      <w:pPr>
        <w:ind w:firstLine="428"/>
        <w:spacing w:after="0" w:line="24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 Bylaws</w:t>
      </w:r>
      <w:r>
        <w:rPr>
          <w:rFonts w:ascii="Times New Roman" w:cs="Times New Roman" w:eastAsia="Times New Roman" w:hAnsi="Times New Roman"/>
          <w:sz w:val="18"/>
          <w:szCs w:val="18"/>
          <w:color w:val="auto"/>
        </w:rPr>
        <w:t>. Subject to the restrictions of Section 4(d) of Part D of Article IV, the Board of Directors is expressly empowered to adopt, amend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repeal the Bylaws of the Company. The stockholders shall also have power to adopt, amend or repeal the Bylaws of the Company;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any time after the Final Conversion Date, in addition to any vote of the holders of any class or series of stock of the Company required by law or by the Certificate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w:t>
      </w:r>
    </w:p>
    <w:p>
      <w:pPr>
        <w:spacing w:after="0" w:line="82" w:lineRule="exact"/>
        <w:rPr>
          <w:sz w:val="20"/>
          <w:szCs w:val="20"/>
          <w:color w:val="auto"/>
        </w:rPr>
      </w:pPr>
    </w:p>
    <w:p>
      <w:pPr>
        <w:ind w:firstLine="428"/>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D. Special Meetings of Stockholders. </w:t>
      </w:r>
      <w:r>
        <w:rPr>
          <w:rFonts w:ascii="Times New Roman" w:cs="Times New Roman" w:eastAsia="Times New Roman" w:hAnsi="Times New Roman"/>
          <w:sz w:val="18"/>
          <w:szCs w:val="18"/>
          <w:color w:val="auto"/>
        </w:rPr>
        <w:t>Special meetings of the stockholders (i) may be called, for any purpose as is a proper matter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action under the DGCL, by (A) the Chairperson of the Board of Directors, (B) the Chief Executive Officer, or (C)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(ii) until the Final Conversion Date, shall be called, for any purpose as is a proper matter for stockholder action under the DGCL, by the Secretary of the Company upon the written request of stockholders of record entitled to cast not less than a majority of the votes at such special meeting, provided that such written request is in compliance with the Bylaws of the Company.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213" w:lineRule="exact"/>
        <w:rPr>
          <w:sz w:val="20"/>
          <w:szCs w:val="20"/>
          <w:color w:val="auto"/>
        </w:rPr>
      </w:pPr>
    </w:p>
    <w:p>
      <w:pPr>
        <w:ind w:right="140" w:firstLine="428"/>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liability of the directors of the Company for monetary damages for breach of fiduciary duty as a director shall be eliminated to the fullest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under applicable law. If the DGCL is hereafter amended to permit exculpation of officers, then, from and after the effective time of such amendment, the officers of the Company for which such exculpation is permitted shall not be liable to the Company or its stockholders for monetary damages for breach of fiduciary duty as an officer, except to the to the extent such exemption from liability or limitation thereof is not permitted under the DGCL as the same exists or may thereafter be amended.</w:t>
      </w:r>
    </w:p>
    <w:p>
      <w:pPr>
        <w:spacing w:after="0" w:line="77" w:lineRule="exact"/>
        <w:rPr>
          <w:sz w:val="20"/>
          <w:szCs w:val="20"/>
          <w:color w:val="auto"/>
        </w:rPr>
      </w:pPr>
    </w:p>
    <w:p>
      <w:pPr>
        <w:jc w:val="both"/>
        <w:ind w:right="280" w:firstLine="428"/>
        <w:spacing w:after="0" w:line="303" w:lineRule="auto"/>
        <w:rPr>
          <w:sz w:val="20"/>
          <w:szCs w:val="20"/>
          <w:color w:val="auto"/>
        </w:rPr>
      </w:pPr>
      <w:r>
        <w:rPr>
          <w:rFonts w:ascii="Times New Roman" w:cs="Times New Roman" w:eastAsia="Times New Roman" w:hAnsi="Times New Roman"/>
          <w:sz w:val="16"/>
          <w:szCs w:val="16"/>
          <w:b w:val="1"/>
          <w:bCs w:val="1"/>
          <w:color w:val="auto"/>
        </w:rPr>
        <w:t xml:space="preserve">B. </w:t>
      </w:r>
      <w:r>
        <w:rPr>
          <w:rFonts w:ascii="Times New Roman" w:cs="Times New Roman" w:eastAsia="Times New Roman" w:hAnsi="Times New Roman"/>
          <w:sz w:val="16"/>
          <w:szCs w:val="16"/>
          <w:color w:val="auto"/>
        </w:rPr>
        <w:t>To the fullest extent permitted by applicable law, the Company may provide indemnification of (and advancement of expenses to) directors,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officers, and other agents of the Company (and any other persons to which applicable law permits the Company to provide indemnification) through Bylaw provisions, agreements with such agents or other persons, vote of stockholders or disinterested directors or otherwise.</w:t>
      </w:r>
    </w:p>
    <w:p>
      <w:pPr>
        <w:spacing w:after="0" w:line="38" w:lineRule="exact"/>
        <w:rPr>
          <w:sz w:val="20"/>
          <w:szCs w:val="20"/>
          <w:color w:val="auto"/>
        </w:rPr>
      </w:pPr>
    </w:p>
    <w:p>
      <w:pPr>
        <w:ind w:right="14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Any repeal or modification of this Article VI shall only be prospective and shall not affect the rights under this Article VI in effect at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alleged occurrence of any action or omission to act giving rise to liability.</w:t>
      </w:r>
    </w:p>
    <w:p>
      <w:pPr>
        <w:spacing w:after="0" w:line="59" w:lineRule="exact"/>
        <w:rPr>
          <w:sz w:val="20"/>
          <w:szCs w:val="20"/>
          <w:color w:val="auto"/>
        </w:rPr>
      </w:pPr>
    </w:p>
    <w:p>
      <w:pPr>
        <w:ind w:firstLine="428"/>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Unless the Company consents in writing to the selection of an alternative forum, the Court of Chancery of the State of Delaware shall be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and exclusive forum for the following types of actions or proceedings under Delaware statutory or common law: (A) any derivative action or proceeding brought on behalf of the Company; (B) any action or proceeding asserting a claim of breach of a fiduciary duty owed by any current or former director, officer or other employee of the Company or any stockholder to the Company or the Company’s stockholders; (C) any action or proceeding asserting a claim against the Company or any current or former director, officer or other employee of the Company or any stockholder arising pursuant to any provision of the DGCL, the Certificate of Incorporation or the Bylaws of the Company (as each may be amended from time to time); (D) any action or proceeding to interpret, apply, enforce or determine the validity of the Certificate of Incorporation or the Bylaws of the Company (including any right, obligation or remedy thereunder); (E) any action or proceeding as to which the DGCL confers jurisdiction to the Court of Chancery of the State of Delaware; and (F) any action asserting a claim against the Company or any director, officer or other employee of the Company or any stockholder, governed by the internal affairs doctrine, in all cases to the fullest extent permitted by law and subject to the court’s having personal jurisdiction over the indispensable parties named as defendants. This Article VII shall not apply to suits brought to enforce a duty or liability created by the Securities Exchange Act of 1934 or any other claim for which the federal courts have exclusive jurisdiction.</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00"/>
          </w:cols>
          <w:pgMar w:left="580" w:top="263" w:right="619" w:bottom="1440" w:gutter="0" w:footer="0" w:header="0"/>
        </w:sectPr>
      </w:pPr>
    </w:p>
    <w:bookmarkStart w:id="366" w:name="page367"/>
    <w:bookmarkEnd w:id="366"/>
    <w:p>
      <w:pPr>
        <w:ind w:firstLine="428"/>
        <w:spacing w:after="0" w:line="24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E. </w:t>
      </w:r>
      <w:r>
        <w:rPr>
          <w:rFonts w:ascii="Times New Roman" w:cs="Times New Roman" w:eastAsia="Times New Roman" w:hAnsi="Times New Roman"/>
          <w:sz w:val="18"/>
          <w:szCs w:val="18"/>
          <w:color w:val="auto"/>
        </w:rPr>
        <w:t>Unless the Company consents in writing to the selection of an alternative forum, the federal district courts of the United States of America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the exclusive forum for the resolution of any complaint asserting a cause or causes of action arising under the Securities Act of 1933, as amended, including all causes of action asserted against any defendant named in such complaint. For the avoidance of doubt, this provision is intended to benefit and may be enforced the Company, its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82" w:lineRule="exact"/>
        <w:rPr>
          <w:sz w:val="20"/>
          <w:szCs w:val="20"/>
          <w:color w:val="auto"/>
        </w:rPr>
      </w:pPr>
    </w:p>
    <w:p>
      <w:pPr>
        <w:ind w:right="28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Any person or Entity holding, owning or otherwise acquiring any interest in shares of capital stock of the Company shall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and to have consented to the provisions of this Article VI.</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VII.</w:t>
      </w:r>
    </w:p>
    <w:p>
      <w:pPr>
        <w:spacing w:after="0" w:line="213" w:lineRule="exact"/>
        <w:rPr>
          <w:sz w:val="20"/>
          <w:szCs w:val="20"/>
          <w:color w:val="auto"/>
        </w:rPr>
      </w:pPr>
    </w:p>
    <w:p>
      <w:pPr>
        <w:ind w:right="16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reserves the right to amend, alter, change or repeal any provision contained in this Certificate of Incorporation, in the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or hereafter prescribed by statute, except as provided in paragraph B. of this Article VII and subject to the restrictions of Section 4(d) of Part D of Article IV, and all rights conferred upon the stockholders herein are granted subject to this reservation.</w:t>
      </w:r>
    </w:p>
    <w:p>
      <w:pPr>
        <w:spacing w:after="0" w:line="73" w:lineRule="exact"/>
        <w:rPr>
          <w:sz w:val="20"/>
          <w:szCs w:val="20"/>
          <w:color w:val="auto"/>
        </w:rPr>
      </w:pPr>
    </w:p>
    <w:p>
      <w:pPr>
        <w:ind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Notwithstanding any other provisions of this Certificate of Incorporation or any provision of law that might otherwise permit a lesser vote or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but in addition to any affirmative vote required by law or by this Certificate of Incorporation, after the Final Conversion Date, the affirmative vote of the holders of at least 66 2/3% of the voting power of all of the then-outstanding shares of capital stock of the Company entitled to vote generally in the election of directors, voting together as a single class, shall be required to alter, amend or repeal Articles V, VI, and VII.</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w:t>
      </w:r>
    </w:p>
    <w:p>
      <w:pPr>
        <w:spacing w:after="0" w:line="211" w:lineRule="exact"/>
        <w:rPr>
          <w:sz w:val="20"/>
          <w:szCs w:val="20"/>
          <w:color w:val="auto"/>
        </w:rPr>
      </w:pPr>
    </w:p>
    <w:p>
      <w:pPr>
        <w:ind w:right="24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FOUR: </w:t>
      </w:r>
      <w:r>
        <w:rPr>
          <w:rFonts w:ascii="Times New Roman" w:cs="Times New Roman" w:eastAsia="Times New Roman" w:hAnsi="Times New Roman"/>
          <w:sz w:val="18"/>
          <w:szCs w:val="18"/>
          <w:color w:val="auto"/>
        </w:rPr>
        <w:t>This Amended and Restated Certificate of Incorporation has been duly authorized in accordance with Sections 228, 242 and 245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DGCL.</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00"/>
          </w:cols>
          <w:pgMar w:left="580" w:top="263" w:right="619" w:bottom="1440" w:gutter="0" w:footer="0" w:header="0"/>
        </w:sectPr>
      </w:pPr>
    </w:p>
    <w:bookmarkStart w:id="367" w:name="page368"/>
    <w:bookmarkEnd w:id="367"/>
    <w:p>
      <w:pPr>
        <w:ind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Tempus Labs, Inc. has caused this Eleventh Amended and Restated Certificate of Incorporation to be signed by a duly authorized officer on [•], 202[•].</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13335</wp:posOffset>
            </wp:positionV>
            <wp:extent cx="249237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Eric Lefkofsky</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480"/>
          </w:cols>
          <w:pgMar w:left="580" w:top="265" w:right="839" w:bottom="1440" w:gutter="0" w:footer="0" w:header="0"/>
        </w:sectPr>
      </w:pPr>
    </w:p>
    <w:bookmarkStart w:id="368" w:name="page369"/>
    <w:bookmarkEnd w:id="368"/>
    <w:p>
      <w:pPr>
        <w:jc w:val="right"/>
        <w:spacing w:after="0"/>
        <w:rPr>
          <w:sz w:val="20"/>
          <w:szCs w:val="20"/>
          <w:color w:val="auto"/>
        </w:rPr>
      </w:pPr>
      <w:r>
        <w:rPr>
          <w:rFonts w:ascii="Times New Roman" w:cs="Times New Roman" w:eastAsia="Times New Roman" w:hAnsi="Times New Roman"/>
          <w:sz w:val="18"/>
          <w:szCs w:val="18"/>
          <w:b w:val="1"/>
          <w:bCs w:val="1"/>
          <w:color w:val="auto"/>
        </w:rPr>
        <w:t>Exhibit 3.4</w:t>
      </w:r>
    </w:p>
    <w:p>
      <w:pPr>
        <w:spacing w:after="0" w:line="200" w:lineRule="exact"/>
        <w:rPr>
          <w:sz w:val="20"/>
          <w:szCs w:val="20"/>
          <w:color w:val="auto"/>
        </w:rPr>
      </w:pPr>
    </w:p>
    <w:p>
      <w:pPr>
        <w:spacing w:after="0" w:line="22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1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1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1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ectPr>
          <w:pgSz w:w="11900" w:h="16838" w:orient="portrait"/>
          <w:cols w:equalWidth="0" w:num="1">
            <w:col w:w="9860"/>
          </w:cols>
          <w:pgMar w:left="1440" w:top="119" w:right="599" w:bottom="1440" w:gutter="0" w:footer="0" w:header="0"/>
        </w:sectPr>
      </w:pPr>
    </w:p>
    <w:bookmarkStart w:id="369" w:name="page370"/>
    <w:bookmarkEnd w:id="36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AMENDED AND RESTATED BYLAWS</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13" w:lineRule="exact"/>
        <w:rPr>
          <w:sz w:val="20"/>
          <w:szCs w:val="20"/>
          <w:color w:val="auto"/>
        </w:rPr>
      </w:pPr>
    </w:p>
    <w:p>
      <w:pPr>
        <w:ind w:right="14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Section 1. Registered Office. </w:t>
      </w:r>
      <w:r>
        <w:rPr>
          <w:rFonts w:ascii="Times New Roman" w:cs="Times New Roman" w:eastAsia="Times New Roman" w:hAnsi="Times New Roman"/>
          <w:sz w:val="18"/>
          <w:szCs w:val="18"/>
          <w:color w:val="auto"/>
        </w:rPr>
        <w:t>The registered office of the corporation in the State of Delaware shall be as set forth in the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as may be amended from time to time, of the corporation (the “Certificate of Incorporation”).</w:t>
      </w:r>
    </w:p>
    <w:p>
      <w:pPr>
        <w:spacing w:after="0" w:line="164" w:lineRule="exact"/>
        <w:rPr>
          <w:sz w:val="20"/>
          <w:szCs w:val="20"/>
          <w:color w:val="auto"/>
        </w:rPr>
      </w:pPr>
    </w:p>
    <w:p>
      <w:pPr>
        <w:ind w:right="2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 Other Offices. </w:t>
      </w:r>
      <w:r>
        <w:rPr>
          <w:rFonts w:ascii="Times New Roman" w:cs="Times New Roman" w:eastAsia="Times New Roman" w:hAnsi="Times New Roman"/>
          <w:sz w:val="18"/>
          <w:szCs w:val="18"/>
          <w:color w:val="auto"/>
        </w:rPr>
        <w:t>The corporation may also have and maintain an office or principal place of business at such place as may be fixed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corporation (the “Board of Directors”), and may also have offices at such other places, both within and without the State of Delaware as the Board of Directors may from time to time determine or the business of the corporation may require.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SEAL</w:t>
      </w:r>
    </w:p>
    <w:p>
      <w:pPr>
        <w:spacing w:after="0" w:line="213" w:lineRule="exact"/>
        <w:rPr>
          <w:sz w:val="20"/>
          <w:szCs w:val="20"/>
          <w:color w:val="auto"/>
        </w:rPr>
      </w:pPr>
    </w:p>
    <w:p>
      <w:pPr>
        <w:ind w:right="22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 Corporate Seal. </w:t>
      </w:r>
      <w:r>
        <w:rPr>
          <w:rFonts w:ascii="Times New Roman" w:cs="Times New Roman" w:eastAsia="Times New Roman" w:hAnsi="Times New Roman"/>
          <w:sz w:val="18"/>
          <w:szCs w:val="18"/>
          <w:color w:val="auto"/>
        </w:rPr>
        <w:t>The Board of Directors may adopt a corporate seal. If adopted, the corporate seal shall consist of a die bearing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of the corporation and the inscription, “Corporate Seal-Delaware.” Said seal may be used by causing it or a facsimile thereof to be impressed or affixed or reproduced or otherwise.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13" w:lineRule="exact"/>
        <w:rPr>
          <w:sz w:val="20"/>
          <w:szCs w:val="20"/>
          <w:color w:val="auto"/>
        </w:rPr>
      </w:pPr>
    </w:p>
    <w:p>
      <w:pPr>
        <w:ind w:right="60"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 Place of Meetings. </w:t>
      </w:r>
      <w:r>
        <w:rPr>
          <w:rFonts w:ascii="Times New Roman" w:cs="Times New Roman" w:eastAsia="Times New Roman" w:hAnsi="Times New Roman"/>
          <w:sz w:val="18"/>
          <w:szCs w:val="18"/>
          <w:color w:val="auto"/>
        </w:rPr>
        <w:t>Meetings of the stockholders of the corporation may be held at such place, if any, either within or without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Delaware, as may be determined from time to time by the Board of Directors. The Board of Directors may, in its sole discretion, determine that the meeting shall not be held at any place, but may instead be held solely by means of remote communication as provided under the General Corporation Law of the State of Delaware (“DGCL”) and Section 14 below.</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 Annual Meetings.</w:t>
      </w:r>
    </w:p>
    <w:p>
      <w:pPr>
        <w:spacing w:after="0" w:line="110" w:lineRule="exact"/>
        <w:rPr>
          <w:sz w:val="20"/>
          <w:szCs w:val="20"/>
          <w:color w:val="auto"/>
        </w:rPr>
      </w:pPr>
    </w:p>
    <w:p>
      <w:pPr>
        <w:ind w:firstLine="972"/>
        <w:spacing w:after="0" w:line="245" w:lineRule="auto"/>
        <w:tabs>
          <w:tab w:leader="none" w:pos="1202"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proposals of business to be considered by the stockholders may be made at an annual meeting of stockholders: (i) pursuant to the corporation’s notice of meeting of stockholders; (ii) by or at the direction of the Board of Directors or a duly authorized committee thereof; or (iii) by any stockholder of the corporation who was a stockholder of record (and, with respect to any beneficial owner, if different, on whose behalf such business is proposed or such nomination or nominations are made, only if such beneficial owner was the beneficial owner of shares of the corporation) at the time of giving the stockholder’s notice provided for in Section 5(b) below, who is entitled to vote at the meeting and who complied with the notice procedures set forth in this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“1934 Act”)) before an annual meeting of stockholders.</w:t>
      </w:r>
    </w:p>
    <w:p>
      <w:pPr>
        <w:sectPr>
          <w:pgSz w:w="11900" w:h="16838" w:orient="portrait"/>
          <w:cols w:equalWidth="0" w:num="1">
            <w:col w:w="10700"/>
          </w:cols>
          <w:pgMar w:left="580" w:top="263" w:right="619" w:bottom="1440" w:gutter="0" w:footer="0" w:header="0"/>
        </w:sectPr>
      </w:pPr>
    </w:p>
    <w:bookmarkStart w:id="370" w:name="page371"/>
    <w:bookmarkEnd w:id="370"/>
    <w:p>
      <w:pPr>
        <w:jc w:val="both"/>
        <w:ind w:left="-860" w:right="360" w:firstLine="972"/>
        <w:spacing w:after="0" w:line="255" w:lineRule="auto"/>
        <w:tabs>
          <w:tab w:leader="none" w:pos="352"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At an annual meeting of the stockholders, only such business shall be conducted as is a proper matter for stockholder action under Delaware law, the Certificate of Incorporation and these Bylaws, and as shall have been properly brought before the meeting in accordance with the procedures below.</w:t>
      </w:r>
    </w:p>
    <w:p>
      <w:pPr>
        <w:spacing w:after="0" w:line="75" w:lineRule="exact"/>
        <w:rPr>
          <w:rFonts w:ascii="Times New Roman" w:cs="Times New Roman" w:eastAsia="Times New Roman" w:hAnsi="Times New Roman"/>
          <w:sz w:val="18"/>
          <w:szCs w:val="18"/>
          <w:color w:val="auto"/>
        </w:rPr>
      </w:pPr>
    </w:p>
    <w:p>
      <w:pPr>
        <w:ind w:left="-860" w:right="40" w:firstLine="1400"/>
        <w:spacing w:after="0" w:line="244" w:lineRule="auto"/>
        <w:tabs>
          <w:tab w:leader="none" w:pos="741" w:val="left"/>
        </w:tabs>
        <w:numPr>
          <w:ilvl w:val="1"/>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or series and number of shares of each class or series of capital stock of the corporation that are owned of record and beneficially by such nominee, (4) the date or dates on which such shares were acquired and the investment intent of such acquisition, (5) a statement whether such nominee, if elected, intends to tender, promptly following such person’s failure to receive the required vote for election or re-election at the next meeting at which such person would face election or re-election, an irrevocable resignation effective upon acceptance of such resignation by the Board of Directors, and (6) all other information concerning such nominee as would be required to be disclosed in a proxy statement soliciting proxies for the election of such nominee as a director in an election contest (even if an election contest is not involved and whether or not proxies are being or will be solicited), or that is otherwise required to be disclosed pursuant to Section 14 of the 1934 Act and the rules and regulations promulgated thereunder (including such person’s written consent to being named in the corporation’s proxy statement and associated proxy card as a nominee of the stockholder and to serving as a director if elected); and (B) all of the information required by Section 5(b)(iv). The corporation may require any proposed nominee to furnish such other information as it may reasonably require to determine the eligibility of such proposed nominee to serve as an independent director of the corporation (as such term is used in any applicable stock exchange listing requirements or applicable law) or on any committee or sub-committee of the Board of Directors under any applicable stock exchange listing requirements or applicable law, or that could be material to a reasonable stockholder’s understanding of the independence, or lack thereof, of such proposed nominee.</w:t>
      </w:r>
    </w:p>
    <w:p>
      <w:pPr>
        <w:spacing w:after="0" w:line="98" w:lineRule="exact"/>
        <w:rPr>
          <w:rFonts w:ascii="Times New Roman" w:cs="Times New Roman" w:eastAsia="Times New Roman" w:hAnsi="Times New Roman"/>
          <w:sz w:val="18"/>
          <w:szCs w:val="18"/>
          <w:b w:val="1"/>
          <w:bCs w:val="1"/>
          <w:color w:val="auto"/>
        </w:rPr>
      </w:pPr>
    </w:p>
    <w:p>
      <w:pPr>
        <w:ind w:left="-860" w:firstLine="1400"/>
        <w:spacing w:after="0" w:line="246" w:lineRule="auto"/>
        <w:tabs>
          <w:tab w:leader="none" w:pos="790" w:val="left"/>
        </w:tabs>
        <w:numPr>
          <w:ilvl w:val="1"/>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5(b)(iv).</w:t>
      </w:r>
    </w:p>
    <w:p>
      <w:pPr>
        <w:spacing w:after="0" w:line="83" w:lineRule="exact"/>
        <w:rPr>
          <w:rFonts w:ascii="Times New Roman" w:cs="Times New Roman" w:eastAsia="Times New Roman" w:hAnsi="Times New Roman"/>
          <w:sz w:val="18"/>
          <w:szCs w:val="18"/>
          <w:b w:val="1"/>
          <w:bCs w:val="1"/>
          <w:color w:val="auto"/>
        </w:rPr>
      </w:pPr>
    </w:p>
    <w:p>
      <w:pPr>
        <w:ind w:left="-860" w:right="80" w:firstLine="1400"/>
        <w:spacing w:after="0" w:line="249" w:lineRule="auto"/>
        <w:tabs>
          <w:tab w:leader="none" w:pos="839" w:val="left"/>
        </w:tabs>
        <w:numPr>
          <w:ilvl w:val="1"/>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be timely, the written notice required by Section 5(b)(i) or 5(b)(ii) must be received by the Secretary at the principal executive offices of the corporation not later than the close of business on the 90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nor earlier than the close of business on the 120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prior to the first anniversary of the immediately preceding year’s annual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subject to the last sentence of this Section 5(b)(iii), in the event that (A) the date of the annual meeting is advanced more than 30 days prior to or delayed by more than 30 days after the anniversary of the preceding year’s annual meeting,</w:t>
      </w:r>
    </w:p>
    <w:p>
      <w:pPr>
        <w:sectPr>
          <w:pgSz w:w="11900" w:h="16838" w:orient="portrait"/>
          <w:cols w:equalWidth="0" w:num="1">
            <w:col w:w="9860"/>
          </w:cols>
          <w:pgMar w:left="1440" w:top="265" w:right="599" w:bottom="1440" w:gutter="0" w:footer="0" w:header="0"/>
        </w:sectPr>
      </w:pPr>
    </w:p>
    <w:bookmarkStart w:id="371" w:name="page372"/>
    <w:bookmarkEnd w:id="371"/>
    <w:p>
      <w:pPr>
        <w:ind w:right="20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notice by the stockholder to be timely must be so received not earlier than the close of business on the 120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prior to such annual meeting and not later than the close of business on the later of the 90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prior to such annual meeting or, if later than the 90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prior to such annual meeting, the tenth day following the day on which public announcement of the date of such meeting is first made by the corporation or (B) the corporation did not have an annual meeting in the preceding year, notice by the stockholder to be timely must be so received not later than the tenth day following the day on which public announcement of the date of such meeting is first made. In no event shall an adjournment or postponement of an annual meeting for which notice has been given, or the public announcement thereof has been made, commence a new time period (or extend any time period) for the giving of a stockholder’s notice as described above.</w:t>
      </w:r>
    </w:p>
    <w:p>
      <w:pPr>
        <w:spacing w:after="0" w:line="84" w:lineRule="exact"/>
        <w:rPr>
          <w:sz w:val="20"/>
          <w:szCs w:val="20"/>
          <w:color w:val="auto"/>
        </w:rPr>
      </w:pPr>
    </w:p>
    <w:p>
      <w:pPr>
        <w:ind w:firstLine="1400"/>
        <w:spacing w:after="0" w:line="277" w:lineRule="auto"/>
        <w:tabs>
          <w:tab w:leader="none" w:pos="1689" w:val="left"/>
        </w:tabs>
        <w:numPr>
          <w:ilvl w:val="1"/>
          <w:numId w:val="2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written notice required by Section 5(b)(i) or 5(b)(ii) shall also set forth, as of the date of the notice and as to the stockholder giving the notice and the beneficial owner, if any, on whose behalf the nomination or proposal is made (each, a “Proponent” and collectively, the “Proponents”): (A) the name and address of each Proponent, including, if applicable, such name and address as they appear on the corporation’s books and records; (B) the class, series and number of shares of each class or series of the capital stock of the corporation that are, directly or indirectly, owned of record or beneficially (within the meaning of Rule 13d-3 under the 1934 Act) by each Proponent (provided, that for purposes of this Section 5(b)(iv), such Proponent shall in all events be deemed to beneficially own all shares of any class or series of capital stock of the corporation as to which such Proponent has a right to acquire beneficial ownership at any time in the future); (C) a description of any agreement, arrangement or understanding (whether oral or in writing) with respect to such nomination or proposal (and/or the voting of shares of any class or series of capital stock of the corporation)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at the time of giving notice, will be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5(b)(ii)); (E) a representation as to whether the Proponents intend to deliver a proxy statement and form of proxy to holders of a sufficient number of the corporation’s voting shares to elect such nominee or nominees (with respect to a notice under Section 5(b)(i)) or to carry such proposal (with respect to a notice under Section 5(b)(ii)); (F) to the extent known by any Proponent, the name and address of any other stockholder supporting the proposal on the date of such stockholder’s notice; and (G) a description of all Derivative Transactions (as defined below) by each Proponent during the previous 12 month period, including the date of the transactions and the class, series and number of securities involved in, and the material economic terms of, such Derivative Transactions.</w:t>
      </w:r>
    </w:p>
    <w:p>
      <w:pPr>
        <w:spacing w:after="0" w:line="276" w:lineRule="exact"/>
        <w:rPr>
          <w:rFonts w:ascii="Times New Roman" w:cs="Times New Roman" w:eastAsia="Times New Roman" w:hAnsi="Times New Roman"/>
          <w:sz w:val="16"/>
          <w:szCs w:val="16"/>
          <w:b w:val="1"/>
          <w:bCs w:val="1"/>
          <w:color w:val="auto"/>
        </w:rPr>
      </w:pPr>
    </w:p>
    <w:p>
      <w:pPr>
        <w:ind w:right="80" w:firstLine="972"/>
        <w:spacing w:after="0" w:line="281" w:lineRule="auto"/>
        <w:tabs>
          <w:tab w:leader="none" w:pos="1202"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stockholder providing the written notice required by Section 5(b)(i) or 5(b)(ii) shall update and supplement such notice in writing, if necessary, so that the information provided or required to be provided in such notice is true and correct in all material respects as of (i) the record date for the determination of stockholders entitled to notice of the meeting and (ii) the date that is five Business Days (as defined below) prior to the meeting and, in the event of any adjournment or postponement thereof, five Business Days prior to such adjourned or postponed meeting. In the case of an update and supplement pursuant to clause (i) of this Section 5(c), such update and supplement shall be received by the Secretary at the principal executive offices of the corporation not later than five Business Days after the public announcement of the record date for the determination of stockholders entitled to notice of the meeting. In the case of an update and supplement pursuant to clause (ii) of this Section 5(c),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w:t>
      </w:r>
    </w:p>
    <w:p>
      <w:pPr>
        <w:spacing w:after="0" w:line="56" w:lineRule="exact"/>
        <w:rPr>
          <w:rFonts w:ascii="Times New Roman" w:cs="Times New Roman" w:eastAsia="Times New Roman" w:hAnsi="Times New Roman"/>
          <w:sz w:val="16"/>
          <w:szCs w:val="16"/>
          <w:color w:val="auto"/>
        </w:rPr>
      </w:pPr>
    </w:p>
    <w:p>
      <w:pPr>
        <w:ind w:right="120" w:firstLine="972"/>
        <w:spacing w:after="0" w:line="251" w:lineRule="auto"/>
        <w:tabs>
          <w:tab w:leader="none" w:pos="1212"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not be eligible for election or re-election as a director at an annual meeting, unless the person is nominated in accordance with either clause (ii) or (iii) of Section 5(a) and in accordance with the procedures set forth in Section 5(b), Section 5(c), and Section 5(d), as applicable. Only such business shall be conducted at any annual meeting of the stockholders of the corporation as shall have been brought before the meeting in accordance with clauses (i), (ii), or (iii) of Section 5(a) and in</w:t>
      </w:r>
    </w:p>
    <w:p>
      <w:pPr>
        <w:sectPr>
          <w:pgSz w:w="11900" w:h="16838" w:orient="portrait"/>
          <w:cols w:equalWidth="0" w:num="1">
            <w:col w:w="10720"/>
          </w:cols>
          <w:pgMar w:left="580" w:top="265" w:right="599" w:bottom="1440" w:gutter="0" w:footer="0" w:header="0"/>
        </w:sectPr>
      </w:pPr>
    </w:p>
    <w:bookmarkStart w:id="372" w:name="page373"/>
    <w:bookmarkEnd w:id="372"/>
    <w:p>
      <w:pPr>
        <w:ind w:right="40"/>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accordance with the procedures set forth in Section 5(b) and Section 5(c), as applicable. Except as otherwise required by applicable law, the chairperson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5(b)(iv)(D) and 5(b)(iv)(E), to declare that such proposal or nomination shall not be presented for stockholder action at the meeting and shall be disregarded, or that such business shall not be transacted, notwithstanding that proxies in respect of such nomination or such business may have been solicited or received.</w:t>
      </w:r>
    </w:p>
    <w:p>
      <w:pPr>
        <w:spacing w:after="0" w:line="54" w:lineRule="exact"/>
        <w:rPr>
          <w:sz w:val="20"/>
          <w:szCs w:val="20"/>
          <w:color w:val="auto"/>
        </w:rPr>
      </w:pPr>
    </w:p>
    <w:p>
      <w:pPr>
        <w:ind w:firstLine="972"/>
        <w:spacing w:after="0" w:line="283" w:lineRule="auto"/>
        <w:tabs>
          <w:tab w:leader="none" w:pos="1202"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any references in these Bylaws to the 1934 Act or the rules and regulations thereunder are not intended to and shall not limit the requirements applicable to proposals and/or nominations to be considered pursuant to Section 5(a)(iii). Nothing in these Bylaws shall be deemed to affect any rights of holders of any class or series of preferred stock to nominate and elect directors pursuant to and to the extent provided in any applicable provision of the Certificate of Incorporation.</w:t>
      </w:r>
    </w:p>
    <w:p>
      <w:pPr>
        <w:spacing w:after="0" w:line="56" w:lineRule="exact"/>
        <w:rPr>
          <w:rFonts w:ascii="Times New Roman" w:cs="Times New Roman" w:eastAsia="Times New Roman" w:hAnsi="Times New Roman"/>
          <w:sz w:val="16"/>
          <w:szCs w:val="16"/>
          <w:color w:val="auto"/>
        </w:rPr>
      </w:pPr>
    </w:p>
    <w:p>
      <w:pPr>
        <w:ind w:right="100" w:firstLine="972"/>
        <w:spacing w:after="0" w:line="285" w:lineRule="auto"/>
        <w:tabs>
          <w:tab w:leader="none" w:pos="1183"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herein to the contrary, in the event that the number of directors to be elected to the Board of Directors of the corporation at the annual meeting is increased effective after the time period for which nominations would otherwise be due under Section 5(b)(iii) and there is no public announcement by the corporation naming the nominees for the additional directorships at least one hundred (100) days prior to the first anniversary of the preceding year’s annual meeting, a stockholder’s notice required by this Section 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w:t>
      </w:r>
    </w:p>
    <w:p>
      <w:pPr>
        <w:spacing w:after="0" w:line="54" w:lineRule="exact"/>
        <w:rPr>
          <w:rFonts w:ascii="Times New Roman" w:cs="Times New Roman" w:eastAsia="Times New Roman" w:hAnsi="Times New Roman"/>
          <w:sz w:val="16"/>
          <w:szCs w:val="16"/>
          <w:color w:val="auto"/>
        </w:rPr>
      </w:pPr>
    </w:p>
    <w:p>
      <w:pPr>
        <w:ind w:left="1220" w:hanging="248"/>
        <w:spacing w:after="0"/>
        <w:tabs>
          <w:tab w:leader="none" w:pos="12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Sections 5 and 6,</w:t>
      </w:r>
    </w:p>
    <w:p>
      <w:pPr>
        <w:spacing w:after="0" w:line="108" w:lineRule="exact"/>
        <w:rPr>
          <w:rFonts w:ascii="Times New Roman" w:cs="Times New Roman" w:eastAsia="Times New Roman" w:hAnsi="Times New Roman"/>
          <w:sz w:val="18"/>
          <w:szCs w:val="18"/>
          <w:color w:val="auto"/>
        </w:rPr>
      </w:pPr>
    </w:p>
    <w:p>
      <w:pPr>
        <w:ind w:left="1600" w:hanging="200"/>
        <w:spacing w:after="0"/>
        <w:tabs>
          <w:tab w:leader="none" w:pos="1600" w:val="left"/>
        </w:tabs>
        <w:numPr>
          <w:ilvl w:val="1"/>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“affiliates” and “associates” shall have the meanings set forth in Rule 405 under the Securities Act of 1933, as amended (the</w:t>
      </w:r>
    </w:p>
    <w:p>
      <w:pPr>
        <w:spacing w:after="0" w:line="20"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“1933 Act”);</w:t>
      </w:r>
    </w:p>
    <w:p>
      <w:pPr>
        <w:spacing w:after="0" w:line="90" w:lineRule="exact"/>
        <w:rPr>
          <w:rFonts w:ascii="Times New Roman" w:cs="Times New Roman" w:eastAsia="Times New Roman" w:hAnsi="Times New Roman"/>
          <w:sz w:val="18"/>
          <w:szCs w:val="18"/>
          <w:b w:val="1"/>
          <w:bCs w:val="1"/>
          <w:color w:val="auto"/>
        </w:rPr>
      </w:pPr>
    </w:p>
    <w:p>
      <w:pPr>
        <w:ind w:left="1660" w:hanging="260"/>
        <w:spacing w:after="0"/>
        <w:tabs>
          <w:tab w:leader="none" w:pos="1660" w:val="left"/>
        </w:tabs>
        <w:numPr>
          <w:ilvl w:val="1"/>
          <w:numId w:val="2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“Business Day” means any day other than Saturday, Sunday or a day on which banks are closed in New York City, New York;</w:t>
      </w:r>
    </w:p>
    <w:p>
      <w:pPr>
        <w:spacing w:after="0" w:line="131" w:lineRule="exact"/>
        <w:rPr>
          <w:rFonts w:ascii="Times New Roman" w:cs="Times New Roman" w:eastAsia="Times New Roman" w:hAnsi="Times New Roman"/>
          <w:sz w:val="16"/>
          <w:szCs w:val="16"/>
          <w:b w:val="1"/>
          <w:bCs w:val="1"/>
          <w:color w:val="auto"/>
        </w:rPr>
      </w:pPr>
    </w:p>
    <w:p>
      <w:pPr>
        <w:ind w:firstLine="1400"/>
        <w:spacing w:after="0" w:line="267" w:lineRule="auto"/>
        <w:tabs>
          <w:tab w:leader="none" w:pos="1699" w:val="left"/>
        </w:tabs>
        <w:numPr>
          <w:ilvl w:val="1"/>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“close of business” means 6:00 p.m. local time at the principal executive offices of the corporation on any calendar day, whether or not the day is a Business Day;</w:t>
      </w:r>
    </w:p>
    <w:p>
      <w:pPr>
        <w:spacing w:after="0" w:line="64" w:lineRule="exact"/>
        <w:rPr>
          <w:rFonts w:ascii="Times New Roman" w:cs="Times New Roman" w:eastAsia="Times New Roman" w:hAnsi="Times New Roman"/>
          <w:sz w:val="18"/>
          <w:szCs w:val="18"/>
          <w:b w:val="1"/>
          <w:bCs w:val="1"/>
          <w:color w:val="auto"/>
        </w:rPr>
      </w:pPr>
    </w:p>
    <w:p>
      <w:pPr>
        <w:ind w:right="180" w:firstLine="1400"/>
        <w:spacing w:after="0" w:line="267" w:lineRule="auto"/>
        <w:tabs>
          <w:tab w:leader="none" w:pos="1689" w:val="left"/>
        </w:tabs>
        <w:numPr>
          <w:ilvl w:val="1"/>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“Derivative Transaction” means any agreement, arrangement, interest or understanding entered into by, or on behalf or for the benefit of, any Proponent or any of its affiliates or associates, whether record or beneficial:</w:t>
      </w:r>
    </w:p>
    <w:p>
      <w:pPr>
        <w:spacing w:after="0" w:line="65" w:lineRule="exact"/>
        <w:rPr>
          <w:sz w:val="20"/>
          <w:szCs w:val="20"/>
          <w:color w:val="auto"/>
        </w:rPr>
      </w:pPr>
    </w:p>
    <w:p>
      <w:pPr>
        <w:ind w:left="1400" w:right="680"/>
        <w:spacing w:after="0" w:line="267" w:lineRule="auto"/>
        <w:tabs>
          <w:tab w:leader="none" w:pos="1687"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which is derived in whole or in part from the value of any class or series of shares or other securities of the corporation;</w:t>
      </w:r>
    </w:p>
    <w:p>
      <w:pPr>
        <w:spacing w:after="0" w:line="64" w:lineRule="exact"/>
        <w:rPr>
          <w:rFonts w:ascii="Times New Roman" w:cs="Times New Roman" w:eastAsia="Times New Roman" w:hAnsi="Times New Roman"/>
          <w:sz w:val="18"/>
          <w:szCs w:val="18"/>
          <w:color w:val="auto"/>
        </w:rPr>
      </w:pPr>
    </w:p>
    <w:p>
      <w:pPr>
        <w:ind w:left="1400" w:right="420"/>
        <w:spacing w:after="0" w:line="267" w:lineRule="auto"/>
        <w:tabs>
          <w:tab w:leader="none" w:pos="1677"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otherwise provides any direct or indirect opportunity to gain or share in any gain derived from a change in the value of securities of the corporation;</w:t>
      </w:r>
    </w:p>
    <w:p>
      <w:pPr>
        <w:spacing w:after="0" w:line="64" w:lineRule="exact"/>
        <w:rPr>
          <w:rFonts w:ascii="Times New Roman" w:cs="Times New Roman" w:eastAsia="Times New Roman" w:hAnsi="Times New Roman"/>
          <w:sz w:val="18"/>
          <w:szCs w:val="18"/>
          <w:color w:val="auto"/>
        </w:rPr>
      </w:pPr>
    </w:p>
    <w:p>
      <w:pPr>
        <w:ind w:left="1400" w:right="600"/>
        <w:spacing w:after="0" w:line="267" w:lineRule="auto"/>
        <w:tabs>
          <w:tab w:leader="none" w:pos="1677"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or intent of which is to mitigate loss, manage risk or benefit from changes in value or price with respect to any securities of the corporation; or</w:t>
      </w:r>
    </w:p>
    <w:p>
      <w:pPr>
        <w:sectPr>
          <w:pgSz w:w="11900" w:h="16838" w:orient="portrait"/>
          <w:cols w:equalWidth="0" w:num="1">
            <w:col w:w="10700"/>
          </w:cols>
          <w:pgMar w:left="580" w:top="265" w:right="619" w:bottom="1440" w:gutter="0" w:footer="0" w:header="0"/>
        </w:sectPr>
      </w:pPr>
    </w:p>
    <w:bookmarkStart w:id="373" w:name="page374"/>
    <w:bookmarkEnd w:id="373"/>
    <w:p>
      <w:pPr>
        <w:ind w:left="1400" w:right="100"/>
        <w:spacing w:after="0" w:line="267" w:lineRule="auto"/>
        <w:tabs>
          <w:tab w:leader="none" w:pos="168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that provides the right to vote or increase or decrease the voting power of, such Proponent, or any of its affiliates or associates, directly or indirectly, with respect to any securities of the corporation,</w:t>
      </w:r>
    </w:p>
    <w:p>
      <w:pPr>
        <w:spacing w:after="0" w:line="17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which agreement, arrangement, interest or understanding may include, without limitation, any option, warrant, debt position, note, bond, convertible security, swap, stock appreciation or similar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82" w:lineRule="exact"/>
        <w:rPr>
          <w:sz w:val="20"/>
          <w:szCs w:val="20"/>
          <w:color w:val="auto"/>
        </w:rPr>
      </w:pPr>
    </w:p>
    <w:p>
      <w:pPr>
        <w:ind w:right="160" w:firstLine="1400"/>
        <w:spacing w:after="0" w:line="251" w:lineRule="auto"/>
        <w:tabs>
          <w:tab w:leader="none" w:pos="164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 Special Meetings.</w:t>
      </w:r>
    </w:p>
    <w:p>
      <w:pPr>
        <w:spacing w:after="0" w:line="110" w:lineRule="exact"/>
        <w:rPr>
          <w:sz w:val="20"/>
          <w:szCs w:val="20"/>
          <w:color w:val="auto"/>
        </w:rPr>
      </w:pPr>
    </w:p>
    <w:p>
      <w:pPr>
        <w:ind w:firstLine="972"/>
        <w:spacing w:after="0" w:line="283" w:lineRule="auto"/>
        <w:tabs>
          <w:tab w:leader="none" w:pos="1202"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meetings of the stockholders of the corporation (i) may be called, for any purpose as is a proper matter for stockholder action under Delaware law, by (A) the Chairperson of the Board of Directors, (B) the Chief Executive Officer, or (C)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(ii) until the Final Conversion Date (as defined in the Certificate of Incorporation) shall be called, for any purpose as is a proper matter for stockholder action under Delaware law, by the Secretary of the Company upon written request of stockholders of record entitled to cast not less than a majority of the votes at such special meeting, provided that such written request is in compliance with the requirements of Section 6(b) hereof (“Stockholder-Requested Meeting”).</w:t>
      </w:r>
    </w:p>
    <w:p>
      <w:pPr>
        <w:spacing w:after="0" w:line="56" w:lineRule="exact"/>
        <w:rPr>
          <w:rFonts w:ascii="Times New Roman" w:cs="Times New Roman" w:eastAsia="Times New Roman" w:hAnsi="Times New Roman"/>
          <w:sz w:val="16"/>
          <w:szCs w:val="16"/>
          <w:color w:val="auto"/>
        </w:rPr>
      </w:pPr>
    </w:p>
    <w:p>
      <w:pPr>
        <w:ind w:right="20" w:firstLine="972"/>
        <w:spacing w:after="0" w:line="245" w:lineRule="auto"/>
        <w:tabs>
          <w:tab w:leader="none" w:pos="121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special meeting called pursuant to Section 6(a)(i), 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For a Stockholder-Requested Meeting, the request shall (i) be in writing, signed and dated by a stockholder of record, (ii) set forth the purpose of calling the special meeting and include the information required by the stockholder’s notice as set forth in Section 5(b)(i) and in Section 5(b)(ii) (for the proposal of business other than nominations) and (iii) be delivered personally or sent by certified or registered mail, return receipt requested, to the Secretary at the principal executive offices of the corporation. If the Board of Directors determines that a request pursuant to Section 6(a)(ii) is valid, the Board of Directors shall determine the time and place, if any, of a Stockholder-Requested Meeting, which time shall be not less than thirty (30) days nor more than ninety (90) days after the receipt of such request, and shall set a record date for the determination of stockholders entitled to vote at such meeting in the manner set forth in Section 38 hereof. Following determination of the time and place, if any, of the meeting, the Secretary shall cause a notice of meeting to be given to the stockholders entitled to vote, in accordance with the provisions of Section 7 of these Bylaws. No business may be transacted at a special meeting, including a Stockholder-Requested Meeting, otherwise than as specified in the notice of meeting.</w:t>
      </w:r>
    </w:p>
    <w:p>
      <w:pPr>
        <w:spacing w:after="0" w:line="90" w:lineRule="exact"/>
        <w:rPr>
          <w:rFonts w:ascii="Times New Roman" w:cs="Times New Roman" w:eastAsia="Times New Roman" w:hAnsi="Times New Roman"/>
          <w:sz w:val="18"/>
          <w:szCs w:val="18"/>
          <w:color w:val="auto"/>
        </w:rPr>
      </w:pPr>
    </w:p>
    <w:p>
      <w:pPr>
        <w:ind w:firstLine="972"/>
        <w:spacing w:after="0" w:line="249" w:lineRule="auto"/>
        <w:tabs>
          <w:tab w:leader="none" w:pos="120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may be made at a special meeting of stockholders at which directors are to be elected (i) by or at the direction of the Board of Directors or a duly authorized committee thereof or (ii) by any stockholder of the corporation who is a stockholder of record (and, with respect to any beneficial owner, if different, on whose behalf such nomination or nominations are made, only if such beneficial owner was the beneficial owner of shares of the corporation) at the time of giving notice provided for in this paragraph, who is entitled to vote at the</w:t>
      </w:r>
    </w:p>
    <w:p>
      <w:pPr>
        <w:sectPr>
          <w:pgSz w:w="11900" w:h="16838" w:orient="portrait"/>
          <w:cols w:equalWidth="0" w:num="1">
            <w:col w:w="10640"/>
          </w:cols>
          <w:pgMar w:left="580" w:top="265" w:right="679" w:bottom="1440" w:gutter="0" w:footer="0" w:header="0"/>
        </w:sectPr>
      </w:pPr>
    </w:p>
    <w:bookmarkStart w:id="374" w:name="page375"/>
    <w:bookmarkEnd w:id="374"/>
    <w:p>
      <w:pPr>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meeting and who delivers written notice to the Secretary of the corporation setting forth the information required by Sections 5(b)(i) and 5(b)(iv).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Sections 5(b)(i) and 5(b)(iv) shall be received by the Secretary at the principal executive offices of the corporation not earlier than 120 days prior to such special meeting and not later than the close of business on the later of the 90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prior to such meeting or the tenth day following the day on which the corporation first makes a public announcement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(or extend any time period) for the giving of a stockholder’s notice as described above.</w:t>
      </w:r>
    </w:p>
    <w:p>
      <w:pPr>
        <w:spacing w:after="0" w:line="18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A person shall not be eligible for election or re-election as a director at the special meeting unless the person is nominated either in accordance with clause (i) or clause (ii) of this Section 6(c). Except as otherwise required by applicable law, the chairperson of the meeting shall have the power and duty to determine whether a nomination was made in accordance with the procedures set forth in these Bylaws and, if any proposed nomination or business is not in compliance with these Bylaws, or if the Proponent does not act in accordance with the representations in Sections 5(b)(iv)(D) and 5(b)(iv)(E), to declare that such nomination shall not be presented for stockholder action at the meeting and shall be disregarded, notwithstanding that proxies in respect of such nomination may have been solicited or received.</w:t>
      </w:r>
    </w:p>
    <w:p>
      <w:pPr>
        <w:spacing w:after="0" w:line="82" w:lineRule="exact"/>
        <w:rPr>
          <w:sz w:val="20"/>
          <w:szCs w:val="20"/>
          <w:color w:val="auto"/>
        </w:rPr>
      </w:pPr>
    </w:p>
    <w:p>
      <w:pPr>
        <w:ind w:right="160" w:firstLine="972"/>
        <w:spacing w:after="0" w:line="249" w:lineRule="auto"/>
        <w:tabs>
          <w:tab w:leader="none" w:pos="121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any references in these Bylaws to the 1934 Act or the rules and regulations thereunder are not intended to and shall not limit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applicable to nominations for the election to the Board of Directors to be considered pursuant to Section 6(c).</w:t>
      </w:r>
    </w:p>
    <w:p>
      <w:pPr>
        <w:spacing w:after="0" w:line="185" w:lineRule="exact"/>
        <w:rPr>
          <w:sz w:val="20"/>
          <w:szCs w:val="20"/>
          <w:color w:val="auto"/>
        </w:rPr>
      </w:pPr>
    </w:p>
    <w:p>
      <w:pPr>
        <w:ind w:firstLine="428"/>
        <w:spacing w:after="0" w:line="278" w:lineRule="auto"/>
        <w:rPr>
          <w:sz w:val="20"/>
          <w:szCs w:val="20"/>
          <w:color w:val="auto"/>
        </w:rPr>
      </w:pPr>
      <w:r>
        <w:rPr>
          <w:rFonts w:ascii="Times New Roman" w:cs="Times New Roman" w:eastAsia="Times New Roman" w:hAnsi="Times New Roman"/>
          <w:sz w:val="16"/>
          <w:szCs w:val="16"/>
          <w:b w:val="1"/>
          <w:bCs w:val="1"/>
          <w:color w:val="auto"/>
        </w:rPr>
        <w:t xml:space="preserve">Section 4. Notice of Meetings. </w:t>
      </w:r>
      <w:r>
        <w:rPr>
          <w:rFonts w:ascii="Times New Roman" w:cs="Times New Roman" w:eastAsia="Times New Roman" w:hAnsi="Times New Roman"/>
          <w:sz w:val="16"/>
          <w:szCs w:val="16"/>
          <w:color w:val="auto"/>
        </w:rPr>
        <w:t>Except as otherwise provided by applicable law, notice, given in writing or by electronic transmission, of each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meeting of stockholders shall be given not less than ten nor more than 60 days before the date of the meeting to each stockholder entitled to vote at such meeting. Such notice shall specify the place, if any, date and hour, in the case of special meetings, the purpose or purposes of the meeting, the record date for determining stockholders entitled to vote at the meeting, if such record date is different from the record date for determining stockholders entitled to notice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If sent via electronic transmission, notice is given when directed to such stockholder’s electronic mail address unless (a) the stockholder has notified the corporation in writing or by electronic transmission of an objection to receiving notice by electronic mail or (b) electronic transmission of such notice is prohibited by applicable law. Notice of the time, place, if any, and purpose of any meeting of stockholders (to the extent required)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ectPr>
          <w:pgSz w:w="11900" w:h="16838" w:orient="portrait"/>
          <w:cols w:equalWidth="0" w:num="1">
            <w:col w:w="10700"/>
          </w:cols>
          <w:pgMar w:left="580" w:top="265" w:right="619" w:bottom="1440" w:gutter="0" w:footer="0" w:header="0"/>
        </w:sectPr>
      </w:pPr>
    </w:p>
    <w:bookmarkStart w:id="375" w:name="page376"/>
    <w:bookmarkEnd w:id="375"/>
    <w:p>
      <w:pPr>
        <w:ind w:right="40" w:firstLine="428"/>
        <w:spacing w:after="0" w:line="24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5. Quorum and Vote Required. </w:t>
      </w:r>
      <w:r>
        <w:rPr>
          <w:rFonts w:ascii="Times New Roman" w:cs="Times New Roman" w:eastAsia="Times New Roman" w:hAnsi="Times New Roman"/>
          <w:sz w:val="18"/>
          <w:szCs w:val="18"/>
          <w:color w:val="auto"/>
        </w:rPr>
        <w:t>At all meetings of stockholders, except where otherwise provided by statute or by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or by these Bylaws, the presence, in person, by remote communication, if applicable, or by proxy duly authorized, of the holders of a majority of the voting power of the outstanding shares of stock entitled to vote at the meeting shall constitute a quorum for the transaction of business. In the absence of a quorum, any meeting of stockholders may be adjourned, from time to time, either by the chairperson of the meeting or by vote of the holders of a majority of the voting power of the shares represented thereat and entitled to vote thereon,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w:t>
      </w:r>
    </w:p>
    <w:p>
      <w:pPr>
        <w:spacing w:after="0" w:line="19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Except as otherwise provided by statute or by applicable stock exchange rules, or by the Certificate of Incorporation or these Bylaws, in all matters other than the election of directors, the affirmative vote of the holders of a majority of the voting power of the shares present in person, by remote communication, if applicable, or represented by proxy duly authorized at the meeting and voting affirmatively or negatively (excluding abstentions and broker non-votes) on such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statute or by the Certificate of Incorporation or these Bylaws or any applicable stock exchange rules, a majority of the voting power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w:t>
      </w:r>
    </w:p>
    <w:p>
      <w:pPr>
        <w:spacing w:after="0" w:line="192" w:lineRule="exact"/>
        <w:rPr>
          <w:sz w:val="20"/>
          <w:szCs w:val="20"/>
          <w:color w:val="auto"/>
        </w:rPr>
      </w:pPr>
    </w:p>
    <w:p>
      <w:pPr>
        <w:ind w:firstLine="428"/>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Section 6. Adjournment and Notice of Adjourned Meetings. </w:t>
      </w:r>
      <w:r>
        <w:rPr>
          <w:rFonts w:ascii="Times New Roman" w:cs="Times New Roman" w:eastAsia="Times New Roman" w:hAnsi="Times New Roman"/>
          <w:sz w:val="18"/>
          <w:szCs w:val="18"/>
          <w:color w:val="auto"/>
        </w:rPr>
        <w:t>Any meeting of stockholders, whether annual or special, may be adjourned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either by the chairperson of the meeting or by the vote of the holders of a majority of the voting power of the shares present in person, by remote communication, if applicable, or represented by proxy duly authorized at the meeting and entitled to vote thereon. When a meeting is adjourned to another time or place, if any, notice need not be given of the adjourned meeting if the time and place, if any, thereof and the means of remote communication, if any, by which stockholders and proxyholders may be deemed present in person and may vote at such meeting are announced at the meeting at which the adjournment is taken. At the adjourned meeting, the corporation may transact any business that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95" w:lineRule="exact"/>
        <w:rPr>
          <w:sz w:val="20"/>
          <w:szCs w:val="20"/>
          <w:color w:val="auto"/>
        </w:rPr>
      </w:pPr>
    </w:p>
    <w:p>
      <w:pPr>
        <w:ind w:right="60" w:firstLine="428"/>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Section 7. Voting Rights. </w:t>
      </w:r>
      <w:r>
        <w:rPr>
          <w:rFonts w:ascii="Times New Roman" w:cs="Times New Roman" w:eastAsia="Times New Roman" w:hAnsi="Times New Roman"/>
          <w:sz w:val="16"/>
          <w:szCs w:val="16"/>
          <w:color w:val="auto"/>
        </w:rPr>
        <w:t>For the purpose of determining those stockholders entitled to vote at any meeting of the stockholders or adjournment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thereof, except as otherwise provided by applicable law, only persons in whose names shares stand on the stock records of the corporation on the record date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years from its date of creation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w:t>
      </w:r>
    </w:p>
    <w:p>
      <w:pPr>
        <w:sectPr>
          <w:pgSz w:w="11900" w:h="16838" w:orient="portrait"/>
          <w:cols w:equalWidth="0" w:num="1">
            <w:col w:w="10700"/>
          </w:cols>
          <w:pgMar w:left="580" w:top="263" w:right="619" w:bottom="1440" w:gutter="0" w:footer="0" w:header="0"/>
        </w:sectPr>
      </w:pPr>
    </w:p>
    <w:bookmarkStart w:id="376" w:name="page377"/>
    <w:bookmarkEnd w:id="376"/>
    <w:p>
      <w:pPr>
        <w:ind w:right="40" w:firstLine="428"/>
        <w:spacing w:after="0" w:line="24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8. Joint Owners of Stock. </w:t>
      </w:r>
      <w:r>
        <w:rPr>
          <w:rFonts w:ascii="Times New Roman" w:cs="Times New Roman" w:eastAsia="Times New Roman" w:hAnsi="Times New Roman"/>
          <w:sz w:val="18"/>
          <w:szCs w:val="18"/>
          <w:color w:val="auto"/>
        </w:rPr>
        <w:t>If shares or other securities having voting power stand of record in the names of two or more persons,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fiduciaries, members of a partnership, joint 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votes, his or her act binds all; (b) if more than one votes, the act of the majority so voting binds all; or (c) if more than one votes, but the vote is evenly split on any particular matter, each faction may vote the securities in question proportionally, or may apply to the Delaware Court of Chancery for relief as provided in Section 217(b) of the DGCL. If the instrument filed with the Secretary shows that any such tenancy is held in unequal interests, a majority or even-split for the purpose of subsection (c) shall be a majority or even-split in interest.</w:t>
      </w:r>
    </w:p>
    <w:p>
      <w:pPr>
        <w:spacing w:after="0" w:line="186" w:lineRule="exact"/>
        <w:rPr>
          <w:sz w:val="20"/>
          <w:szCs w:val="20"/>
          <w:color w:val="auto"/>
        </w:rPr>
      </w:pPr>
    </w:p>
    <w:p>
      <w:pPr>
        <w:ind w:right="40" w:firstLine="428"/>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Section 9. List of Stockholders. </w:t>
      </w:r>
      <w:r>
        <w:rPr>
          <w:rFonts w:ascii="Times New Roman" w:cs="Times New Roman" w:eastAsia="Times New Roman" w:hAnsi="Times New Roman"/>
          <w:sz w:val="18"/>
          <w:szCs w:val="18"/>
          <w:color w:val="auto"/>
        </w:rPr>
        <w:t>The corporation shall prepare, at least ten days before every meeting of stockholders, a complete list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entitled to vote at said meeting, arranged in alphabetical order, showing the address of each stockholder and the number and class of shares registered in the name of each stockholder; provided, however, if the record date for determining the stockholders entitled to vote is less than ten days before the meeting date, the list shall reflect all of the stockholders entitled to vote as of the tenth day before the meeting date.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applicable law.</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 Action without Meeting.</w:t>
      </w:r>
    </w:p>
    <w:p>
      <w:pPr>
        <w:spacing w:after="0" w:line="110" w:lineRule="exact"/>
        <w:rPr>
          <w:sz w:val="20"/>
          <w:szCs w:val="20"/>
          <w:color w:val="auto"/>
        </w:rPr>
      </w:pPr>
    </w:p>
    <w:p>
      <w:pPr>
        <w:ind w:firstLine="972"/>
        <w:spacing w:after="0" w:line="247" w:lineRule="auto"/>
        <w:tabs>
          <w:tab w:leader="none" w:pos="1202"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Certificate of Incorporation, any action required by statute to be taken at any annual or special meeting of the stockholders, or any action which may be taken at any annual or special meeting of the stockholders, may, until the Final Conversion Date (as defined in the Certificate of Incorporation), be taken without a meeting, without prior notice and without a vote, if a consent in writing, or by electronic transmission setting forth the action so taken, shall be signed by the holders of outstanding stock having not less than the minimum number of votes that would be necessary to authorize or take such action at a meeting at which all shares entitled to vote thereon were present and voted. Following the Final Conversion Date, no action shall be taken by the stockholders of the Company except at an annual or special meeting of stockholders called in accordance with the Bylaws and no action shall be taken by the stockholders by written consent.</w:t>
      </w:r>
    </w:p>
    <w:p>
      <w:pPr>
        <w:spacing w:after="0" w:line="84" w:lineRule="exact"/>
        <w:rPr>
          <w:rFonts w:ascii="Times New Roman" w:cs="Times New Roman" w:eastAsia="Times New Roman" w:hAnsi="Times New Roman"/>
          <w:sz w:val="18"/>
          <w:szCs w:val="18"/>
          <w:color w:val="auto"/>
        </w:rPr>
      </w:pPr>
    </w:p>
    <w:p>
      <w:pPr>
        <w:ind w:firstLine="972"/>
        <w:spacing w:after="0" w:line="278" w:lineRule="auto"/>
        <w:tabs>
          <w:tab w:leader="none" w:pos="1212"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that the corporation may determine the stockholders entitled to consent to corporate action in writing without a meeting, so long as such action is provided for,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Any stockholder of record seeking to have the stockholders authorize or take corporate action by written consent may, by written notice to the Secretary, request the Board of Directors to fix a record date. The Board of Directors shall promptly, but in all events within ten days after the date on which such a request is received, adopt a resolution fixing the record date. If no request to fix a record date is made or no record date has been fixed by the Board of Directors within ten 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ectPr>
          <w:pgSz w:w="11900" w:h="16838" w:orient="portrait"/>
          <w:cols w:equalWidth="0" w:num="1">
            <w:col w:w="10700"/>
          </w:cols>
          <w:pgMar w:left="580" w:top="263" w:right="619" w:bottom="1440" w:gutter="0" w:footer="0" w:header="0"/>
        </w:sectPr>
      </w:pPr>
    </w:p>
    <w:bookmarkStart w:id="377" w:name="page378"/>
    <w:bookmarkEnd w:id="377"/>
    <w:p>
      <w:pPr>
        <w:ind w:right="40" w:firstLine="428"/>
        <w:spacing w:after="0" w:line="333"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11. Remote Communication. </w:t>
      </w:r>
      <w:r>
        <w:rPr>
          <w:rFonts w:ascii="Times New Roman" w:cs="Times New Roman" w:eastAsia="Times New Roman" w:hAnsi="Times New Roman"/>
          <w:sz w:val="16"/>
          <w:szCs w:val="16"/>
          <w:color w:val="auto"/>
        </w:rPr>
        <w:t>For the purposes of these Bylaws, if authorized by the Board of Directors in its sole discretion, and subject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such guidelines and procedures as the Board of Directors may adopt, stockholders and proxyholders may, by means of remote communication:</w:t>
      </w:r>
    </w:p>
    <w:p>
      <w:pPr>
        <w:spacing w:after="0" w:line="17" w:lineRule="exact"/>
        <w:rPr>
          <w:sz w:val="20"/>
          <w:szCs w:val="20"/>
          <w:color w:val="auto"/>
        </w:rPr>
      </w:pPr>
    </w:p>
    <w:p>
      <w:pPr>
        <w:ind w:left="1200" w:hanging="228"/>
        <w:spacing w:after="0"/>
        <w:tabs>
          <w:tab w:leader="none" w:pos="12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 meeting of stockholders; and</w:t>
      </w:r>
    </w:p>
    <w:p>
      <w:pPr>
        <w:spacing w:after="0" w:line="108" w:lineRule="exact"/>
        <w:rPr>
          <w:rFonts w:ascii="Times New Roman" w:cs="Times New Roman" w:eastAsia="Times New Roman" w:hAnsi="Times New Roman"/>
          <w:sz w:val="18"/>
          <w:szCs w:val="18"/>
          <w:color w:val="auto"/>
        </w:rPr>
      </w:pPr>
    </w:p>
    <w:p>
      <w:pPr>
        <w:ind w:firstLine="972"/>
        <w:spacing w:after="0" w:line="247" w:lineRule="auto"/>
        <w:tabs>
          <w:tab w:leader="none" w:pos="121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12. Organization.</w:t>
      </w:r>
    </w:p>
    <w:p>
      <w:pPr>
        <w:spacing w:after="0" w:line="110" w:lineRule="exact"/>
        <w:rPr>
          <w:sz w:val="20"/>
          <w:szCs w:val="20"/>
          <w:color w:val="auto"/>
        </w:rPr>
      </w:pPr>
    </w:p>
    <w:p>
      <w:pPr>
        <w:ind w:firstLine="972"/>
        <w:spacing w:after="0" w:line="247" w:lineRule="auto"/>
        <w:tabs>
          <w:tab w:leader="none" w:pos="120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every meeting of stockholders, the Chairperson of the Board of Directors, or, if a Chairperson has not been appointed, is absent or refuses to act, the Chief Executive Officer, or if no Chief Executive Officer is then serving or the Chief Executive Officer is absent or refuses to act, the President, or, if the President is absent or refuses to act, a chairperson of the meeting designated by the Board of Directors, or, if the Board of Directors does not designate such chairperson, a chairperson of the meeting chosen by a majority of the voting power of the stockholders entitled to vote, present in person or by proxy duly authorized, shall act as chairperson of the meeting of stockholders. The Chairperson of the Board of Directors may appoint the Chief Executive Officer as chairperson of the meeting. The Secretary, or, in his or her absence, an Assistant Secretary or other officer or other person directed to do so by the chairperson of the meeting, shall act as secretary of the meeting.</w:t>
      </w:r>
    </w:p>
    <w:p>
      <w:pPr>
        <w:spacing w:after="0" w:line="84" w:lineRule="exact"/>
        <w:rPr>
          <w:rFonts w:ascii="Times New Roman" w:cs="Times New Roman" w:eastAsia="Times New Roman" w:hAnsi="Times New Roman"/>
          <w:sz w:val="18"/>
          <w:szCs w:val="18"/>
          <w:color w:val="auto"/>
        </w:rPr>
      </w:pPr>
    </w:p>
    <w:p>
      <w:pPr>
        <w:ind w:firstLine="972"/>
        <w:spacing w:after="0" w:line="245" w:lineRule="auto"/>
        <w:tabs>
          <w:tab w:leader="none" w:pos="121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ectPr>
          <w:pgSz w:w="11900" w:h="16838" w:orient="portrait"/>
          <w:cols w:equalWidth="0" w:num="1">
            <w:col w:w="10700"/>
          </w:cols>
          <w:pgMar w:left="580" w:top="263" w:right="619" w:bottom="1440" w:gutter="0" w:footer="0" w:header="0"/>
        </w:sectPr>
      </w:pPr>
    </w:p>
    <w:bookmarkStart w:id="378" w:name="page379"/>
    <w:bookmarkEnd w:id="3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IV</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13" w:lineRule="exact"/>
        <w:rPr>
          <w:sz w:val="20"/>
          <w:szCs w:val="20"/>
          <w:color w:val="auto"/>
        </w:rPr>
      </w:pPr>
    </w:p>
    <w:p>
      <w:pPr>
        <w:jc w:val="both"/>
        <w:ind w:right="140"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 Number and Term of Office. </w:t>
      </w:r>
      <w:r>
        <w:rPr>
          <w:rFonts w:ascii="Times New Roman" w:cs="Times New Roman" w:eastAsia="Times New Roman" w:hAnsi="Times New Roman"/>
          <w:sz w:val="18"/>
          <w:szCs w:val="18"/>
          <w:color w:val="auto"/>
        </w:rPr>
        <w:t>The authorized number of directors of the corporation shall be fixed in accordance with the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81" w:lineRule="exact"/>
        <w:rPr>
          <w:sz w:val="20"/>
          <w:szCs w:val="20"/>
          <w:color w:val="auto"/>
        </w:rPr>
      </w:pPr>
    </w:p>
    <w:p>
      <w:pPr>
        <w:ind w:right="34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Section 2. Powers. </w:t>
      </w:r>
      <w:r>
        <w:rPr>
          <w:rFonts w:ascii="Times New Roman" w:cs="Times New Roman" w:eastAsia="Times New Roman" w:hAnsi="Times New Roman"/>
          <w:sz w:val="18"/>
          <w:szCs w:val="18"/>
          <w:color w:val="auto"/>
        </w:rPr>
        <w:t>The business and affairs of the corporation shall be managed by or under the direction of the Board of Directors,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otherwise provided by the Certificate of Incorporation or the DGCL.</w:t>
      </w:r>
    </w:p>
    <w:p>
      <w:pPr>
        <w:spacing w:after="0" w:line="164" w:lineRule="exact"/>
        <w:rPr>
          <w:sz w:val="20"/>
          <w:szCs w:val="20"/>
          <w:color w:val="auto"/>
        </w:rPr>
      </w:pPr>
    </w:p>
    <w:p>
      <w:pPr>
        <w:ind w:right="2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Section 3. Classes of Directors. </w:t>
      </w:r>
      <w:r>
        <w:rPr>
          <w:rFonts w:ascii="Times New Roman" w:cs="Times New Roman" w:eastAsia="Times New Roman" w:hAnsi="Times New Roman"/>
          <w:sz w:val="18"/>
          <w:szCs w:val="18"/>
          <w:color w:val="auto"/>
        </w:rPr>
        <w:t>The directors shall be divided into classes as and to the extent provided in the Certificate of Incorporation,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otherwise required by applicable law.</w:t>
      </w:r>
    </w:p>
    <w:p>
      <w:pPr>
        <w:spacing w:after="0" w:line="164" w:lineRule="exact"/>
        <w:rPr>
          <w:sz w:val="20"/>
          <w:szCs w:val="20"/>
          <w:color w:val="auto"/>
        </w:rPr>
      </w:pPr>
    </w:p>
    <w:p>
      <w:pPr>
        <w:ind w:right="46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Section 4. Vacancies. </w:t>
      </w:r>
      <w:r>
        <w:rPr>
          <w:rFonts w:ascii="Times New Roman" w:cs="Times New Roman" w:eastAsia="Times New Roman" w:hAnsi="Times New Roman"/>
          <w:sz w:val="18"/>
          <w:szCs w:val="18"/>
          <w:color w:val="auto"/>
        </w:rPr>
        <w:t>Vacancies on the Board of Directors shall be filled as provided in the Certificate of Incorporation, except as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applicable law.</w:t>
      </w:r>
    </w:p>
    <w:p>
      <w:pPr>
        <w:spacing w:after="0" w:line="164" w:lineRule="exact"/>
        <w:rPr>
          <w:sz w:val="20"/>
          <w:szCs w:val="20"/>
          <w:color w:val="auto"/>
        </w:rPr>
      </w:pPr>
    </w:p>
    <w:p>
      <w:pPr>
        <w:ind w:right="20" w:firstLine="428"/>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Section 5. Resignation. </w:t>
      </w:r>
      <w:r>
        <w:rPr>
          <w:rFonts w:ascii="Times New Roman" w:cs="Times New Roman" w:eastAsia="Times New Roman" w:hAnsi="Times New Roman"/>
          <w:sz w:val="18"/>
          <w:szCs w:val="18"/>
          <w:color w:val="auto"/>
        </w:rPr>
        <w:t>Any director may resign at any time by delivering his or her notice in writing or by electronic transmission to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or the Secretary. Such resignation shall take effect at the time of delivery of the notice or at any later time specified therein. Acceptance of such resignation shall not be necessary to make it effective.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 or until his or her earlier death, resignation or removal.</w:t>
      </w:r>
    </w:p>
    <w:p>
      <w:pPr>
        <w:spacing w:after="0" w:line="189" w:lineRule="exact"/>
        <w:rPr>
          <w:sz w:val="20"/>
          <w:szCs w:val="20"/>
          <w:color w:val="auto"/>
        </w:rPr>
      </w:pPr>
    </w:p>
    <w:p>
      <w:pPr>
        <w:ind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Section 6. Removal. </w:t>
      </w:r>
      <w:r>
        <w:rPr>
          <w:rFonts w:ascii="Times New Roman" w:cs="Times New Roman" w:eastAsia="Times New Roman" w:hAnsi="Times New Roman"/>
          <w:sz w:val="18"/>
          <w:szCs w:val="18"/>
          <w:color w:val="auto"/>
        </w:rPr>
        <w:t>Subject to any limitation imposed by applicable law, any individual director or the entire Board of Directors may be removed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office as provided in Section 141(k) of the DGCL.</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 Meetings.</w:t>
      </w:r>
    </w:p>
    <w:p>
      <w:pPr>
        <w:spacing w:after="0" w:line="108" w:lineRule="exact"/>
        <w:rPr>
          <w:sz w:val="20"/>
          <w:szCs w:val="20"/>
          <w:color w:val="auto"/>
        </w:rPr>
      </w:pPr>
    </w:p>
    <w:p>
      <w:pPr>
        <w:ind w:right="140" w:firstLine="972"/>
        <w:spacing w:after="0" w:line="293" w:lineRule="auto"/>
        <w:tabs>
          <w:tab w:leader="none" w:pos="1202"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Regular Meetings. </w:t>
      </w:r>
      <w:r>
        <w:rPr>
          <w:rFonts w:ascii="Times New Roman" w:cs="Times New Roman" w:eastAsia="Times New Roman" w:hAnsi="Times New Roman"/>
          <w:sz w:val="16"/>
          <w:szCs w:val="16"/>
          <w:color w:val="auto"/>
        </w:rPr>
        <w:t>Unless otherwise restricted by the Certificate of Incorporation, regular meetings of the Board of Directors may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held at any time or date and at any place within or without the State of Delaware that has been designated by the Board of Directors and publicized among all directors, either orally or in writing, by telephone, including a voice-messaging system or other system designed to record and communicate messages, or by electronic mail or other electronic means. No further notice shall be required for regular meetings of the Board of Directors.</w:t>
      </w:r>
    </w:p>
    <w:p>
      <w:pPr>
        <w:spacing w:after="0" w:line="46" w:lineRule="exact"/>
        <w:rPr>
          <w:rFonts w:ascii="Times New Roman" w:cs="Times New Roman" w:eastAsia="Times New Roman" w:hAnsi="Times New Roman"/>
          <w:sz w:val="16"/>
          <w:szCs w:val="16"/>
          <w:color w:val="auto"/>
        </w:rPr>
      </w:pPr>
    </w:p>
    <w:p>
      <w:pPr>
        <w:ind w:right="220" w:firstLine="972"/>
        <w:spacing w:after="0" w:line="256" w:lineRule="auto"/>
        <w:tabs>
          <w:tab w:leader="none" w:pos="1212"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 Meetings. </w:t>
      </w:r>
      <w:r>
        <w:rPr>
          <w:rFonts w:ascii="Times New Roman" w:cs="Times New Roman" w:eastAsia="Times New Roman" w:hAnsi="Times New Roman"/>
          <w:sz w:val="18"/>
          <w:szCs w:val="18"/>
          <w:color w:val="auto"/>
        </w:rPr>
        <w:t>Unless otherwise restricted by the Certificate of Incorporation, special meetings of the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at any time and place within or without the State of Delaware as designated and called by the Chairperson of the Board of Directors, the Chief Executive Officer or the Board of Directors</w:t>
      </w:r>
      <w:r>
        <w:rPr>
          <w:rFonts w:ascii="Times New Roman" w:cs="Times New Roman" w:eastAsia="Times New Roman" w:hAnsi="Times New Roman"/>
          <w:sz w:val="18"/>
          <w:szCs w:val="18"/>
          <w:b w:val="1"/>
          <w:bCs w:val="1"/>
          <w:color w:val="auto"/>
        </w:rPr>
        <w:t>.</w:t>
      </w:r>
    </w:p>
    <w:p>
      <w:pPr>
        <w:spacing w:after="0" w:line="72" w:lineRule="exact"/>
        <w:rPr>
          <w:rFonts w:ascii="Times New Roman" w:cs="Times New Roman" w:eastAsia="Times New Roman" w:hAnsi="Times New Roman"/>
          <w:sz w:val="18"/>
          <w:szCs w:val="18"/>
          <w:color w:val="auto"/>
        </w:rPr>
      </w:pPr>
    </w:p>
    <w:p>
      <w:pPr>
        <w:ind w:right="360" w:firstLine="972"/>
        <w:spacing w:after="0" w:line="303" w:lineRule="auto"/>
        <w:tabs>
          <w:tab w:leader="none" w:pos="1202"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Meetings by Electronic Communications Equipment. </w:t>
      </w:r>
      <w:r>
        <w:rPr>
          <w:rFonts w:ascii="Times New Roman" w:cs="Times New Roman" w:eastAsia="Times New Roman" w:hAnsi="Times New Roman"/>
          <w:sz w:val="16"/>
          <w:szCs w:val="16"/>
          <w:color w:val="auto"/>
        </w:rPr>
        <w:t>Any member of the Board of Directors, or of any committee thereof, 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38" w:lineRule="exact"/>
        <w:rPr>
          <w:rFonts w:ascii="Times New Roman" w:cs="Times New Roman" w:eastAsia="Times New Roman" w:hAnsi="Times New Roman"/>
          <w:sz w:val="16"/>
          <w:szCs w:val="16"/>
          <w:color w:val="auto"/>
        </w:rPr>
      </w:pPr>
    </w:p>
    <w:p>
      <w:pPr>
        <w:jc w:val="both"/>
        <w:ind w:right="80" w:firstLine="972"/>
        <w:spacing w:after="0" w:line="252" w:lineRule="auto"/>
        <w:tabs>
          <w:tab w:leader="none" w:pos="1212"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of Special Meetings. </w:t>
      </w:r>
      <w:r>
        <w:rPr>
          <w:rFonts w:ascii="Times New Roman" w:cs="Times New Roman" w:eastAsia="Times New Roman" w:hAnsi="Times New Roman"/>
          <w:sz w:val="18"/>
          <w:szCs w:val="18"/>
          <w:color w:val="auto"/>
        </w:rPr>
        <w:t>Notice of the time and place, if any, of all special meetings of the Board of Directors shall be transmitted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orally or in writing, by telephone, including a voice messaging system or other system or technology designed to record and communicate messages, or by electronic mail or other electronic means, during normal business hours, at least 24 hours before the date and time of the meeting. If notice is sent by U.S. mail, it shall be sent by first class mail, postage prepaid, at least three days before the date of the meeting.</w:t>
      </w:r>
    </w:p>
    <w:p>
      <w:pPr>
        <w:sectPr>
          <w:pgSz w:w="11900" w:h="16838" w:orient="portrait"/>
          <w:cols w:equalWidth="0" w:num="1">
            <w:col w:w="10720"/>
          </w:cols>
          <w:pgMar w:left="580" w:top="263" w:right="599" w:bottom="1440" w:gutter="0" w:footer="0" w:header="0"/>
        </w:sectPr>
      </w:pPr>
    </w:p>
    <w:bookmarkStart w:id="379" w:name="page380"/>
    <w:bookmarkEnd w:id="379"/>
    <w:p>
      <w:pPr>
        <w:ind w:right="160" w:firstLine="972"/>
        <w:spacing w:after="0" w:line="247" w:lineRule="auto"/>
        <w:tabs>
          <w:tab w:leader="none" w:pos="120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Waiver of Notice. </w:t>
      </w:r>
      <w:r>
        <w:rPr>
          <w:rFonts w:ascii="Times New Roman" w:cs="Times New Roman" w:eastAsia="Times New Roman" w:hAnsi="Times New Roman"/>
          <w:sz w:val="18"/>
          <w:szCs w:val="18"/>
          <w:color w:val="auto"/>
        </w:rPr>
        <w:t>Notice of any meeting of the Board of Directors may be waived in writing, or by electronic transmission,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 The transaction of all business at any meeting of the Board of Directors, or any committee thereof, however 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 Quorum and Voting.</w:t>
      </w:r>
    </w:p>
    <w:p>
      <w:pPr>
        <w:spacing w:after="0" w:line="110" w:lineRule="exact"/>
        <w:rPr>
          <w:sz w:val="20"/>
          <w:szCs w:val="20"/>
          <w:color w:val="auto"/>
        </w:rPr>
      </w:pPr>
    </w:p>
    <w:p>
      <w:pPr>
        <w:ind w:right="160" w:firstLine="972"/>
        <w:spacing w:after="0" w:line="247" w:lineRule="auto"/>
        <w:tabs>
          <w:tab w:leader="none" w:pos="120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Certificate of Incorporation requires a greater number, and except with respect to questions related to indemnification arising under Section 45 for which a quorum shall be one-third of the exact number of directors fixed from time to time by the Board of Directors in accordance with the Certificate of Incorporation, a quorum of the Board of Directors shall consist of a majority of the total number of directors then serving on the Board of Directors or, if greater, one-third of the exact number of directors fixed from time to time by the Board of Directors in accordance with the Certificate of Incorporation.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84" w:lineRule="exact"/>
        <w:rPr>
          <w:rFonts w:ascii="Times New Roman" w:cs="Times New Roman" w:eastAsia="Times New Roman" w:hAnsi="Times New Roman"/>
          <w:sz w:val="18"/>
          <w:szCs w:val="18"/>
          <w:color w:val="auto"/>
        </w:rPr>
      </w:pPr>
    </w:p>
    <w:p>
      <w:pPr>
        <w:ind w:right="380" w:firstLine="972"/>
        <w:spacing w:after="0" w:line="255" w:lineRule="auto"/>
        <w:tabs>
          <w:tab w:leader="none" w:pos="121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meeting of the Board of Directors at which a quorum is present, all questions and business shall be determined by the affirmative vote of a majority of the directors present, unless a different vote be required by applicable law, the Certificate of Incorporation or these Bylaws.</w:t>
      </w:r>
    </w:p>
    <w:p>
      <w:pPr>
        <w:spacing w:after="0" w:line="178" w:lineRule="exact"/>
        <w:rPr>
          <w:sz w:val="20"/>
          <w:szCs w:val="20"/>
          <w:color w:val="auto"/>
        </w:rPr>
      </w:pPr>
    </w:p>
    <w:p>
      <w:pPr>
        <w:ind w:right="40" w:firstLine="428"/>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9. Action without Meeting. </w:t>
      </w:r>
      <w:r>
        <w:rPr>
          <w:rFonts w:ascii="Times New Roman" w:cs="Times New Roman" w:eastAsia="Times New Roman" w:hAnsi="Times New Roman"/>
          <w:sz w:val="18"/>
          <w:szCs w:val="18"/>
          <w:color w:val="auto"/>
        </w:rPr>
        <w:t>Unless otherwise restricted by the Certificate of Incorporation or these Bylaws, any action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at any meeting of the Board of Directors or of any committee thereof may be taken without a meeting, if all members of the Board of Directors or committee, as the case may be, consent thereto in writing or by electronic transmission. Such consent or consents shall be filed with the minutes of proceedings of the Board of Directors or committee. Such filing shall be in paper form if the minutes are maintained in paper form and shall be in electronic form if the minutes are maintained in electronic form.</w:t>
      </w:r>
    </w:p>
    <w:p>
      <w:pPr>
        <w:spacing w:after="0" w:line="77" w:lineRule="exact"/>
        <w:rPr>
          <w:sz w:val="20"/>
          <w:szCs w:val="20"/>
          <w:color w:val="auto"/>
        </w:rPr>
      </w:pPr>
    </w:p>
    <w:p>
      <w:pPr>
        <w:ind w:right="80" w:firstLine="972"/>
        <w:spacing w:after="0" w:line="247" w:lineRule="auto"/>
        <w:tabs>
          <w:tab w:leader="none" w:pos="1202"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Fees and Compensation</w:t>
      </w:r>
      <w:r>
        <w:rPr>
          <w:rFonts w:ascii="Times New Roman" w:cs="Times New Roman" w:eastAsia="Times New Roman" w:hAnsi="Times New Roman"/>
          <w:sz w:val="18"/>
          <w:szCs w:val="18"/>
          <w:color w:val="auto"/>
        </w:rPr>
        <w:t>. Directors shall be entitled to such compensation for their services as may be approved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or a committee thereof to which the Board of Directors has delegated such responsibility and authority, including, if so approved, by resolution of the Board of Directors or a committee thereof to which the Board of Directors has delegated such responsibility and authority, a fixed sum and reimbursement of expenses incurred, if any, for attendance at each regular or special meeting of the Board of Directors and at any meeting of a committee of the Board of Directors, as well as reimbursement for other reasonable expenses incurred with respect to duties as a member of the Board of Directors or any committee thereof. Nothing herein contained shall be construed to preclude any director from serving the corporation in any other capacity as an officer, agent, employee, or otherwise and receiving compensation therefor.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 Committees.</w:t>
      </w:r>
    </w:p>
    <w:p>
      <w:pPr>
        <w:spacing w:after="0" w:line="108" w:lineRule="exact"/>
        <w:rPr>
          <w:sz w:val="20"/>
          <w:szCs w:val="20"/>
          <w:color w:val="auto"/>
        </w:rPr>
      </w:pPr>
    </w:p>
    <w:p>
      <w:pPr>
        <w:ind w:firstLine="972"/>
        <w:spacing w:after="0" w:line="280" w:lineRule="auto"/>
        <w:tabs>
          <w:tab w:leader="none" w:pos="1202"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Executive Committee. </w:t>
      </w:r>
      <w:r>
        <w:rPr>
          <w:rFonts w:ascii="Times New Roman" w:cs="Times New Roman" w:eastAsia="Times New Roman" w:hAnsi="Times New Roman"/>
          <w:sz w:val="16"/>
          <w:szCs w:val="16"/>
          <w:color w:val="auto"/>
        </w:rPr>
        <w:t>The Board of Directors may appoint an Executive Committee to consist of one or more members of the Board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Directors. The Executive Committee, to the extent permitted by applicable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w:t>
      </w:r>
    </w:p>
    <w:p>
      <w:pPr>
        <w:spacing w:after="0" w:line="1" w:lineRule="exact"/>
        <w:rPr>
          <w:rFonts w:ascii="Times New Roman" w:cs="Times New Roman" w:eastAsia="Times New Roman" w:hAnsi="Times New Roman"/>
          <w:sz w:val="16"/>
          <w:szCs w:val="16"/>
          <w:color w:val="auto"/>
        </w:rPr>
      </w:pPr>
    </w:p>
    <w:p>
      <w:pPr>
        <w:ind w:right="40" w:firstLine="8"/>
        <w:spacing w:after="0" w:line="247" w:lineRule="auto"/>
        <w:tabs>
          <w:tab w:leader="none" w:pos="20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ectPr>
          <w:pgSz w:w="11900" w:h="16838" w:orient="portrait"/>
          <w:cols w:equalWidth="0" w:num="1">
            <w:col w:w="10700"/>
          </w:cols>
          <w:pgMar w:left="580" w:top="263" w:right="619" w:bottom="1440" w:gutter="0" w:footer="0" w:header="0"/>
        </w:sectPr>
      </w:pPr>
    </w:p>
    <w:bookmarkStart w:id="380" w:name="page381"/>
    <w:bookmarkEnd w:id="380"/>
    <w:p>
      <w:pPr>
        <w:ind w:right="80" w:firstLine="972"/>
        <w:spacing w:after="0" w:line="252" w:lineRule="auto"/>
        <w:tabs>
          <w:tab w:leader="none" w:pos="121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Other Committees. </w:t>
      </w:r>
      <w:r>
        <w:rPr>
          <w:rFonts w:ascii="Times New Roman" w:cs="Times New Roman" w:eastAsia="Times New Roman" w:hAnsi="Times New Roman"/>
          <w:sz w:val="18"/>
          <w:szCs w:val="18"/>
          <w:color w:val="auto"/>
        </w:rPr>
        <w:t>The Board of Directors may, from time to time, appoint such other committees as may be permitted by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Such other committees appointed by the Board of Directors shall consist of one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75" w:lineRule="exact"/>
        <w:rPr>
          <w:rFonts w:ascii="Times New Roman" w:cs="Times New Roman" w:eastAsia="Times New Roman" w:hAnsi="Times New Roman"/>
          <w:sz w:val="18"/>
          <w:szCs w:val="18"/>
          <w:color w:val="auto"/>
        </w:rPr>
      </w:pPr>
    </w:p>
    <w:p>
      <w:pPr>
        <w:ind w:right="40" w:firstLine="972"/>
        <w:spacing w:after="0" w:line="246" w:lineRule="auto"/>
        <w:tabs>
          <w:tab w:leader="none" w:pos="120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Board of Directors, subject to any requirements of any outstanding series of preferred stock and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subsections (a) or (b) of this Section 10,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86" w:lineRule="exact"/>
        <w:rPr>
          <w:rFonts w:ascii="Times New Roman" w:cs="Times New Roman" w:eastAsia="Times New Roman" w:hAnsi="Times New Roman"/>
          <w:sz w:val="18"/>
          <w:szCs w:val="18"/>
          <w:color w:val="auto"/>
        </w:rPr>
      </w:pPr>
    </w:p>
    <w:p>
      <w:pPr>
        <w:ind w:firstLine="972"/>
        <w:spacing w:after="0" w:line="245" w:lineRule="auto"/>
        <w:tabs>
          <w:tab w:leader="none" w:pos="121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Meetings. </w:t>
      </w:r>
      <w:r>
        <w:rPr>
          <w:rFonts w:ascii="Times New Roman" w:cs="Times New Roman" w:eastAsia="Times New Roman" w:hAnsi="Times New Roman"/>
          <w:sz w:val="18"/>
          <w:szCs w:val="18"/>
          <w:color w:val="auto"/>
        </w:rPr>
        <w:t>Unless the Board of Directors shall otherwise provide, regular meetings of the Executive Committee or any other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pursuant to this Section 10 shall be held at such times and places, if any, as are determined by the Board of Directors, or by any such committee, and when notice thereof has been given to each member of such committee, no further notice of such regular meetings need be given thereafter. Special meetings of any such committee may be held at such place, if any, that has been determined from time to time by such committee, and may be called by any director who is a member of such committee, upon notice to the members of such committee of the time and place, if any, of such special meeting given in the manner provided for the giving of notice to members of the Board of Directors of the time and place, if any, of special meetings of the Board of Directors. Notice of any meeting of any committee may be waived in writing or by electronic transmission at any time before or after the meeting and will be waived by any director by attendance thereat, except when the director attends such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95" w:lineRule="exact"/>
        <w:rPr>
          <w:sz w:val="20"/>
          <w:szCs w:val="20"/>
          <w:color w:val="auto"/>
        </w:rPr>
      </w:pPr>
    </w:p>
    <w:p>
      <w:pPr>
        <w:ind w:right="40" w:firstLine="428"/>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11. Lead Independent Director. </w:t>
      </w:r>
      <w:r>
        <w:rPr>
          <w:rFonts w:ascii="Times New Roman" w:cs="Times New Roman" w:eastAsia="Times New Roman" w:hAnsi="Times New Roman"/>
          <w:sz w:val="18"/>
          <w:szCs w:val="18"/>
          <w:color w:val="auto"/>
        </w:rPr>
        <w:t>The Chairperson of the Board of Directors, or if the Chairperson is not an independent director, one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independent directors, may be designated by the Board of Directors as lead independent director to serve until replaced by the Board of Directors (“Lead Independent Director”). The Lead Independent Director will preside over meetings of the independent directors and perform such other duties as may be established or delegated by the Board of Directors and perform such other duties as may be established or delegated by the Chairperson of the Board of Directors.</w:t>
      </w:r>
    </w:p>
    <w:p>
      <w:pPr>
        <w:spacing w:after="0" w:line="182" w:lineRule="exact"/>
        <w:rPr>
          <w:sz w:val="20"/>
          <w:szCs w:val="20"/>
          <w:color w:val="auto"/>
        </w:rPr>
      </w:pPr>
    </w:p>
    <w:p>
      <w:pPr>
        <w:ind w:right="80" w:firstLine="428"/>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Section 12. Organization. </w:t>
      </w:r>
      <w:r>
        <w:rPr>
          <w:rFonts w:ascii="Times New Roman" w:cs="Times New Roman" w:eastAsia="Times New Roman" w:hAnsi="Times New Roman"/>
          <w:sz w:val="18"/>
          <w:szCs w:val="18"/>
          <w:color w:val="auto"/>
        </w:rPr>
        <w:t>At every meeting of the directors, the Chairperson of the Board of Directors, or, if a Chairperson has not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or is absent, the Lead Independent Director, or if the Lead Independent Director is absent,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or her absence, any Assistant Secretary or other officer, director or other person directed to do so by the person presiding over the meeting, shall act as secretary of the meeting.</w:t>
      </w:r>
    </w:p>
    <w:p>
      <w:pPr>
        <w:sectPr>
          <w:pgSz w:w="11900" w:h="16838" w:orient="portrait"/>
          <w:cols w:equalWidth="0" w:num="1">
            <w:col w:w="10720"/>
          </w:cols>
          <w:pgMar w:left="580" w:top="263" w:right="599" w:bottom="1440" w:gutter="0" w:footer="0" w:header="0"/>
        </w:sectPr>
      </w:pPr>
    </w:p>
    <w:bookmarkStart w:id="381" w:name="page382"/>
    <w:bookmarkEnd w:id="3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V</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13" w:lineRule="exact"/>
        <w:rPr>
          <w:sz w:val="20"/>
          <w:szCs w:val="20"/>
          <w:color w:val="auto"/>
        </w:rPr>
      </w:pPr>
    </w:p>
    <w:p>
      <w:pPr>
        <w:ind w:right="140" w:firstLine="428"/>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Section 1. Officers Designated. </w:t>
      </w:r>
      <w:r>
        <w:rPr>
          <w:rFonts w:ascii="Times New Roman" w:cs="Times New Roman" w:eastAsia="Times New Roman" w:hAnsi="Times New Roman"/>
          <w:sz w:val="16"/>
          <w:szCs w:val="16"/>
          <w:color w:val="auto"/>
        </w:rPr>
        <w:t>The officers of the corporation shall include, if and when designated by the Board of Directors, the Chairperson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Board of Directors (provided that notwithstanding the foregoing or anything to the contrary in these Bylaws, the Chairperson of the Board of Directors shall not be deemed an officer of the corporation unless specifically designated an officer by the Board of Directors), the Chief 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appropriate or necessary. The Board of Directors may assign such additional titles to one or more of the officers as it shall deem appropriate. Any one person may hold any number of offices of the corporation at any one time unless specifically prohibited therefrom by applicable law, the Certificate of Incorporation or these Bylaws. The salaries and other compensation of the officers of the corporation shall be fixed by or in the manner designated by the Board of Directors or by a committee thereof to which the Board of Directors has delegated such responsibility.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 Tenure and Duties of Officers.</w:t>
      </w:r>
    </w:p>
    <w:p>
      <w:pPr>
        <w:spacing w:after="0" w:line="108" w:lineRule="exact"/>
        <w:rPr>
          <w:sz w:val="20"/>
          <w:szCs w:val="20"/>
          <w:color w:val="auto"/>
        </w:rPr>
      </w:pPr>
    </w:p>
    <w:p>
      <w:pPr>
        <w:ind w:right="100" w:firstLine="972"/>
        <w:spacing w:after="0" w:line="252" w:lineRule="auto"/>
        <w:tabs>
          <w:tab w:leader="none" w:pos="120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All officers shall hold office at the pleasure of the Board of Directors and until their successors shall have been duly 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qualified, unless sooner removed. If the office of any officer becomes vacant for any reason, the vacancy may be filled by the Board of Directors or by a committee thereof to which the Board of Directors has delegated such responsibility or, if so authorized by the Board of Directors, by the Chief Executive Officer or another officer of the corporation.</w:t>
      </w:r>
    </w:p>
    <w:p>
      <w:pPr>
        <w:spacing w:after="0" w:line="75" w:lineRule="exact"/>
        <w:rPr>
          <w:rFonts w:ascii="Times New Roman" w:cs="Times New Roman" w:eastAsia="Times New Roman" w:hAnsi="Times New Roman"/>
          <w:sz w:val="18"/>
          <w:szCs w:val="18"/>
          <w:color w:val="auto"/>
        </w:rPr>
      </w:pPr>
    </w:p>
    <w:p>
      <w:pPr>
        <w:ind w:firstLine="972"/>
        <w:spacing w:after="0" w:line="247" w:lineRule="auto"/>
        <w:tabs>
          <w:tab w:leader="none" w:pos="121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of Chief Executive Officer. </w:t>
      </w:r>
      <w:r>
        <w:rPr>
          <w:rFonts w:ascii="Times New Roman" w:cs="Times New Roman" w:eastAsia="Times New Roman" w:hAnsi="Times New Roman"/>
          <w:sz w:val="18"/>
          <w:szCs w:val="18"/>
          <w:color w:val="auto"/>
        </w:rPr>
        <w:t>The Chief Executive Officer shall preside at all meetings of the stockholders and, if a director,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meetings of the Board of Directors, unless a Chairperson of the Board of Directors or Lead Independent Director has been appointed and is present. The Chief Executive Officer shall be the chief executive officer of the corporation and, subject to the supervision, direction and control of the Board of Directors, shall have the general powers and duties of supervision, direction, management and control of the business and officers of the corporation as are customarily associated with the position of Chief Executive Officer. To the extent that a Chief Executive Officer has been appointed and no President has been appointed, all references in these Bylaws to the President shall be deemed references to the Chief Executive Officer. The Chief Executive Officer shall perform other duties customarily associated with the office and shall also perform such other duties and have such other powers, as the Board of Directors shall designate from time to time.</w:t>
      </w:r>
    </w:p>
    <w:p>
      <w:pPr>
        <w:spacing w:after="0" w:line="81" w:lineRule="exact"/>
        <w:rPr>
          <w:rFonts w:ascii="Times New Roman" w:cs="Times New Roman" w:eastAsia="Times New Roman" w:hAnsi="Times New Roman"/>
          <w:sz w:val="18"/>
          <w:szCs w:val="18"/>
          <w:color w:val="auto"/>
        </w:rPr>
      </w:pPr>
    </w:p>
    <w:p>
      <w:pPr>
        <w:ind w:firstLine="972"/>
        <w:spacing w:after="0" w:line="247" w:lineRule="auto"/>
        <w:tabs>
          <w:tab w:leader="none" w:pos="120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of President. </w:t>
      </w:r>
      <w:r>
        <w:rPr>
          <w:rFonts w:ascii="Times New Roman" w:cs="Times New Roman" w:eastAsia="Times New Roman" w:hAnsi="Times New Roman"/>
          <w:sz w:val="18"/>
          <w:szCs w:val="18"/>
          <w:color w:val="auto"/>
        </w:rPr>
        <w:t>The President shall preside at all meetings of the stockholders and, if a director, at all meetings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unless a Chairperson of the Board of Directors, Lead Independent Director, or Chief Executive Officer has been appointed and is present. Unless another officer has been appointed Chief Executive Officer of the corporation, the President shall be the chief executive officer of the corporation and, subject to the supervision, direction and control of the Board of Directors, shall have the general powers and duties of supervision, direction, management and control of the business and officers of the corporation as are customarily associated with the position of President. The President shall perform other duties customarily associated with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 shall designate from time to time.</w:t>
      </w:r>
    </w:p>
    <w:p>
      <w:pPr>
        <w:sectPr>
          <w:pgSz w:w="11900" w:h="16838" w:orient="portrait"/>
          <w:cols w:equalWidth="0" w:num="1">
            <w:col w:w="10720"/>
          </w:cols>
          <w:pgMar w:left="580" w:top="263" w:right="599" w:bottom="1440" w:gutter="0" w:footer="0" w:header="0"/>
        </w:sectPr>
      </w:pPr>
    </w:p>
    <w:bookmarkStart w:id="382" w:name="page383"/>
    <w:bookmarkEnd w:id="382"/>
    <w:p>
      <w:pPr>
        <w:ind w:left="-440" w:right="260" w:firstLine="972"/>
        <w:spacing w:after="0" w:line="250" w:lineRule="auto"/>
        <w:tabs>
          <w:tab w:leader="none" w:pos="77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Duties of Vice Presidents. </w:t>
      </w:r>
      <w:r>
        <w:rPr>
          <w:rFonts w:ascii="Times New Roman" w:cs="Times New Roman" w:eastAsia="Times New Roman" w:hAnsi="Times New Roman"/>
          <w:sz w:val="18"/>
          <w:szCs w:val="18"/>
          <w:color w:val="auto"/>
        </w:rPr>
        <w:t>A Vice President may assume and perform the duties of the President in the absence or disability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or whenever the office of President is vacant (unless the duties of the President are being filled by the Chief Executive Officer). A Vice President shall perform other duties customarily associated with the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77" w:lineRule="exact"/>
        <w:rPr>
          <w:rFonts w:ascii="Times New Roman" w:cs="Times New Roman" w:eastAsia="Times New Roman" w:hAnsi="Times New Roman"/>
          <w:sz w:val="18"/>
          <w:szCs w:val="18"/>
          <w:color w:val="auto"/>
        </w:rPr>
      </w:pPr>
    </w:p>
    <w:p>
      <w:pPr>
        <w:ind w:left="-440" w:firstLine="972"/>
        <w:spacing w:after="0" w:line="281" w:lineRule="auto"/>
        <w:tabs>
          <w:tab w:leader="none" w:pos="762"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Duties of Secretary and Assistant Secretary. </w:t>
      </w:r>
      <w:r>
        <w:rPr>
          <w:rFonts w:ascii="Times New Roman" w:cs="Times New Roman" w:eastAsia="Times New Roman" w:hAnsi="Times New Roman"/>
          <w:sz w:val="16"/>
          <w:szCs w:val="16"/>
          <w:color w:val="auto"/>
        </w:rPr>
        <w:t>The Secretary shall attend all meetings of the stockholders and of the Board of Directors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shall record all acts, votes and proceedings thereof in the minute books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w:t>
      </w:r>
    </w:p>
    <w:p>
      <w:pPr>
        <w:spacing w:after="0" w:line="56" w:lineRule="exact"/>
        <w:rPr>
          <w:rFonts w:ascii="Times New Roman" w:cs="Times New Roman" w:eastAsia="Times New Roman" w:hAnsi="Times New Roman"/>
          <w:sz w:val="16"/>
          <w:szCs w:val="16"/>
          <w:color w:val="auto"/>
        </w:rPr>
      </w:pPr>
    </w:p>
    <w:p>
      <w:pPr>
        <w:ind w:left="-440" w:firstLine="972"/>
        <w:spacing w:after="0" w:line="246" w:lineRule="auto"/>
        <w:tabs>
          <w:tab w:leader="none" w:pos="743"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of Chief Financial Officer. </w:t>
      </w:r>
      <w:r>
        <w:rPr>
          <w:rFonts w:ascii="Times New Roman" w:cs="Times New Roman" w:eastAsia="Times New Roman" w:hAnsi="Times New Roman"/>
          <w:sz w:val="18"/>
          <w:szCs w:val="18"/>
          <w:color w:val="auto"/>
        </w:rPr>
        <w:t>The Chief Financial Officer shall keep or cause to be kept the books of account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thorough and proper manner and shall render statements of the financial affairs of the corporation in such form and as often as required by the Board of Directors, the Chief Executive Officer, or the President. The Chief Financial Officer, subject to the order of the Board of Directors, shall have the custody of all funds and securities of the corporation. The Chief Financial Officer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to assume and perform the duties of the Chief Financial Officer in the absence or disability of the Chief Financial Officer.</w:t>
      </w:r>
    </w:p>
    <w:p>
      <w:pPr>
        <w:spacing w:after="0" w:line="86" w:lineRule="exact"/>
        <w:rPr>
          <w:rFonts w:ascii="Times New Roman" w:cs="Times New Roman" w:eastAsia="Times New Roman" w:hAnsi="Times New Roman"/>
          <w:sz w:val="18"/>
          <w:szCs w:val="18"/>
          <w:color w:val="auto"/>
        </w:rPr>
      </w:pPr>
    </w:p>
    <w:p>
      <w:pPr>
        <w:ind w:left="-440" w:right="60" w:firstLine="972"/>
        <w:spacing w:after="0" w:line="246" w:lineRule="auto"/>
        <w:tabs>
          <w:tab w:leader="none" w:pos="77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of Treasurer and Assistant Treasurer. </w:t>
      </w:r>
      <w:r>
        <w:rPr>
          <w:rFonts w:ascii="Times New Roman" w:cs="Times New Roman" w:eastAsia="Times New Roman" w:hAnsi="Times New Roman"/>
          <w:sz w:val="18"/>
          <w:szCs w:val="18"/>
          <w:color w:val="auto"/>
        </w:rPr>
        <w:t>Unless another officer has been appointed Chief Financial Officer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Treasurer shall be the chief financial officer of the corporation, shall keep or cause to be kept the books of account of the corporation in a thorough and proper manner and shall render statements of the financial affairs of the corporation in such form and as often as required by the Board of Directors, the Chief Executive Officer or the President. Unless another officer has been appointed Chief Financial Officer of the corporation, the Treasurer, subject to the order of the Board of Directors, shall have the custody of all funds and securities of the corporation. The Treasurer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Treasurer or other officer to assume and perform the duties of the Treasurer in the absence or disability of the Treasurer, and each Assistant Treasurer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Delegation of Authority.</w:t>
      </w:r>
    </w:p>
    <w:p>
      <w:pPr>
        <w:spacing w:after="0" w:line="110" w:lineRule="exact"/>
        <w:rPr>
          <w:sz w:val="20"/>
          <w:szCs w:val="20"/>
          <w:color w:val="auto"/>
        </w:rPr>
      </w:pPr>
    </w:p>
    <w:p>
      <w:pPr>
        <w:ind w:left="-440" w:right="1140" w:firstLine="972"/>
        <w:spacing w:after="0" w:line="267" w:lineRule="auto"/>
        <w:tabs>
          <w:tab w:leader="none" w:pos="762"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from time to time delegate the powers or duties of any officer to any other officer or agent, notwithstanding any provision hereof.</w:t>
      </w:r>
    </w:p>
    <w:p>
      <w:pPr>
        <w:spacing w:after="0" w:line="64" w:lineRule="exact"/>
        <w:rPr>
          <w:rFonts w:ascii="Times New Roman" w:cs="Times New Roman" w:eastAsia="Times New Roman" w:hAnsi="Times New Roman"/>
          <w:sz w:val="18"/>
          <w:szCs w:val="18"/>
          <w:color w:val="auto"/>
        </w:rPr>
      </w:pPr>
    </w:p>
    <w:p>
      <w:pPr>
        <w:ind w:left="-440" w:firstLine="972"/>
        <w:spacing w:after="0" w:line="255" w:lineRule="auto"/>
        <w:tabs>
          <w:tab w:leader="none" w:pos="772"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Board of Directors, when present, shall preside at all meetings of the stockholders and the Board of Directors. The Chairperson of the Board of Directors shall perform such other duties customarily associated with the office and shall also perform such other duties and have such other powers, as the Board of Directors shall designate from time to time.</w:t>
      </w:r>
    </w:p>
    <w:p>
      <w:pPr>
        <w:sectPr>
          <w:pgSz w:w="11900" w:h="16838" w:orient="portrait"/>
          <w:cols w:equalWidth="0" w:num="1">
            <w:col w:w="10280"/>
          </w:cols>
          <w:pgMar w:left="1020" w:top="263" w:right="599" w:bottom="1440" w:gutter="0" w:footer="0" w:header="0"/>
        </w:sectPr>
      </w:pPr>
    </w:p>
    <w:bookmarkStart w:id="383" w:name="page384"/>
    <w:bookmarkEnd w:id="383"/>
    <w:p>
      <w:pPr>
        <w:ind w:right="80" w:firstLine="428"/>
        <w:spacing w:after="0" w:line="288"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4. Resignations. </w:t>
      </w:r>
      <w:r>
        <w:rPr>
          <w:rFonts w:ascii="Times New Roman" w:cs="Times New Roman" w:eastAsia="Times New Roman" w:hAnsi="Times New Roman"/>
          <w:sz w:val="16"/>
          <w:szCs w:val="16"/>
          <w:color w:val="auto"/>
        </w:rPr>
        <w:t>Any officer may resign at any time by giving notice in writing or by electronic transmission to the Board of Directors,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Chairperson of the Board of Directors, the Chief Executive Officer, the President or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56" w:lineRule="exact"/>
        <w:rPr>
          <w:sz w:val="20"/>
          <w:szCs w:val="20"/>
          <w:color w:val="auto"/>
        </w:rPr>
      </w:pPr>
    </w:p>
    <w:p>
      <w:pPr>
        <w:ind w:right="44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Section 5. Removal. </w:t>
      </w:r>
      <w:r>
        <w:rPr>
          <w:rFonts w:ascii="Times New Roman" w:cs="Times New Roman" w:eastAsia="Times New Roman" w:hAnsi="Times New Roman"/>
          <w:sz w:val="18"/>
          <w:szCs w:val="18"/>
          <w:color w:val="auto"/>
        </w:rPr>
        <w:t>Any officer may be removed from office at any time, either with or without cause, by the Board of Directors, or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thereof or any superior officer upon whom such power of removal may have been conferred by the Board of Directors.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EXECUTION OF CORPORATE INSTRUMENTS AND VOTING OF SECURITIES OWNED BY THE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193" w:lineRule="exact"/>
        <w:rPr>
          <w:sz w:val="20"/>
          <w:szCs w:val="20"/>
          <w:color w:val="auto"/>
        </w:rPr>
      </w:pPr>
    </w:p>
    <w:p>
      <w:pPr>
        <w:ind w:right="20"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 Execution of Corporate Instruments. </w:t>
      </w:r>
      <w:r>
        <w:rPr>
          <w:rFonts w:ascii="Times New Roman" w:cs="Times New Roman" w:eastAsia="Times New Roman" w:hAnsi="Times New Roman"/>
          <w:sz w:val="18"/>
          <w:szCs w:val="18"/>
          <w:color w:val="auto"/>
        </w:rPr>
        <w:t>The Board of Directors may, in its discretion, determine the method and designate the signatory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or officers, or other person or persons, to execute, sign or endorse on behalf of the corporation any corporate instrument or document, or to sign on behalf of the corporation the corporate name without limitation, or to enter into contracts on behalf of the corporation, except where otherwise provided by applicable law or these Bylaws, and such execution or signature shall be binding upon the corporation.</w:t>
      </w:r>
    </w:p>
    <w:p>
      <w:pPr>
        <w:spacing w:after="0" w:line="183" w:lineRule="exact"/>
        <w:rPr>
          <w:sz w:val="20"/>
          <w:szCs w:val="20"/>
          <w:color w:val="auto"/>
        </w:rPr>
      </w:pPr>
    </w:p>
    <w:p>
      <w:pPr>
        <w:ind w:right="120" w:firstLine="428"/>
        <w:spacing w:after="0" w:line="267" w:lineRule="auto"/>
        <w:rPr>
          <w:sz w:val="20"/>
          <w:szCs w:val="20"/>
          <w:color w:val="auto"/>
        </w:rPr>
      </w:pPr>
      <w:r>
        <w:rPr>
          <w:rFonts w:ascii="Times New Roman" w:cs="Times New Roman" w:eastAsia="Times New Roman" w:hAnsi="Times New Roman"/>
          <w:sz w:val="18"/>
          <w:szCs w:val="18"/>
          <w:color w:val="auto"/>
        </w:rPr>
        <w:t>All checks and drafts drawn on banks or other depositaries on funds to the credit of the corporation or in special accounts of the corporation shall be signed by such person or persons as the Board of Directors shall from time to time authorize so to do.</w:t>
      </w:r>
    </w:p>
    <w:p>
      <w:pPr>
        <w:spacing w:after="0" w:line="170" w:lineRule="exact"/>
        <w:rPr>
          <w:sz w:val="20"/>
          <w:szCs w:val="20"/>
          <w:color w:val="auto"/>
        </w:rPr>
      </w:pPr>
    </w:p>
    <w:p>
      <w:pPr>
        <w:ind w:firstLine="428"/>
        <w:spacing w:after="0" w:line="255" w:lineRule="auto"/>
        <w:rPr>
          <w:sz w:val="20"/>
          <w:szCs w:val="20"/>
          <w:color w:val="auto"/>
        </w:rPr>
      </w:pPr>
      <w:r>
        <w:rPr>
          <w:rFonts w:ascii="Times New Roman" w:cs="Times New Roman" w:eastAsia="Times New Roman" w:hAnsi="Times New Roman"/>
          <w:sz w:val="18"/>
          <w:szCs w:val="18"/>
          <w:color w:val="auto"/>
        </w:rPr>
        <w:t>Unless otherwise specifically determined by the Board of Directors or otherwise required by applicable law, the execution, signing or endorsement of any corporate instrument or document may be effected manually, by facsimile or (to the extent permitted by applicable law and subject to such policies and procedures as the corporation may have in effect from time to time) by electronic signature.</w:t>
      </w:r>
    </w:p>
    <w:p>
      <w:pPr>
        <w:spacing w:after="0" w:line="180" w:lineRule="exact"/>
        <w:rPr>
          <w:sz w:val="20"/>
          <w:szCs w:val="20"/>
          <w:color w:val="auto"/>
        </w:rPr>
      </w:pPr>
    </w:p>
    <w:p>
      <w:pPr>
        <w:ind w:right="120" w:firstLine="428"/>
        <w:spacing w:after="0" w:line="331" w:lineRule="auto"/>
        <w:rPr>
          <w:sz w:val="20"/>
          <w:szCs w:val="20"/>
          <w:color w:val="auto"/>
        </w:rPr>
      </w:pPr>
      <w:r>
        <w:rPr>
          <w:rFonts w:ascii="Times New Roman" w:cs="Times New Roman" w:eastAsia="Times New Roman" w:hAnsi="Times New Roman"/>
          <w:sz w:val="16"/>
          <w:szCs w:val="16"/>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21" w:lineRule="exact"/>
        <w:rPr>
          <w:sz w:val="20"/>
          <w:szCs w:val="20"/>
          <w:color w:val="auto"/>
        </w:rPr>
      </w:pPr>
    </w:p>
    <w:p>
      <w:pPr>
        <w:ind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 Voting of Securities Owned by the Corporation. </w:t>
      </w:r>
      <w:r>
        <w:rPr>
          <w:rFonts w:ascii="Times New Roman" w:cs="Times New Roman" w:eastAsia="Times New Roman" w:hAnsi="Times New Roman"/>
          <w:sz w:val="18"/>
          <w:szCs w:val="18"/>
          <w:color w:val="auto"/>
        </w:rPr>
        <w:t>All stock and other securities of or interests in other corporations or entities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the Chief Executive Officer, the President, or any Vice President.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OF STOCK</w:t>
      </w:r>
    </w:p>
    <w:p>
      <w:pPr>
        <w:spacing w:after="0" w:line="213" w:lineRule="exact"/>
        <w:rPr>
          <w:sz w:val="20"/>
          <w:szCs w:val="20"/>
          <w:color w:val="auto"/>
        </w:rPr>
      </w:pPr>
    </w:p>
    <w:p>
      <w:pPr>
        <w:jc w:val="both"/>
        <w:ind w:right="100"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 Form and Execution of Certificates. </w:t>
      </w:r>
      <w:r>
        <w:rPr>
          <w:rFonts w:ascii="Times New Roman" w:cs="Times New Roman" w:eastAsia="Times New Roman" w:hAnsi="Times New Roman"/>
          <w:sz w:val="18"/>
          <w:szCs w:val="18"/>
          <w:color w:val="auto"/>
        </w:rPr>
        <w:t>The shares of the corporation shall be represented by certificates, or shall be uncertificated if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resolution or resolutions of the Board of Directors. Certificates for the shares of stock, if any, shall be in such form as is consistent with the Certificate of Incorporation and applicable law. Every holder of stock in the corporation represented by certificates shall be entitled to have a certificate signed by or in the name of the corporation by any two</w:t>
      </w:r>
    </w:p>
    <w:p>
      <w:pPr>
        <w:sectPr>
          <w:pgSz w:w="11900" w:h="16838" w:orient="portrait"/>
          <w:cols w:equalWidth="0" w:num="1">
            <w:col w:w="10720"/>
          </w:cols>
          <w:pgMar w:left="580" w:top="263" w:right="599" w:bottom="1440" w:gutter="0" w:footer="0" w:header="0"/>
        </w:sectPr>
      </w:pPr>
    </w:p>
    <w:bookmarkStart w:id="384" w:name="page385"/>
    <w:bookmarkEnd w:id="384"/>
    <w:p>
      <w:pPr>
        <w:ind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authorized officers of the corporation, certifying the number, and the class or series, of shares owned by such holder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82" w:lineRule="exact"/>
        <w:rPr>
          <w:sz w:val="20"/>
          <w:szCs w:val="20"/>
          <w:color w:val="auto"/>
        </w:rPr>
      </w:pPr>
    </w:p>
    <w:p>
      <w:pPr>
        <w:ind w:right="100" w:firstLine="428"/>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Section 2. Lost Certificates. </w:t>
      </w:r>
      <w:r>
        <w:rPr>
          <w:rFonts w:ascii="Times New Roman" w:cs="Times New Roman" w:eastAsia="Times New Roman" w:hAnsi="Times New Roman"/>
          <w:sz w:val="18"/>
          <w:szCs w:val="18"/>
          <w:color w:val="auto"/>
        </w:rPr>
        <w:t>A new certificate or certificates shall be issued in place of any certificate or certificates theretofore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 Transfers.</w:t>
      </w:r>
    </w:p>
    <w:p>
      <w:pPr>
        <w:spacing w:after="0" w:line="110" w:lineRule="exact"/>
        <w:rPr>
          <w:sz w:val="20"/>
          <w:szCs w:val="20"/>
          <w:color w:val="auto"/>
        </w:rPr>
      </w:pPr>
    </w:p>
    <w:p>
      <w:pPr>
        <w:ind w:right="260" w:firstLine="972"/>
        <w:spacing w:after="0" w:line="255" w:lineRule="auto"/>
        <w:tabs>
          <w:tab w:leader="none" w:pos="1202"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75" w:lineRule="exact"/>
        <w:rPr>
          <w:rFonts w:ascii="Times New Roman" w:cs="Times New Roman" w:eastAsia="Times New Roman" w:hAnsi="Times New Roman"/>
          <w:sz w:val="18"/>
          <w:szCs w:val="18"/>
          <w:color w:val="auto"/>
        </w:rPr>
      </w:pPr>
    </w:p>
    <w:p>
      <w:pPr>
        <w:ind w:right="20" w:firstLine="972"/>
        <w:spacing w:after="0" w:line="255" w:lineRule="auto"/>
        <w:tabs>
          <w:tab w:leader="none" w:pos="1212"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 Fixing Record Dates.</w:t>
      </w:r>
    </w:p>
    <w:p>
      <w:pPr>
        <w:spacing w:after="0" w:line="110" w:lineRule="exact"/>
        <w:rPr>
          <w:sz w:val="20"/>
          <w:szCs w:val="20"/>
          <w:color w:val="auto"/>
        </w:rPr>
      </w:pPr>
    </w:p>
    <w:p>
      <w:pPr>
        <w:ind w:firstLine="972"/>
        <w:spacing w:after="0" w:line="245" w:lineRule="auto"/>
        <w:tabs>
          <w:tab w:leader="none" w:pos="1202"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60 nor less than ten days before the date of such meeting. If the Board of Directors so fixes a record date for determining the stockholders entitled to notice of any meeting of stockholders, such date shall also be the record date for determining the stockholders entitled to vote at such meeting, unless the Board of Directors determines, at the time it fixes the record date for determining the stockholders entitled to notice of such meeting, that a later date on or before the date of the meeting shall be the record date for determining the stockholders entitled to vote at such meeting. If no record date is fixed by the Board of Directors, the record date for determining stockholders entitled to notice of or to vote at a meeting of stockholders shall be at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of Directors may fix a new record date for the adjourned meeting in accordance with the provisions of this Section 38(a).</w:t>
      </w:r>
    </w:p>
    <w:p>
      <w:pPr>
        <w:spacing w:after="0" w:line="90" w:lineRule="exact"/>
        <w:rPr>
          <w:rFonts w:ascii="Times New Roman" w:cs="Times New Roman" w:eastAsia="Times New Roman" w:hAnsi="Times New Roman"/>
          <w:sz w:val="18"/>
          <w:szCs w:val="18"/>
          <w:color w:val="auto"/>
        </w:rPr>
      </w:pPr>
    </w:p>
    <w:p>
      <w:pPr>
        <w:ind w:firstLine="972"/>
        <w:spacing w:after="0" w:line="248" w:lineRule="auto"/>
        <w:tabs>
          <w:tab w:leader="none" w:pos="1212"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ectPr>
          <w:pgSz w:w="11900" w:h="16838" w:orient="portrait"/>
          <w:cols w:equalWidth="0" w:num="1">
            <w:col w:w="10700"/>
          </w:cols>
          <w:pgMar w:left="580" w:top="265" w:right="619" w:bottom="1440" w:gutter="0" w:footer="0" w:header="0"/>
        </w:sectPr>
      </w:pPr>
    </w:p>
    <w:bookmarkStart w:id="385" w:name="page386"/>
    <w:bookmarkEnd w:id="385"/>
    <w:p>
      <w:pPr>
        <w:jc w:val="both"/>
        <w:ind w:right="180"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5. Registered Stockholders. </w:t>
      </w:r>
      <w:r>
        <w:rPr>
          <w:rFonts w:ascii="Times New Roman" w:cs="Times New Roman" w:eastAsia="Times New Roman" w:hAnsi="Times New Roman"/>
          <w:sz w:val="18"/>
          <w:szCs w:val="18"/>
          <w:color w:val="auto"/>
        </w:rPr>
        <w:t>The corporation shall be entitled to recognize the exclusive right of a person registered on its books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1" w:lineRule="exact"/>
        <w:rPr>
          <w:sz w:val="20"/>
          <w:szCs w:val="20"/>
          <w:color w:val="auto"/>
        </w:rPr>
      </w:pPr>
    </w:p>
    <w:p>
      <w:pPr>
        <w:ind w:right="320" w:firstLine="428"/>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Section 6. Additional Powers of the Board. </w:t>
      </w:r>
      <w:r>
        <w:rPr>
          <w:rFonts w:ascii="Times New Roman" w:cs="Times New Roman" w:eastAsia="Times New Roman" w:hAnsi="Times New Roman"/>
          <w:sz w:val="16"/>
          <w:szCs w:val="16"/>
          <w:color w:val="auto"/>
        </w:rPr>
        <w:t>In addition to, and without limiting, the powers set forth in these Bylaws, the Board of Directors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have power and authority to make all such rules and regulations as it shall deem expedient concerning the issue, transfer, and registration of certificates for shares of stock of the corporation, including the use of uncertificated shares of stock, subject to the provisions of the DGCL, other applicable law, the Certificate of Incorporation and these Bylaws. The Board of Directors may appoint and remove transfer agents and registrars of transfers, and may require all stock certificates to bear the signature of any such transfer agent and/or any such registrar of transfers.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SECURITIES OF THE CORPORATION</w:t>
      </w:r>
    </w:p>
    <w:p>
      <w:pPr>
        <w:spacing w:after="0" w:line="213" w:lineRule="exact"/>
        <w:rPr>
          <w:sz w:val="20"/>
          <w:szCs w:val="20"/>
          <w:color w:val="auto"/>
        </w:rPr>
      </w:pPr>
    </w:p>
    <w:p>
      <w:pPr>
        <w:ind w:firstLine="428"/>
        <w:spacing w:after="0" w:line="279" w:lineRule="auto"/>
        <w:rPr>
          <w:sz w:val="20"/>
          <w:szCs w:val="20"/>
          <w:color w:val="auto"/>
        </w:rPr>
      </w:pPr>
      <w:r>
        <w:rPr>
          <w:rFonts w:ascii="Times New Roman" w:cs="Times New Roman" w:eastAsia="Times New Roman" w:hAnsi="Times New Roman"/>
          <w:sz w:val="16"/>
          <w:szCs w:val="16"/>
          <w:b w:val="1"/>
          <w:bCs w:val="1"/>
          <w:color w:val="auto"/>
        </w:rPr>
        <w:t xml:space="preserve">Section 1. Execution of Other Securities. </w:t>
      </w:r>
      <w:r>
        <w:rPr>
          <w:rFonts w:ascii="Times New Roman" w:cs="Times New Roman" w:eastAsia="Times New Roman" w:hAnsi="Times New Roman"/>
          <w:sz w:val="16"/>
          <w:szCs w:val="16"/>
          <w:color w:val="auto"/>
        </w:rPr>
        <w:t>All bonds, debentures and other corporate securities of the corporation, other than stock certificates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(covered in Article VII), may be signed by the Chairperson of the Board of Directors, the Chief Executive Officer, the President or any Vice President, or such other person as may be authorized by the Board of Directors;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an executive officer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13" w:lineRule="exact"/>
        <w:rPr>
          <w:sz w:val="20"/>
          <w:szCs w:val="20"/>
          <w:color w:val="auto"/>
        </w:rPr>
      </w:pPr>
    </w:p>
    <w:p>
      <w:pPr>
        <w:ind w:right="42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 Declaration of Dividends. </w:t>
      </w:r>
      <w:r>
        <w:rPr>
          <w:rFonts w:ascii="Times New Roman" w:cs="Times New Roman" w:eastAsia="Times New Roman" w:hAnsi="Times New Roman"/>
          <w:sz w:val="18"/>
          <w:szCs w:val="18"/>
          <w:color w:val="auto"/>
        </w:rPr>
        <w:t>Dividends upon the capital stock of the corporation, subject to the provisions of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and applicable law, if any, may be declared by the Board of Directors. Dividends may be paid in cash, in property, or in shares of the corporation’s capital stock, subject to the provisions of the Certificate of Incorporation and applicable law.</w:t>
      </w:r>
    </w:p>
    <w:p>
      <w:pPr>
        <w:spacing w:after="0" w:line="178" w:lineRule="exact"/>
        <w:rPr>
          <w:sz w:val="20"/>
          <w:szCs w:val="20"/>
          <w:color w:val="auto"/>
        </w:rPr>
      </w:pPr>
    </w:p>
    <w:p>
      <w:pPr>
        <w:ind w:right="60" w:firstLine="428"/>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2. Dividend Reserve. </w:t>
      </w:r>
      <w:r>
        <w:rPr>
          <w:rFonts w:ascii="Times New Roman" w:cs="Times New Roman" w:eastAsia="Times New Roman" w:hAnsi="Times New Roman"/>
          <w:sz w:val="18"/>
          <w:szCs w:val="18"/>
          <w:color w:val="auto"/>
        </w:rPr>
        <w:t>Before payment of any dividend, there may be set aside out of any funds of the corporation available for dividends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sum or sums as the Board of Directors from time to time, in its absolute discretion, determines proper as a reserve or reserves to meet contingencies, or for equalizing dividends, or for repairing or maintaining any property of the corporation, or for such other purpose or purposes as the Board of Directors shall determine to be conducive to the interests of the corporation, and the Board of Directors may modify or abolish any such reserve in the manner in which it was created.</w:t>
      </w:r>
    </w:p>
    <w:p>
      <w:pPr>
        <w:sectPr>
          <w:pgSz w:w="11900" w:h="16838" w:orient="portrait"/>
          <w:cols w:equalWidth="0" w:num="1">
            <w:col w:w="10700"/>
          </w:cols>
          <w:pgMar w:left="580" w:top="263" w:right="619" w:bottom="1440" w:gutter="0" w:footer="0" w:header="0"/>
        </w:sectPr>
      </w:pPr>
    </w:p>
    <w:bookmarkStart w:id="386" w:name="page387"/>
    <w:bookmarkEnd w:id="38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X</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 Fiscal Year. </w:t>
      </w:r>
      <w:r>
        <w:rPr>
          <w:rFonts w:ascii="Times New Roman" w:cs="Times New Roman" w:eastAsia="Times New Roman" w:hAnsi="Times New Roman"/>
          <w:sz w:val="18"/>
          <w:szCs w:val="18"/>
          <w:color w:val="auto"/>
        </w:rPr>
        <w:t>The fiscal year of the corporation shall be fixed by resolution of the Board of Directors.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 Indemnification of Directors, Executive Officers, Employees and Other Agents.</w:t>
      </w:r>
    </w:p>
    <w:p>
      <w:pPr>
        <w:spacing w:after="0" w:line="108" w:lineRule="exact"/>
        <w:rPr>
          <w:sz w:val="20"/>
          <w:szCs w:val="20"/>
          <w:color w:val="auto"/>
        </w:rPr>
      </w:pPr>
    </w:p>
    <w:p>
      <w:pPr>
        <w:ind w:firstLine="972"/>
        <w:spacing w:after="0" w:line="245" w:lineRule="auto"/>
        <w:tabs>
          <w:tab w:leader="none" w:pos="120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Directors and Executive Officers. </w:t>
      </w:r>
      <w:r>
        <w:rPr>
          <w:rFonts w:ascii="Times New Roman" w:cs="Times New Roman" w:eastAsia="Times New Roman" w:hAnsi="Times New Roman"/>
          <w:sz w:val="18"/>
          <w:szCs w:val="18"/>
          <w:color w:val="auto"/>
        </w:rPr>
        <w:t>The corporation shall indemnify to the full extent permitted under and in any manner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the DGCL or any other applicable law, any person who is made or threatened to be made a party to or is otherwise involved (as a witness or otherwise) in any threatened, pending, or completed action, suit, or proceeding, whether civil, criminal, administrative, or investigative (hereinafter, a “Proceeding”), by reason of the fact that such person is or was a director or executive officer (for the purposes of this Article XI, “executive officers” shall be those persons designated by the corporation as (a) executive officers for purposes of the disclosures required in the corporation’s proxy and periodic reports or (b) officers for purposes of Section 16 of the 1934 Act) of the corporation, or while serving as a director or executive officer of the corporation, is or was serving at the request of the corporation as a director, officer, employee, or agent of another corporation, partnership, joint venture, trust, or other enterprise, including service with respect to an employee benefit plan (collectively, “Another Enterprise”), against expenses (including attorneys’ fees), judgments, fines (including ERISA excise taxes or penalties) and amounts paid in settlement actually and reasonably incurred by him or her in connection with such Proceeding if he or she acted in good faith and in a manner he or she reasonably believed to be in or not opposed to the best interests of the corporation, and, with respect to any criminal action or proceeding, had no reasonable cause to believe his or her conduct was unlawful;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the corporation may modify the extent of such indemnification by individual contracts with its directors and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corporation shall not be required to indemnify any director or executive officer in connection with any proceeding (or part thereof) initiated by such person unless (i) such indemnification is expressly required to be made by applicable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 of this Section 45.</w:t>
      </w:r>
    </w:p>
    <w:p>
      <w:pPr>
        <w:spacing w:after="0" w:line="83" w:lineRule="exact"/>
        <w:rPr>
          <w:rFonts w:ascii="Times New Roman" w:cs="Times New Roman" w:eastAsia="Times New Roman" w:hAnsi="Times New Roman"/>
          <w:sz w:val="18"/>
          <w:szCs w:val="18"/>
          <w:color w:val="auto"/>
        </w:rPr>
      </w:pPr>
    </w:p>
    <w:p>
      <w:pPr>
        <w:ind w:right="220" w:firstLine="972"/>
        <w:spacing w:after="0" w:line="252" w:lineRule="auto"/>
        <w:tabs>
          <w:tab w:leader="none" w:pos="121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Officers, Employees and Other Agents. </w:t>
      </w:r>
      <w:r>
        <w:rPr>
          <w:rFonts w:ascii="Times New Roman" w:cs="Times New Roman" w:eastAsia="Times New Roman" w:hAnsi="Times New Roman"/>
          <w:sz w:val="18"/>
          <w:szCs w:val="18"/>
          <w:color w:val="auto"/>
        </w:rPr>
        <w:t>The corporation shall have power to indemnify (including the power to advance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 a manner consistent with subsection (c) of this Section 45) its other officers, employees and other agents as set forth in the DGCL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75" w:lineRule="exact"/>
        <w:rPr>
          <w:rFonts w:ascii="Times New Roman" w:cs="Times New Roman" w:eastAsia="Times New Roman" w:hAnsi="Times New Roman"/>
          <w:sz w:val="18"/>
          <w:szCs w:val="18"/>
          <w:color w:val="auto"/>
        </w:rPr>
      </w:pPr>
    </w:p>
    <w:p>
      <w:pPr>
        <w:ind w:right="60" w:firstLine="972"/>
        <w:spacing w:after="0" w:line="281" w:lineRule="auto"/>
        <w:tabs>
          <w:tab w:leader="none" w:pos="1202"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Expenses. </w:t>
      </w:r>
      <w:r>
        <w:rPr>
          <w:rFonts w:ascii="Times New Roman" w:cs="Times New Roman" w:eastAsia="Times New Roman" w:hAnsi="Times New Roman"/>
          <w:sz w:val="16"/>
          <w:szCs w:val="16"/>
          <w:color w:val="auto"/>
        </w:rPr>
        <w:t>The corporation shall advance to any person who was or is a party or is threatened to be made a party to any threatened,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pending or completed Proceeding, by reason of the fact that such person is or was a director or executive officer, of the corporation, or is or was serving at the request of the corporation as a director or executive officer of Another Enterprise, prior to the final disposition of the Proceeding, promptly following request therefor, all expenses (including attorneys’ fees)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45 or otherwise.</w:t>
      </w:r>
    </w:p>
    <w:p>
      <w:pPr>
        <w:sectPr>
          <w:pgSz w:w="11900" w:h="16838" w:orient="portrait"/>
          <w:cols w:equalWidth="0" w:num="1">
            <w:col w:w="10720"/>
          </w:cols>
          <w:pgMar w:left="580" w:top="264" w:right="599" w:bottom="1440" w:gutter="0" w:footer="0" w:header="0"/>
        </w:sectPr>
      </w:pPr>
    </w:p>
    <w:bookmarkStart w:id="387" w:name="page388"/>
    <w:bookmarkEnd w:id="387"/>
    <w:p>
      <w:pPr>
        <w:ind w:right="60" w:firstLine="428"/>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Notwithstanding the foregoing, unless otherwise determined pursuant to paragraph (d) of this Section 45, no advance shall be made by the corporation to an executive officer of the corporation (except by reason of the fact that such executive officer is or was a director of the corporation in which event this paragraph shall not apply) in any Proceeding,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82" w:lineRule="exact"/>
        <w:rPr>
          <w:sz w:val="20"/>
          <w:szCs w:val="20"/>
          <w:color w:val="auto"/>
        </w:rPr>
      </w:pPr>
    </w:p>
    <w:p>
      <w:pPr>
        <w:ind w:firstLine="972"/>
        <w:spacing w:after="0" w:line="277" w:lineRule="auto"/>
        <w:tabs>
          <w:tab w:leader="none" w:pos="1212"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Enforcement. </w:t>
      </w:r>
      <w:r>
        <w:rPr>
          <w:rFonts w:ascii="Times New Roman" w:cs="Times New Roman" w:eastAsia="Times New Roman" w:hAnsi="Times New Roman"/>
          <w:sz w:val="16"/>
          <w:szCs w:val="16"/>
          <w:color w:val="auto"/>
        </w:rPr>
        <w:t>Without the necessity of entering into an express contract, all rights to indemnification and advances to directors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 officers under this Section 45 shall be deemed to be contractual rights, shall vest when the person becomes a director or executive officer of the corporation, shall continue as vested contract rights even if such person ceases to be a director or executive officer of the corporation, and shall be effective to the same extent and as if provided for in a contract between the corporation and the director or executive officer. Any right to indemnification or advances granted by this Section 45 to a director or executive officer shall be enforceable by or on behalf of the person holding such right in any court of competent jurisdiction if (i) the claim for indemnification or advances is denied, in whole or in part, or (ii) no disposition of such claim is made within 90 days of request therefor. To the fullest extent permitted by applicable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Proceeding,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45 or otherwise shall be on the corporation.</w:t>
      </w:r>
    </w:p>
    <w:p>
      <w:pPr>
        <w:spacing w:after="0" w:line="200" w:lineRule="exact"/>
        <w:rPr>
          <w:rFonts w:ascii="Times New Roman" w:cs="Times New Roman" w:eastAsia="Times New Roman" w:hAnsi="Times New Roman"/>
          <w:sz w:val="16"/>
          <w:szCs w:val="16"/>
          <w:color w:val="auto"/>
        </w:rPr>
      </w:pPr>
    </w:p>
    <w:p>
      <w:pPr>
        <w:spacing w:after="0" w:line="281" w:lineRule="exact"/>
        <w:rPr>
          <w:rFonts w:ascii="Times New Roman" w:cs="Times New Roman" w:eastAsia="Times New Roman" w:hAnsi="Times New Roman"/>
          <w:sz w:val="16"/>
          <w:szCs w:val="16"/>
          <w:color w:val="auto"/>
        </w:rPr>
      </w:pPr>
    </w:p>
    <w:p>
      <w:pPr>
        <w:ind w:right="20" w:firstLine="972"/>
        <w:spacing w:after="0" w:line="250" w:lineRule="auto"/>
        <w:tabs>
          <w:tab w:leader="none" w:pos="1202"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Non-Exclusivity of Rights. </w:t>
      </w:r>
      <w:r>
        <w:rPr>
          <w:rFonts w:ascii="Times New Roman" w:cs="Times New Roman" w:eastAsia="Times New Roman" w:hAnsi="Times New Roman"/>
          <w:sz w:val="18"/>
          <w:szCs w:val="18"/>
          <w:color w:val="auto"/>
        </w:rPr>
        <w:t>The rights conferred on any person by this Section 45 shall not be exclusive of any other right that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77" w:lineRule="exact"/>
        <w:rPr>
          <w:rFonts w:ascii="Times New Roman" w:cs="Times New Roman" w:eastAsia="Times New Roman" w:hAnsi="Times New Roman"/>
          <w:sz w:val="18"/>
          <w:szCs w:val="18"/>
          <w:color w:val="auto"/>
        </w:rPr>
      </w:pPr>
    </w:p>
    <w:p>
      <w:pPr>
        <w:ind w:right="340" w:firstLine="972"/>
        <w:spacing w:after="0" w:line="333" w:lineRule="auto"/>
        <w:tabs>
          <w:tab w:leader="none" w:pos="1183"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Survival of Rights. </w:t>
      </w:r>
      <w:r>
        <w:rPr>
          <w:rFonts w:ascii="Times New Roman" w:cs="Times New Roman" w:eastAsia="Times New Roman" w:hAnsi="Times New Roman"/>
          <w:sz w:val="16"/>
          <w:szCs w:val="16"/>
          <w:color w:val="auto"/>
        </w:rPr>
        <w:t>The rights conferred on any person by this Bylaw shall continue as to a person who has ceased to be a director,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 officer, officer, employee or other agent and shall inure to the benefit of the heirs, executors and administrators of such a person.</w:t>
      </w:r>
    </w:p>
    <w:p>
      <w:pPr>
        <w:sectPr>
          <w:pgSz w:w="11900" w:h="16838" w:orient="portrait"/>
          <w:cols w:equalWidth="0" w:num="1">
            <w:col w:w="10720"/>
          </w:cols>
          <w:pgMar w:left="580" w:top="265" w:right="599" w:bottom="1440" w:gutter="0" w:footer="0" w:header="0"/>
        </w:sectPr>
      </w:pPr>
    </w:p>
    <w:bookmarkStart w:id="388" w:name="page389"/>
    <w:bookmarkEnd w:id="388"/>
    <w:p>
      <w:pPr>
        <w:ind w:left="-860" w:right="240" w:firstLine="972"/>
        <w:spacing w:after="0" w:line="333" w:lineRule="auto"/>
        <w:tabs>
          <w:tab w:leader="none" w:pos="352"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Insurance. </w:t>
      </w:r>
      <w:r>
        <w:rPr>
          <w:rFonts w:ascii="Times New Roman" w:cs="Times New Roman" w:eastAsia="Times New Roman" w:hAnsi="Times New Roman"/>
          <w:sz w:val="16"/>
          <w:szCs w:val="16"/>
          <w:color w:val="auto"/>
        </w:rPr>
        <w:t>To the fullest extent permitted by the DGCL or any other applicable law, the corporation, upon approval by the Board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Directors, may purchase and maintain insurance on behalf of any person required or permitted to be indemnified pursuant to this Section 45.</w:t>
      </w:r>
    </w:p>
    <w:p>
      <w:pPr>
        <w:spacing w:after="0" w:line="14" w:lineRule="exact"/>
        <w:rPr>
          <w:rFonts w:ascii="Times New Roman" w:cs="Times New Roman" w:eastAsia="Times New Roman" w:hAnsi="Times New Roman"/>
          <w:sz w:val="16"/>
          <w:szCs w:val="16"/>
          <w:color w:val="auto"/>
        </w:rPr>
      </w:pPr>
    </w:p>
    <w:p>
      <w:pPr>
        <w:ind w:left="-860" w:right="140" w:firstLine="972"/>
        <w:spacing w:after="0" w:line="256" w:lineRule="auto"/>
        <w:tabs>
          <w:tab w:leader="none" w:pos="352"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Amendments. </w:t>
      </w:r>
      <w:r>
        <w:rPr>
          <w:rFonts w:ascii="Times New Roman" w:cs="Times New Roman" w:eastAsia="Times New Roman" w:hAnsi="Times New Roman"/>
          <w:sz w:val="18"/>
          <w:szCs w:val="18"/>
          <w:color w:val="auto"/>
        </w:rPr>
        <w:t>Any repeal or modification of this Section 45 shall only be prospective and shall not affect the rights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45 as in effect at the time of the alleged occurrence of any action or omission to act that is the cause of any Proceeding against any agent of the corporation.</w:t>
      </w:r>
    </w:p>
    <w:p>
      <w:pPr>
        <w:spacing w:after="0" w:line="72" w:lineRule="exact"/>
        <w:rPr>
          <w:rFonts w:ascii="Times New Roman" w:cs="Times New Roman" w:eastAsia="Times New Roman" w:hAnsi="Times New Roman"/>
          <w:sz w:val="18"/>
          <w:szCs w:val="18"/>
          <w:color w:val="auto"/>
        </w:rPr>
      </w:pPr>
    </w:p>
    <w:p>
      <w:pPr>
        <w:ind w:left="-860" w:right="60" w:firstLine="972"/>
        <w:spacing w:after="0" w:line="250" w:lineRule="auto"/>
        <w:tabs>
          <w:tab w:leader="none" w:pos="313"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Saving Clause. </w:t>
      </w:r>
      <w:r>
        <w:rPr>
          <w:rFonts w:ascii="Times New Roman" w:cs="Times New Roman" w:eastAsia="Times New Roman" w:hAnsi="Times New Roman"/>
          <w:sz w:val="18"/>
          <w:szCs w:val="18"/>
          <w:color w:val="auto"/>
        </w:rPr>
        <w:t>If this Article XI or any portion hereof shall be invalidated on any ground by any court of competent jurisdiction,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nevertheless indemnify each director and executive officer to the full extent not prohibited by any applicable portion of this Article XI that shall not have been invalidated, or by any other applicable law. If this Article XI shall be invalid due to the application of the indemnification provisions of another jurisdiction, then the corporation shall indemnify each director and executive officer to the full extent under any other applicable law.</w:t>
      </w:r>
    </w:p>
    <w:p>
      <w:pPr>
        <w:spacing w:after="0" w:line="77" w:lineRule="exact"/>
        <w:rPr>
          <w:rFonts w:ascii="Times New Roman" w:cs="Times New Roman" w:eastAsia="Times New Roman" w:hAnsi="Times New Roman"/>
          <w:sz w:val="18"/>
          <w:szCs w:val="18"/>
          <w:color w:val="auto"/>
        </w:rPr>
      </w:pPr>
    </w:p>
    <w:p>
      <w:pPr>
        <w:ind w:left="-860" w:firstLine="972"/>
        <w:spacing w:after="0" w:line="270" w:lineRule="auto"/>
        <w:tabs>
          <w:tab w:leader="none" w:pos="313"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Certain Definitions and Construction of Terms. </w:t>
      </w:r>
      <w:r>
        <w:rPr>
          <w:rFonts w:ascii="Times New Roman" w:cs="Times New Roman" w:eastAsia="Times New Roman" w:hAnsi="Times New Roman"/>
          <w:sz w:val="18"/>
          <w:szCs w:val="18"/>
          <w:color w:val="auto"/>
        </w:rPr>
        <w:t>For the purposes of Article XI of these Bylaws, the following definitions and rules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shall apply:</w:t>
      </w:r>
    </w:p>
    <w:p>
      <w:pPr>
        <w:spacing w:after="0" w:line="57" w:lineRule="exact"/>
        <w:rPr>
          <w:rFonts w:ascii="Times New Roman" w:cs="Times New Roman" w:eastAsia="Times New Roman" w:hAnsi="Times New Roman"/>
          <w:sz w:val="18"/>
          <w:szCs w:val="18"/>
          <w:color w:val="auto"/>
        </w:rPr>
      </w:pPr>
    </w:p>
    <w:p>
      <w:pPr>
        <w:ind w:left="-860" w:right="740" w:firstLine="1400"/>
        <w:spacing w:after="0" w:line="258" w:lineRule="auto"/>
        <w:tabs>
          <w:tab w:leader="none" w:pos="741" w:val="left"/>
        </w:tabs>
        <w:numPr>
          <w:ilvl w:val="1"/>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67" w:lineRule="exact"/>
        <w:rPr>
          <w:rFonts w:ascii="Times New Roman" w:cs="Times New Roman" w:eastAsia="Times New Roman" w:hAnsi="Times New Roman"/>
          <w:sz w:val="18"/>
          <w:szCs w:val="18"/>
          <w:b w:val="1"/>
          <w:bCs w:val="1"/>
          <w:color w:val="auto"/>
        </w:rPr>
      </w:pPr>
    </w:p>
    <w:p>
      <w:pPr>
        <w:ind w:left="-860" w:right="180" w:firstLine="1400"/>
        <w:spacing w:after="0" w:line="336" w:lineRule="auto"/>
        <w:tabs>
          <w:tab w:leader="none" w:pos="790" w:val="left"/>
        </w:tabs>
        <w:numPr>
          <w:ilvl w:val="1"/>
          <w:numId w:val="2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b w:val="1"/>
          <w:bCs w:val="1"/>
          <w:i w:val="1"/>
          <w:iCs w:val="1"/>
          <w:color w:val="auto"/>
        </w:rPr>
        <w:t>expenses</w:t>
      </w:r>
      <w:r>
        <w:rPr>
          <w:rFonts w:ascii="Times New Roman" w:cs="Times New Roman" w:eastAsia="Times New Roman" w:hAnsi="Times New Roman"/>
          <w:sz w:val="16"/>
          <w:szCs w:val="16"/>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9" w:lineRule="exact"/>
        <w:rPr>
          <w:rFonts w:ascii="Times New Roman" w:cs="Times New Roman" w:eastAsia="Times New Roman" w:hAnsi="Times New Roman"/>
          <w:sz w:val="16"/>
          <w:szCs w:val="16"/>
          <w:b w:val="1"/>
          <w:bCs w:val="1"/>
          <w:color w:val="auto"/>
        </w:rPr>
      </w:pPr>
    </w:p>
    <w:p>
      <w:pPr>
        <w:ind w:left="-860" w:right="20" w:firstLine="1400"/>
        <w:spacing w:after="0" w:line="249" w:lineRule="auto"/>
        <w:tabs>
          <w:tab w:leader="none" w:pos="839" w:val="left"/>
        </w:tabs>
        <w:numPr>
          <w:ilvl w:val="1"/>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shall include,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45 with respect to the resulting or surviving corporation as he would have with respect to such constituent corporation if its separate existence had continued.</w:t>
      </w:r>
    </w:p>
    <w:p>
      <w:pPr>
        <w:spacing w:after="0" w:line="76" w:lineRule="exact"/>
        <w:rPr>
          <w:rFonts w:ascii="Times New Roman" w:cs="Times New Roman" w:eastAsia="Times New Roman" w:hAnsi="Times New Roman"/>
          <w:sz w:val="18"/>
          <w:szCs w:val="18"/>
          <w:b w:val="1"/>
          <w:bCs w:val="1"/>
          <w:color w:val="auto"/>
        </w:rPr>
      </w:pPr>
    </w:p>
    <w:p>
      <w:pPr>
        <w:jc w:val="both"/>
        <w:ind w:left="-860" w:right="440" w:firstLine="1400"/>
        <w:spacing w:after="0" w:line="258" w:lineRule="auto"/>
        <w:tabs>
          <w:tab w:leader="none" w:pos="829" w:val="left"/>
        </w:tabs>
        <w:numPr>
          <w:ilvl w:val="1"/>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a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67" w:lineRule="exact"/>
        <w:rPr>
          <w:rFonts w:ascii="Times New Roman" w:cs="Times New Roman" w:eastAsia="Times New Roman" w:hAnsi="Times New Roman"/>
          <w:sz w:val="18"/>
          <w:szCs w:val="18"/>
          <w:b w:val="1"/>
          <w:bCs w:val="1"/>
          <w:color w:val="auto"/>
        </w:rPr>
      </w:pPr>
    </w:p>
    <w:p>
      <w:pPr>
        <w:ind w:left="-860" w:right="40" w:firstLine="1400"/>
        <w:spacing w:after="0" w:line="249" w:lineRule="auto"/>
        <w:tabs>
          <w:tab w:leader="none" w:pos="780" w:val="left"/>
        </w:tabs>
        <w:numPr>
          <w:ilvl w:val="1"/>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Another Enterprise</w:t>
      </w:r>
      <w:r>
        <w:rPr>
          <w:rFonts w:ascii="Times New Roman" w:cs="Times New Roman" w:eastAsia="Times New Roman" w:hAnsi="Times New Roman"/>
          <w:sz w:val="18"/>
          <w:szCs w:val="18"/>
          <w:color w:val="auto"/>
        </w:rPr>
        <w:t>”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that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 45.</w:t>
      </w:r>
    </w:p>
    <w:p>
      <w:pPr>
        <w:sectPr>
          <w:pgSz w:w="11900" w:h="16838" w:orient="portrait"/>
          <w:cols w:equalWidth="0" w:num="1">
            <w:col w:w="9860"/>
          </w:cols>
          <w:pgMar w:left="1440" w:top="263" w:right="599" w:bottom="1440" w:gutter="0" w:footer="0" w:header="0"/>
        </w:sectPr>
      </w:pPr>
    </w:p>
    <w:bookmarkStart w:id="389" w:name="page390"/>
    <w:bookmarkEnd w:id="38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8040" cy="36830"/>
                    </a:xfrm>
                    <a:prstGeom prst="rect">
                      <a:avLst/>
                    </a:prstGeom>
                    <a:noFill/>
                  </pic:spPr>
                </pic:pic>
              </a:graphicData>
            </a:graphic>
          </wp:anchor>
        </w:drawing>
        <w:t>ARTICLE XII</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 Notices.</w:t>
      </w:r>
    </w:p>
    <w:p>
      <w:pPr>
        <w:spacing w:after="0" w:line="108" w:lineRule="exact"/>
        <w:rPr>
          <w:sz w:val="20"/>
          <w:szCs w:val="20"/>
          <w:color w:val="auto"/>
        </w:rPr>
      </w:pPr>
    </w:p>
    <w:p>
      <w:pPr>
        <w:ind w:right="40" w:firstLine="972"/>
        <w:spacing w:after="0" w:line="252" w:lineRule="auto"/>
        <w:tabs>
          <w:tab w:leader="none" w:pos="1202"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to Stockholders. </w:t>
      </w:r>
      <w:r>
        <w:rPr>
          <w:rFonts w:ascii="Times New Roman" w:cs="Times New Roman" w:eastAsia="Times New Roman" w:hAnsi="Times New Roman"/>
          <w:sz w:val="18"/>
          <w:szCs w:val="18"/>
          <w:color w:val="auto"/>
        </w:rPr>
        <w:t>Notice to stockholders of stockholder meetings shall be given as provided in Section 7. Without limiting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by which notice may otherwise be given effectively to stockholders under any agreement or contract with such stockholder, and except as otherwise required by applicable law, written notice to stockholders for purposes other than stockholder meetings may be sent by U.S. mail or nationally recognized overnight courier, or by electronic mail or other electronic means.</w:t>
      </w:r>
    </w:p>
    <w:p>
      <w:pPr>
        <w:spacing w:after="0" w:line="75" w:lineRule="exact"/>
        <w:rPr>
          <w:rFonts w:ascii="Times New Roman" w:cs="Times New Roman" w:eastAsia="Times New Roman" w:hAnsi="Times New Roman"/>
          <w:sz w:val="18"/>
          <w:szCs w:val="18"/>
          <w:color w:val="auto"/>
        </w:rPr>
      </w:pPr>
    </w:p>
    <w:p>
      <w:pPr>
        <w:ind w:right="60" w:firstLine="972"/>
        <w:spacing w:after="0" w:line="252" w:lineRule="auto"/>
        <w:tabs>
          <w:tab w:leader="none" w:pos="1212"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to Directors. </w:t>
      </w:r>
      <w:r>
        <w:rPr>
          <w:rFonts w:ascii="Times New Roman" w:cs="Times New Roman" w:eastAsia="Times New Roman" w:hAnsi="Times New Roman"/>
          <w:sz w:val="18"/>
          <w:szCs w:val="18"/>
          <w:color w:val="auto"/>
        </w:rPr>
        <w:t>Any notice required to be given to any director may be given by the method stated in subsection (a), as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these Bylaws (including by any of the means specified in Section 22(d)), or by overnight delivery service. Any notice sent by overnight delivery service or U.S. mail shall be sent to such address as such director shall have filed in writing with the Secretary, or, in the absence of such filing, to the last known post office address of such director.</w:t>
      </w:r>
    </w:p>
    <w:p>
      <w:pPr>
        <w:spacing w:after="0" w:line="75" w:lineRule="exact"/>
        <w:rPr>
          <w:rFonts w:ascii="Times New Roman" w:cs="Times New Roman" w:eastAsia="Times New Roman" w:hAnsi="Times New Roman"/>
          <w:sz w:val="18"/>
          <w:szCs w:val="18"/>
          <w:color w:val="auto"/>
        </w:rPr>
      </w:pPr>
    </w:p>
    <w:p>
      <w:pPr>
        <w:ind w:firstLine="972"/>
        <w:spacing w:after="0" w:line="252" w:lineRule="auto"/>
        <w:tabs>
          <w:tab w:leader="none" w:pos="1202"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Affidavit of Mailing. </w:t>
      </w:r>
      <w:r>
        <w:rPr>
          <w:rFonts w:ascii="Times New Roman" w:cs="Times New Roman" w:eastAsia="Times New Roman" w:hAnsi="Times New Roman"/>
          <w:sz w:val="18"/>
          <w:szCs w:val="18"/>
          <w:color w:val="auto"/>
        </w:rPr>
        <w:t>An affidavit of mailing, executed by a duly authorized and competent employee of the corporation or its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75" w:lineRule="exact"/>
        <w:rPr>
          <w:rFonts w:ascii="Times New Roman" w:cs="Times New Roman" w:eastAsia="Times New Roman" w:hAnsi="Times New Roman"/>
          <w:sz w:val="18"/>
          <w:szCs w:val="18"/>
          <w:color w:val="auto"/>
        </w:rPr>
      </w:pPr>
    </w:p>
    <w:p>
      <w:pPr>
        <w:ind w:right="100" w:firstLine="972"/>
        <w:spacing w:after="0" w:line="256" w:lineRule="auto"/>
        <w:tabs>
          <w:tab w:leader="none" w:pos="1212"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Methods of Notice. </w:t>
      </w:r>
      <w:r>
        <w:rPr>
          <w:rFonts w:ascii="Times New Roman" w:cs="Times New Roman" w:eastAsia="Times New Roman" w:hAnsi="Times New Roman"/>
          <w:sz w:val="18"/>
          <w:szCs w:val="18"/>
          <w:color w:val="auto"/>
        </w:rPr>
        <w:t>It shall not be necessary that the same method of giving notice be employed in respect of all recipients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one permissible method may be employed in respect of any one or more, and any other permissible method or methods may be employed in respect of any other or others.</w:t>
      </w:r>
    </w:p>
    <w:p>
      <w:pPr>
        <w:spacing w:after="0" w:line="72" w:lineRule="exact"/>
        <w:rPr>
          <w:rFonts w:ascii="Times New Roman" w:cs="Times New Roman" w:eastAsia="Times New Roman" w:hAnsi="Times New Roman"/>
          <w:sz w:val="18"/>
          <w:szCs w:val="18"/>
          <w:color w:val="auto"/>
        </w:rPr>
      </w:pPr>
    </w:p>
    <w:p>
      <w:pPr>
        <w:ind w:firstLine="972"/>
        <w:spacing w:after="0" w:line="247" w:lineRule="auto"/>
        <w:tabs>
          <w:tab w:leader="none" w:pos="1202"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to Person with Whom Communication is Unlawful. </w:t>
      </w:r>
      <w:r>
        <w:rPr>
          <w:rFonts w:ascii="Times New Roman" w:cs="Times New Roman" w:eastAsia="Times New Roman" w:hAnsi="Times New Roman"/>
          <w:sz w:val="18"/>
          <w:szCs w:val="18"/>
          <w:color w:val="auto"/>
        </w:rPr>
        <w:t>Whenever notice is required to be given, under applicable law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84" w:lineRule="exact"/>
        <w:rPr>
          <w:rFonts w:ascii="Times New Roman" w:cs="Times New Roman" w:eastAsia="Times New Roman" w:hAnsi="Times New Roman"/>
          <w:sz w:val="18"/>
          <w:szCs w:val="18"/>
          <w:color w:val="auto"/>
        </w:rPr>
      </w:pPr>
    </w:p>
    <w:p>
      <w:pPr>
        <w:ind w:right="80" w:firstLine="972"/>
        <w:spacing w:after="0" w:line="250" w:lineRule="auto"/>
        <w:tabs>
          <w:tab w:leader="none" w:pos="1183"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to Stockholders Sharing an Address. </w:t>
      </w:r>
      <w:r>
        <w:rPr>
          <w:rFonts w:ascii="Times New Roman" w:cs="Times New Roman" w:eastAsia="Times New Roman" w:hAnsi="Times New Roman"/>
          <w:sz w:val="18"/>
          <w:szCs w:val="18"/>
          <w:color w:val="auto"/>
        </w:rPr>
        <w:t>Except as otherwise prohibited under the DGCL, any notice given under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DGCL, the Certificate of Incorporation or these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ectPr>
          <w:pgSz w:w="11900" w:h="16838" w:orient="portrait"/>
          <w:cols w:equalWidth="0" w:num="1">
            <w:col w:w="10720"/>
          </w:cols>
          <w:pgMar w:left="580" w:top="263" w:right="599" w:bottom="1440" w:gutter="0" w:footer="0" w:header="0"/>
        </w:sectPr>
      </w:pPr>
    </w:p>
    <w:bookmarkStart w:id="390" w:name="page391"/>
    <w:bookmarkEnd w:id="39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XIII</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13" w:lineRule="exact"/>
        <w:rPr>
          <w:sz w:val="20"/>
          <w:szCs w:val="20"/>
          <w:color w:val="auto"/>
        </w:rPr>
      </w:pPr>
    </w:p>
    <w:p>
      <w:pPr>
        <w:ind w:right="40" w:firstLine="428"/>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Section 1. Amendments. </w:t>
      </w:r>
      <w:r>
        <w:rPr>
          <w:rFonts w:ascii="Times New Roman" w:cs="Times New Roman" w:eastAsia="Times New Roman" w:hAnsi="Times New Roman"/>
          <w:sz w:val="18"/>
          <w:szCs w:val="18"/>
          <w:color w:val="auto"/>
        </w:rPr>
        <w:t>Subject to the limitations set forth in herein or the provisions of the Certificate of Incorporation,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time after the Final Conversion Date, in addition to any vote of the holders of any class or series of stock of the corporation required by law or by the Certificate of Incorporation, such action by stockholders shall require the affirmative vote of the holders of a majority of the voting power of all of the then-outstanding shares of the capital stock of the corporation entitled to vote generally in the election of directors, voting together as a single class.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LOANS TO OFFICERS</w:t>
      </w:r>
    </w:p>
    <w:p>
      <w:pPr>
        <w:spacing w:after="0" w:line="213" w:lineRule="exact"/>
        <w:rPr>
          <w:sz w:val="20"/>
          <w:szCs w:val="20"/>
          <w:color w:val="auto"/>
        </w:rPr>
      </w:pPr>
    </w:p>
    <w:p>
      <w:pPr>
        <w:ind w:firstLine="964"/>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Section 1. Loans to Officers. </w:t>
      </w:r>
      <w:r>
        <w:rPr>
          <w:rFonts w:ascii="Times New Roman" w:cs="Times New Roman" w:eastAsia="Times New Roman" w:hAnsi="Times New Roman"/>
          <w:sz w:val="16"/>
          <w:szCs w:val="16"/>
          <w:color w:val="auto"/>
        </w:rPr>
        <w:t>Except as otherwise prohibited by applicable law, the corporation may lend money to, or guarantee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ectPr>
          <w:pgSz w:w="11900" w:h="16838" w:orient="portrait"/>
          <w:cols w:equalWidth="0" w:num="1">
            <w:col w:w="10680"/>
          </w:cols>
          <w:pgMar w:left="580" w:top="263" w:right="639" w:bottom="1440" w:gutter="0" w:footer="0" w:header="0"/>
        </w:sectPr>
      </w:pPr>
    </w:p>
    <w:bookmarkStart w:id="391" w:name="page392"/>
    <w:bookmarkEnd w:id="39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TENTH AMENDED AND RESTATED INVESTORS’ RIGHTS AGREEMENT</w:t>
      </w:r>
    </w:p>
    <w:p>
      <w:pPr>
        <w:spacing w:after="0" w:line="215" w:lineRule="exact"/>
        <w:rPr>
          <w:sz w:val="20"/>
          <w:szCs w:val="20"/>
          <w:color w:val="auto"/>
        </w:rPr>
      </w:pPr>
    </w:p>
    <w:p>
      <w:pPr>
        <w:ind w:right="120" w:firstLine="428"/>
        <w:spacing w:after="0" w:line="302" w:lineRule="auto"/>
        <w:rPr>
          <w:sz w:val="20"/>
          <w:szCs w:val="20"/>
          <w:color w:val="auto"/>
        </w:rPr>
      </w:pPr>
      <w:r>
        <w:rPr>
          <w:rFonts w:ascii="Times New Roman" w:cs="Times New Roman" w:eastAsia="Times New Roman" w:hAnsi="Times New Roman"/>
          <w:sz w:val="16"/>
          <w:szCs w:val="16"/>
          <w:color w:val="auto"/>
        </w:rPr>
        <w:t>This TENTH AMENDED AND RESTATED INVESTORS’ RIGHTS AGREEMENT is made as of April 18, 2022, by and among Tempus Labs,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xml:space="preserve">”), each of the investors listed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hereto, each of whom is referred to in this Agreement as an “</w:t>
      </w:r>
      <w:r>
        <w:rPr>
          <w:rFonts w:ascii="Times New Roman" w:cs="Times New Roman" w:eastAsia="Times New Roman" w:hAnsi="Times New Roman"/>
          <w:sz w:val="16"/>
          <w:szCs w:val="16"/>
          <w:b w:val="1"/>
          <w:bCs w:val="1"/>
          <w:i w:val="1"/>
          <w:iCs w:val="1"/>
          <w:color w:val="auto"/>
        </w:rPr>
        <w:t>Investor</w:t>
      </w:r>
      <w:r>
        <w:rPr>
          <w:rFonts w:ascii="Times New Roman" w:cs="Times New Roman" w:eastAsia="Times New Roman" w:hAnsi="Times New Roman"/>
          <w:sz w:val="16"/>
          <w:szCs w:val="16"/>
          <w:color w:val="auto"/>
        </w:rPr>
        <w:t xml:space="preserve">” and each of the stockholders listed on </w:t>
      </w:r>
      <w:r>
        <w:rPr>
          <w:rFonts w:ascii="Times New Roman" w:cs="Times New Roman" w:eastAsia="Times New Roman" w:hAnsi="Times New Roman"/>
          <w:sz w:val="16"/>
          <w:szCs w:val="16"/>
          <w:u w:val="single" w:color="auto"/>
          <w:color w:val="auto"/>
        </w:rPr>
        <w:t>Schedule B</w:t>
      </w:r>
      <w:r>
        <w:rPr>
          <w:rFonts w:ascii="Times New Roman" w:cs="Times New Roman" w:eastAsia="Times New Roman" w:hAnsi="Times New Roman"/>
          <w:sz w:val="16"/>
          <w:szCs w:val="16"/>
          <w:color w:val="auto"/>
        </w:rPr>
        <w:t xml:space="preserve"> hereto, each of whom is referred to in this Agreement as a “</w:t>
      </w:r>
      <w:r>
        <w:rPr>
          <w:rFonts w:ascii="Times New Roman" w:cs="Times New Roman" w:eastAsia="Times New Roman" w:hAnsi="Times New Roman"/>
          <w:sz w:val="16"/>
          <w:szCs w:val="16"/>
          <w:b w:val="1"/>
          <w:bCs w:val="1"/>
          <w:i w:val="1"/>
          <w:iCs w:val="1"/>
          <w:color w:val="auto"/>
        </w:rPr>
        <w:t>Common Holder</w:t>
      </w:r>
      <w:r>
        <w:rPr>
          <w:rFonts w:ascii="Times New Roman" w:cs="Times New Roman" w:eastAsia="Times New Roman" w:hAnsi="Times New Roman"/>
          <w:sz w:val="16"/>
          <w:szCs w:val="16"/>
          <w:color w:val="auto"/>
        </w:rPr>
        <w:t>.”</w:t>
      </w:r>
    </w:p>
    <w:p>
      <w:pPr>
        <w:spacing w:after="0" w:line="146" w:lineRule="exact"/>
        <w:rPr>
          <w:sz w:val="20"/>
          <w:szCs w:val="20"/>
          <w:color w:val="auto"/>
        </w:rPr>
      </w:pPr>
    </w:p>
    <w:p>
      <w:pPr>
        <w:ind w:right="240" w:firstLine="428"/>
        <w:spacing w:after="0" w:line="255" w:lineRule="auto"/>
        <w:rPr>
          <w:sz w:val="20"/>
          <w:szCs w:val="20"/>
          <w:color w:val="auto"/>
        </w:rPr>
      </w:pPr>
      <w:r>
        <w:rPr>
          <w:rFonts w:ascii="Times New Roman" w:cs="Times New Roman" w:eastAsia="Times New Roman" w:hAnsi="Times New Roman"/>
          <w:sz w:val="18"/>
          <w:szCs w:val="18"/>
          <w:color w:val="auto"/>
        </w:rPr>
        <w:t>WHEREAS, the Company and certain of the Investors are parties to the Series G-3 Preferred Stock Purchase Agreement, of even date herewith (the “</w:t>
      </w:r>
      <w:r>
        <w:rPr>
          <w:rFonts w:ascii="Times New Roman" w:cs="Times New Roman" w:eastAsia="Times New Roman" w:hAnsi="Times New Roman"/>
          <w:sz w:val="18"/>
          <w:szCs w:val="18"/>
          <w:b w:val="1"/>
          <w:bCs w:val="1"/>
          <w:i w:val="1"/>
          <w:iCs w:val="1"/>
          <w:color w:val="auto"/>
        </w:rPr>
        <w:t>Series G-3 Purchase Agreement</w:t>
      </w:r>
      <w:r>
        <w:rPr>
          <w:rFonts w:ascii="Times New Roman" w:cs="Times New Roman" w:eastAsia="Times New Roman" w:hAnsi="Times New Roman"/>
          <w:sz w:val="18"/>
          <w:szCs w:val="18"/>
          <w:color w:val="auto"/>
        </w:rPr>
        <w:t>”), pursuant to which such Investors have agreed to purchase shares of the Series G-3 Preferred Stock of the Company, par value $0.0001 per share (“</w:t>
      </w:r>
      <w:r>
        <w:rPr>
          <w:rFonts w:ascii="Times New Roman" w:cs="Times New Roman" w:eastAsia="Times New Roman" w:hAnsi="Times New Roman"/>
          <w:sz w:val="18"/>
          <w:szCs w:val="18"/>
          <w:b w:val="1"/>
          <w:bCs w:val="1"/>
          <w:i w:val="1"/>
          <w:iCs w:val="1"/>
          <w:color w:val="auto"/>
        </w:rPr>
        <w:t>Series G-3 Preferred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28"/>
        <w:spacing w:after="0" w:line="281" w:lineRule="auto"/>
        <w:rPr>
          <w:sz w:val="20"/>
          <w:szCs w:val="20"/>
          <w:color w:val="auto"/>
        </w:rPr>
      </w:pPr>
      <w:r>
        <w:rPr>
          <w:rFonts w:ascii="Times New Roman" w:cs="Times New Roman" w:eastAsia="Times New Roman" w:hAnsi="Times New Roman"/>
          <w:sz w:val="16"/>
          <w:szCs w:val="16"/>
          <w:color w:val="auto"/>
        </w:rPr>
        <w:t>WHEREAS, certain of the Investors hold shares of Series A Preferred Stock, par value $0.0001 per share (“</w:t>
      </w:r>
      <w:r>
        <w:rPr>
          <w:rFonts w:ascii="Times New Roman" w:cs="Times New Roman" w:eastAsia="Times New Roman" w:hAnsi="Times New Roman"/>
          <w:sz w:val="16"/>
          <w:szCs w:val="16"/>
          <w:b w:val="1"/>
          <w:bCs w:val="1"/>
          <w:i w:val="1"/>
          <w:iCs w:val="1"/>
          <w:color w:val="auto"/>
        </w:rPr>
        <w:t>Series A Preferred Stock</w:t>
      </w:r>
      <w:r>
        <w:rPr>
          <w:rFonts w:ascii="Times New Roman" w:cs="Times New Roman" w:eastAsia="Times New Roman" w:hAnsi="Times New Roman"/>
          <w:sz w:val="16"/>
          <w:szCs w:val="16"/>
          <w:color w:val="auto"/>
        </w:rPr>
        <w:t>”), Series B Preferred Stock of the Company, par value $0.0001 per share (“</w:t>
      </w:r>
      <w:r>
        <w:rPr>
          <w:rFonts w:ascii="Times New Roman" w:cs="Times New Roman" w:eastAsia="Times New Roman" w:hAnsi="Times New Roman"/>
          <w:sz w:val="16"/>
          <w:szCs w:val="16"/>
          <w:b w:val="1"/>
          <w:bCs w:val="1"/>
          <w:i w:val="1"/>
          <w:iCs w:val="1"/>
          <w:color w:val="auto"/>
        </w:rPr>
        <w:t>Series B Preferred Stock</w:t>
      </w:r>
      <w:r>
        <w:rPr>
          <w:rFonts w:ascii="Times New Roman" w:cs="Times New Roman" w:eastAsia="Times New Roman" w:hAnsi="Times New Roman"/>
          <w:sz w:val="16"/>
          <w:szCs w:val="16"/>
          <w:color w:val="auto"/>
        </w:rPr>
        <w:t>”), Series B-1 Preferred Stock of the Company, par value $0.0001 per share (“</w:t>
      </w:r>
      <w:r>
        <w:rPr>
          <w:rFonts w:ascii="Times New Roman" w:cs="Times New Roman" w:eastAsia="Times New Roman" w:hAnsi="Times New Roman"/>
          <w:sz w:val="16"/>
          <w:szCs w:val="16"/>
          <w:b w:val="1"/>
          <w:bCs w:val="1"/>
          <w:i w:val="1"/>
          <w:iCs w:val="1"/>
          <w:color w:val="auto"/>
        </w:rPr>
        <w:t>Series B-1 Preferred Stock</w:t>
      </w:r>
      <w:r>
        <w:rPr>
          <w:rFonts w:ascii="Times New Roman" w:cs="Times New Roman" w:eastAsia="Times New Roman" w:hAnsi="Times New Roman"/>
          <w:sz w:val="16"/>
          <w:szCs w:val="16"/>
          <w:color w:val="auto"/>
        </w:rPr>
        <w:t>”), Series B-2 Preferred Stock of the Company, par value $0.0001 per share (“</w:t>
      </w:r>
      <w:r>
        <w:rPr>
          <w:rFonts w:ascii="Times New Roman" w:cs="Times New Roman" w:eastAsia="Times New Roman" w:hAnsi="Times New Roman"/>
          <w:sz w:val="16"/>
          <w:szCs w:val="16"/>
          <w:b w:val="1"/>
          <w:bCs w:val="1"/>
          <w:i w:val="1"/>
          <w:iCs w:val="1"/>
          <w:color w:val="auto"/>
        </w:rPr>
        <w:t>Series B-2 Preferred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Stock</w:t>
      </w:r>
      <w:r>
        <w:rPr>
          <w:rFonts w:ascii="Times New Roman" w:cs="Times New Roman" w:eastAsia="Times New Roman" w:hAnsi="Times New Roman"/>
          <w:sz w:val="16"/>
          <w:szCs w:val="16"/>
          <w:color w:val="auto"/>
        </w:rPr>
        <w:t>”), Series C Preferred Stock of the Company, par value $0.0001 per share (“</w:t>
      </w:r>
      <w:r>
        <w:rPr>
          <w:rFonts w:ascii="Times New Roman" w:cs="Times New Roman" w:eastAsia="Times New Roman" w:hAnsi="Times New Roman"/>
          <w:sz w:val="16"/>
          <w:szCs w:val="16"/>
          <w:b w:val="1"/>
          <w:bCs w:val="1"/>
          <w:i w:val="1"/>
          <w:iCs w:val="1"/>
          <w:color w:val="auto"/>
        </w:rPr>
        <w:t>Series C Preferred Stock</w:t>
      </w:r>
      <w:r>
        <w:rPr>
          <w:rFonts w:ascii="Times New Roman" w:cs="Times New Roman" w:eastAsia="Times New Roman" w:hAnsi="Times New Roman"/>
          <w:sz w:val="16"/>
          <w:szCs w:val="16"/>
          <w:color w:val="auto"/>
        </w:rPr>
        <w:t>”), Series D Preferred Stock of the Company,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par value $0.0001 per share (“</w:t>
      </w:r>
      <w:r>
        <w:rPr>
          <w:rFonts w:ascii="Times New Roman" w:cs="Times New Roman" w:eastAsia="Times New Roman" w:hAnsi="Times New Roman"/>
          <w:sz w:val="16"/>
          <w:szCs w:val="16"/>
          <w:b w:val="1"/>
          <w:bCs w:val="1"/>
          <w:i w:val="1"/>
          <w:iCs w:val="1"/>
          <w:color w:val="auto"/>
        </w:rPr>
        <w:t>Series D Preferred Stock</w:t>
      </w:r>
      <w:r>
        <w:rPr>
          <w:rFonts w:ascii="Times New Roman" w:cs="Times New Roman" w:eastAsia="Times New Roman" w:hAnsi="Times New Roman"/>
          <w:sz w:val="16"/>
          <w:szCs w:val="16"/>
          <w:color w:val="auto"/>
        </w:rPr>
        <w:t>”), Series E Preferred Stock of the Company, par value $0.0001 per share (“</w:t>
      </w:r>
      <w:r>
        <w:rPr>
          <w:rFonts w:ascii="Times New Roman" w:cs="Times New Roman" w:eastAsia="Times New Roman" w:hAnsi="Times New Roman"/>
          <w:sz w:val="16"/>
          <w:szCs w:val="16"/>
          <w:b w:val="1"/>
          <w:bCs w:val="1"/>
          <w:i w:val="1"/>
          <w:iCs w:val="1"/>
          <w:color w:val="auto"/>
        </w:rPr>
        <w:t>Series E Preferred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Stock</w:t>
      </w:r>
      <w:r>
        <w:rPr>
          <w:rFonts w:ascii="Times New Roman" w:cs="Times New Roman" w:eastAsia="Times New Roman" w:hAnsi="Times New Roman"/>
          <w:sz w:val="16"/>
          <w:szCs w:val="16"/>
          <w:color w:val="auto"/>
        </w:rPr>
        <w:t>”), Series F Preferred Stock of the Company, par value $0.0001 per share (“</w:t>
      </w:r>
      <w:r>
        <w:rPr>
          <w:rFonts w:ascii="Times New Roman" w:cs="Times New Roman" w:eastAsia="Times New Roman" w:hAnsi="Times New Roman"/>
          <w:sz w:val="16"/>
          <w:szCs w:val="16"/>
          <w:b w:val="1"/>
          <w:bCs w:val="1"/>
          <w:i w:val="1"/>
          <w:iCs w:val="1"/>
          <w:color w:val="auto"/>
        </w:rPr>
        <w:t>Series F Preferred Stock</w:t>
      </w:r>
      <w:r>
        <w:rPr>
          <w:rFonts w:ascii="Times New Roman" w:cs="Times New Roman" w:eastAsia="Times New Roman" w:hAnsi="Times New Roman"/>
          <w:sz w:val="16"/>
          <w:szCs w:val="16"/>
          <w:color w:val="auto"/>
        </w:rPr>
        <w:t>”), Series G Preferred Stock of the Company,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par value $0.0001 per share (“</w:t>
      </w:r>
      <w:r>
        <w:rPr>
          <w:rFonts w:ascii="Times New Roman" w:cs="Times New Roman" w:eastAsia="Times New Roman" w:hAnsi="Times New Roman"/>
          <w:sz w:val="16"/>
          <w:szCs w:val="16"/>
          <w:b w:val="1"/>
          <w:bCs w:val="1"/>
          <w:i w:val="1"/>
          <w:iCs w:val="1"/>
          <w:color w:val="auto"/>
        </w:rPr>
        <w:t>Series G Preferred Stock</w:t>
      </w:r>
      <w:r>
        <w:rPr>
          <w:rFonts w:ascii="Times New Roman" w:cs="Times New Roman" w:eastAsia="Times New Roman" w:hAnsi="Times New Roman"/>
          <w:sz w:val="16"/>
          <w:szCs w:val="16"/>
          <w:color w:val="auto"/>
        </w:rPr>
        <w:t>”), Series G-2 Preferred Stock of the Company, par value $0.0001 per share (“</w:t>
      </w:r>
      <w:r>
        <w:rPr>
          <w:rFonts w:ascii="Times New Roman" w:cs="Times New Roman" w:eastAsia="Times New Roman" w:hAnsi="Times New Roman"/>
          <w:sz w:val="16"/>
          <w:szCs w:val="16"/>
          <w:b w:val="1"/>
          <w:bCs w:val="1"/>
          <w:i w:val="1"/>
          <w:iCs w:val="1"/>
          <w:color w:val="auto"/>
        </w:rPr>
        <w:t>Series G Preferred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Stock</w:t>
      </w:r>
      <w:r>
        <w:rPr>
          <w:rFonts w:ascii="Times New Roman" w:cs="Times New Roman" w:eastAsia="Times New Roman" w:hAnsi="Times New Roman"/>
          <w:sz w:val="16"/>
          <w:szCs w:val="16"/>
          <w:color w:val="auto"/>
        </w:rPr>
        <w:t>”) and/or Voting Common Stock and possess registration rights, information rights, rights of first offer and other rights pursuant to that certain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Ninth Amended and Restated Investors’ Rights Agreement dated as of November 19, 2020, by and among the parties thereto (the “</w:t>
      </w:r>
      <w:r>
        <w:rPr>
          <w:rFonts w:ascii="Times New Roman" w:cs="Times New Roman" w:eastAsia="Times New Roman" w:hAnsi="Times New Roman"/>
          <w:sz w:val="16"/>
          <w:szCs w:val="16"/>
          <w:b w:val="1"/>
          <w:bCs w:val="1"/>
          <w:i w:val="1"/>
          <w:iCs w:val="1"/>
          <w:color w:val="auto"/>
        </w:rPr>
        <w:t>Prior Agreement</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parties to the Prior Agreement desire to amend and restate the Prior Agreement in its entirety with this Agreement; and</w:t>
      </w:r>
    </w:p>
    <w:p>
      <w:pPr>
        <w:spacing w:after="0" w:line="213" w:lineRule="exact"/>
        <w:rPr>
          <w:sz w:val="20"/>
          <w:szCs w:val="20"/>
          <w:color w:val="auto"/>
        </w:rPr>
      </w:pPr>
    </w:p>
    <w:p>
      <w:pPr>
        <w:ind w:right="20" w:firstLine="428"/>
        <w:spacing w:after="0" w:line="302" w:lineRule="auto"/>
        <w:rPr>
          <w:sz w:val="20"/>
          <w:szCs w:val="20"/>
          <w:color w:val="auto"/>
        </w:rPr>
      </w:pPr>
      <w:r>
        <w:rPr>
          <w:rFonts w:ascii="Times New Roman" w:cs="Times New Roman" w:eastAsia="Times New Roman" w:hAnsi="Times New Roman"/>
          <w:sz w:val="16"/>
          <w:szCs w:val="16"/>
          <w:color w:val="auto"/>
        </w:rPr>
        <w:t>WHEREAS, the Investors, the Common Holders and the Company hereby agree that this Agreement shall govern the rights of the Investors and the Common Holders to cause the Company to register shares of Voting Common Stock issuable to the Investors, to receive certain information from the Company, and to participate in future equity offerings by the Company, and shall govern certain other matters as set forth in this Agreement.</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hereby agree as follows: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104" w:lineRule="exact"/>
        <w:rPr>
          <w:sz w:val="20"/>
          <w:szCs w:val="20"/>
          <w:color w:val="auto"/>
        </w:rPr>
      </w:pPr>
    </w:p>
    <w:p>
      <w:pPr>
        <w:ind w:right="40" w:firstLine="964"/>
        <w:spacing w:after="0" w:line="250"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or other investment fund now or hereafter existing that is controlled by such Person or by one or more general partners or managing members of, or shares the same (or an affiliate of the same) management company, common investment management or investment adviser with, such Person.</w:t>
      </w:r>
    </w:p>
    <w:p>
      <w:pPr>
        <w:sectPr>
          <w:pgSz w:w="11900" w:h="16838" w:orient="portrait"/>
          <w:cols w:equalWidth="0" w:num="1">
            <w:col w:w="10720"/>
          </w:cols>
          <w:pgMar w:left="580" w:top="119" w:right="599" w:bottom="1440" w:gutter="0" w:footer="0" w:header="0"/>
        </w:sectPr>
      </w:pPr>
    </w:p>
    <w:bookmarkStart w:id="392" w:name="page393"/>
    <w:bookmarkEnd w:id="392"/>
    <w:p>
      <w:pPr>
        <w:ind w:right="100" w:firstLine="964"/>
        <w:spacing w:after="0" w:line="27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1.2 “</w:t>
      </w:r>
      <w:r>
        <w:rPr>
          <w:rFonts w:ascii="Times New Roman" w:cs="Times New Roman" w:eastAsia="Times New Roman" w:hAnsi="Times New Roman"/>
          <w:sz w:val="18"/>
          <w:szCs w:val="18"/>
          <w:b w:val="1"/>
          <w:bCs w:val="1"/>
          <w:i w:val="1"/>
          <w:iCs w:val="1"/>
          <w:color w:val="auto"/>
        </w:rPr>
        <w:t>Baillie Gifford</w:t>
      </w:r>
      <w:r>
        <w:rPr>
          <w:rFonts w:ascii="Times New Roman" w:cs="Times New Roman" w:eastAsia="Times New Roman" w:hAnsi="Times New Roman"/>
          <w:sz w:val="18"/>
          <w:szCs w:val="18"/>
          <w:color w:val="auto"/>
        </w:rPr>
        <w:t>” means Baillie Gifford &amp; Co., Baillie Gifford Overseas Limited and any successor or affiliated registered investment advisor to the Baillie Gifford Investors.</w:t>
      </w:r>
    </w:p>
    <w:p>
      <w:pPr>
        <w:spacing w:after="0" w:line="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i w:val="1"/>
          <w:iCs w:val="1"/>
          <w:color w:val="auto"/>
        </w:rPr>
        <w:t>Baillie Gifford Investors</w:t>
      </w:r>
      <w:r>
        <w:rPr>
          <w:rFonts w:ascii="Times New Roman" w:cs="Times New Roman" w:eastAsia="Times New Roman" w:hAnsi="Times New Roman"/>
          <w:sz w:val="18"/>
          <w:szCs w:val="18"/>
          <w:color w:val="auto"/>
        </w:rPr>
        <w:t>” means the Investors that are advisory clients of Baillie Gifford.</w:t>
      </w:r>
    </w:p>
    <w:p>
      <w:pPr>
        <w:spacing w:after="0" w:line="108" w:lineRule="exact"/>
        <w:rPr>
          <w:sz w:val="20"/>
          <w:szCs w:val="20"/>
          <w:color w:val="auto"/>
        </w:rPr>
      </w:pPr>
    </w:p>
    <w:p>
      <w:pPr>
        <w:ind w:right="40" w:firstLine="964"/>
        <w:spacing w:after="0" w:line="272"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the Company’s Tenth Amended and Restated Certificate of Incorporation, as filed with the Office of the Secretary of State of the State of Delaware on the date hereof, as may be amended from time to time.</w:t>
      </w:r>
    </w:p>
    <w:p>
      <w:pPr>
        <w:spacing w:after="0" w:line="56" w:lineRule="exact"/>
        <w:rPr>
          <w:sz w:val="20"/>
          <w:szCs w:val="20"/>
          <w:color w:val="auto"/>
        </w:rPr>
      </w:pPr>
    </w:p>
    <w:p>
      <w:pPr>
        <w:ind w:firstLine="964"/>
        <w:spacing w:after="0" w:line="279" w:lineRule="auto"/>
        <w:rPr>
          <w:sz w:val="20"/>
          <w:szCs w:val="20"/>
          <w:color w:val="auto"/>
        </w:rPr>
      </w:pPr>
      <w:r>
        <w:rPr>
          <w:rFonts w:ascii="Times New Roman" w:cs="Times New Roman" w:eastAsia="Times New Roman" w:hAnsi="Times New Roman"/>
          <w:sz w:val="16"/>
          <w:szCs w:val="16"/>
          <w:color w:val="auto"/>
        </w:rPr>
        <w:t>1.5 “</w:t>
      </w:r>
      <w:r>
        <w:rPr>
          <w:rFonts w:ascii="Times New Roman" w:cs="Times New Roman" w:eastAsia="Times New Roman" w:hAnsi="Times New Roman"/>
          <w:sz w:val="16"/>
          <w:szCs w:val="16"/>
          <w:b w:val="1"/>
          <w:bCs w:val="1"/>
          <w:i w:val="1"/>
          <w:iCs w:val="1"/>
          <w:color w:val="auto"/>
        </w:rPr>
        <w:t>CFIUS Approval</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means (i) the Company and the applicable Purchaser(s) shall have received written notice from CFIUS that review under Section 721 of the Defense Production Act of 1950 as amended by the Foreign Investment Risk Review Modernization Act of 2018, including implementing regulations thereof, 31 C.F.R. Parts 800 and 802 (the “</w:t>
      </w:r>
      <w:r>
        <w:rPr>
          <w:rFonts w:ascii="Times New Roman" w:cs="Times New Roman" w:eastAsia="Times New Roman" w:hAnsi="Times New Roman"/>
          <w:sz w:val="16"/>
          <w:szCs w:val="16"/>
          <w:b w:val="1"/>
          <w:bCs w:val="1"/>
          <w:i w:val="1"/>
          <w:iCs w:val="1"/>
          <w:color w:val="auto"/>
        </w:rPr>
        <w:t>DPA</w:t>
      </w:r>
      <w:r>
        <w:rPr>
          <w:rFonts w:ascii="Times New Roman" w:cs="Times New Roman" w:eastAsia="Times New Roman" w:hAnsi="Times New Roman"/>
          <w:sz w:val="16"/>
          <w:szCs w:val="16"/>
          <w:color w:val="auto"/>
        </w:rPr>
        <w:t>”), of the transactions contemplated hereby has been concluded, and CFIUS shall have determined that there are no unresolved national security concerns with respect to the transactions contemplated hereby, and advised that action under Section 721 of the DPA, and any investigation related thereto, has been concluded with respect to the transactions contemplated hereby;</w:t>
      </w:r>
    </w:p>
    <w:p>
      <w:pPr>
        <w:spacing w:after="0" w:line="3" w:lineRule="exact"/>
        <w:rPr>
          <w:sz w:val="20"/>
          <w:szCs w:val="20"/>
          <w:color w:val="auto"/>
        </w:rPr>
      </w:pPr>
    </w:p>
    <w:p>
      <w:pPr>
        <w:ind w:right="100" w:firstLine="8"/>
        <w:spacing w:after="0" w:line="244" w:lineRule="auto"/>
        <w:tabs>
          <w:tab w:leader="none" w:pos="258"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CFIUS shall have concluded that the transactions contemplated hereby are not covered transactions and are not subject to review under Section 721 of the DPA; or (iii) CFIUS shall have sent a report to the President of the United States (the “</w:t>
      </w:r>
      <w:r>
        <w:rPr>
          <w:rFonts w:ascii="Times New Roman" w:cs="Times New Roman" w:eastAsia="Times New Roman" w:hAnsi="Times New Roman"/>
          <w:sz w:val="18"/>
          <w:szCs w:val="18"/>
          <w:b w:val="1"/>
          <w:bCs w:val="1"/>
          <w:i w:val="1"/>
          <w:iCs w:val="1"/>
          <w:color w:val="auto"/>
        </w:rPr>
        <w:t>President</w:t>
      </w:r>
      <w:r>
        <w:rPr>
          <w:rFonts w:ascii="Times New Roman" w:cs="Times New Roman" w:eastAsia="Times New Roman" w:hAnsi="Times New Roman"/>
          <w:sz w:val="18"/>
          <w:szCs w:val="18"/>
          <w:color w:val="auto"/>
        </w:rPr>
        <w:t>”) requesting the President’s decision on the notice and either (1) the period under Section 721 of the DPA during which the President may announce his decision to take action to suspend or prohibit the transactions contemplated hereby shall have expired without any such action being announced or taken or (2) the President shall have announced a decision not to take any action to suspend or prohibit the transactions contemplated hereby.</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means shares of the Class A Common Stock, $0.0001 par value per share.</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means shares of the Class B Common Stock, $0.0001 par value per share.</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collectively, the shares of the Company’s Voting Common Stock and the Nonvoting Common Stock.</w:t>
      </w:r>
    </w:p>
    <w:p>
      <w:pPr>
        <w:spacing w:after="0" w:line="108" w:lineRule="exact"/>
        <w:rPr>
          <w:sz w:val="20"/>
          <w:szCs w:val="20"/>
          <w:color w:val="auto"/>
        </w:rPr>
      </w:pPr>
    </w:p>
    <w:p>
      <w:pPr>
        <w:ind w:firstLine="964"/>
        <w:spacing w:after="0" w:line="248"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i w:val="1"/>
          <w:iCs w:val="1"/>
          <w:color w:val="auto"/>
        </w:rPr>
        <w:t>Damages</w:t>
      </w:r>
      <w:r>
        <w:rPr>
          <w:rFonts w:ascii="Times New Roman" w:cs="Times New Roman" w:eastAsia="Times New Roman" w:hAnsi="Times New Roman"/>
          <w:sz w:val="18"/>
          <w:szCs w:val="18"/>
          <w:color w:val="auto"/>
        </w:rPr>
        <w:t>” means any claim, loss, damage or liability (joint or several) to which a party hereto may become subject under the Securities Act, the Exchange Act, or other federal or state law, insofar as such claim, loss, damage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00"/>
          </w:cols>
          <w:pgMar w:left="580" w:top="261" w:right="619" w:bottom="1440" w:gutter="0" w:footer="0" w:header="0"/>
        </w:sectPr>
      </w:pPr>
    </w:p>
    <w:bookmarkStart w:id="393" w:name="page394"/>
    <w:bookmarkEnd w:id="393"/>
    <w:p>
      <w:pPr>
        <w:ind w:right="200" w:firstLine="964"/>
        <w:spacing w:after="0" w:line="27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1.10 “</w:t>
      </w:r>
      <w:r>
        <w:rPr>
          <w:rFonts w:ascii="Times New Roman" w:cs="Times New Roman" w:eastAsia="Times New Roman" w:hAnsi="Times New Roman"/>
          <w:sz w:val="18"/>
          <w:szCs w:val="18"/>
          <w:b w:val="1"/>
          <w:bCs w:val="1"/>
          <w:i w:val="1"/>
          <w:iCs w:val="1"/>
          <w:color w:val="auto"/>
        </w:rPr>
        <w:t>Derivative Securities</w:t>
      </w:r>
      <w:r>
        <w:rPr>
          <w:rFonts w:ascii="Times New Roman" w:cs="Times New Roman" w:eastAsia="Times New Roman" w:hAnsi="Times New Roman"/>
          <w:sz w:val="18"/>
          <w:szCs w:val="18"/>
          <w:color w:val="auto"/>
        </w:rPr>
        <w:t>” means any securities or rights convertible into, or exercisable or exchangeable for (in each case, directly or indirectly), Common Stock, including options and warrants.</w:t>
      </w:r>
    </w:p>
    <w:p>
      <w:pPr>
        <w:spacing w:after="0" w:line="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08" w:lineRule="exact"/>
        <w:rPr>
          <w:sz w:val="20"/>
          <w:szCs w:val="20"/>
          <w:color w:val="auto"/>
        </w:rPr>
      </w:pPr>
    </w:p>
    <w:p>
      <w:pPr>
        <w:ind w:right="20" w:firstLine="964"/>
        <w:spacing w:after="0" w:line="250"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i w:val="1"/>
          <w:iCs w:val="1"/>
          <w:color w:val="auto"/>
        </w:rPr>
        <w:t>Excluded Registration</w:t>
      </w:r>
      <w:r>
        <w:rPr>
          <w:rFonts w:ascii="Times New Roman" w:cs="Times New Roman" w:eastAsia="Times New Roman" w:hAnsi="Times New Roman"/>
          <w:sz w:val="18"/>
          <w:szCs w:val="18"/>
          <w:color w:val="auto"/>
        </w:rPr>
        <w:t>” means (i) a registration relating to the sale of securities to employees of the Company or an Affiliate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77" w:lineRule="exact"/>
        <w:rPr>
          <w:sz w:val="20"/>
          <w:szCs w:val="20"/>
          <w:color w:val="auto"/>
        </w:rPr>
      </w:pPr>
    </w:p>
    <w:p>
      <w:pPr>
        <w:ind w:right="320" w:firstLine="964"/>
        <w:spacing w:after="0" w:line="272"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Form S-1</w:t>
      </w:r>
      <w:r>
        <w:rPr>
          <w:rFonts w:ascii="Times New Roman" w:cs="Times New Roman" w:eastAsia="Times New Roman" w:hAnsi="Times New Roman"/>
          <w:sz w:val="18"/>
          <w:szCs w:val="18"/>
          <w:color w:val="auto"/>
        </w:rPr>
        <w:t>” means such form under the Securities Act as in effect on the date hereof or any successor registration form under the Securities Act subsequently adopted by the SEC.</w:t>
      </w:r>
    </w:p>
    <w:p>
      <w:pPr>
        <w:spacing w:after="0" w:line="56" w:lineRule="exact"/>
        <w:rPr>
          <w:sz w:val="20"/>
          <w:szCs w:val="20"/>
          <w:color w:val="auto"/>
        </w:rPr>
      </w:pPr>
    </w:p>
    <w:p>
      <w:pPr>
        <w:ind w:firstLine="964"/>
        <w:spacing w:after="0" w:line="258"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i w:val="1"/>
          <w:iCs w:val="1"/>
          <w:color w:val="auto"/>
        </w:rPr>
        <w:t>Form S-3</w:t>
      </w:r>
      <w:r>
        <w:rPr>
          <w:rFonts w:ascii="Times New Roman" w:cs="Times New Roman" w:eastAsia="Times New Roman" w:hAnsi="Times New Roman"/>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i w:val="1"/>
          <w:iCs w:val="1"/>
          <w:color w:val="auto"/>
        </w:rPr>
        <w:t>Google</w:t>
      </w:r>
      <w:r>
        <w:rPr>
          <w:rFonts w:ascii="Times New Roman" w:cs="Times New Roman" w:eastAsia="Times New Roman" w:hAnsi="Times New Roman"/>
          <w:sz w:val="18"/>
          <w:szCs w:val="18"/>
          <w:color w:val="auto"/>
        </w:rPr>
        <w:t>” means Google LLC, a Delaware limited liability company, together with its subsidiaries and Affiliates.</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any holder of Registrable Securities who is a party to this Agreement.</w:t>
      </w:r>
    </w:p>
    <w:p>
      <w:pPr>
        <w:spacing w:after="0" w:line="108" w:lineRule="exact"/>
        <w:rPr>
          <w:sz w:val="20"/>
          <w:szCs w:val="20"/>
          <w:color w:val="auto"/>
        </w:rPr>
      </w:pPr>
    </w:p>
    <w:p>
      <w:pPr>
        <w:ind w:right="200" w:firstLine="964"/>
        <w:spacing w:after="0" w:line="336" w:lineRule="auto"/>
        <w:rPr>
          <w:sz w:val="20"/>
          <w:szCs w:val="20"/>
          <w:color w:val="auto"/>
        </w:rPr>
      </w:pPr>
      <w:r>
        <w:rPr>
          <w:rFonts w:ascii="Times New Roman" w:cs="Times New Roman" w:eastAsia="Times New Roman" w:hAnsi="Times New Roman"/>
          <w:sz w:val="16"/>
          <w:szCs w:val="16"/>
          <w:color w:val="auto"/>
        </w:rPr>
        <w:t>1.18 “</w:t>
      </w:r>
      <w:r>
        <w:rPr>
          <w:rFonts w:ascii="Times New Roman" w:cs="Times New Roman" w:eastAsia="Times New Roman" w:hAnsi="Times New Roman"/>
          <w:sz w:val="16"/>
          <w:szCs w:val="16"/>
          <w:b w:val="1"/>
          <w:bCs w:val="1"/>
          <w:i w:val="1"/>
          <w:iCs w:val="1"/>
          <w:color w:val="auto"/>
        </w:rPr>
        <w:t>Immediate Family Member</w:t>
      </w:r>
      <w:r>
        <w:rPr>
          <w:rFonts w:ascii="Times New Roman" w:cs="Times New Roman" w:eastAsia="Times New Roman" w:hAnsi="Times New Roman"/>
          <w:sz w:val="16"/>
          <w:szCs w:val="16"/>
          <w:color w:val="auto"/>
        </w:rPr>
        <w:t>” means a child, stepchild, grandchild, parent, stepparent, grandparent, spouse, sibling, mother-in-law, father-in-law, son-in-law, daughter-in- law, brother-in-law, or sister-in-law, including adoptive relationships, of a natural person referred to herein.</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i w:val="1"/>
          <w:iCs w:val="1"/>
          <w:color w:val="auto"/>
        </w:rPr>
        <w:t>Initiating Holders</w:t>
      </w:r>
      <w:r>
        <w:rPr>
          <w:rFonts w:ascii="Times New Roman" w:cs="Times New Roman" w:eastAsia="Times New Roman" w:hAnsi="Times New Roman"/>
          <w:sz w:val="18"/>
          <w:szCs w:val="18"/>
          <w:color w:val="auto"/>
        </w:rPr>
        <w:t>” means, collectively, Holders who properly initiate a registration request under this Agreement.</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means the Company’s first underwritten public offering of its Common Stock under the Securities Act.</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580" w:top="261" w:right="619" w:bottom="1440" w:gutter="0" w:footer="0" w:header="0"/>
        </w:sectPr>
      </w:pPr>
    </w:p>
    <w:bookmarkStart w:id="394" w:name="page395"/>
    <w:bookmarkEnd w:id="394"/>
    <w:p>
      <w:pPr>
        <w:jc w:val="both"/>
        <w:ind w:firstLine="964"/>
        <w:spacing w:after="0" w:line="30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1.21 “</w:t>
      </w:r>
      <w:r>
        <w:rPr>
          <w:rFonts w:ascii="Times New Roman" w:cs="Times New Roman" w:eastAsia="Times New Roman" w:hAnsi="Times New Roman"/>
          <w:sz w:val="16"/>
          <w:szCs w:val="16"/>
          <w:b w:val="1"/>
          <w:bCs w:val="1"/>
          <w:i w:val="1"/>
          <w:iCs w:val="1"/>
          <w:color w:val="auto"/>
        </w:rPr>
        <w:t>Lightbank</w:t>
      </w:r>
      <w:r>
        <w:rPr>
          <w:rFonts w:ascii="Times New Roman" w:cs="Times New Roman" w:eastAsia="Times New Roman" w:hAnsi="Times New Roman"/>
          <w:sz w:val="16"/>
          <w:szCs w:val="16"/>
          <w:color w:val="auto"/>
        </w:rPr>
        <w:t>” means, collectively, Innovation Group Investors, L.P., Lightbank Investments 1B, LLC, Gray Media, LLC, Blue Media, LLC, Keeks, LLC, Tempus Series B Investments, LLC, Tempus Series B-1 Investments, LLC, and Tempus Series B-2 Investments, LLC, Tempus Series C Investments, LLC, Tempus Series D Investments, LLC, Tempus Series E Investments, LLC and Tempus Series G Investments, LLC.</w:t>
      </w:r>
    </w:p>
    <w:p>
      <w:pPr>
        <w:spacing w:after="0" w:line="34" w:lineRule="exact"/>
        <w:rPr>
          <w:sz w:val="20"/>
          <w:szCs w:val="20"/>
          <w:color w:val="auto"/>
        </w:rPr>
      </w:pPr>
    </w:p>
    <w:p>
      <w:pPr>
        <w:jc w:val="both"/>
        <w:ind w:right="60" w:firstLine="964"/>
        <w:spacing w:after="0" w:line="294" w:lineRule="auto"/>
        <w:rPr>
          <w:sz w:val="20"/>
          <w:szCs w:val="20"/>
          <w:color w:val="auto"/>
        </w:rPr>
      </w:pPr>
      <w:r>
        <w:rPr>
          <w:rFonts w:ascii="Times New Roman" w:cs="Times New Roman" w:eastAsia="Times New Roman" w:hAnsi="Times New Roman"/>
          <w:sz w:val="16"/>
          <w:szCs w:val="16"/>
          <w:color w:val="auto"/>
        </w:rPr>
        <w:t>1.22 “</w:t>
      </w:r>
      <w:r>
        <w:rPr>
          <w:rFonts w:ascii="Times New Roman" w:cs="Times New Roman" w:eastAsia="Times New Roman" w:hAnsi="Times New Roman"/>
          <w:sz w:val="16"/>
          <w:szCs w:val="16"/>
          <w:b w:val="1"/>
          <w:bCs w:val="1"/>
          <w:i w:val="1"/>
          <w:iCs w:val="1"/>
          <w:color w:val="auto"/>
        </w:rPr>
        <w:t>Major Investor</w:t>
      </w:r>
      <w:r>
        <w:rPr>
          <w:rFonts w:ascii="Times New Roman" w:cs="Times New Roman" w:eastAsia="Times New Roman" w:hAnsi="Times New Roman"/>
          <w:sz w:val="16"/>
          <w:szCs w:val="16"/>
          <w:color w:val="auto"/>
        </w:rPr>
        <w:t>” means (i) any Investor or Common Holder that, individually or together with such Investor’s or Common Holder’s Affiliates, holds at least 1,000,000 shares of Registrable Securities (as adjusted for any stock split, stock dividend, combination, or other recapitalization or reclassification effected after the date hereof), (ii) each T. Rowe Price Investor that holds any Registrable Securities, (iii) any Baillie Gifford Investor that holds any Registrable Securities, and (iv) each Neuberger Investor that continues to satisfy the Neuberger Rights Threshold.</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b w:val="1"/>
          <w:bCs w:val="1"/>
          <w:i w:val="1"/>
          <w:iCs w:val="1"/>
          <w:color w:val="auto"/>
        </w:rPr>
        <w:t>NEA</w:t>
      </w:r>
      <w:r>
        <w:rPr>
          <w:rFonts w:ascii="Times New Roman" w:cs="Times New Roman" w:eastAsia="Times New Roman" w:hAnsi="Times New Roman"/>
          <w:sz w:val="18"/>
          <w:szCs w:val="18"/>
          <w:color w:val="auto"/>
        </w:rPr>
        <w:t>” means, collectively, New Enterprise Associates 16, L.P. and any of its Affiliates.</w:t>
      </w:r>
    </w:p>
    <w:p>
      <w:pPr>
        <w:spacing w:after="0" w:line="108" w:lineRule="exact"/>
        <w:rPr>
          <w:sz w:val="20"/>
          <w:szCs w:val="20"/>
          <w:color w:val="auto"/>
        </w:rPr>
      </w:pPr>
    </w:p>
    <w:p>
      <w:pPr>
        <w:ind w:right="540" w:firstLine="964"/>
        <w:spacing w:after="0" w:line="272"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b w:val="1"/>
          <w:bCs w:val="1"/>
          <w:i w:val="1"/>
          <w:iCs w:val="1"/>
          <w:color w:val="auto"/>
        </w:rPr>
        <w:t>Neuberger</w:t>
      </w:r>
      <w:r>
        <w:rPr>
          <w:rFonts w:ascii="Times New Roman" w:cs="Times New Roman" w:eastAsia="Times New Roman" w:hAnsi="Times New Roman"/>
          <w:sz w:val="18"/>
          <w:szCs w:val="18"/>
          <w:color w:val="auto"/>
        </w:rPr>
        <w:t>” means Neuberger Berman Investment Advisers LLC and/or NB Alternatives Advisers LLC and any successor or affiliated registered investment advisor to the Neuberger Investors.</w:t>
      </w:r>
    </w:p>
    <w:p>
      <w:pPr>
        <w:spacing w:after="0" w:line="56" w:lineRule="exact"/>
        <w:rPr>
          <w:sz w:val="20"/>
          <w:szCs w:val="20"/>
          <w:color w:val="auto"/>
        </w:rPr>
      </w:pPr>
    </w:p>
    <w:p>
      <w:pPr>
        <w:jc w:val="both"/>
        <w:ind w:right="400" w:firstLine="964"/>
        <w:spacing w:after="0" w:line="258"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b w:val="1"/>
          <w:bCs w:val="1"/>
          <w:i w:val="1"/>
          <w:iCs w:val="1"/>
          <w:color w:val="auto"/>
        </w:rPr>
        <w:t>Neuberger Investors</w:t>
      </w:r>
      <w:r>
        <w:rPr>
          <w:rFonts w:ascii="Times New Roman" w:cs="Times New Roman" w:eastAsia="Times New Roman" w:hAnsi="Times New Roman"/>
          <w:sz w:val="18"/>
          <w:szCs w:val="18"/>
          <w:color w:val="auto"/>
        </w:rPr>
        <w:t>” means Neuberger Berman Principal Strategies PRIMA Fund LP, Neuberger Berman Principal Strategies PRIMA Co-Invest Fund IV LP, PRIMA MLP Fund LP and any other Investors that are investment management or management advisory clients of Neuberger.</w:t>
      </w:r>
    </w:p>
    <w:p>
      <w:pPr>
        <w:spacing w:after="0" w:line="68" w:lineRule="exact"/>
        <w:rPr>
          <w:sz w:val="20"/>
          <w:szCs w:val="20"/>
          <w:color w:val="auto"/>
        </w:rPr>
      </w:pPr>
    </w:p>
    <w:p>
      <w:pPr>
        <w:ind w:right="80" w:firstLine="964"/>
        <w:spacing w:after="0" w:line="253"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b w:val="1"/>
          <w:bCs w:val="1"/>
          <w:i w:val="1"/>
          <w:iCs w:val="1"/>
          <w:color w:val="auto"/>
        </w:rPr>
        <w:t>Neuberger Rights Threshold</w:t>
      </w:r>
      <w:r>
        <w:rPr>
          <w:rFonts w:ascii="Times New Roman" w:cs="Times New Roman" w:eastAsia="Times New Roman" w:hAnsi="Times New Roman"/>
          <w:sz w:val="18"/>
          <w:szCs w:val="18"/>
          <w:color w:val="auto"/>
        </w:rPr>
        <w:t>” means, with respect to each Neuberger Investor that such Neuberger Investor continues to hold all of the shares of Preferred Stock initially purchased by such Neuberger Investor or shares of capital stock issued upon conversion of such shares of Preferred Stock (such number subject to appropriate adjustment in the event of any stock split, stock dividend, combination, or other recapitalization or reclassification effected after the date hereof).</w:t>
      </w:r>
    </w:p>
    <w:p>
      <w:pPr>
        <w:spacing w:after="0" w:line="72" w:lineRule="exact"/>
        <w:rPr>
          <w:sz w:val="20"/>
          <w:szCs w:val="20"/>
          <w:color w:val="auto"/>
        </w:rPr>
      </w:pPr>
    </w:p>
    <w:p>
      <w:pPr>
        <w:ind w:right="20" w:firstLine="964"/>
        <w:spacing w:after="0" w:line="258"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i w:val="1"/>
          <w:iCs w:val="1"/>
          <w:color w:val="auto"/>
        </w:rPr>
        <w:t>New Securities</w:t>
      </w:r>
      <w:r>
        <w:rPr>
          <w:rFonts w:ascii="Times New Roman" w:cs="Times New Roman" w:eastAsia="Times New Roman" w:hAnsi="Times New Roman"/>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b w:val="1"/>
          <w:bCs w:val="1"/>
          <w:i w:val="1"/>
          <w:iCs w:val="1"/>
          <w:color w:val="auto"/>
        </w:rPr>
        <w:t>Nonvoting Common Stock</w:t>
      </w:r>
      <w:r>
        <w:rPr>
          <w:rFonts w:ascii="Times New Roman" w:cs="Times New Roman" w:eastAsia="Times New Roman" w:hAnsi="Times New Roman"/>
          <w:sz w:val="18"/>
          <w:szCs w:val="18"/>
          <w:color w:val="auto"/>
        </w:rPr>
        <w:t>” means the shares of the Company’s Nonvoting Common Stock, $0.0001 par value per share.</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b w:val="1"/>
          <w:bCs w:val="1"/>
          <w:i w:val="1"/>
          <w:iCs w:val="1"/>
          <w:color w:val="auto"/>
        </w:rPr>
        <w:t>Novo</w:t>
      </w:r>
      <w:r>
        <w:rPr>
          <w:rFonts w:ascii="Times New Roman" w:cs="Times New Roman" w:eastAsia="Times New Roman" w:hAnsi="Times New Roman"/>
          <w:sz w:val="18"/>
          <w:szCs w:val="18"/>
          <w:color w:val="auto"/>
        </w:rPr>
        <w:t>” means Novo Holdings A/S and any of its Affiliates.</w:t>
      </w:r>
    </w:p>
    <w:p>
      <w:pPr>
        <w:spacing w:after="0" w:line="108" w:lineRule="exact"/>
        <w:rPr>
          <w:sz w:val="20"/>
          <w:szCs w:val="20"/>
          <w:color w:val="auto"/>
        </w:rPr>
      </w:pPr>
    </w:p>
    <w:p>
      <w:pPr>
        <w:ind w:right="400" w:firstLine="964"/>
        <w:spacing w:after="0" w:line="272" w:lineRule="auto"/>
        <w:rPr>
          <w:sz w:val="20"/>
          <w:szCs w:val="20"/>
          <w:color w:val="auto"/>
        </w:rPr>
      </w:pPr>
      <w:r>
        <w:rPr>
          <w:rFonts w:ascii="Times New Roman" w:cs="Times New Roman" w:eastAsia="Times New Roman" w:hAnsi="Times New Roman"/>
          <w:sz w:val="18"/>
          <w:szCs w:val="18"/>
          <w:color w:val="auto"/>
        </w:rPr>
        <w:t>1.30 “</w:t>
      </w:r>
      <w:r>
        <w:rPr>
          <w:rFonts w:ascii="Times New Roman" w:cs="Times New Roman" w:eastAsia="Times New Roman" w:hAnsi="Times New Roman"/>
          <w:sz w:val="18"/>
          <w:szCs w:val="18"/>
          <w:b w:val="1"/>
          <w:bCs w:val="1"/>
          <w:i w:val="1"/>
          <w:iCs w:val="1"/>
          <w:color w:val="auto"/>
        </w:rPr>
        <w:t>Novo Side Letter</w:t>
      </w:r>
      <w:r>
        <w:rPr>
          <w:rFonts w:ascii="Times New Roman" w:cs="Times New Roman" w:eastAsia="Times New Roman" w:hAnsi="Times New Roman"/>
          <w:sz w:val="18"/>
          <w:szCs w:val="18"/>
          <w:color w:val="auto"/>
        </w:rPr>
        <w:t xml:space="preserve">” means that certain letter agreement dated May 29, 2019, by and among the Company, Novo and the Founder Stockholders (as defined therein), a copy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20"/>
          </w:cols>
          <w:pgMar w:left="580" w:top="261" w:right="599" w:bottom="1440" w:gutter="0" w:footer="0" w:header="0"/>
        </w:sectPr>
      </w:pPr>
    </w:p>
    <w:bookmarkStart w:id="395" w:name="page396"/>
    <w:bookmarkEnd w:id="39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1.31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trust, limited liability company, association or other entity.</w:t>
      </w:r>
    </w:p>
    <w:p>
      <w:pPr>
        <w:spacing w:after="0" w:line="108" w:lineRule="exact"/>
        <w:rPr>
          <w:sz w:val="20"/>
          <w:szCs w:val="20"/>
          <w:color w:val="auto"/>
        </w:rPr>
      </w:pPr>
    </w:p>
    <w:p>
      <w:pPr>
        <w:ind w:right="220" w:firstLine="964"/>
        <w:spacing w:after="0" w:line="258" w:lineRule="auto"/>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means, collectively, the shares of the Company’s Series A Preferred Stock, Series B Preferred Stock, Series B-1 Preferred Stock, Series B-2 Preferred Stock, Series C Preferred Stock, Series D Preferred Stock, Series E Preferred Stock, Series F Preferred Stock, Series G Preferred Stock, Series G-2 Preferred Stock and Series G-3 Preferred Stock.</w:t>
      </w:r>
    </w:p>
    <w:p>
      <w:pPr>
        <w:spacing w:after="0" w:line="68" w:lineRule="exact"/>
        <w:rPr>
          <w:sz w:val="20"/>
          <w:szCs w:val="20"/>
          <w:color w:val="auto"/>
        </w:rPr>
      </w:pPr>
    </w:p>
    <w:p>
      <w:pPr>
        <w:ind w:right="60" w:firstLine="964"/>
        <w:spacing w:after="0" w:line="281" w:lineRule="auto"/>
        <w:rPr>
          <w:sz w:val="20"/>
          <w:szCs w:val="20"/>
          <w:color w:val="auto"/>
        </w:rPr>
      </w:pPr>
      <w:r>
        <w:rPr>
          <w:rFonts w:ascii="Times New Roman" w:cs="Times New Roman" w:eastAsia="Times New Roman" w:hAnsi="Times New Roman"/>
          <w:sz w:val="16"/>
          <w:szCs w:val="16"/>
          <w:color w:val="auto"/>
        </w:rPr>
        <w:t>1.33 “</w:t>
      </w:r>
      <w:r>
        <w:rPr>
          <w:rFonts w:ascii="Times New Roman" w:cs="Times New Roman" w:eastAsia="Times New Roman" w:hAnsi="Times New Roman"/>
          <w:sz w:val="16"/>
          <w:szCs w:val="16"/>
          <w:b w:val="1"/>
          <w:bCs w:val="1"/>
          <w:i w:val="1"/>
          <w:iCs w:val="1"/>
          <w:color w:val="auto"/>
        </w:rPr>
        <w:t>Registrable Securities</w:t>
      </w:r>
      <w:r>
        <w:rPr>
          <w:rFonts w:ascii="Times New Roman" w:cs="Times New Roman" w:eastAsia="Times New Roman" w:hAnsi="Times New Roman"/>
          <w:sz w:val="16"/>
          <w:szCs w:val="16"/>
          <w:color w:val="auto"/>
        </w:rPr>
        <w:t xml:space="preserve">” means (a) the Voting Common Stock, (b) the Voting Common Stock issuable or issued upon conversion of the Preferred Stock, (c) any Common Stock, or any Common Stock issued or issuable (directly or indirectly) upon conversion and/or exercise of any other securities of the Company, acquired or held by the Investors or the Common Holders; and (d) any Common Stock issued as (or issuable upon the conversion or exercise of any warrant, right, or other security that is issued as) a dividend or other distribution with respect to, or in exchange for or in replacement of, the shares referenced in clauses (a) or (b) above; excluding in all cases, however, (i) any Registrable Securities sold by a Person in a transaction in which the applicable rights under this Agreement are not assigned pursuant to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(ii) excluding for purposes of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any shares for which registration rights have terminated pursuant to </w:t>
      </w:r>
      <w:r>
        <w:rPr>
          <w:rFonts w:ascii="Times New Roman" w:cs="Times New Roman" w:eastAsia="Times New Roman" w:hAnsi="Times New Roman"/>
          <w:sz w:val="16"/>
          <w:szCs w:val="16"/>
          <w:u w:val="single" w:color="auto"/>
          <w:color w:val="auto"/>
        </w:rPr>
        <w:t>Section 2.13</w:t>
      </w:r>
      <w:r>
        <w:rPr>
          <w:rFonts w:ascii="Times New Roman" w:cs="Times New Roman" w:eastAsia="Times New Roman" w:hAnsi="Times New Roman"/>
          <w:sz w:val="16"/>
          <w:szCs w:val="16"/>
          <w:color w:val="auto"/>
        </w:rPr>
        <w:t xml:space="preserve"> of this Agreement, and (iii) Voting Common Stock that has been converted from Nonvoting Common Stock and any Common Stock issued as (or issuable upon the conversion or exercise of any warrant, right, or other security that is issued as) a dividend or other distribution with respect to, or in exchange for or in replacement of, such Voting Common Stock.</w:t>
      </w:r>
    </w:p>
    <w:p>
      <w:pPr>
        <w:spacing w:after="0" w:line="57" w:lineRule="exact"/>
        <w:rPr>
          <w:sz w:val="20"/>
          <w:szCs w:val="20"/>
          <w:color w:val="auto"/>
        </w:rPr>
      </w:pPr>
    </w:p>
    <w:p>
      <w:pPr>
        <w:jc w:val="both"/>
        <w:ind w:right="120" w:firstLine="964"/>
        <w:spacing w:after="0" w:line="258" w:lineRule="auto"/>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b w:val="1"/>
          <w:bCs w:val="1"/>
          <w:i w:val="1"/>
          <w:iCs w:val="1"/>
          <w:color w:val="auto"/>
        </w:rPr>
        <w:t>Registrable Securities Then Outstanding</w:t>
      </w:r>
      <w:r>
        <w:rPr>
          <w:rFonts w:ascii="Times New Roman" w:cs="Times New Roman" w:eastAsia="Times New Roman" w:hAnsi="Times New Roman"/>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68" w:lineRule="exact"/>
        <w:rPr>
          <w:sz w:val="20"/>
          <w:szCs w:val="20"/>
          <w:color w:val="auto"/>
        </w:rPr>
      </w:pPr>
    </w:p>
    <w:p>
      <w:pPr>
        <w:ind w:firstLine="964"/>
        <w:spacing w:after="0" w:line="272" w:lineRule="auto"/>
        <w:rPr>
          <w:sz w:val="20"/>
          <w:szCs w:val="20"/>
          <w:color w:val="auto"/>
        </w:rPr>
      </w:pPr>
      <w:r>
        <w:rPr>
          <w:rFonts w:ascii="Times New Roman" w:cs="Times New Roman" w:eastAsia="Times New Roman" w:hAnsi="Times New Roman"/>
          <w:sz w:val="18"/>
          <w:szCs w:val="18"/>
          <w:color w:val="auto"/>
        </w:rPr>
        <w:t>1.35 “</w:t>
      </w:r>
      <w:r>
        <w:rPr>
          <w:rFonts w:ascii="Times New Roman" w:cs="Times New Roman" w:eastAsia="Times New Roman" w:hAnsi="Times New Roman"/>
          <w:sz w:val="18"/>
          <w:szCs w:val="18"/>
          <w:b w:val="1"/>
          <w:bCs w:val="1"/>
          <w:i w:val="1"/>
          <w:iCs w:val="1"/>
          <w:color w:val="auto"/>
        </w:rPr>
        <w:t>Required Approvals</w:t>
      </w:r>
      <w:r>
        <w:rPr>
          <w:rFonts w:ascii="Times New Roman" w:cs="Times New Roman" w:eastAsia="Times New Roman" w:hAnsi="Times New Roman"/>
          <w:sz w:val="18"/>
          <w:szCs w:val="18"/>
          <w:color w:val="auto"/>
        </w:rPr>
        <w:t>” means all consents, approvals, clearances or other authorizations of, and expiration of waiting periods required by, any governmental authorities required under applicable laws, including the CFIUS Approval.</w:t>
      </w:r>
    </w:p>
    <w:p>
      <w:pPr>
        <w:spacing w:after="0" w:line="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b w:val="1"/>
          <w:bCs w:val="1"/>
          <w:i w:val="1"/>
          <w:iCs w:val="1"/>
          <w:color w:val="auto"/>
        </w:rPr>
        <w:t>Restricted Securities</w:t>
      </w:r>
      <w:r>
        <w:rPr>
          <w:rFonts w:ascii="Times New Roman" w:cs="Times New Roman" w:eastAsia="Times New Roman" w:hAnsi="Times New Roman"/>
          <w:sz w:val="18"/>
          <w:szCs w:val="18"/>
          <w:color w:val="auto"/>
        </w:rPr>
        <w:t xml:space="preserve">” means the securities of the Company required to bear the legend set forth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hereof.</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1.37 “</w:t>
      </w:r>
      <w:r>
        <w:rPr>
          <w:rFonts w:ascii="Times New Roman" w:cs="Times New Roman" w:eastAsia="Times New Roman" w:hAnsi="Times New Roman"/>
          <w:sz w:val="18"/>
          <w:szCs w:val="18"/>
          <w:b w:val="1"/>
          <w:bCs w:val="1"/>
          <w:i w:val="1"/>
          <w:iCs w:val="1"/>
          <w:color w:val="auto"/>
        </w:rPr>
        <w:t>Revolution</w:t>
      </w:r>
      <w:r>
        <w:rPr>
          <w:rFonts w:ascii="Times New Roman" w:cs="Times New Roman" w:eastAsia="Times New Roman" w:hAnsi="Times New Roman"/>
          <w:sz w:val="18"/>
          <w:szCs w:val="18"/>
          <w:color w:val="auto"/>
        </w:rPr>
        <w:t>” means, collectively, Revolution Growth III, LP and any of its Affiliates.</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1.39 “</w:t>
      </w:r>
      <w:r>
        <w:rPr>
          <w:rFonts w:ascii="Times New Roman" w:cs="Times New Roman" w:eastAsia="Times New Roman" w:hAnsi="Times New Roman"/>
          <w:sz w:val="18"/>
          <w:szCs w:val="18"/>
          <w:b w:val="1"/>
          <w:bCs w:val="1"/>
          <w:i w:val="1"/>
          <w:iCs w:val="1"/>
          <w:color w:val="auto"/>
        </w:rPr>
        <w:t>SEC Rule 144</w:t>
      </w:r>
      <w:r>
        <w:rPr>
          <w:rFonts w:ascii="Times New Roman" w:cs="Times New Roman" w:eastAsia="Times New Roman" w:hAnsi="Times New Roman"/>
          <w:sz w:val="18"/>
          <w:szCs w:val="18"/>
          <w:color w:val="auto"/>
        </w:rPr>
        <w:t>” means Rule 144 promulgated by the SEC under the Securities Act.</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1.40 “</w:t>
      </w:r>
      <w:r>
        <w:rPr>
          <w:rFonts w:ascii="Times New Roman" w:cs="Times New Roman" w:eastAsia="Times New Roman" w:hAnsi="Times New Roman"/>
          <w:sz w:val="18"/>
          <w:szCs w:val="18"/>
          <w:b w:val="1"/>
          <w:bCs w:val="1"/>
          <w:i w:val="1"/>
          <w:iCs w:val="1"/>
          <w:color w:val="auto"/>
        </w:rPr>
        <w:t>SEC Rule 145</w:t>
      </w:r>
      <w:r>
        <w:rPr>
          <w:rFonts w:ascii="Times New Roman" w:cs="Times New Roman" w:eastAsia="Times New Roman" w:hAnsi="Times New Roman"/>
          <w:sz w:val="18"/>
          <w:szCs w:val="18"/>
          <w:color w:val="auto"/>
        </w:rPr>
        <w:t>” means Rule 145 promulgated by the SEC under the Securities Act.</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00"/>
          </w:cols>
          <w:pgMar w:left="580" w:top="261" w:right="619" w:bottom="1440" w:gutter="0" w:footer="0" w:header="0"/>
        </w:sectPr>
      </w:pPr>
    </w:p>
    <w:bookmarkStart w:id="396" w:name="page397"/>
    <w:bookmarkEnd w:id="39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1.41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08" w:lineRule="exact"/>
        <w:rPr>
          <w:sz w:val="20"/>
          <w:szCs w:val="20"/>
          <w:color w:val="auto"/>
        </w:rPr>
      </w:pPr>
    </w:p>
    <w:p>
      <w:pPr>
        <w:ind w:right="20" w:firstLine="964"/>
        <w:spacing w:after="0" w:line="258" w:lineRule="auto"/>
        <w:rPr>
          <w:sz w:val="20"/>
          <w:szCs w:val="20"/>
          <w:color w:val="auto"/>
        </w:rPr>
      </w:pPr>
      <w:r>
        <w:rPr>
          <w:rFonts w:ascii="Times New Roman" w:cs="Times New Roman" w:eastAsia="Times New Roman" w:hAnsi="Times New Roman"/>
          <w:sz w:val="18"/>
          <w:szCs w:val="18"/>
          <w:color w:val="auto"/>
        </w:rPr>
        <w:t>1.42 “</w:t>
      </w:r>
      <w:r>
        <w:rPr>
          <w:rFonts w:ascii="Times New Roman" w:cs="Times New Roman" w:eastAsia="Times New Roman" w:hAnsi="Times New Roman"/>
          <w:sz w:val="18"/>
          <w:szCs w:val="18"/>
          <w:b w:val="1"/>
          <w:bCs w:val="1"/>
          <w:i w:val="1"/>
          <w:iCs w:val="1"/>
          <w:color w:val="auto"/>
        </w:rPr>
        <w:t>Selling Expenses</w:t>
      </w:r>
      <w:r>
        <w:rPr>
          <w:rFonts w:ascii="Times New Roman" w:cs="Times New Roman" w:eastAsia="Times New Roman" w:hAnsi="Times New Roman"/>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 w:cs="Times New Roman" w:eastAsia="Times New Roman" w:hAnsi="Times New Roman"/>
          <w:sz w:val="18"/>
          <w:szCs w:val="18"/>
          <w:u w:val="single" w:color="auto"/>
          <w:color w:val="auto"/>
        </w:rPr>
        <w:t>Section 2.6.</w:t>
      </w:r>
    </w:p>
    <w:p>
      <w:pPr>
        <w:spacing w:after="0" w:line="68" w:lineRule="exact"/>
        <w:rPr>
          <w:sz w:val="20"/>
          <w:szCs w:val="20"/>
          <w:color w:val="auto"/>
        </w:rPr>
      </w:pPr>
    </w:p>
    <w:p>
      <w:pPr>
        <w:ind w:right="200" w:firstLine="964"/>
        <w:spacing w:after="0" w:line="272" w:lineRule="auto"/>
        <w:rPr>
          <w:sz w:val="20"/>
          <w:szCs w:val="20"/>
          <w:color w:val="auto"/>
        </w:rPr>
      </w:pPr>
      <w:r>
        <w:rPr>
          <w:rFonts w:ascii="Times New Roman" w:cs="Times New Roman" w:eastAsia="Times New Roman" w:hAnsi="Times New Roman"/>
          <w:sz w:val="18"/>
          <w:szCs w:val="18"/>
          <w:color w:val="auto"/>
        </w:rPr>
        <w:t>1.43 “</w:t>
      </w:r>
      <w:r>
        <w:rPr>
          <w:rFonts w:ascii="Times New Roman" w:cs="Times New Roman" w:eastAsia="Times New Roman" w:hAnsi="Times New Roman"/>
          <w:sz w:val="18"/>
          <w:szCs w:val="18"/>
          <w:b w:val="1"/>
          <w:bCs w:val="1"/>
          <w:i w:val="1"/>
          <w:iCs w:val="1"/>
          <w:color w:val="auto"/>
        </w:rPr>
        <w:t>T. Rowe Price</w:t>
      </w:r>
      <w:r>
        <w:rPr>
          <w:rFonts w:ascii="Times New Roman" w:cs="Times New Roman" w:eastAsia="Times New Roman" w:hAnsi="Times New Roman"/>
          <w:sz w:val="18"/>
          <w:szCs w:val="18"/>
          <w:color w:val="auto"/>
        </w:rPr>
        <w:t>” means T. Rowe Price Associates, Inc. and any successor or affiliated registered investment advisor to the T. Rowe Price Investors.</w:t>
      </w:r>
    </w:p>
    <w:p>
      <w:pPr>
        <w:spacing w:after="0" w:line="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1.44 “</w:t>
      </w:r>
      <w:r>
        <w:rPr>
          <w:rFonts w:ascii="Times New Roman" w:cs="Times New Roman" w:eastAsia="Times New Roman" w:hAnsi="Times New Roman"/>
          <w:sz w:val="18"/>
          <w:szCs w:val="18"/>
          <w:b w:val="1"/>
          <w:bCs w:val="1"/>
          <w:i w:val="1"/>
          <w:iCs w:val="1"/>
          <w:color w:val="auto"/>
        </w:rPr>
        <w:t>T. Rowe Price Investors</w:t>
      </w:r>
      <w:r>
        <w:rPr>
          <w:rFonts w:ascii="Times New Roman" w:cs="Times New Roman" w:eastAsia="Times New Roman" w:hAnsi="Times New Roman"/>
          <w:sz w:val="18"/>
          <w:szCs w:val="18"/>
          <w:color w:val="auto"/>
        </w:rPr>
        <w:t>” means the Investors that are advisory clients of T. Rowe Price.</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1.45 “</w:t>
      </w:r>
      <w:r>
        <w:rPr>
          <w:rFonts w:ascii="Times New Roman" w:cs="Times New Roman" w:eastAsia="Times New Roman" w:hAnsi="Times New Roman"/>
          <w:sz w:val="18"/>
          <w:szCs w:val="18"/>
          <w:b w:val="1"/>
          <w:bCs w:val="1"/>
          <w:i w:val="1"/>
          <w:iCs w:val="1"/>
          <w:color w:val="auto"/>
        </w:rPr>
        <w:t>Voting Common Stock</w:t>
      </w:r>
      <w:r>
        <w:rPr>
          <w:rFonts w:ascii="Times New Roman" w:cs="Times New Roman" w:eastAsia="Times New Roman" w:hAnsi="Times New Roman"/>
          <w:sz w:val="18"/>
          <w:szCs w:val="18"/>
          <w:color w:val="auto"/>
        </w:rPr>
        <w:t>” means shares of the Class A Common Stock and Class B Common Stock.</w:t>
      </w:r>
    </w:p>
    <w:p>
      <w:pPr>
        <w:spacing w:after="0" w:line="112" w:lineRule="exact"/>
        <w:rPr>
          <w:sz w:val="20"/>
          <w:szCs w:val="20"/>
          <w:color w:val="auto"/>
        </w:rPr>
      </w:pPr>
    </w:p>
    <w:p>
      <w:pPr>
        <w:ind w:left="980" w:right="5320" w:hanging="544"/>
        <w:spacing w:after="0" w:line="365" w:lineRule="auto"/>
        <w:tabs>
          <w:tab w:leader="none" w:pos="619"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The Company covenants and agrees as follows: 2.1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ind w:right="120" w:firstLine="1400"/>
        <w:spacing w:after="0" w:line="246" w:lineRule="auto"/>
        <w:tabs>
          <w:tab w:leader="none" w:pos="1631"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one hundred eighty (180) days after the effective date of the registration statement for the IPO, the Company receives a request from Holders of at least a majority of the Registrable Securities Then Outstanding that the Company file a Form S-1 registration statement with respect to all or any portion of their Registrable Securities if the anticipated aggregate offering price, net of Selling Expenses, would exceed $15,000,000, then the Company shall (i) within ten (10) days after the date such request is given, give notice thereof (the “</w:t>
      </w:r>
      <w:r>
        <w:rPr>
          <w:rFonts w:ascii="Times New Roman" w:cs="Times New Roman" w:eastAsia="Times New Roman" w:hAnsi="Times New Roman"/>
          <w:sz w:val="18"/>
          <w:szCs w:val="18"/>
          <w:b w:val="1"/>
          <w:bCs w:val="1"/>
          <w:i w:val="1"/>
          <w:iCs w:val="1"/>
          <w:color w:val="auto"/>
        </w:rPr>
        <w:t>Demand Notice</w:t>
      </w:r>
      <w:r>
        <w:rPr>
          <w:rFonts w:ascii="Times New Roman" w:cs="Times New Roman" w:eastAsia="Times New Roman" w:hAnsi="Times New Roman"/>
          <w:sz w:val="18"/>
          <w:szCs w:val="18"/>
          <w:color w:val="auto"/>
        </w:rPr>
        <w:t xml:space="preserve">”) to all Holders other than the Initiating Holders, and (ii)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firstLine="1400"/>
        <w:spacing w:after="0" w:line="247" w:lineRule="auto"/>
        <w:tabs>
          <w:tab w:leader="none" w:pos="164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when it is eligible to use a Form S-3 registration statement, the Company receives a request from Holders of at least twenty percent (20%) of the Registrable Securities Then Outstanding that the Company file a Form S-3 registration statement with respect to outstanding Registrable Securities of such Holders having an anticipated aggregate offering price, net of Selling Expenses, of at least $1,000,000,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00"/>
          </w:cols>
          <w:pgMar w:left="580" w:top="261" w:right="619" w:bottom="1440" w:gutter="0" w:footer="0" w:header="0"/>
        </w:sectPr>
      </w:pPr>
    </w:p>
    <w:bookmarkStart w:id="397" w:name="page398"/>
    <w:bookmarkEnd w:id="397"/>
    <w:p>
      <w:pPr>
        <w:ind w:right="40" w:firstLine="1400"/>
        <w:spacing w:after="0" w:line="247" w:lineRule="auto"/>
        <w:tabs>
          <w:tab w:leader="none" w:pos="1631"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Notwithstanding the foregoing obligations, if the Company furnishes to Holders requesting a registration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 certificate signed by the Company’s chief executive officer stating that in the good faith judgment of the Company’s Board of Directors it would be materially detrimental to the Company and its stockholders for such registration statement to be filed and it is therefore necessary to defer the filing of such registration statement, then the Company shall have the right to defer taking action with respect to such filing, and any time periods with respect to filing or effectiveness thereof shall be tolled correspondingly, for a period of not more than sixty (60) days after the request of the Initiating Holders is given;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may not invoke this right more than once in any twelve (12) month period;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Company shall not register any securities for its own account or that of any other stockholder during such ninety (90)-day period other than pursuant to any Excluded Registrations.</w:t>
      </w:r>
    </w:p>
    <w:p>
      <w:pPr>
        <w:spacing w:after="0" w:line="81" w:lineRule="exact"/>
        <w:rPr>
          <w:rFonts w:ascii="Times New Roman" w:cs="Times New Roman" w:eastAsia="Times New Roman" w:hAnsi="Times New Roman"/>
          <w:sz w:val="18"/>
          <w:szCs w:val="18"/>
          <w:color w:val="auto"/>
        </w:rPr>
      </w:pPr>
    </w:p>
    <w:p>
      <w:pPr>
        <w:ind w:firstLine="1400"/>
        <w:spacing w:after="0" w:line="248" w:lineRule="auto"/>
        <w:tabs>
          <w:tab w:leader="none" w:pos="16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obligated to effect, or to take any action to effect, any registration or file any registration statement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(i) during the period commencing on the date that that is ninety (90) days before the Company’s good faith estimate of the date of filing of, and ending on a date that is one hundred eighty (180) days after the effective date of, a Company-initiated registration, provided that the Company is actively employing in good faith commercially reasonable efforts to cause such registration statement to become effective; (ii) after the Company has effected two registrations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or (iii) if the Initiating Holders propose to dispose of shares of Registrable Securities that may be immediately registered on Form S-3 pursuant to a request made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ind w:right="40" w:firstLine="1400"/>
        <w:spacing w:after="0" w:line="246" w:lineRule="auto"/>
        <w:tabs>
          <w:tab w:leader="none" w:pos="1631"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obligated to effect, or to take any action to effect, any registration or file any registration statement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(i) during the period commencing on the date that is thirty (30) days before the Company’s good faith estimate of the date of filing of, and ending on a date that is ninety (90) days after the effective date of, a Company-initiated registration, provided that the Company is actively employing in good faith commercially reasonable efforts to cause such registration statement to become effective; (ii) if the Company has effected two registrations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within the twelve (12)- month period immediately preceding the date of such request; or (iii) if the Company has effected a registration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within the six (6)-month period immediately preceding the date of such request. A registration shall not be counted as “effected” for purposes of this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 which case such withdrawn registration statement shall be counted as “effected” for purposes of this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right="20" w:firstLine="964"/>
        <w:spacing w:after="0" w:line="24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 registration relating to a demand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cause to be registered all of the Registrable Securities that each such Holder has requested to be included 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580" w:top="265" w:right="599" w:bottom="1440" w:gutter="0" w:footer="0" w:header="0"/>
        </w:sectPr>
      </w:pPr>
    </w:p>
    <w:bookmarkStart w:id="398" w:name="page399"/>
    <w:bookmarkEnd w:id="398"/>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such registration. The Company shall have the right to terminate or withdraw any registration initiated by it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Underwriting Requirements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40" w:firstLine="1400"/>
        <w:spacing w:after="0" w:line="245" w:lineRule="auto"/>
        <w:tabs>
          <w:tab w:leader="none" w:pos="1631"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Initiating Holders intend to distribute the Registrable Securities covered by their request by means of an underwriting, they shall so advise the Company as a part of their request made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 w:cs="Times New Roman" w:eastAsia="Times New Roman" w:hAnsi="Times New Roman"/>
          <w:sz w:val="18"/>
          <w:szCs w:val="18"/>
          <w:u w:val="single" w:color="auto"/>
          <w:color w:val="auto"/>
        </w:rPr>
        <w:t>Section 2.4(e)</w:t>
      </w:r>
      <w:r>
        <w:rPr>
          <w:rFonts w:ascii="Times New Roman" w:cs="Times New Roman" w:eastAsia="Times New Roman" w:hAnsi="Times New Roman"/>
          <w:sz w:val="18"/>
          <w:szCs w:val="18"/>
          <w:color w:val="auto"/>
        </w:rPr>
        <w:t xml:space="preserve">) enter into and perform their obligations under an underwriting agreement in customary form with the underwriter(s) selected for such underwriting. Notwithstanding any other provision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w:t>
      </w:r>
    </w:p>
    <w:p>
      <w:pPr>
        <w:spacing w:after="0" w:line="86" w:lineRule="exact"/>
        <w:rPr>
          <w:rFonts w:ascii="Times New Roman" w:cs="Times New Roman" w:eastAsia="Times New Roman" w:hAnsi="Times New Roman"/>
          <w:sz w:val="18"/>
          <w:szCs w:val="18"/>
          <w:color w:val="auto"/>
        </w:rPr>
      </w:pPr>
    </w:p>
    <w:p>
      <w:pPr>
        <w:ind w:firstLine="1400"/>
        <w:spacing w:after="0" w:line="246" w:lineRule="auto"/>
        <w:tabs>
          <w:tab w:leader="none" w:pos="16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offering involving an underwriting of shares of the Company’s capital stock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20"/>
          </w:cols>
          <w:pgMar w:left="580" w:top="265" w:right="599" w:bottom="1440" w:gutter="0" w:footer="0" w:header="0"/>
        </w:sectPr>
      </w:pPr>
    </w:p>
    <w:bookmarkStart w:id="399" w:name="page400"/>
    <w:bookmarkEnd w:id="399"/>
    <w:p>
      <w:pPr>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(ii) the number of Registrable Securities comprised of shares of Common Stock issued or issuable upon conversion of the Series G-3 Preferred Stock, Series G-2 Preferred Stock, Series G Preferred Stock, Series F Preferred Stock, Series E Preferred Stock, Series D Preferred Stock and Series C Preferred Stock included in the offering be reduced unless all other securities ranking junior to the Series G-3 Preferred Stock, Series G-2 Preferred Stock, Series G Preferred Stock, Series F Preferred Stock, Series E Preferred Stock, Series D Preferred Stock and Series C Preferred Stock in respect of liquidation preferences (other than securities to be sold by the Company) are first entirely excluded from the offering, or (iii) the number of Registrable Securities included in the offering be reduced below twenty-five percent (25%)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Times New Roman" w:cs="Times New Roman" w:eastAsia="Times New Roman" w:hAnsi="Times New Roman"/>
          <w:sz w:val="16"/>
          <w:szCs w:val="16"/>
          <w:u w:val="single" w:color="auto"/>
          <w:color w:val="auto"/>
        </w:rPr>
        <w:t>Section 2.3(b)</w:t>
      </w:r>
      <w:r>
        <w:rPr>
          <w:rFonts w:ascii="Times New Roman" w:cs="Times New Roman" w:eastAsia="Times New Roman" w:hAnsi="Times New Roman"/>
          <w:sz w:val="16"/>
          <w:szCs w:val="16"/>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281" w:lineRule="exact"/>
        <w:rPr>
          <w:sz w:val="20"/>
          <w:szCs w:val="20"/>
          <w:color w:val="auto"/>
        </w:rPr>
      </w:pPr>
    </w:p>
    <w:p>
      <w:pPr>
        <w:ind w:right="60" w:firstLine="1400"/>
        <w:spacing w:after="0" w:line="255" w:lineRule="auto"/>
        <w:tabs>
          <w:tab w:leader="none" w:pos="1631"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a registration shall not be counted as “effected” if, as a result of an exercise of the underwriter’s cutback provisions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fewer than fifty percent (50%) of the total number of Registrable Securities that Holders have requested to be included in such registration statement are actually included.</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xml:space="preserve">. Whenever required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to effect the registration of any Registrable Securities,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as expeditiously as reasonably possible:</w:t>
      </w:r>
    </w:p>
    <w:p>
      <w:pPr>
        <w:spacing w:after="0" w:line="90" w:lineRule="exact"/>
        <w:rPr>
          <w:sz w:val="20"/>
          <w:szCs w:val="20"/>
          <w:color w:val="auto"/>
        </w:rPr>
      </w:pPr>
    </w:p>
    <w:p>
      <w:pPr>
        <w:ind w:right="60" w:firstLine="1400"/>
        <w:spacing w:after="0" w:line="246" w:lineRule="auto"/>
        <w:tabs>
          <w:tab w:leader="none" w:pos="1631"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one hundred eighty (180) days, if necessary, to keep the registration statement effective until all such Registrable Securities are sold;</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60"/>
          </w:cols>
          <w:pgMar w:left="580" w:top="265" w:right="659" w:bottom="1440" w:gutter="0" w:footer="0" w:header="0"/>
        </w:sectPr>
      </w:pPr>
    </w:p>
    <w:bookmarkStart w:id="400" w:name="page401"/>
    <w:bookmarkEnd w:id="400"/>
    <w:p>
      <w:pPr>
        <w:ind w:left="-60" w:right="280" w:firstLine="1400"/>
        <w:spacing w:after="0" w:line="255" w:lineRule="auto"/>
        <w:tabs>
          <w:tab w:leader="none" w:pos="15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75" w:lineRule="exact"/>
        <w:rPr>
          <w:rFonts w:ascii="Times New Roman" w:cs="Times New Roman" w:eastAsia="Times New Roman" w:hAnsi="Times New Roman"/>
          <w:sz w:val="18"/>
          <w:szCs w:val="18"/>
          <w:color w:val="auto"/>
        </w:rPr>
      </w:pPr>
    </w:p>
    <w:p>
      <w:pPr>
        <w:ind w:left="-60" w:right="260" w:firstLine="1400"/>
        <w:spacing w:after="0" w:line="331" w:lineRule="auto"/>
        <w:tabs>
          <w:tab w:leader="none" w:pos="1571"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7" w:lineRule="exact"/>
        <w:rPr>
          <w:rFonts w:ascii="Times New Roman" w:cs="Times New Roman" w:eastAsia="Times New Roman" w:hAnsi="Times New Roman"/>
          <w:sz w:val="16"/>
          <w:szCs w:val="16"/>
          <w:color w:val="auto"/>
        </w:rPr>
      </w:pPr>
    </w:p>
    <w:p>
      <w:pPr>
        <w:jc w:val="both"/>
        <w:ind w:left="-60" w:right="180" w:firstLine="1400"/>
        <w:spacing w:after="0" w:line="251" w:lineRule="auto"/>
        <w:tabs>
          <w:tab w:leader="none" w:pos="15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79" w:lineRule="exact"/>
        <w:rPr>
          <w:rFonts w:ascii="Times New Roman" w:cs="Times New Roman" w:eastAsia="Times New Roman" w:hAnsi="Times New Roman"/>
          <w:sz w:val="18"/>
          <w:szCs w:val="18"/>
          <w:color w:val="auto"/>
        </w:rPr>
      </w:pPr>
    </w:p>
    <w:p>
      <w:pPr>
        <w:ind w:left="-60" w:right="20" w:firstLine="1400"/>
        <w:spacing w:after="0" w:line="267" w:lineRule="auto"/>
        <w:tabs>
          <w:tab w:leader="none" w:pos="157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underwritten public offering, enter into and perform its obligations under an underwriting agreement, in usual and customary form, with the underwriter(s) of such offering;</w:t>
      </w:r>
    </w:p>
    <w:p>
      <w:pPr>
        <w:spacing w:after="0" w:line="64" w:lineRule="exact"/>
        <w:rPr>
          <w:rFonts w:ascii="Times New Roman" w:cs="Times New Roman" w:eastAsia="Times New Roman" w:hAnsi="Times New Roman"/>
          <w:sz w:val="18"/>
          <w:szCs w:val="18"/>
          <w:color w:val="auto"/>
        </w:rPr>
      </w:pPr>
    </w:p>
    <w:p>
      <w:pPr>
        <w:ind w:left="-60" w:firstLine="1400"/>
        <w:spacing w:after="0" w:line="255" w:lineRule="auto"/>
        <w:tabs>
          <w:tab w:leader="none" w:pos="155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75" w:lineRule="exact"/>
        <w:rPr>
          <w:rFonts w:ascii="Times New Roman" w:cs="Times New Roman" w:eastAsia="Times New Roman" w:hAnsi="Times New Roman"/>
          <w:sz w:val="18"/>
          <w:szCs w:val="18"/>
          <w:color w:val="auto"/>
        </w:rPr>
      </w:pPr>
    </w:p>
    <w:p>
      <w:pPr>
        <w:ind w:left="-60" w:right="200" w:firstLine="1400"/>
        <w:spacing w:after="0" w:line="267" w:lineRule="auto"/>
        <w:tabs>
          <w:tab w:leader="none" w:pos="15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64" w:lineRule="exact"/>
        <w:rPr>
          <w:rFonts w:ascii="Times New Roman" w:cs="Times New Roman" w:eastAsia="Times New Roman" w:hAnsi="Times New Roman"/>
          <w:sz w:val="18"/>
          <w:szCs w:val="18"/>
          <w:color w:val="auto"/>
        </w:rPr>
      </w:pPr>
    </w:p>
    <w:p>
      <w:pPr>
        <w:ind w:left="-60" w:right="100" w:firstLine="1400"/>
        <w:spacing w:after="0" w:line="248" w:lineRule="auto"/>
        <w:tabs>
          <w:tab w:leader="none" w:pos="15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82" w:lineRule="exact"/>
        <w:rPr>
          <w:rFonts w:ascii="Times New Roman" w:cs="Times New Roman" w:eastAsia="Times New Roman" w:hAnsi="Times New Roman"/>
          <w:sz w:val="18"/>
          <w:szCs w:val="18"/>
          <w:color w:val="auto"/>
        </w:rPr>
      </w:pPr>
    </w:p>
    <w:p>
      <w:pPr>
        <w:ind w:left="-60" w:right="80" w:firstLine="1400"/>
        <w:spacing w:after="0" w:line="267" w:lineRule="auto"/>
        <w:tabs>
          <w:tab w:leader="none" w:pos="154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20"/>
          </w:cols>
          <w:pgMar w:left="640" w:top="265" w:right="639" w:bottom="1440" w:gutter="0" w:footer="0" w:header="0"/>
        </w:sectPr>
      </w:pPr>
    </w:p>
    <w:bookmarkStart w:id="401" w:name="page402"/>
    <w:bookmarkEnd w:id="401"/>
    <w:p>
      <w:pPr>
        <w:ind w:right="460" w:firstLine="1400"/>
        <w:spacing w:after="0" w:line="267" w:lineRule="auto"/>
        <w:tabs>
          <w:tab w:leader="none" w:pos="160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after such registration statement becomes effective, notify each selling Holder of any request by the SEC that the Company amend or supplement such registration statement or prospectus.</w:t>
      </w:r>
    </w:p>
    <w:p>
      <w:pPr>
        <w:spacing w:after="0" w:line="65" w:lineRule="exact"/>
        <w:rPr>
          <w:sz w:val="20"/>
          <w:szCs w:val="20"/>
          <w:color w:val="auto"/>
        </w:rPr>
      </w:pPr>
    </w:p>
    <w:p>
      <w:pPr>
        <w:ind w:right="180" w:firstLine="964"/>
        <w:spacing w:after="0" w:line="25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79" w:lineRule="exact"/>
        <w:rPr>
          <w:sz w:val="20"/>
          <w:szCs w:val="20"/>
          <w:color w:val="auto"/>
        </w:rPr>
      </w:pPr>
    </w:p>
    <w:p>
      <w:pPr>
        <w:ind w:firstLine="964"/>
        <w:spacing w:after="0" w:line="245"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all registration, filing, and qualification fees; printers’ and accounting fees; fees and disbursements of counsel for the Company; and the reasonable fees and disbursements, not to exceed $30,000, of one counsel for the selling Holders (“</w:t>
      </w:r>
      <w:r>
        <w:rPr>
          <w:rFonts w:ascii="Times New Roman" w:cs="Times New Roman" w:eastAsia="Times New Roman" w:hAnsi="Times New Roman"/>
          <w:sz w:val="18"/>
          <w:szCs w:val="18"/>
          <w:b w:val="1"/>
          <w:bCs w:val="1"/>
          <w:i w:val="1"/>
          <w:iCs w:val="1"/>
          <w:color w:val="auto"/>
        </w:rPr>
        <w:t>Selling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Counsel</w:t>
      </w:r>
      <w:r>
        <w:rPr>
          <w:rFonts w:ascii="Times New Roman" w:cs="Times New Roman" w:eastAsia="Times New Roman" w:hAnsi="Times New Roman"/>
          <w:sz w:val="18"/>
          <w:szCs w:val="18"/>
          <w:color w:val="auto"/>
        </w:rPr>
        <w:t>”), shall be borne and paid by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pay for any expenses of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registration proceeding begun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as the case may be;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All Selling Expenses relating to Registrable Securities registered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borne and paid by the Holders (other than fees and dissbursements of counsel to any Holder, other than the Selling Holder Counsel, which shall be borne solely by the Holder engaging such counsel) pro rata on the basis of the number of Registrable Securities registered on their behalf.</w:t>
      </w:r>
    </w:p>
    <w:p>
      <w:pPr>
        <w:spacing w:after="0" w:line="88" w:lineRule="exact"/>
        <w:rPr>
          <w:sz w:val="20"/>
          <w:szCs w:val="20"/>
          <w:color w:val="auto"/>
        </w:rPr>
      </w:pPr>
    </w:p>
    <w:p>
      <w:pPr>
        <w:ind w:right="60" w:firstLine="964"/>
        <w:spacing w:after="0" w:line="331" w:lineRule="auto"/>
        <w:rPr>
          <w:sz w:val="20"/>
          <w:szCs w:val="20"/>
          <w:color w:val="auto"/>
        </w:rPr>
      </w:pPr>
      <w:r>
        <w:rPr>
          <w:rFonts w:ascii="Times New Roman" w:cs="Times New Roman" w:eastAsia="Times New Roman" w:hAnsi="Times New Roman"/>
          <w:sz w:val="16"/>
          <w:szCs w:val="16"/>
          <w:color w:val="auto"/>
        </w:rPr>
        <w:t xml:space="preserve">2.7 </w:t>
      </w:r>
      <w:r>
        <w:rPr>
          <w:rFonts w:ascii="Times New Roman" w:cs="Times New Roman" w:eastAsia="Times New Roman" w:hAnsi="Times New Roman"/>
          <w:sz w:val="16"/>
          <w:szCs w:val="16"/>
          <w:u w:val="single" w:color="auto"/>
          <w:color w:val="auto"/>
        </w:rPr>
        <w:t>Delay of Registration</w:t>
      </w:r>
      <w:r>
        <w:rPr>
          <w:rFonts w:ascii="Times New Roman" w:cs="Times New Roman" w:eastAsia="Times New Roman" w:hAnsi="Times New Roman"/>
          <w:sz w:val="16"/>
          <w:szCs w:val="16"/>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If any Registrable Securities are included in a registration statement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right="140" w:firstLine="1400"/>
        <w:spacing w:after="0" w:line="251" w:lineRule="auto"/>
        <w:tabs>
          <w:tab w:leader="none" w:pos="1631"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the Company will indemnify and hold harmless each selling Holder, and the partners, members, officers, directors, and stockholders of each such Holder; legal counsel, accountants and investment advisers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00"/>
          </w:cols>
          <w:pgMar w:left="580" w:top="265" w:right="619" w:bottom="1440" w:gutter="0" w:footer="0" w:header="0"/>
        </w:sectPr>
      </w:pPr>
    </w:p>
    <w:bookmarkStart w:id="402" w:name="page403"/>
    <w:bookmarkEnd w:id="402"/>
    <w:p>
      <w:pPr>
        <w:ind w:right="4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Person, or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indemnity agreement contained in this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82" w:lineRule="exact"/>
        <w:rPr>
          <w:sz w:val="20"/>
          <w:szCs w:val="20"/>
          <w:color w:val="auto"/>
        </w:rPr>
      </w:pPr>
    </w:p>
    <w:p>
      <w:pPr>
        <w:ind w:right="80" w:firstLine="1400"/>
        <w:spacing w:after="0" w:line="279" w:lineRule="auto"/>
        <w:tabs>
          <w:tab w:leader="none" w:pos="164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the indemnity agreement contained in this </w:t>
      </w:r>
      <w:r>
        <w:rPr>
          <w:rFonts w:ascii="Times New Roman" w:cs="Times New Roman" w:eastAsia="Times New Roman" w:hAnsi="Times New Roman"/>
          <w:sz w:val="16"/>
          <w:szCs w:val="16"/>
          <w:u w:val="single" w:color="auto"/>
          <w:color w:val="auto"/>
        </w:rPr>
        <w:t>Section 2.8(b)</w:t>
      </w:r>
      <w:r>
        <w:rPr>
          <w:rFonts w:ascii="Times New Roman" w:cs="Times New Roman" w:eastAsia="Times New Roman" w:hAnsi="Times New Roman"/>
          <w:sz w:val="16"/>
          <w:szCs w:val="16"/>
          <w:color w:val="auto"/>
        </w:rPr>
        <w:t xml:space="preserve"> shall not apply to amounts paid in settlement of any such claim or proceeding if such settlement is effected without the consent of the Holder, which consent shall not be unreasonably withheld; and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in no event shall the aggregate amounts payable by any Holder by way of indemnity or contribution under </w:t>
      </w:r>
      <w:r>
        <w:rPr>
          <w:rFonts w:ascii="Times New Roman" w:cs="Times New Roman" w:eastAsia="Times New Roman" w:hAnsi="Times New Roman"/>
          <w:sz w:val="16"/>
          <w:szCs w:val="16"/>
          <w:u w:val="single" w:color="auto"/>
          <w:color w:val="auto"/>
        </w:rPr>
        <w:t>Sections 2.8(b)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2.8(d)</w:t>
      </w:r>
      <w:r>
        <w:rPr>
          <w:rFonts w:ascii="Times New Roman" w:cs="Times New Roman" w:eastAsia="Times New Roman" w:hAnsi="Times New Roman"/>
          <w:sz w:val="16"/>
          <w:szCs w:val="16"/>
          <w:color w:val="auto"/>
        </w:rPr>
        <w:t xml:space="preserve"> exceed the proceeds from the offering received by such Holder (net of any Selling Expenses paid by such Holder), except in the case of fraud or willful misconduct by such Holder.</w:t>
      </w:r>
    </w:p>
    <w:p>
      <w:pPr>
        <w:spacing w:after="0" w:line="272" w:lineRule="exact"/>
        <w:rPr>
          <w:rFonts w:ascii="Times New Roman" w:cs="Times New Roman" w:eastAsia="Times New Roman" w:hAnsi="Times New Roman"/>
          <w:sz w:val="16"/>
          <w:szCs w:val="16"/>
          <w:color w:val="auto"/>
        </w:rPr>
      </w:pPr>
    </w:p>
    <w:p>
      <w:pPr>
        <w:ind w:firstLine="1400"/>
        <w:spacing w:after="0" w:line="245" w:lineRule="auto"/>
        <w:tabs>
          <w:tab w:leader="none" w:pos="1631"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not relieve such indemnifying party of any liability to the indemnified party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except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20"/>
          </w:cols>
          <w:pgMar w:left="580" w:top="265" w:right="599" w:bottom="1440" w:gutter="0" w:footer="0" w:header="0"/>
        </w:sectPr>
      </w:pPr>
    </w:p>
    <w:bookmarkStart w:id="403" w:name="page404"/>
    <w:bookmarkEnd w:id="403"/>
    <w:p>
      <w:pPr>
        <w:ind w:right="60" w:firstLine="1400"/>
        <w:spacing w:after="0" w:line="279" w:lineRule="auto"/>
        <w:tabs>
          <w:tab w:leader="none" w:pos="1640" w:val="left"/>
        </w:tabs>
        <w:numPr>
          <w:ilvl w:val="1"/>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To provide for just and equitable contribution to joint liability under the Securities Act in any case in which either (i) any party otherwise entitled to indemnification hereunder makes a claim for indemnification pursuant to this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 xml:space="preserve"> provides for indemnification in such case, or</w:t>
      </w:r>
    </w:p>
    <w:p>
      <w:pPr>
        <w:spacing w:after="0" w:line="2" w:lineRule="exact"/>
        <w:rPr>
          <w:rFonts w:ascii="Times New Roman" w:cs="Times New Roman" w:eastAsia="Times New Roman" w:hAnsi="Times New Roman"/>
          <w:sz w:val="16"/>
          <w:szCs w:val="16"/>
          <w:color w:val="auto"/>
        </w:rPr>
      </w:pPr>
    </w:p>
    <w:p>
      <w:pPr>
        <w:ind w:firstLine="8"/>
        <w:spacing w:after="0" w:line="277" w:lineRule="auto"/>
        <w:tabs>
          <w:tab w:leader="none" w:pos="258"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contribution under the Securities Act may be required on the part of any party hereto for which indemnification is provided under this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in no event shall a Holder’s liability pursuant to this </w:t>
      </w:r>
      <w:r>
        <w:rPr>
          <w:rFonts w:ascii="Times New Roman" w:cs="Times New Roman" w:eastAsia="Times New Roman" w:hAnsi="Times New Roman"/>
          <w:sz w:val="16"/>
          <w:szCs w:val="16"/>
          <w:u w:val="single" w:color="auto"/>
          <w:color w:val="auto"/>
        </w:rPr>
        <w:t>Section 2.8(d)</w:t>
      </w:r>
      <w:r>
        <w:rPr>
          <w:rFonts w:ascii="Times New Roman" w:cs="Times New Roman" w:eastAsia="Times New Roman" w:hAnsi="Times New Roman"/>
          <w:sz w:val="16"/>
          <w:szCs w:val="16"/>
          <w:color w:val="auto"/>
        </w:rPr>
        <w:t xml:space="preserve">, when combined with the amounts paid or payable by such Holder pursuant to </w:t>
      </w:r>
      <w:r>
        <w:rPr>
          <w:rFonts w:ascii="Times New Roman" w:cs="Times New Roman" w:eastAsia="Times New Roman" w:hAnsi="Times New Roman"/>
          <w:sz w:val="16"/>
          <w:szCs w:val="16"/>
          <w:u w:val="single" w:color="auto"/>
          <w:color w:val="auto"/>
        </w:rPr>
        <w:t>Section 2.8(b)</w:t>
      </w:r>
      <w:r>
        <w:rPr>
          <w:rFonts w:ascii="Times New Roman" w:cs="Times New Roman" w:eastAsia="Times New Roman" w:hAnsi="Times New Roman"/>
          <w:sz w:val="16"/>
          <w:szCs w:val="16"/>
          <w:color w:val="auto"/>
        </w:rPr>
        <w:t>, exceed the proceeds from the offering received by such Holder (net of any Selling Expenses paid by such Holder), except in the case of willful misconduct or fraud by such Holder.</w:t>
      </w:r>
    </w:p>
    <w:p>
      <w:pPr>
        <w:spacing w:after="0" w:line="269" w:lineRule="exact"/>
        <w:rPr>
          <w:rFonts w:ascii="Times New Roman" w:cs="Times New Roman" w:eastAsia="Times New Roman" w:hAnsi="Times New Roman"/>
          <w:sz w:val="16"/>
          <w:szCs w:val="16"/>
          <w:color w:val="auto"/>
        </w:rPr>
      </w:pPr>
    </w:p>
    <w:p>
      <w:pPr>
        <w:ind w:right="100" w:firstLine="1400"/>
        <w:spacing w:after="0" w:line="255" w:lineRule="auto"/>
        <w:tabs>
          <w:tab w:leader="none" w:pos="1631"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75" w:lineRule="exact"/>
        <w:rPr>
          <w:rFonts w:ascii="Times New Roman" w:cs="Times New Roman" w:eastAsia="Times New Roman" w:hAnsi="Times New Roman"/>
          <w:sz w:val="18"/>
          <w:szCs w:val="18"/>
          <w:color w:val="auto"/>
        </w:rPr>
      </w:pPr>
    </w:p>
    <w:p>
      <w:pPr>
        <w:ind w:right="60" w:firstLine="1400"/>
        <w:spacing w:after="0" w:line="255" w:lineRule="auto"/>
        <w:tabs>
          <w:tab w:leader="none" w:pos="1611"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superseded by an underwriting agreement entered into in connection with the underwritten public offering, the obligations of the Company and Holders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shall survive the completion of any offering of Registrable Securities in a registration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and otherwise shall survive the termination of this Agreement.</w:t>
      </w:r>
    </w:p>
    <w:p>
      <w:pPr>
        <w:spacing w:after="0" w:line="75" w:lineRule="exact"/>
        <w:rPr>
          <w:sz w:val="20"/>
          <w:szCs w:val="20"/>
          <w:color w:val="auto"/>
        </w:rPr>
      </w:pPr>
    </w:p>
    <w:p>
      <w:pPr>
        <w:ind w:right="380" w:firstLine="964"/>
        <w:spacing w:after="0" w:line="255"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Reports Under Exchange Act</w:t>
      </w:r>
      <w:r>
        <w:rPr>
          <w:rFonts w:ascii="Times New Roman" w:cs="Times New Roman" w:eastAsia="Times New Roman" w:hAnsi="Times New Roman"/>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60"/>
          </w:cols>
          <w:pgMar w:left="580" w:top="265" w:right="659" w:bottom="1440" w:gutter="0" w:footer="0" w:header="0"/>
        </w:sectPr>
      </w:pPr>
    </w:p>
    <w:bookmarkStart w:id="404" w:name="page405"/>
    <w:bookmarkEnd w:id="404"/>
    <w:p>
      <w:pPr>
        <w:ind w:right="100" w:firstLine="1400"/>
        <w:spacing w:after="0" w:line="267" w:lineRule="auto"/>
        <w:tabs>
          <w:tab w:leader="none" w:pos="1631"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make and keep available adequate current public information, as those terms are understood and defined in SEC Rule 144, at all times after the effective date of the registration statement filed by the Company for the IPO;</w:t>
      </w:r>
    </w:p>
    <w:p>
      <w:pPr>
        <w:spacing w:after="0" w:line="64" w:lineRule="exact"/>
        <w:rPr>
          <w:rFonts w:ascii="Times New Roman" w:cs="Times New Roman" w:eastAsia="Times New Roman" w:hAnsi="Times New Roman"/>
          <w:sz w:val="18"/>
          <w:szCs w:val="18"/>
          <w:color w:val="auto"/>
        </w:rPr>
      </w:pPr>
    </w:p>
    <w:p>
      <w:pPr>
        <w:ind w:right="400" w:firstLine="1400"/>
        <w:spacing w:after="0" w:line="331" w:lineRule="auto"/>
        <w:tabs>
          <w:tab w:leader="none" w:pos="164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7" w:lineRule="exact"/>
        <w:rPr>
          <w:rFonts w:ascii="Times New Roman" w:cs="Times New Roman" w:eastAsia="Times New Roman" w:hAnsi="Times New Roman"/>
          <w:sz w:val="16"/>
          <w:szCs w:val="16"/>
          <w:color w:val="auto"/>
        </w:rPr>
      </w:pPr>
    </w:p>
    <w:p>
      <w:pPr>
        <w:ind w:right="40" w:firstLine="1400"/>
        <w:spacing w:after="0" w:line="247" w:lineRule="auto"/>
        <w:tabs>
          <w:tab w:leader="none" w:pos="1631"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84" w:lineRule="exact"/>
        <w:rPr>
          <w:sz w:val="20"/>
          <w:szCs w:val="20"/>
          <w:color w:val="auto"/>
        </w:rPr>
      </w:pPr>
    </w:p>
    <w:p>
      <w:pPr>
        <w:ind w:firstLine="964"/>
        <w:spacing w:after="0" w:line="248"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Limitations on Subsequent Registration Rights</w:t>
      </w:r>
      <w:r>
        <w:rPr>
          <w:rFonts w:ascii="Times New Roman" w:cs="Times New Roman" w:eastAsia="Times New Roman" w:hAnsi="Times New Roman"/>
          <w:sz w:val="18"/>
          <w:szCs w:val="18"/>
          <w:color w:val="auto"/>
        </w:rPr>
        <w:t>. From and after the date of this Agreement, the Company shall not, without the prior written consent of the Holders of at least a majority of the Registrable Securities Then Outstanding, enter into any agreement with any holder or prospective holder of any securities of the Company that would allow such holder or prospective holder to include such securities in any registration unless (i) such other registration rights are subordinate to the registration rights granted to the Holders hereunder and the inclusion of such securities will not reduce the amount of the Registrable Securities of the Holders that are included in a given registration and (ii) the holders of such rights are subject to market standoff obligations no more favorable to such persons than those contained herein.</w:t>
      </w:r>
    </w:p>
    <w:p>
      <w:pPr>
        <w:spacing w:after="0" w:line="82" w:lineRule="exact"/>
        <w:rPr>
          <w:sz w:val="20"/>
          <w:szCs w:val="20"/>
          <w:color w:val="auto"/>
        </w:rPr>
      </w:pPr>
    </w:p>
    <w:p>
      <w:pPr>
        <w:ind w:right="80" w:firstLine="964"/>
        <w:spacing w:after="0" w:line="277" w:lineRule="auto"/>
        <w:rPr>
          <w:sz w:val="20"/>
          <w:szCs w:val="20"/>
          <w:color w:val="auto"/>
        </w:rPr>
      </w:pPr>
      <w:r>
        <w:rPr>
          <w:rFonts w:ascii="Times New Roman" w:cs="Times New Roman" w:eastAsia="Times New Roman" w:hAnsi="Times New Roman"/>
          <w:sz w:val="16"/>
          <w:szCs w:val="16"/>
          <w:color w:val="auto"/>
        </w:rPr>
        <w:t xml:space="preserve">2.11 </w:t>
      </w:r>
      <w:r>
        <w:rPr>
          <w:rFonts w:ascii="Times New Roman" w:cs="Times New Roman" w:eastAsia="Times New Roman" w:hAnsi="Times New Roman"/>
          <w:sz w:val="16"/>
          <w:szCs w:val="16"/>
          <w:u w:val="single" w:color="auto"/>
          <w:color w:val="auto"/>
        </w:rPr>
        <w:t>“Market Stand-off” Agreement.</w:t>
      </w:r>
      <w:r>
        <w:rPr>
          <w:rFonts w:ascii="Times New Roman" w:cs="Times New Roman" w:eastAsia="Times New Roman" w:hAnsi="Times New Roman"/>
          <w:sz w:val="16"/>
          <w:szCs w:val="16"/>
          <w:color w:val="auto"/>
        </w:rPr>
        <w:t xml:space="preserve"> Each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or (ii) enter into any swap or other arrangement that transfers to another, in whole or in part, any of the economic consequences of ownership of such securities, whether any such transaction described in clause (i) or</w:t>
      </w:r>
    </w:p>
    <w:p>
      <w:pPr>
        <w:spacing w:after="0" w:line="2" w:lineRule="exact"/>
        <w:rPr>
          <w:sz w:val="20"/>
          <w:szCs w:val="20"/>
          <w:color w:val="auto"/>
        </w:rPr>
      </w:pPr>
    </w:p>
    <w:p>
      <w:pPr>
        <w:jc w:val="both"/>
        <w:ind w:right="100" w:firstLine="8"/>
        <w:spacing w:after="0" w:line="244" w:lineRule="auto"/>
        <w:tabs>
          <w:tab w:leader="none" w:pos="258"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is to be settled by delivery of Common Stock or other securities, in cash or otherwise. The foregoing provisions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 shall apply only to the IPO, (B) shall not apply to shares of Common Stock acquired in the IPO or in the open market following the IPO, (C) shall not apply to the sale of any shares to an underwriter pursuant to an underwriting agreement and (D) shall be applicable to the Holders only if all officers and directors are subject to the same restrictions and the Company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00"/>
          </w:cols>
          <w:pgMar w:left="580" w:top="265" w:right="61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obtains a similar agreement from all stockholders individually owning more than one percent (1%) of the outstanding Common Stock (after giving effect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conversion into Common Stock of all outstanding Preferred Stock). The underwriters in connection with such registration are intended third-party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beneficiaries of this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and shall have the right, power and authority to enforce the provisions hereof as though they were a party hereto. Each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further agrees to execute such agreements as may be reasonably requested by the underwriters in connection with such registration that are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consistent with this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or that are necessary to give further effect thereto. If any of the obligations described in this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are waived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terminated with respect to any of the securities of any such Holder, officer, director or greater than one-percent stockholder (in any such case,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Released Securities</w:t>
      </w:r>
      <w:r>
        <w:rPr>
          <w:rFonts w:ascii="Times New Roman" w:cs="Times New Roman" w:eastAsia="Times New Roman" w:hAnsi="Times New Roman"/>
          <w:sz w:val="16"/>
          <w:szCs w:val="16"/>
          <w:color w:val="auto"/>
        </w:rPr>
        <w:t>”), the foregoing provisions shall be waived or terminated, as applicable, to the same extent and with respect to the same percentage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securities of each Holder as the percentage of Released Securities represent with respect to the securities held by the applicable Holder, officer,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 or greater than one-percent stockholder, subject, in the case of an underwritten offering, to any applicable cut-back priority rights set forth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w:t>
      </w:r>
    </w:p>
    <w:p>
      <w:pPr>
        <w:spacing w:after="0" w:line="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80" w:firstLine="1400"/>
        <w:spacing w:after="0" w:line="247" w:lineRule="auto"/>
        <w:tabs>
          <w:tab w:leader="none" w:pos="1631"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and the Registrable Securities shall not be sold, pledged, or otherwise transferred, and the Company shall not recognize and shall issue stop- transfer instructions to its transfer agent with respect to any such sale, pledge, or transfer, except upon the conditions specified in this Agreement, which conditions are intended to ensure compliance with the provisions of the Securities Act. A transferring Holder shall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in each case, to be bound by the terms of this Agreement.</w:t>
      </w:r>
    </w:p>
    <w:p>
      <w:pPr>
        <w:spacing w:after="0" w:line="84" w:lineRule="exact"/>
        <w:rPr>
          <w:rFonts w:ascii="Times New Roman" w:cs="Times New Roman" w:eastAsia="Times New Roman" w:hAnsi="Times New Roman"/>
          <w:sz w:val="18"/>
          <w:szCs w:val="18"/>
          <w:color w:val="auto"/>
        </w:rPr>
      </w:pPr>
    </w:p>
    <w:p>
      <w:pPr>
        <w:ind w:right="240" w:firstLine="1400"/>
        <w:spacing w:after="0" w:line="251" w:lineRule="auto"/>
        <w:tabs>
          <w:tab w:leader="none" w:pos="16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certificate or instrument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be stamped or otherwise imprinted with a legend substantially in the following form (in addition to any legend required under applicable state securities laws):</w:t>
      </w:r>
    </w:p>
    <w:p>
      <w:pPr>
        <w:spacing w:after="0" w:line="79" w:lineRule="exact"/>
        <w:rPr>
          <w:sz w:val="20"/>
          <w:szCs w:val="20"/>
          <w:color w:val="auto"/>
        </w:rPr>
      </w:pPr>
    </w:p>
    <w:p>
      <w:pPr>
        <w:ind w:left="440" w:right="100"/>
        <w:spacing w:after="0" w:line="251" w:lineRule="auto"/>
        <w:rPr>
          <w:sz w:val="20"/>
          <w:szCs w:val="20"/>
          <w:color w:val="auto"/>
        </w:rPr>
      </w:pPr>
      <w:r>
        <w:rPr>
          <w:rFonts w:ascii="Times New Roman" w:cs="Times New Roman" w:eastAsia="Times New Roman" w:hAnsi="Times New Roman"/>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79" w:lineRule="exact"/>
        <w:rPr>
          <w:sz w:val="20"/>
          <w:szCs w:val="20"/>
          <w:color w:val="auto"/>
        </w:rPr>
      </w:pPr>
    </w:p>
    <w:p>
      <w:pPr>
        <w:ind w:left="440" w:right="220"/>
        <w:spacing w:after="0" w:line="255" w:lineRule="auto"/>
        <w:rPr>
          <w:sz w:val="20"/>
          <w:szCs w:val="20"/>
          <w:color w:val="auto"/>
        </w:rPr>
      </w:pPr>
      <w:r>
        <w:rPr>
          <w:rFonts w:ascii="Times New Roman" w:cs="Times New Roman" w:eastAsia="Times New Roman" w:hAnsi="Times New Roman"/>
          <w:sz w:val="18"/>
          <w:szCs w:val="18"/>
          <w:color w:val="auto"/>
        </w:rPr>
        <w:t>THE SECURITIES REPRESENTED HEREBY MAY BE TRANSFERRED ONLY IN ACCORDANCE WITH THE TERMS OF A TENTH AMENDED AND RESTATED INVESTORS’ RIGHTS AGREEMENT BETWEEN THE COMPANY AND THE STOCKHOLDER, A COPY OF WHICH IS ON FILE WITH THE SECRETARY OF THE COMPANY.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20"/>
          </w:cols>
          <w:pgMar w:left="580" w:top="265" w:right="599" w:bottom="1440" w:gutter="0" w:footer="0" w:header="0"/>
        </w:sectPr>
      </w:pPr>
    </w:p>
    <w:bookmarkStart w:id="406" w:name="page407"/>
    <w:bookmarkEnd w:id="406"/>
    <w:p>
      <w:pPr>
        <w:ind w:right="2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The Holders consent to the Company making a notation in its records and giving instructions to any transfer agent of the Restricted Securities in order to implement the restrictions on transfer set forth in this </w:t>
      </w:r>
      <w:r>
        <w:rPr>
          <w:rFonts w:ascii="Times New Roman" w:cs="Times New Roman" w:eastAsia="Times New Roman" w:hAnsi="Times New Roman"/>
          <w:sz w:val="18"/>
          <w:szCs w:val="18"/>
          <w:u w:val="single" w:color="auto"/>
          <w:color w:val="auto"/>
        </w:rPr>
        <w:t>Section 2.12.</w:t>
      </w:r>
    </w:p>
    <w:p>
      <w:pPr>
        <w:spacing w:after="0" w:line="65" w:lineRule="exact"/>
        <w:rPr>
          <w:sz w:val="20"/>
          <w:szCs w:val="20"/>
          <w:color w:val="auto"/>
        </w:rPr>
      </w:pPr>
    </w:p>
    <w:p>
      <w:pPr>
        <w:ind w:firstLine="1400"/>
        <w:spacing w:after="0" w:line="244" w:lineRule="auto"/>
        <w:tabs>
          <w:tab w:leader="none" w:pos="1631"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of each certificate representing Restricted Securities, by acceptance thereof, agrees to comply in all respects with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transfers under the foregoing clause (y), each transferee agrees in writing to be subject to the terms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Each certificate or instrument evidencing the Restricted Securities transferred as above provided shall bear, except if such transfer is made pursuant to SEC Rule 144 or pursuant to an effective registration statement, the appropriate restrictive legend set forth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except that such certificate shall not bear such restrictive legend if, in the opinion of counsel for such Holder and the Company, such legend is not required in order to establish compliance with any provisions of the Securities Act.</w:t>
      </w:r>
    </w:p>
    <w:p>
      <w:pPr>
        <w:spacing w:after="0" w:line="98" w:lineRule="exact"/>
        <w:rPr>
          <w:sz w:val="20"/>
          <w:szCs w:val="20"/>
          <w:color w:val="auto"/>
        </w:rPr>
      </w:pPr>
    </w:p>
    <w:p>
      <w:pPr>
        <w:ind w:right="100" w:firstLine="964"/>
        <w:spacing w:after="0" w:line="247"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Termination of Registration Rights</w:t>
      </w:r>
      <w:r>
        <w:rPr>
          <w:rFonts w:ascii="Times New Roman" w:cs="Times New Roman" w:eastAsia="Times New Roman" w:hAnsi="Times New Roman"/>
          <w:sz w:val="18"/>
          <w:szCs w:val="18"/>
          <w:color w:val="auto"/>
        </w:rPr>
        <w:t xml:space="preserve">. The right of any Holder to request registration or inclusion of Registrable Securities in any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terminate upon the earliest to occur of (a) the closing of a Deemed Liquidation Event, as such term is defined in the Certificate, (b) such time after the consummation of the IPO as Rule 144 or another similar exemption under the Securities Act is available for the sale of all of such Holder’s shares without limitation during a three-month period without registration (and without the requirement for the Company to be in compliance with the current public information required under Rule 144(c)(1)) and such Holder holds less than one percent (1%) of the outstanding capital stock of the Company and (c) the fifth anniversary of the consummation of the IPO (or such later date that is one hundred eighty (180) days following the expiration of all deferrals of the Company’s obligations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that remain in effect as of the fifth anniversary of the consummation of the IPO).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20"/>
          </w:cols>
          <w:pgMar w:left="580" w:top="265" w:right="599" w:bottom="1440" w:gutter="0" w:footer="0" w:header="0"/>
        </w:sectPr>
      </w:pPr>
    </w:p>
    <w:bookmarkStart w:id="407" w:name="page408"/>
    <w:bookmarkEnd w:id="407"/>
    <w:p>
      <w:pPr>
        <w:ind w:left="620" w:hanging="184"/>
        <w:spacing w:after="0"/>
        <w:tabs>
          <w:tab w:leader="none" w:pos="62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Information Rights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right="40" w:firstLine="964"/>
        <w:spacing w:after="0" w:line="250"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Delivery of Financial Statements</w:t>
      </w:r>
      <w:r>
        <w:rPr>
          <w:rFonts w:ascii="Times New Roman" w:cs="Times New Roman" w:eastAsia="Times New Roman" w:hAnsi="Times New Roman"/>
          <w:sz w:val="18"/>
          <w:szCs w:val="18"/>
          <w:color w:val="auto"/>
        </w:rPr>
        <w:t>. The Company shall deliver to each Major Investor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Board of Directors has not reasonably determined that such Major Investor is a competitor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none of NEA, Revolution, any T. Rowe Price Investor, any Baillie Gifford Investor or any Neuberger Investor shall be deemed a competitor for purposes of this Agreement solely due to an investment in a portfolio company that is a competitor of the Company;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Google LLC shall not be deemed a competitor of the Company):</w:t>
      </w:r>
    </w:p>
    <w:p>
      <w:pPr>
        <w:spacing w:after="0" w:line="79" w:lineRule="exact"/>
        <w:rPr>
          <w:sz w:val="20"/>
          <w:szCs w:val="20"/>
          <w:color w:val="auto"/>
        </w:rPr>
      </w:pPr>
    </w:p>
    <w:p>
      <w:pPr>
        <w:ind w:right="80" w:firstLine="1400"/>
        <w:spacing w:after="0" w:line="249" w:lineRule="auto"/>
        <w:tabs>
          <w:tab w:leader="none" w:pos="1631"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ninety (90) days after the end of each fiscal year of the Company, (i) a balance sheet as of the end of such year, (ii) statements of income and of cash flows for such year, and (iii) a statement of stockholders’ equity as of the end of such year, all prepared in accordance with GAAP (except that such financial statements may not contain all notes thereto that may be required in accordance with GAAP), which financial statements shall be audited and certified by independent public accountants of nationally recognized standing selected by the Company;</w:t>
      </w:r>
    </w:p>
    <w:p>
      <w:pPr>
        <w:spacing w:after="0" w:line="81" w:lineRule="exact"/>
        <w:rPr>
          <w:rFonts w:ascii="Times New Roman" w:cs="Times New Roman" w:eastAsia="Times New Roman" w:hAnsi="Times New Roman"/>
          <w:sz w:val="18"/>
          <w:szCs w:val="18"/>
          <w:color w:val="auto"/>
        </w:rPr>
      </w:pPr>
    </w:p>
    <w:p>
      <w:pPr>
        <w:jc w:val="both"/>
        <w:ind w:right="140" w:firstLine="1400"/>
        <w:spacing w:after="0" w:line="251" w:lineRule="auto"/>
        <w:tabs>
          <w:tab w:leader="none" w:pos="164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thirty (30) days after the end of each quarter of each fiscal year of the Company,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79" w:lineRule="exact"/>
        <w:rPr>
          <w:rFonts w:ascii="Times New Roman" w:cs="Times New Roman" w:eastAsia="Times New Roman" w:hAnsi="Times New Roman"/>
          <w:sz w:val="18"/>
          <w:szCs w:val="18"/>
          <w:color w:val="auto"/>
        </w:rPr>
      </w:pPr>
    </w:p>
    <w:p>
      <w:pPr>
        <w:ind w:right="40" w:firstLine="1400"/>
        <w:spacing w:after="0" w:line="267" w:lineRule="auto"/>
        <w:tabs>
          <w:tab w:leader="none" w:pos="1631"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thirty (30) days after the end of each quarter of each fiscal year of the Company, a detailed capitalization table of the Company as of the end of such fiscal quarter; and</w:t>
      </w:r>
    </w:p>
    <w:p>
      <w:pPr>
        <w:spacing w:after="0" w:line="64" w:lineRule="exact"/>
        <w:rPr>
          <w:rFonts w:ascii="Times New Roman" w:cs="Times New Roman" w:eastAsia="Times New Roman" w:hAnsi="Times New Roman"/>
          <w:sz w:val="18"/>
          <w:szCs w:val="18"/>
          <w:color w:val="auto"/>
        </w:rPr>
      </w:pPr>
    </w:p>
    <w:p>
      <w:pPr>
        <w:ind w:right="120" w:firstLine="1400"/>
        <w:spacing w:after="0" w:line="285" w:lineRule="auto"/>
        <w:tabs>
          <w:tab w:leader="none" w:pos="1640" w:val="left"/>
        </w:tabs>
        <w:numPr>
          <w:ilvl w:val="1"/>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such other information relating to the financial condition, business, prospects or corporate affairs of the Company as any Major Investor may from time to time reasonably request, provided that the Company shall not be obligated under this </w:t>
      </w:r>
      <w:r>
        <w:rPr>
          <w:rFonts w:ascii="Times New Roman" w:cs="Times New Roman" w:eastAsia="Times New Roman" w:hAnsi="Times New Roman"/>
          <w:sz w:val="16"/>
          <w:szCs w:val="16"/>
          <w:u w:val="single" w:color="auto"/>
          <w:color w:val="auto"/>
        </w:rPr>
        <w:t>Section 3.1(c)</w:t>
      </w:r>
      <w:r>
        <w:rPr>
          <w:rFonts w:ascii="Times New Roman" w:cs="Times New Roman" w:eastAsia="Times New Roman" w:hAnsi="Times New Roman"/>
          <w:sz w:val="16"/>
          <w:szCs w:val="16"/>
          <w:color w:val="auto"/>
        </w:rPr>
        <w:t xml:space="preserve"> to provide information</w:t>
      </w:r>
    </w:p>
    <w:p>
      <w:pPr>
        <w:spacing w:after="0" w:line="1" w:lineRule="exact"/>
        <w:rPr>
          <w:rFonts w:ascii="Times New Roman" w:cs="Times New Roman" w:eastAsia="Times New Roman" w:hAnsi="Times New Roman"/>
          <w:sz w:val="16"/>
          <w:szCs w:val="16"/>
          <w:color w:val="auto"/>
        </w:rPr>
      </w:pPr>
    </w:p>
    <w:p>
      <w:pPr>
        <w:ind w:right="220" w:firstLine="8"/>
        <w:spacing w:after="0" w:line="245" w:lineRule="auto"/>
        <w:tabs>
          <w:tab w:leader="none" w:pos="20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reasonably determines in good faith to be a trade secret or confidential information (unless covered by an enforceable confidentiality agreement, in a form reasonably acceptable to the Company); or (ii) the disclosure of which would adversely affect the attorney-client privilege between the Company and its counsel.</w:t>
      </w:r>
    </w:p>
    <w:p>
      <w:pPr>
        <w:spacing w:after="0" w:line="188" w:lineRule="exact"/>
        <w:rPr>
          <w:sz w:val="20"/>
          <w:szCs w:val="20"/>
          <w:color w:val="auto"/>
        </w:rPr>
      </w:pPr>
    </w:p>
    <w:p>
      <w:pPr>
        <w:jc w:val="both"/>
        <w:ind w:firstLine="428"/>
        <w:spacing w:after="0" w:line="255" w:lineRule="auto"/>
        <w:rPr>
          <w:sz w:val="20"/>
          <w:szCs w:val="20"/>
          <w:color w:val="auto"/>
        </w:rPr>
      </w:pPr>
      <w:r>
        <w:rPr>
          <w:rFonts w:ascii="Times New Roman" w:cs="Times New Roman" w:eastAsia="Times New Roman" w:hAnsi="Times New Roman"/>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 xml:space="preserve">Notwithstanding anything else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to the contrary, the Company may cease providing the information set forth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Company’s covenants under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be reinstated at such time as the Company is no longer actively employing its commercially reasonable efforts to cause such registration statement to become effective.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680"/>
          </w:cols>
          <w:pgMar w:left="580" w:top="265" w:right="639" w:bottom="1440" w:gutter="0" w:footer="0" w:header="0"/>
        </w:sectPr>
      </w:pPr>
    </w:p>
    <w:bookmarkStart w:id="408" w:name="page409"/>
    <w:bookmarkEnd w:id="408"/>
    <w:p>
      <w:pPr>
        <w:ind w:right="6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The Company shall promptly and accurately respond, and shall use its commercially reasonable efforts to cause its transfer agent to promptly respond, to reasonable requests for information made on behalf of any T. Rowe Price Investor or any Baillie Gifford Investor relating to (i) accounting or securities law matters required in connection with its audit or (ii) the actual holdings of the T. Rowe Price Investor or any Baillie Gifford Investor, respectively, including in relation to the total outstanding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to provide any such information that could reasonably result in a violation of applicable law or conflict with a confidentiality obligation of the Company. On or immediately prior to the effectiveness of the IPO, the Company shall provide each T. Rowe Price Investor and each Baillie Gifford Investor written confirmation of its equity holdings in the Company (on an as-converted basis).</w:t>
      </w:r>
    </w:p>
    <w:p>
      <w:pPr>
        <w:spacing w:after="0" w:line="189"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6"/>
          <w:szCs w:val="16"/>
          <w:color w:val="auto"/>
        </w:rPr>
        <w:t>Notwithstanding anything to the contrary contained in this Agreement, the Company and the Baillie Gifford Investors acknowledge and agree that, absent all Required Approvals, the Baillie Gifford Investors shall not request or obtain and Company shall not grant: (i) control (as defined in 31 C.F.R.</w:t>
      </w:r>
    </w:p>
    <w:p>
      <w:pPr>
        <w:spacing w:after="0" w:line="1" w:lineRule="exact"/>
        <w:rPr>
          <w:sz w:val="20"/>
          <w:szCs w:val="20"/>
          <w:color w:val="auto"/>
        </w:rPr>
      </w:pPr>
    </w:p>
    <w:p>
      <w:pPr>
        <w:ind w:right="100" w:firstLine="8"/>
        <w:spacing w:after="0" w:line="244" w:lineRule="auto"/>
        <w:tabs>
          <w:tab w:leader="none" w:pos="131"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800.208) of the Company; (ii) access to any material nonpublic technical information (as defined in 31 C.F.R. § 800.232) in the possession of the Company (which shall not include financial information about the Company), including access to any information not already in the public domain that is necessary to design, fabricate, develop, test, produce, or manufacture Company products or services, including processes, techniques, or methods; or (iii) any involvement (other than through voting of shares) in substantive decision making of the Company regarding the use, development, acquisition, or release of any of the Company’s critical technologies (as defined in 31 C.F.R. § 800.215).</w:t>
      </w:r>
    </w:p>
    <w:p>
      <w:pPr>
        <w:spacing w:after="0" w:line="85" w:lineRule="exact"/>
        <w:rPr>
          <w:sz w:val="20"/>
          <w:szCs w:val="20"/>
          <w:color w:val="auto"/>
        </w:rPr>
      </w:pPr>
    </w:p>
    <w:p>
      <w:pPr>
        <w:ind w:right="20" w:firstLine="964"/>
        <w:spacing w:after="0" w:line="24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 xml:space="preserve">. The Company shall permit each Major Investor, at such Major Investor’s expense, to visit and inspect the Company’s properties, examine its books of account and records, and discuss the Company’s affairs, finances, and accounts with its officers, during normal business hours of the Company as may be reasonably requested by such Major Investor;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be obligated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to provide access to any information that it reasonably and in good faith considers to be a trade secret or confidential information (unless covered by an enforceable confidentiality agreement, in form reasonably acceptable to the Company) or the disclosure of which would adversely affect the attorney-client privilege between the Company and its counsel.</w:t>
      </w:r>
    </w:p>
    <w:p>
      <w:pPr>
        <w:spacing w:after="0" w:line="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Observer Rights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firstLine="1400"/>
        <w:spacing w:after="0" w:line="288" w:lineRule="auto"/>
        <w:tabs>
          <w:tab w:leader="none" w:pos="1631"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so long as the T. Rowe Price Investors own any shares of Preferred Stock or shares of capital stock issued upon conversion of such Preferred Stock, the Company shall give the T. Rowe Price Investors copies of all notices, minutes, consents and other materials that it provides to its directors at the same time and in the same manner as provided to such directors;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all information so provided shall be subject to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that the Company reserves the right to withhold any information if access to such information could adversely affect the attorney-client privilege between the Company and its counsel or would result in disclosure of trade secrets to the T. Rowe Price Investors.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20"/>
          </w:cols>
          <w:pgMar w:left="580" w:top="265" w:right="599" w:bottom="1440" w:gutter="0" w:footer="0" w:header="0"/>
        </w:sectPr>
      </w:pPr>
    </w:p>
    <w:bookmarkStart w:id="409" w:name="page410"/>
    <w:bookmarkEnd w:id="409"/>
    <w:p>
      <w:pPr>
        <w:ind w:right="80" w:firstLine="1400"/>
        <w:spacing w:after="0" w:line="248" w:lineRule="auto"/>
        <w:tabs>
          <w:tab w:leader="none" w:pos="16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For so long as a Neuberger Investor satisfies the Neuberger Rights Threshold but ceasing when the Company engages legal counsel to prepare a registration statement on Form S-1 for its IPO, the Company shall give such Neuberger Investor copies of all notices, minutes, consents and other materials that it provides to its directors at the same time and in the same manner as provided to such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all information so provided shall be subject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the Company reserves the right to withhold any information if access to such information could adversely affect the attorney-client privilege between the Company and its counsel or would result in disclosure of trade secrets to such Neuberger Investor.</w:t>
      </w:r>
    </w:p>
    <w:p>
      <w:pPr>
        <w:spacing w:after="0" w:line="82" w:lineRule="exact"/>
        <w:rPr>
          <w:sz w:val="20"/>
          <w:szCs w:val="20"/>
          <w:color w:val="auto"/>
        </w:rPr>
      </w:pPr>
    </w:p>
    <w:p>
      <w:pPr>
        <w:ind w:firstLine="964"/>
        <w:spacing w:after="0" w:line="24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Termination of Information Rights</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shall terminate and be of no further force or effect (a) immediately before the consummation of the IPO, (b) when the Company first becomes subject to the periodic reporting requirements of Section 12(g) or 15(d) of the Exchange Act or (c) upon a Deemed Liquidation Event, as such term is defined in the Certificate, whichever event occurs first;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only terminate if the consideration received by the Investors in such Deemed Liquidation Event is in the form of cash and/or publicly traded securities unless the Investors receive financial information from the acquiring company or other successor to the Company comparable to those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firstLine="964"/>
        <w:spacing w:after="0" w:line="277" w:lineRule="auto"/>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 (iii) to any Affiliate, partner, partner of a partner, member, director, officer stockholder, or wholly owned subsidiary of such Investor in the ordinary course of business, provided that such Investor informs such Person that such information is confidential and directs such Person to maintain the confidentiality of such information; or (iv) as may otherwise be required by law, court order or an applicable governmental or regulatory body, provided that the Investor promptly notifies the Company of such disclosure and takes reasonable steps to minimize the extent of any such required disclosure. Notwithstanding the foregoing, a T. Rowe Price Investor, a Baillie Gifford Investor or a Neuberger Investor may identify the Company and the value of such T. Rowe Price Investor’s, Baillie Gifford Investor’s or Neuberger Investor’s security holdings in the Company in accordance with applicable investment reporting and disclosure regulations or internal policies and respond to examinations, demands, requests or reporting requirements of a regulatory authority without prior notice to or consent from the Company.</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00"/>
          </w:cols>
          <w:pgMar w:left="580" w:top="265" w:right="619" w:bottom="1440" w:gutter="0" w:footer="0" w:header="0"/>
        </w:sectPr>
      </w:pPr>
    </w:p>
    <w:bookmarkStart w:id="410" w:name="page411"/>
    <w:bookmarkEnd w:id="410"/>
    <w:p>
      <w:pPr>
        <w:ind w:firstLine="428"/>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Company understands and acknowledges that in the regular course of a T. Rowe Price Investor’s and a Baillie Gifford Investor’s such T. Rowe Price Investor or Baillie Gifford Investor may invest in companies that have issued securities that are publicly traded (each, a “</w:t>
      </w:r>
      <w:r>
        <w:rPr>
          <w:rFonts w:ascii="Times New Roman" w:cs="Times New Roman" w:eastAsia="Times New Roman" w:hAnsi="Times New Roman"/>
          <w:sz w:val="18"/>
          <w:szCs w:val="18"/>
          <w:b w:val="1"/>
          <w:bCs w:val="1"/>
          <w:i w:val="1"/>
          <w:iCs w:val="1"/>
          <w:color w:val="auto"/>
        </w:rPr>
        <w:t>Public Company</w:t>
      </w:r>
      <w:r>
        <w:rPr>
          <w:rFonts w:ascii="Times New Roman" w:cs="Times New Roman" w:eastAsia="Times New Roman" w:hAnsi="Times New Roman"/>
          <w:sz w:val="18"/>
          <w:szCs w:val="18"/>
          <w:color w:val="auto"/>
        </w:rPr>
        <w:t>”). Accordingly, the Company covenants and agrees that before providing material non- public information about a Public Company (“</w:t>
      </w:r>
      <w:r>
        <w:rPr>
          <w:rFonts w:ascii="Times New Roman" w:cs="Times New Roman" w:eastAsia="Times New Roman" w:hAnsi="Times New Roman"/>
          <w:sz w:val="18"/>
          <w:szCs w:val="18"/>
          <w:b w:val="1"/>
          <w:bCs w:val="1"/>
          <w:i w:val="1"/>
          <w:iCs w:val="1"/>
          <w:color w:val="auto"/>
        </w:rPr>
        <w:t>Public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 to a T. Rowe Price Investor or a Baillie Gifford Investor, the Company will use commercially reasonable efforts to provide prior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notice to the following compliance personnel at such T. Rowe Price Investor or such Baillie Gifford Investor, respectively, describing such information in reasonable detail:</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For a T. Rowe Price Investor</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For a Baillie Gifford Investor</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To the address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13" w:lineRule="exact"/>
        <w:rPr>
          <w:sz w:val="20"/>
          <w:szCs w:val="20"/>
          <w:color w:val="auto"/>
        </w:rPr>
      </w:pPr>
    </w:p>
    <w:p>
      <w:pPr>
        <w:ind w:right="280" w:firstLine="428"/>
        <w:spacing w:after="0" w:line="251" w:lineRule="auto"/>
        <w:rPr>
          <w:sz w:val="20"/>
          <w:szCs w:val="20"/>
          <w:color w:val="auto"/>
        </w:rPr>
      </w:pPr>
      <w:r>
        <w:rPr>
          <w:rFonts w:ascii="Times New Roman" w:cs="Times New Roman" w:eastAsia="Times New Roman" w:hAnsi="Times New Roman"/>
          <w:sz w:val="18"/>
          <w:szCs w:val="18"/>
          <w:color w:val="auto"/>
        </w:rPr>
        <w:t xml:space="preserve">The Company shall not disclose Public Company Information to any T. Rowe Price Investor or Baillie Gifford Investor without written authorization from the applicable compliance personnel listed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be permitted to disclose agreements entered into with Public Companies in the ordinary course of business, such as routine customer, supplier, advertising and publishing agreements without such written authorization.</w:t>
      </w:r>
    </w:p>
    <w:p>
      <w:pPr>
        <w:spacing w:after="0" w:line="79" w:lineRule="exact"/>
        <w:rPr>
          <w:sz w:val="20"/>
          <w:szCs w:val="20"/>
          <w:color w:val="auto"/>
        </w:rPr>
      </w:pPr>
    </w:p>
    <w:p>
      <w:pPr>
        <w:ind w:left="620" w:hanging="184"/>
        <w:spacing w:after="0"/>
        <w:tabs>
          <w:tab w:leader="none" w:pos="62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to Future Stock Issuances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60" w:firstLine="964"/>
        <w:spacing w:after="0" w:line="249"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Right of First Offer</w:t>
      </w:r>
      <w:r>
        <w:rPr>
          <w:rFonts w:ascii="Times New Roman" w:cs="Times New Roman" w:eastAsia="Times New Roman" w:hAnsi="Times New Roman"/>
          <w:sz w:val="18"/>
          <w:szCs w:val="18"/>
          <w:color w:val="auto"/>
        </w:rPr>
        <w:t xml:space="preserve">. Subject to the terms and conditions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applicable securities laws, if the Company proposes to offer or sell any New Securities, the Company shall first offer such New Securities to each Major Investor. Each Major Investor shall be entitled to apportion among itself and its Affiliates the right of first offer hereby granted to it in such proportions as it deems appropriate;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parties acknowledge and agree that each of Blue Media, LLC, Gray Media, LLC and Keeks, LLC have assigned a portion of their respective rights of first offer hereunder to Novo in accordance with and subject to the terms of Section 4(a) of the Novo Side Letter.</w:t>
      </w:r>
    </w:p>
    <w:p>
      <w:pPr>
        <w:spacing w:after="0" w:line="78" w:lineRule="exact"/>
        <w:rPr>
          <w:sz w:val="20"/>
          <w:szCs w:val="20"/>
          <w:color w:val="auto"/>
        </w:rPr>
      </w:pPr>
    </w:p>
    <w:p>
      <w:pPr>
        <w:ind w:right="160" w:firstLine="1400"/>
        <w:spacing w:after="0" w:line="258" w:lineRule="auto"/>
        <w:tabs>
          <w:tab w:leader="none" w:pos="1631"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(the “</w:t>
      </w:r>
      <w:r>
        <w:rPr>
          <w:rFonts w:ascii="Times New Roman" w:cs="Times New Roman" w:eastAsia="Times New Roman" w:hAnsi="Times New Roman"/>
          <w:sz w:val="18"/>
          <w:szCs w:val="18"/>
          <w:b w:val="1"/>
          <w:bCs w:val="1"/>
          <w:i w:val="1"/>
          <w:iCs w:val="1"/>
          <w:color w:val="auto"/>
        </w:rPr>
        <w:t>Offer Notice</w:t>
      </w:r>
      <w:r>
        <w:rPr>
          <w:rFonts w:ascii="Times New Roman" w:cs="Times New Roman" w:eastAsia="Times New Roman" w:hAnsi="Times New Roman"/>
          <w:sz w:val="18"/>
          <w:szCs w:val="18"/>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71" w:lineRule="exact"/>
        <w:rPr>
          <w:rFonts w:ascii="Times New Roman" w:cs="Times New Roman" w:eastAsia="Times New Roman" w:hAnsi="Times New Roman"/>
          <w:sz w:val="18"/>
          <w:szCs w:val="18"/>
          <w:color w:val="auto"/>
        </w:rPr>
      </w:pPr>
    </w:p>
    <w:p>
      <w:pPr>
        <w:ind w:right="120" w:firstLine="1400"/>
        <w:spacing w:after="0" w:line="248" w:lineRule="auto"/>
        <w:tabs>
          <w:tab w:leader="none" w:pos="16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shares of Common Stock (assuming the conversion, exercise and exchange of all Derivative Securities then held by such Major Investor) then held by such Major Investor bears to the total Common Stock of the Company then outstanding (assuming full conversion, exercise and/or exchange, as applicable, of all Preferred Stock and other Derivative Securities then outstanding) (“</w:t>
      </w:r>
      <w:r>
        <w:rPr>
          <w:rFonts w:ascii="Times New Roman" w:cs="Times New Roman" w:eastAsia="Times New Roman" w:hAnsi="Times New Roman"/>
          <w:sz w:val="18"/>
          <w:szCs w:val="18"/>
          <w:b w:val="1"/>
          <w:bCs w:val="1"/>
          <w:i w:val="1"/>
          <w:iCs w:val="1"/>
          <w:color w:val="auto"/>
        </w:rPr>
        <w:t>Pro Rata Portion</w:t>
      </w:r>
      <w:r>
        <w:rPr>
          <w:rFonts w:ascii="Times New Roman" w:cs="Times New Roman" w:eastAsia="Times New Roman" w:hAnsi="Times New Roman"/>
          <w:sz w:val="18"/>
          <w:szCs w:val="18"/>
          <w:color w:val="auto"/>
        </w:rPr>
        <w:t>”). At the expiration of such twenty (20) day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20"/>
          </w:cols>
          <w:pgMar w:left="580" w:top="265" w:right="599" w:bottom="1440" w:gutter="0" w:footer="0" w:header="0"/>
        </w:sectPr>
      </w:pPr>
    </w:p>
    <w:bookmarkStart w:id="411" w:name="page412"/>
    <w:bookmarkEnd w:id="411"/>
    <w:p>
      <w:pPr>
        <w:ind w:right="60"/>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period, the Company shall promptly notify each Major Investor that elects to purchase or acquire all the shares available to it (each, a “</w:t>
      </w:r>
      <w:r>
        <w:rPr>
          <w:rFonts w:ascii="Times New Roman" w:cs="Times New Roman" w:eastAsia="Times New Roman" w:hAnsi="Times New Roman"/>
          <w:sz w:val="18"/>
          <w:szCs w:val="18"/>
          <w:b w:val="1"/>
          <w:bCs w:val="1"/>
          <w:i w:val="1"/>
          <w:iCs w:val="1"/>
          <w:color w:val="auto"/>
        </w:rPr>
        <w:t>Fully Exercising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of any other Major Investor’s failure to do likewise. During the ten (10) day period commencing after the Company has given such notice,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shall occur on or before the later of one hundred twenty (120) days after the date that the Offer Notice is given and the date of initial sale of New Securities pursuant to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ind w:firstLine="1400"/>
        <w:spacing w:after="0" w:line="285" w:lineRule="auto"/>
        <w:tabs>
          <w:tab w:leader="none" w:pos="1631" w:val="left"/>
        </w:tabs>
        <w:numPr>
          <w:ilvl w:val="0"/>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all New Securities referred to in the Offer Notice are not elected to be purchased or acquired as provided in </w:t>
      </w:r>
      <w:r>
        <w:rPr>
          <w:rFonts w:ascii="Times New Roman" w:cs="Times New Roman" w:eastAsia="Times New Roman" w:hAnsi="Times New Roman"/>
          <w:sz w:val="16"/>
          <w:szCs w:val="16"/>
          <w:u w:val="single" w:color="auto"/>
          <w:color w:val="auto"/>
        </w:rPr>
        <w:t>Section 4.1(b)</w:t>
      </w:r>
      <w:r>
        <w:rPr>
          <w:rFonts w:ascii="Times New Roman" w:cs="Times New Roman" w:eastAsia="Times New Roman" w:hAnsi="Times New Roman"/>
          <w:sz w:val="16"/>
          <w:szCs w:val="16"/>
          <w:color w:val="auto"/>
        </w:rPr>
        <w:t xml:space="preserve">, the Company may, during the ninety (90) day period following the expiration of the thirty (30) day period provided in </w:t>
      </w:r>
      <w:r>
        <w:rPr>
          <w:rFonts w:ascii="Times New Roman" w:cs="Times New Roman" w:eastAsia="Times New Roman" w:hAnsi="Times New Roman"/>
          <w:sz w:val="16"/>
          <w:szCs w:val="16"/>
          <w:u w:val="single" w:color="auto"/>
          <w:color w:val="auto"/>
        </w:rPr>
        <w:t>Section 4.1(b)</w:t>
      </w:r>
      <w:r>
        <w:rPr>
          <w:rFonts w:ascii="Times New Roman" w:cs="Times New Roman" w:eastAsia="Times New Roman" w:hAnsi="Times New Roman"/>
          <w:sz w:val="16"/>
          <w:szCs w:val="16"/>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Investors and the Common Holders in accordance with this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w:t>
      </w:r>
    </w:p>
    <w:p>
      <w:pPr>
        <w:spacing w:after="0" w:line="54" w:lineRule="exact"/>
        <w:rPr>
          <w:rFonts w:ascii="Times New Roman" w:cs="Times New Roman" w:eastAsia="Times New Roman" w:hAnsi="Times New Roman"/>
          <w:sz w:val="16"/>
          <w:szCs w:val="16"/>
          <w:color w:val="auto"/>
        </w:rPr>
      </w:pPr>
    </w:p>
    <w:p>
      <w:pPr>
        <w:ind w:right="340" w:firstLine="1400"/>
        <w:spacing w:after="0" w:line="255" w:lineRule="auto"/>
        <w:tabs>
          <w:tab w:leader="none" w:pos="16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of first offer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not be applicable to (i) Exempted Securities (as defined in the Certificate), (ii) shares of Common Stock issued in the IPO and (iii) the issuance of shares of Series G-3 Preferred Stock to Additional Purchasers pursuant to Section 1.3 of the Series G-3 Purchase Agreement.</w:t>
      </w:r>
    </w:p>
    <w:p>
      <w:pPr>
        <w:spacing w:after="0" w:line="75" w:lineRule="exact"/>
        <w:rPr>
          <w:sz w:val="20"/>
          <w:szCs w:val="20"/>
          <w:color w:val="auto"/>
        </w:rPr>
      </w:pPr>
    </w:p>
    <w:p>
      <w:pPr>
        <w:ind w:right="20" w:firstLine="964"/>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Certificate, whichever event occurs first.</w:t>
      </w:r>
    </w:p>
    <w:p>
      <w:pPr>
        <w:spacing w:after="0" w:line="75" w:lineRule="exact"/>
        <w:rPr>
          <w:sz w:val="20"/>
          <w:szCs w:val="20"/>
          <w:color w:val="auto"/>
        </w:rPr>
      </w:pPr>
    </w:p>
    <w:p>
      <w:pPr>
        <w:ind w:left="620" w:hanging="184"/>
        <w:spacing w:after="0"/>
        <w:tabs>
          <w:tab w:leader="none" w:pos="62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Covenants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60" w:firstLine="964"/>
        <w:spacing w:after="0" w:line="281"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Employee Agreements</w:t>
      </w:r>
      <w:r>
        <w:rPr>
          <w:rFonts w:ascii="Times New Roman" w:cs="Times New Roman" w:eastAsia="Times New Roman" w:hAnsi="Times New Roman"/>
          <w:sz w:val="16"/>
          <w:szCs w:val="16"/>
          <w:color w:val="auto"/>
        </w:rPr>
        <w:t>. The Company will cause each Person now or hereafter employed by it or by any subsidiary (or engaged by the Company or any subsidiary as a consultant/independent contractor) to enter into a nondisclosure and proprietary rights assignment agreement, which will provide that such person (i) except as limited by applicable law, is either an at-will employee or a consultant of the Company, as the case may be,</w:t>
      </w:r>
    </w:p>
    <w:p>
      <w:pPr>
        <w:spacing w:after="0" w:line="2" w:lineRule="exact"/>
        <w:rPr>
          <w:sz w:val="20"/>
          <w:szCs w:val="20"/>
          <w:color w:val="auto"/>
        </w:rPr>
      </w:pPr>
    </w:p>
    <w:p>
      <w:pPr>
        <w:jc w:val="both"/>
        <w:ind w:right="20" w:firstLine="8"/>
        <w:spacing w:after="0" w:line="244" w:lineRule="auto"/>
        <w:tabs>
          <w:tab w:leader="none" w:pos="258"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maintain all proprietary information of the Company in confidence, (iii) will assign to the Company all inventions created by such person as an employee or consultant during the term of such person’s employment with or service to the Company, and (iv) will not disclose any information related to the Company’s workforce and will not solicit any employees from the Company for a period of twelve months should such person’s employment with or service to the Company be terminated for any reason.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720"/>
          </w:cols>
          <w:pgMar w:left="580" w:top="261" w:right="599" w:bottom="1440" w:gutter="0" w:footer="0" w:header="0"/>
        </w:sectPr>
      </w:pPr>
    </w:p>
    <w:bookmarkStart w:id="412" w:name="page413"/>
    <w:bookmarkEnd w:id="412"/>
    <w:p>
      <w:pPr>
        <w:ind w:right="80" w:firstLine="964"/>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Employee Stock</w:t>
      </w:r>
      <w:r>
        <w:rPr>
          <w:rFonts w:ascii="Times New Roman" w:cs="Times New Roman" w:eastAsia="Times New Roman" w:hAnsi="Times New Roman"/>
          <w:sz w:val="18"/>
          <w:szCs w:val="18"/>
          <w:color w:val="auto"/>
        </w:rPr>
        <w:t xml:space="preserve">. All grants of options to purchase capital stock, awards of shares of capital stock and grants of other equity incentive awards to the employees and consultants of the Company after the date hereof shall be approved by the Board of Directors. Unless otherwise approved by the Board of Directors, all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 six (36) months, and (ii) a market stand-off provision substantially similar to that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In addition, unless otherwise approved by the Board of Directors, the Company shall retain a “right of first refusal” on employee transfers until the consummation of the IPO and shall have the right to repurchase unvested shares at cost upon termination of employment of a holder of restricted stock.</w:t>
      </w:r>
    </w:p>
    <w:p>
      <w:pPr>
        <w:spacing w:after="0" w:line="86" w:lineRule="exact"/>
        <w:rPr>
          <w:sz w:val="20"/>
          <w:szCs w:val="20"/>
          <w:color w:val="auto"/>
        </w:rPr>
      </w:pPr>
    </w:p>
    <w:p>
      <w:pPr>
        <w:ind w:right="180" w:firstLine="964"/>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Board Matters</w:t>
      </w:r>
      <w:r>
        <w:rPr>
          <w:rFonts w:ascii="Times New Roman" w:cs="Times New Roman" w:eastAsia="Times New Roman" w:hAnsi="Times New Roman"/>
          <w:sz w:val="18"/>
          <w:szCs w:val="18"/>
          <w:color w:val="auto"/>
        </w:rPr>
        <w:t>. Unless otherwise determined by the vote of a majority of the non-employee directors then in office, the Board of Directors shall meet at least quarterly in accordance with an agreed-upon schedule. The Company shall reimburse all non-employee directors for their actual and reasonable out-of-pocket travel and other expenses incurred in attending meetings of the Board or any committee thereof.</w:t>
      </w:r>
    </w:p>
    <w:p>
      <w:pPr>
        <w:spacing w:after="0" w:line="75" w:lineRule="exact"/>
        <w:rPr>
          <w:sz w:val="20"/>
          <w:szCs w:val="20"/>
          <w:color w:val="auto"/>
        </w:rPr>
      </w:pPr>
    </w:p>
    <w:p>
      <w:pPr>
        <w:ind w:firstLine="964"/>
        <w:spacing w:after="0" w:line="249"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Successor Indemnification</w:t>
      </w:r>
      <w:r>
        <w:rPr>
          <w:rFonts w:ascii="Times New Roman" w:cs="Times New Roman" w:eastAsia="Times New Roman" w:hAnsi="Times New Roman"/>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or elsewhere, as the case may be.</w:t>
      </w:r>
    </w:p>
    <w:p>
      <w:pPr>
        <w:spacing w:after="0" w:line="82" w:lineRule="exact"/>
        <w:rPr>
          <w:sz w:val="20"/>
          <w:szCs w:val="20"/>
          <w:color w:val="auto"/>
        </w:rPr>
      </w:pPr>
    </w:p>
    <w:p>
      <w:pPr>
        <w:ind w:right="20" w:firstLine="964"/>
        <w:spacing w:after="0" w:line="24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Indemnification Matters</w:t>
      </w:r>
      <w:r>
        <w:rPr>
          <w:rFonts w:ascii="Times New Roman" w:cs="Times New Roman" w:eastAsia="Times New Roman" w:hAnsi="Times New Roman"/>
          <w:sz w:val="18"/>
          <w:szCs w:val="18"/>
          <w:color w:val="auto"/>
        </w:rPr>
        <w:t>. The Company hereby acknowledges that one (1) or more of the directors nominated to serve on the Board of Directors by the Investors (each a “</w:t>
      </w:r>
      <w:r>
        <w:rPr>
          <w:rFonts w:ascii="Times New Roman" w:cs="Times New Roman" w:eastAsia="Times New Roman" w:hAnsi="Times New Roman"/>
          <w:sz w:val="18"/>
          <w:szCs w:val="18"/>
          <w:b w:val="1"/>
          <w:bCs w:val="1"/>
          <w:i w:val="1"/>
          <w:iCs w:val="1"/>
          <w:color w:val="auto"/>
        </w:rPr>
        <w:t>Fund Director</w:t>
      </w:r>
      <w:r>
        <w:rPr>
          <w:rFonts w:ascii="Times New Roman" w:cs="Times New Roman" w:eastAsia="Times New Roman" w:hAnsi="Times New Roman"/>
          <w:sz w:val="18"/>
          <w:szCs w:val="18"/>
          <w:color w:val="auto"/>
        </w:rPr>
        <w:t>”) may have certain rights to indemnification, advancement of expenses and/or insurance provided by one or more of the Investors and certain of their affiliates (collectively, the “</w:t>
      </w:r>
      <w:r>
        <w:rPr>
          <w:rFonts w:ascii="Times New Roman" w:cs="Times New Roman" w:eastAsia="Times New Roman" w:hAnsi="Times New Roman"/>
          <w:sz w:val="18"/>
          <w:szCs w:val="18"/>
          <w:b w:val="1"/>
          <w:bCs w:val="1"/>
          <w:i w:val="1"/>
          <w:iCs w:val="1"/>
          <w:color w:val="auto"/>
        </w:rPr>
        <w:t>Fund Indemnitors</w:t>
      </w:r>
      <w:r>
        <w:rPr>
          <w:rFonts w:ascii="Times New Roman" w:cs="Times New Roman" w:eastAsia="Times New Roman" w:hAnsi="Times New Roman"/>
          <w:sz w:val="18"/>
          <w:szCs w:val="18"/>
          <w:color w:val="auto"/>
        </w:rPr>
        <w:t>”). The Company hereby agrees (a) that it is the indemnitor of first resort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Certificate of Incorporation or Bylaws of the Company (or any agreement between the Company and such Fund Director), without regard to any rights such Fund Director may have against the Fund Indemnitors,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680"/>
          </w:cols>
          <w:pgMar w:left="580" w:top="265" w:right="639" w:bottom="1440" w:gutter="0" w:footer="0" w:header="0"/>
        </w:sectPr>
      </w:pPr>
    </w:p>
    <w:bookmarkStart w:id="413" w:name="page414"/>
    <w:bookmarkEnd w:id="413"/>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82" w:lineRule="exact"/>
        <w:rPr>
          <w:sz w:val="20"/>
          <w:szCs w:val="20"/>
          <w:color w:val="auto"/>
        </w:rPr>
      </w:pPr>
    </w:p>
    <w:p>
      <w:pPr>
        <w:ind w:right="40" w:firstLine="964"/>
        <w:spacing w:after="0" w:line="279"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Right to Conduct Activities</w:t>
      </w:r>
      <w:r>
        <w:rPr>
          <w:rFonts w:ascii="Times New Roman" w:cs="Times New Roman" w:eastAsia="Times New Roman" w:hAnsi="Times New Roman"/>
          <w:sz w:val="16"/>
          <w:szCs w:val="16"/>
          <w:color w:val="auto"/>
        </w:rPr>
        <w:t xml:space="preserve">. The Company hereby agrees and acknowledges that Lightbank, NEA, Revolution, the T. Rowe Price Investors, the Baillie Gifford Investors, the Neuberger Investors and Google LLC invest in numerous companies, some of which may be deemed competitive with the Company’s business (as currently conducted or as currently propose to be conducted). The Company hereby agrees that, to the extent permitted under applicable law, Lightbank, NEA, Revolution, the T. Rowe Price Investors, the Baillie Gifford Investors, the Neuberger Investors and Google LLC shall not be liable to the Company for any claim arising out of, or based upon, (i) the investment or acquisition by Lightbank, NEA, Revolution, the T. Rowe Price Investors, the Baillie Gifford Investors, the Neuberger Investors, Google LLC or any of their respective Affiliates, in any entity competitive with the Company, or (ii) actions taken by any director, officer, stockholder or other representative of Lightbank, NEA, Revolution, the T. Rowe Price Investors, the Baillie Gifford Investors, the Neuberger Investors and Google LLC or any of their respective Affiliates,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273" w:lineRule="exact"/>
        <w:rPr>
          <w:sz w:val="20"/>
          <w:szCs w:val="20"/>
          <w:color w:val="auto"/>
        </w:rPr>
      </w:pPr>
    </w:p>
    <w:p>
      <w:pPr>
        <w:ind w:right="20" w:firstLine="964"/>
        <w:spacing w:after="0" w:line="247"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shall use its commercially reasonable efforts to maintain Directors and Officers liability insurance from a financially sound and reputable insurer in an amount and on terms and conditions satisfactory to the Board of Directors, until such time as the Board of Directors determines that such insurance should be discontinued. In addition, in the event that the Board of Directors determines that the Company should obtain term “key- person” insurance on Eric Lefkofsky, the Company shall use its commercially reasonable efforts to obtain and maintain such insurance from a financially sound and reputable insurer in an amount and on terms and conditions satisfactory to the Board of Directors, until such time as the Board of Directors, determines that such insurance should be discontinued. The key-person policy shall name the Company as loss payee, and neither policy shall be cancelable by the Company without prior approval by the Board of Directors.</w:t>
      </w:r>
    </w:p>
    <w:p>
      <w:pPr>
        <w:spacing w:after="0" w:line="84" w:lineRule="exact"/>
        <w:rPr>
          <w:sz w:val="20"/>
          <w:szCs w:val="20"/>
          <w:color w:val="auto"/>
        </w:rPr>
      </w:pPr>
    </w:p>
    <w:p>
      <w:pPr>
        <w:ind w:right="20" w:firstLine="964"/>
        <w:spacing w:after="0" w:line="25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FIRPTA Compliance</w:t>
      </w:r>
      <w:r>
        <w:rPr>
          <w:rFonts w:ascii="Times New Roman" w:cs="Times New Roman" w:eastAsia="Times New Roman" w:hAnsi="Times New Roman"/>
          <w:sz w:val="18"/>
          <w:szCs w:val="18"/>
          <w:color w:val="auto"/>
        </w:rPr>
        <w:t>. The Company shall provide prompt notice to NEA following any “determination date” (as defined in Treasury Regulation Section 1.897-2(c)(1)) on which the Company becomes a United States real property holding corporation. In addition, upon a written request by NEA made at reasonable intervals, the Company shall provide NEA with a written statement informing NEA whether NEA’s interest in the Company constitutes a United States real property interest. The Company’s determination shall comply with the requirements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20"/>
          </w:cols>
          <w:pgMar w:left="580" w:top="265" w:right="599" w:bottom="1440" w:gutter="0" w:footer="0" w:header="0"/>
        </w:sectPr>
      </w:pPr>
    </w:p>
    <w:bookmarkStart w:id="414" w:name="page415"/>
    <w:bookmarkEnd w:id="414"/>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Treasury Regulation Section 1.897-2(h)(1) or any successor regulation, and the Company shall provide timely notice to the Internal Revenue Service, in accordance with and to the extent required by Treasury Regulation Section 1.897-2(h)(2) or any successor regulation, that such statement has been made. The Company’s written statement to NEA shall be delivered to NEA within 10 days of NEA’s written request therefor. The Company’s obligation to furnish such written statement shall continue notwithstanding the fact that a class of the Company’s stock may be regularly traded on an established securities market or the fact that there is no preferred stock then outstanding.</w:t>
      </w:r>
    </w:p>
    <w:p>
      <w:pPr>
        <w:spacing w:after="0" w:line="82" w:lineRule="exact"/>
        <w:rPr>
          <w:sz w:val="20"/>
          <w:szCs w:val="20"/>
          <w:color w:val="auto"/>
        </w:rPr>
      </w:pPr>
    </w:p>
    <w:p>
      <w:pPr>
        <w:ind w:right="60" w:firstLine="964"/>
        <w:spacing w:after="0" w:line="248"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Matters Requiring Investor Director Approval</w:t>
      </w:r>
      <w:r>
        <w:rPr>
          <w:rFonts w:ascii="Times New Roman" w:cs="Times New Roman" w:eastAsia="Times New Roman" w:hAnsi="Times New Roman"/>
          <w:sz w:val="18"/>
          <w:szCs w:val="18"/>
          <w:color w:val="auto"/>
        </w:rPr>
        <w:t>. So long as the holders of Series C Preferred Stock are entitled to elect a Series C Director, the Company hereby covenants and agrees with each of the Investors that it shall not, without approval of the Board of Directors, enter into or be a party to any transaction with any director, officer, or Affiliate of the Company or any “associate” (as defined in Rule 12b-2 promulgated under the Exchange Act) of any such Person, except for transactions contemplated by this Agreement, the Purchase Agreement, and transactions entered into in the ordinary course of business pursuant to reasonable requirements of the Company’s business and upon fair and reasonable terms approved by a majority of the disinterested members of the Board of Directors.</w:t>
      </w:r>
    </w:p>
    <w:p>
      <w:pPr>
        <w:spacing w:after="0" w:line="82" w:lineRule="exact"/>
        <w:rPr>
          <w:sz w:val="20"/>
          <w:szCs w:val="20"/>
          <w:color w:val="auto"/>
        </w:rPr>
      </w:pPr>
    </w:p>
    <w:p>
      <w:pPr>
        <w:ind w:right="60" w:firstLine="964"/>
        <w:spacing w:after="0" w:line="251"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Termination of Covenants</w:t>
      </w:r>
      <w:r>
        <w:rPr>
          <w:rFonts w:ascii="Times New Roman" w:cs="Times New Roman" w:eastAsia="Times New Roman" w:hAnsi="Times New Roman"/>
          <w:sz w:val="18"/>
          <w:szCs w:val="18"/>
          <w:color w:val="auto"/>
        </w:rPr>
        <w:t xml:space="preserve">. The covenants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except for </w:t>
      </w:r>
      <w:r>
        <w:rPr>
          <w:rFonts w:ascii="Times New Roman" w:cs="Times New Roman" w:eastAsia="Times New Roman" w:hAnsi="Times New Roman"/>
          <w:sz w:val="18"/>
          <w:szCs w:val="18"/>
          <w:u w:val="single" w:color="auto"/>
          <w:color w:val="auto"/>
        </w:rPr>
        <w:t>Sections 5.4</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5.8</w:t>
      </w:r>
      <w:r>
        <w:rPr>
          <w:rFonts w:ascii="Times New Roman" w:cs="Times New Roman" w:eastAsia="Times New Roman" w:hAnsi="Times New Roman"/>
          <w:sz w:val="18"/>
          <w:szCs w:val="18"/>
          <w:color w:val="auto"/>
        </w:rPr>
        <w:t>,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Certificate, whichever event occurs first.</w:t>
      </w:r>
    </w:p>
    <w:p>
      <w:pPr>
        <w:spacing w:after="0" w:line="79" w:lineRule="exact"/>
        <w:rPr>
          <w:sz w:val="20"/>
          <w:szCs w:val="20"/>
          <w:color w:val="auto"/>
        </w:rPr>
      </w:pPr>
    </w:p>
    <w:p>
      <w:pPr>
        <w:ind w:left="620" w:hanging="184"/>
        <w:spacing w:after="0"/>
        <w:tabs>
          <w:tab w:leader="none" w:pos="62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40" w:firstLine="964"/>
        <w:spacing w:after="0" w:line="277"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xml:space="preserve">. The rights under this Agreement may be assigned (but only with all related obligations) by a Holder to a transferee of Registrable Securities that (a) is an Affiliate, partner or member of a Holder, (b) is a Holder’s Immediate Family Member or trust for the benefit of an individual Holder or one or more of such Holder’s Immediate Family Members or (c) after such transfer, holds at least 1,000,000 shares of Registrable Securities (subject to appropriate adjustment for stock splits, stock dividends, combinations, and other recapitalizations) or, if less, all of the Registrable Securities held by such Holder;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(x) the Company is, within a reasonable time after such transfer, furnished with written notice of the name and address of such transferee and the Registrable Securities with respect to which such rights are being transferred and</w:t>
      </w:r>
    </w:p>
    <w:p>
      <w:pPr>
        <w:spacing w:after="0" w:line="4" w:lineRule="exact"/>
        <w:rPr>
          <w:sz w:val="20"/>
          <w:szCs w:val="20"/>
          <w:color w:val="auto"/>
        </w:rPr>
      </w:pPr>
    </w:p>
    <w:p>
      <w:pPr>
        <w:ind w:right="100" w:firstLine="8"/>
        <w:spacing w:after="0" w:line="244" w:lineRule="auto"/>
        <w:tabs>
          <w:tab w:leader="none" w:pos="248"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transferee agrees in a written instrument delivered to the Company to be bound by and subject to the terms and conditions of this Agreement, including the provisions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all transferees who would not qualify individually for assignment of rights shall have a single attorney-in-fact for the purpose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680"/>
          </w:cols>
          <w:pgMar w:left="580" w:top="265" w:right="639" w:bottom="1440" w:gutter="0" w:footer="0" w:header="0"/>
        </w:sectPr>
      </w:pPr>
    </w:p>
    <w:bookmarkStart w:id="415" w:name="page416"/>
    <w:bookmarkEnd w:id="415"/>
    <w:p>
      <w:pPr>
        <w:ind w:right="220" w:firstLine="96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w:t>
      </w:r>
    </w:p>
    <w:p>
      <w:pPr>
        <w:spacing w:after="0" w:line="75" w:lineRule="exact"/>
        <w:rPr>
          <w:sz w:val="20"/>
          <w:szCs w:val="20"/>
          <w:color w:val="auto"/>
        </w:rPr>
      </w:pPr>
    </w:p>
    <w:p>
      <w:pPr>
        <w:ind w:firstLine="964"/>
        <w:spacing w:after="0" w:line="25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or other transmission method and any counterpart so delivered shall be deemed to have been duly and validly delivered and be valid and effective for all purposes</w:t>
      </w:r>
      <w:r>
        <w:rPr>
          <w:rFonts w:ascii="Times New Roman" w:cs="Times New Roman" w:eastAsia="Times New Roman" w:hAnsi="Times New Roman"/>
          <w:sz w:val="18"/>
          <w:szCs w:val="18"/>
          <w:b w:val="1"/>
          <w:bCs w:val="1"/>
          <w:color w:val="auto"/>
        </w:rPr>
        <w:t>.</w:t>
      </w:r>
    </w:p>
    <w:p>
      <w:pPr>
        <w:spacing w:after="0" w:line="79" w:lineRule="exact"/>
        <w:rPr>
          <w:sz w:val="20"/>
          <w:szCs w:val="20"/>
          <w:color w:val="auto"/>
        </w:rPr>
      </w:pPr>
    </w:p>
    <w:p>
      <w:pPr>
        <w:ind w:right="40" w:firstLine="964"/>
        <w:spacing w:after="0" w:line="247"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When a reference is made in this Agreement to a Section, Article or Exhibit such reference shall be to a Section, Article or Exhibit of this Agreement unless otherwise indicated. The table of contents and headings contained in this Agreement or in any Exhibit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but not otherwise defined therein shall have the meaning as defined in this Agreement. All Exhibits annexed hereto or referred to herein are hereby incorporated in and made a part of this Agreement as if set forth herein. The word “including” and words of similar import when used in this Agreement will mean “including, without limitation,” unless otherwise specified.</w:t>
      </w:r>
    </w:p>
    <w:p>
      <w:pPr>
        <w:spacing w:after="0" w:line="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Notices; Consent to Electronic Notice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40" w:firstLine="1400"/>
        <w:spacing w:after="0" w:line="280" w:lineRule="auto"/>
        <w:tabs>
          <w:tab w:leader="none" w:pos="1631"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notices and other communications hereunder shall be in writing and shall be deemed effectively given upon the earlier of actual receipt or: (a) personal delivery to the party to be notified; (b) when sent, if sent by electronic mail or facsimile during the recipient’s normal business hours, and if not sent during normal business hours, then on the recipient’s next business day;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 notice by the Company sent by facsimile only shall be deemed effective or delivered to the Baillie Gifford Investors or Google LLC, regardless of confirmation or receipt; (c) five (5) days after having been sent by registered or certified mail, return receipt requested, postage prepaid; or (d)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Times New Roman" w:cs="Times New Roman" w:eastAsia="Times New Roman" w:hAnsi="Times New Roman"/>
          <w:sz w:val="16"/>
          <w:szCs w:val="16"/>
          <w:u w:val="single" w:color="auto"/>
          <w:color w:val="auto"/>
        </w:rPr>
        <w:t>Section 6.5</w:t>
      </w:r>
      <w:r>
        <w:rPr>
          <w:rFonts w:ascii="Times New Roman" w:cs="Times New Roman" w:eastAsia="Times New Roman" w:hAnsi="Times New Roman"/>
          <w:sz w:val="16"/>
          <w:szCs w:val="16"/>
          <w:color w:val="auto"/>
        </w:rPr>
        <w:t>. If notice is given to the Company, a copy (which shall not constitute notice) shall also be sent to Cooley, LLP, 110 North Wacker Drive, 42</w:t>
      </w:r>
      <w:r>
        <w:rPr>
          <w:rFonts w:ascii="Times New Roman" w:cs="Times New Roman" w:eastAsia="Times New Roman" w:hAnsi="Times New Roman"/>
          <w:sz w:val="13"/>
          <w:szCs w:val="13"/>
          <w:color w:val="auto"/>
        </w:rPr>
        <w:t>nd</w:t>
      </w:r>
      <w:r>
        <w:rPr>
          <w:rFonts w:ascii="Times New Roman" w:cs="Times New Roman" w:eastAsia="Times New Roman" w:hAnsi="Times New Roman"/>
          <w:sz w:val="16"/>
          <w:szCs w:val="16"/>
          <w:color w:val="auto"/>
        </w:rPr>
        <w:t xml:space="preserve"> Floor, Chicago, IL 60606, Attn: Richard E. Ginsberg (rginsberg@cooley.com).</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00"/>
          </w:cols>
          <w:pgMar w:left="580" w:top="265" w:right="619" w:bottom="1440" w:gutter="0" w:footer="0" w:header="0"/>
        </w:sectPr>
      </w:pPr>
    </w:p>
    <w:bookmarkStart w:id="416" w:name="page417"/>
    <w:bookmarkEnd w:id="416"/>
    <w:p>
      <w:pPr>
        <w:ind w:left="1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 Each Investor consents to the delivery of any stockholder notice pursuant to the Delaware General Corporation Law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DGCL</w:t>
      </w:r>
      <w:r>
        <w:rPr>
          <w:rFonts w:ascii="Times New Roman" w:cs="Times New Roman" w:eastAsia="Times New Roman" w:hAnsi="Times New Roman"/>
          <w:sz w:val="16"/>
          <w:szCs w:val="16"/>
          <w:color w:val="auto"/>
        </w:rPr>
        <w:t>”), as amended or superseded from time to time, by electronic transmission pursuant to Section 232 of the DGCL (or any successor thereto) at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electronic mail address or the facsimile number as on the books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notice by the Company sent by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only shall be deemed effective or delivered to the Baillie Gifford Investors or Google LLC, regardless of confirmation or receipt. Each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agrees to promptly notify the Company of any change in such stockholder’s electronic mail address, and that failure to do so shall not affect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w:t>
      </w:r>
    </w:p>
    <w:p>
      <w:pPr>
        <w:spacing w:after="0" w:line="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firstLine="1400"/>
        <w:spacing w:after="0" w:line="244" w:lineRule="auto"/>
        <w:tabs>
          <w:tab w:leader="none" w:pos="1631"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of this Agreement may be amended, modified or terminated and the observance of any term of this Agreement may be waived (either generally or in a particular instance, and either retroactively or prospectively) only with the written consent of (i) the Company, (ii) the Common Holders and the Investors then holding a majority of the Voting Common Stock and Preferred Stock (voting together as a single class as measured on the basis of voting power set forth in the Restated Certificate), (iii) the Investors then holding a majority of the shares of Series A Preferred Stock, Series B Preferred Stock, Series B-1 Preferred Stock, and Series B-2 Preferred Stock, voting together as a single class as measured on the basis of voting power set forth in this Restated Certificate, if such amendment, modification, termination or waiver would adversely affect the powers, preferences or rights of such series of Preferred Stock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such series of Preferred Stock held by such Investor, or the granting to purchasers of such shares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such series of Preferred Stock held by such holders, shall not be deemed to adversely affect the rights or obligations of such holders), (iv) the Investors then holding at least sixty percent (60%) of the shares of Common Stock issued or issuable upon conversion of the Series C Preferred Stock, voting as a separate class, if such amendment, modification, termination or waiver would adversely affect the rights or obligations of the Investors holding Common Stock issued or issuable upon conversion of the Series C Preferred Stock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the Series C Preferred Stock held by such Investors, or the granting to purchasers of such shares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the Series C Preferred Stock held by such Investors, shall not be deemed to adversely affect the rights or obligations of such Investors), (v) the Investors then holding at least sixty percent (60%) of the shares of Common Stock issued or issuable upon conversion of the Series D Preferred Stock, voting as a separate class, if such amendment, modification, termination or waiver would adversely affect the rights or obligations of the Investors holding Common Stock issued or issuable upon conversion of the Series D Preferred Stock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the Series D Preferred Stock held by such Investors, or the granting to purchasers of such shares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the Series D Preferred Stock held by such Investors, shall not be deemed to adversely affect the rights or obligations of such Investors), (vi) the Investors then holding a majority of the shares of Common Stock issued or issuable upon conversion of the Series E Preferred Stock, voting as a separate class, if such amendment, modification, termination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20"/>
          </w:cols>
          <w:pgMar w:left="580" w:top="265" w:right="59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or waiver would adversely affect the rights or obligations of the Investors holding Common Stock issued or issuable upon conversion of the Series 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Preferred Stock set forth herein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for the avoidance of doubt, the creation, authorization or issuance of any shares of preferred stock 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rights senior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powers, preferences or rights of the Series E Preferred Stock held by such Investors, or the granting to purchasers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of such shares rights senior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powers, preferences or rights of the Series E Preferred Stock held by such Investors, shall not be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deemed to adversely affect the rights or obligations of such Investors), (vii) the Investors then holding a majority of the shares of Common Stock issued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issuable upon conversion of the Series F Preferred Stock, voting as a separate class, if such amendment, modification, termination or waiver would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adversely affect the rights or obligations of the Investors holding Common Stock issued or issuable upon conversion of the Series F Preferred Stock set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forth herein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for the avoidance of doubt, the creation, authorization or issuance of any shares of preferred stock with rights senior to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the powers, preferences or rights of the Series F Preferred Stock held by such Investors, or the granting to purchasers of such shares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the Series F Preferred Stock held by such Investors, shall not be deemed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adversely affect the rights or obligations of such Investors), (viii) the Investors then holding a majority of the shares of Common Stock issued or issuable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upon conversion of the Series G Preferred Stock, voting as a separate class, if such amendment, modification, termination or waiver would adversely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 the rights or obligations of the Investors holding Common Stock issued or issuable upon conversion of the Series G Preferred Stock set forth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passu </w:t>
      </w:r>
      <w:r>
        <w:rPr>
          <w:rFonts w:ascii="Times New Roman" w:cs="Times New Roman" w:eastAsia="Times New Roman" w:hAnsi="Times New Roman"/>
          <w:sz w:val="16"/>
          <w:szCs w:val="16"/>
          <w:color w:val="auto"/>
        </w:rPr>
        <w:t>with the powers, preferences or rights of the Series G Preferred Stock held by such Investors, or the granting to purchasers of such shares rights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senior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powers, preferences or rights of the Series G Preferred Stock held by such Investors, shall not be deemed to adversely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 the rights or obligations of such Investors), (ix) the Investors then holding a majority of the shares of Common Stock issued or issuable upon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conversion of the Series G-2 Preferred Stock, voting as a separate class, if such amendment, modification, termination or waiver would adversely affect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rights or obligations of the Investors holding Common Stock issued or issuable upon conversion of the Series G-2 Preferred Stock set forth herein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powers, preferences or rights of the Series G-2 Preferred Stock held by such Investors, or the granting to purchasers of such shares rights senior to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pari passu </w:t>
      </w:r>
      <w:r>
        <w:rPr>
          <w:rFonts w:ascii="Times New Roman" w:cs="Times New Roman" w:eastAsia="Times New Roman" w:hAnsi="Times New Roman"/>
          <w:sz w:val="16"/>
          <w:szCs w:val="16"/>
          <w:color w:val="auto"/>
        </w:rPr>
        <w:t>with the powers, preferences or rights of the Series G-2 Preferred Stock held by such Investors, shall not be deemed to adversely affect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rights or obligations of such Investors) and (x) the Investors then holding a majority of the shares of Common Stock issued or issuable upon conversion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the Series G-3 Preferred Stock, voting as a separate class, if such amendment, modification, termination or waiver would adversely affect the rights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obligations of the Investors holding Common Stock issued or issuable upon conversion of the Series G-3 Preferred Stock set forth herein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for the avoidance of doubt, the creation, authorization or issuance of any shares of preferred stock with rights senior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powers,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preferences or rights of the Series G-3 Preferred Stock held by such Investors, or the granting to purchasers of such shares rights senior to or </w:t>
      </w:r>
      <w:r>
        <w:rPr>
          <w:rFonts w:ascii="Times New Roman" w:cs="Times New Roman" w:eastAsia="Times New Roman" w:hAnsi="Times New Roman"/>
          <w:sz w:val="16"/>
          <w:szCs w:val="16"/>
          <w:i w:val="1"/>
          <w:iCs w:val="1"/>
          <w:color w:val="auto"/>
        </w:rPr>
        <w:t>pari passu</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powers, preferences or rights of the Series G-3 Preferred Stock held by such Investors, shall not be deemed to adversely affect the rights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obligations of such Investors);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w:t>
      </w:r>
      <w:r>
        <w:rPr>
          <w:rFonts w:ascii="Times New Roman" w:cs="Times New Roman" w:eastAsia="Times New Roman" w:hAnsi="Times New Roman"/>
          <w:sz w:val="16"/>
          <w:szCs w:val="16"/>
          <w:u w:val="single" w:color="auto"/>
          <w:color w:val="auto"/>
        </w:rPr>
        <w:t>Sections 2.11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3.4</w:t>
      </w:r>
      <w:r>
        <w:rPr>
          <w:rFonts w:ascii="Times New Roman" w:cs="Times New Roman" w:eastAsia="Times New Roman" w:hAnsi="Times New Roman"/>
          <w:sz w:val="16"/>
          <w:szCs w:val="16"/>
          <w:color w:val="auto"/>
        </w:rPr>
        <w:t xml:space="preserve"> shall not be modified, supplemented, amended or waived, in whole or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(A) in a manner that adversely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720"/>
          </w:cols>
          <w:pgMar w:left="580" w:top="265" w:right="599" w:bottom="1440" w:gutter="0" w:footer="0" w:header="0"/>
        </w:sectPr>
      </w:pPr>
    </w:p>
    <w:bookmarkStart w:id="418" w:name="page419"/>
    <w:bookmarkEnd w:id="418"/>
    <w:p>
      <w:pPr>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affects the T. Rowe Price Investors, without the prior written consent of the T. Rowe Price Investors holding a majority of the Registable Securities held by all T. Rowe Price Investors or (B) in a manner that adversely affects the Baillie Gifford Investors, without the prior written consent of the Baillie Gifford Investors holding a majority of the Registable Securities held by all Baillie Gifford Investors, (ii)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shall not be modified, supplemented, amended or waived, in whole or in part, in a manner that adversely affects the Neuberger Investors, without the prior written consent of the Neuberger Investors holding a majority of the Registable Securities held by all Neuberger Investors, and (iii) the Company may in its sole discretion waive compliance with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xml:space="preserve"> (and the Company’s failure to object promptly in writing after notification of a proposed assignment allegedly in violation of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xml:space="preserve"> shall be deemed to be a waiver);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provision hereof may be waived by any waiving party on such party’s own behalf, without the consent of any other party. Notwithstanding the foregoing, the provisions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may not be amended, modified, terminated or waived without the written consent of the holders of a majority of the Preferred Stock then outstanding and held by the Major Investors (it being agreed that a waiver of the provisions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with respect to a particular transaction shall be deemed to apply to all Major Investors in the same fashion if such waiver does so by its terms, notwithstanding the fact that certain Major Investors may nonetheless, by agreement with the Company, purchase securities in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proviso in the second sentence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not be modified, supplemented, amended or waived, in whole or in part, without the prior written consent of Novo. Notwithstanding anything to the contrary herein, no amendment or waiver that adversely affects any Investor in a manner disproportionate to any adverse effect such amendment or waiver would have on the rights or obligations of the other Investors holding the same series of Preferred Stock shall be effective against such Investor without such Investor’s prior written consent.</w:t>
      </w:r>
    </w:p>
    <w:p>
      <w:pPr>
        <w:spacing w:after="0" w:line="85" w:lineRule="exact"/>
        <w:rPr>
          <w:sz w:val="20"/>
          <w:szCs w:val="20"/>
          <w:color w:val="auto"/>
        </w:rPr>
      </w:pPr>
    </w:p>
    <w:p>
      <w:pPr>
        <w:ind w:right="60" w:firstLine="1400"/>
        <w:spacing w:after="0" w:line="249" w:lineRule="auto"/>
        <w:tabs>
          <w:tab w:leader="none" w:pos="16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be binding on all parties hereto, regardless of whether any such party has executed such consent or instrument or otherwise consented thereto. No waivers of or exceptions to any term, condition, or provision of this Agreement, in any one or more instances, shall be deemed to be or construed as a further or continuing waiver of any such term, condition, or provision.</w:t>
      </w:r>
    </w:p>
    <w:p>
      <w:pPr>
        <w:spacing w:after="0" w:line="82" w:lineRule="exact"/>
        <w:rPr>
          <w:sz w:val="20"/>
          <w:szCs w:val="20"/>
          <w:color w:val="auto"/>
        </w:rPr>
      </w:pPr>
    </w:p>
    <w:p>
      <w:pPr>
        <w:ind w:right="200" w:firstLine="964"/>
        <w:spacing w:after="0" w:line="251"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79" w:lineRule="exact"/>
        <w:rPr>
          <w:sz w:val="20"/>
          <w:szCs w:val="20"/>
          <w:color w:val="auto"/>
        </w:rPr>
      </w:pPr>
    </w:p>
    <w:p>
      <w:pPr>
        <w:ind w:firstLine="964"/>
        <w:spacing w:after="0" w:line="255"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Aggregation of Stock</w:t>
      </w:r>
      <w:r>
        <w:rPr>
          <w:rFonts w:ascii="Times New Roman" w:cs="Times New Roman" w:eastAsia="Times New Roman" w:hAnsi="Times New Roman"/>
          <w:sz w:val="18"/>
          <w:szCs w:val="18"/>
          <w:color w:val="auto"/>
        </w:rPr>
        <w:t>. All shares of Registrable Securities held or acquired by Affiliates shall be aggregated together for the purpose of determining the availability of any rights under this Agreement and such Affiliates may apportion such rights as among themselves in any manner they deem appropriate.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00"/>
          </w:cols>
          <w:pgMar w:left="580" w:top="265" w:right="619" w:bottom="1440" w:gutter="0" w:footer="0" w:header="0"/>
        </w:sectPr>
      </w:pPr>
    </w:p>
    <w:bookmarkStart w:id="419" w:name="page420"/>
    <w:bookmarkEnd w:id="419"/>
    <w:p>
      <w:pPr>
        <w:ind w:right="180" w:firstLine="96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any Schedules and Exhibits hereto) constitutes the full and entire understanding and agreement among the parties with respect to the subject matter hereof. This Agreement supersedes all prior written agreements, arrangements, communications and understandings, and all prior and contemporaneous oral agreements, arrangements, communications and understandings between the parties with respect to the subject matter hereof, including without limitation, the Prior Agreement.</w:t>
      </w:r>
    </w:p>
    <w:p>
      <w:pPr>
        <w:spacing w:after="0" w:line="79" w:lineRule="exact"/>
        <w:rPr>
          <w:sz w:val="20"/>
          <w:szCs w:val="20"/>
          <w:color w:val="auto"/>
        </w:rPr>
      </w:pPr>
    </w:p>
    <w:p>
      <w:pPr>
        <w:ind w:firstLine="964"/>
        <w:spacing w:after="0" w:line="246"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The parties (a) hereby irrevocably and unconditionally submit to the jurisdiction of the state courts of Delaware and to the jurisdiction of any United States District Court in the state of Delaware for the purpose of any suit, action or other proceeding arising out of or based upon this Agreement, (b) agree not to commence any suit, action or other proceeding arising out of or based upon this Agreement except in the state courts of Delaware or any United States District Court in the state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 The prevailing party shall be entitled to reasonable attorneys’ fees, costs, and necessary disbursements in addition to any other relief to which such party may be entitled.</w:t>
      </w:r>
    </w:p>
    <w:p>
      <w:pPr>
        <w:spacing w:after="0" w:line="86" w:lineRule="exact"/>
        <w:rPr>
          <w:sz w:val="20"/>
          <w:szCs w:val="20"/>
          <w:color w:val="auto"/>
        </w:rPr>
      </w:pPr>
    </w:p>
    <w:p>
      <w:pPr>
        <w:ind w:firstLine="964"/>
        <w:spacing w:after="0" w:line="281" w:lineRule="auto"/>
        <w:rPr>
          <w:sz w:val="20"/>
          <w:szCs w:val="20"/>
          <w:color w:val="auto"/>
        </w:rPr>
      </w:pPr>
      <w:r>
        <w:rPr>
          <w:rFonts w:ascii="Times New Roman" w:cs="Times New Roman" w:eastAsia="Times New Roman" w:hAnsi="Times New Roman"/>
          <w:sz w:val="16"/>
          <w:szCs w:val="16"/>
          <w:color w:val="auto"/>
        </w:rPr>
        <w:t xml:space="preserve">6.11 </w:t>
      </w:r>
      <w:r>
        <w:rPr>
          <w:rFonts w:ascii="Times New Roman" w:cs="Times New Roman" w:eastAsia="Times New Roman" w:hAnsi="Times New Roman"/>
          <w:sz w:val="16"/>
          <w:szCs w:val="16"/>
          <w:u w:val="single" w:color="auto"/>
          <w:color w:val="auto"/>
        </w:rPr>
        <w:t>WAIVER OF JURY TRIAL</w:t>
      </w:r>
      <w:r>
        <w:rPr>
          <w:rFonts w:ascii="Times New Roman" w:cs="Times New Roman" w:eastAsia="Times New Roman" w:hAnsi="Times New Roman"/>
          <w:sz w:val="16"/>
          <w:szCs w:val="16"/>
          <w:color w:val="auto"/>
        </w:rPr>
        <w:t>: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57" w:lineRule="exact"/>
        <w:rPr>
          <w:sz w:val="20"/>
          <w:szCs w:val="20"/>
          <w:color w:val="auto"/>
        </w:rPr>
      </w:pPr>
    </w:p>
    <w:p>
      <w:pPr>
        <w:ind w:right="40" w:firstLine="964"/>
        <w:spacing w:after="0" w:line="249"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720"/>
          </w:cols>
          <w:pgMar w:left="580" w:top="265" w:right="599" w:bottom="1440" w:gutter="0" w:footer="0" w:header="0"/>
        </w:sectPr>
      </w:pPr>
    </w:p>
    <w:bookmarkStart w:id="420" w:name="page421"/>
    <w:bookmarkEnd w:id="420"/>
    <w:p>
      <w:pPr>
        <w:ind w:firstLine="964"/>
        <w:spacing w:after="0" w:line="29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8040" cy="36830"/>
                    </a:xfrm>
                    <a:prstGeom prst="rect">
                      <a:avLst/>
                    </a:prstGeom>
                    <a:noFill/>
                  </pic:spPr>
                </pic:pic>
              </a:graphicData>
            </a:graphic>
          </wp:anchor>
        </w:drawing>
        <w:t xml:space="preserve">6.13 </w:t>
      </w:r>
      <w:r>
        <w:rPr>
          <w:rFonts w:ascii="Times New Roman" w:cs="Times New Roman" w:eastAsia="Times New Roman" w:hAnsi="Times New Roman"/>
          <w:sz w:val="16"/>
          <w:szCs w:val="16"/>
          <w:u w:val="single" w:color="auto"/>
          <w:color w:val="auto"/>
        </w:rPr>
        <w:t>Acknowledgment</w:t>
      </w:r>
      <w:r>
        <w:rPr>
          <w:rFonts w:ascii="Times New Roman" w:cs="Times New Roman" w:eastAsia="Times New Roman" w:hAnsi="Times New Roman"/>
          <w:sz w:val="16"/>
          <w:szCs w:val="16"/>
          <w:color w:val="auto"/>
        </w:rPr>
        <w:t>. The Company acknowledges that the Investors are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w:t>
      </w:r>
    </w:p>
    <w:p>
      <w:pPr>
        <w:spacing w:after="0" w:line="47" w:lineRule="exact"/>
        <w:rPr>
          <w:sz w:val="20"/>
          <w:szCs w:val="20"/>
          <w:color w:val="auto"/>
        </w:rPr>
      </w:pPr>
    </w:p>
    <w:p>
      <w:pPr>
        <w:ind w:right="40" w:firstLine="964"/>
        <w:spacing w:after="0" w:line="248"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Amendment and Restatement of Prior Agreement</w:t>
      </w:r>
      <w:r>
        <w:rPr>
          <w:rFonts w:ascii="Times New Roman" w:cs="Times New Roman" w:eastAsia="Times New Roman" w:hAnsi="Times New Roman"/>
          <w:sz w:val="18"/>
          <w:szCs w:val="18"/>
          <w:color w:val="auto"/>
        </w:rPr>
        <w:t>. The Prior Agreement is hereby amended in its entirety and restated herein. Such amendment and restatement is effective upon the execution of this Agreement by the Company and the holders of a majority of the Registrable Securities (as defined in the Prior Agreement), regardless of whether any other party has executed this Agreement. Upon such execution, all provisions of, rights granted and covenants made in the Prior Agreement are hereby waived, released and superseded in their entirety and shall have no further force or effect, including, without limitation, all rights of first refusal and any notice period associated therewith otherwise applicable to the transactions contemplated by the Series G-3 Purchase Agreement.</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this page intentionally left blank.]</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00"/>
          </w:cols>
          <w:pgMar w:left="580" w:top="265" w:right="619" w:bottom="1440" w:gutter="0" w:footer="0" w:header="0"/>
        </w:sectPr>
      </w:pPr>
    </w:p>
    <w:bookmarkStart w:id="421" w:name="page422"/>
    <w:bookmarkEnd w:id="421"/>
    <w:p>
      <w:pPr>
        <w:ind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executed this Tenth Amended and Restated Investors’ Rights Agreement as of the date first written above.</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Fukushima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Ryan Fukushima</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Chief Operating Officer</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SIGNATURE PAGE TO TENTH AMENDED &amp; RESTATED INVESTORS’ RIGHTS AGREEMENT (TEMPUS LABS, INC.)</w:t>
      </w:r>
    </w:p>
    <w:p>
      <w:pPr>
        <w:sectPr>
          <w:pgSz w:w="11900" w:h="16838" w:orient="portrait"/>
          <w:cols w:equalWidth="0" w:num="1">
            <w:col w:w="10400"/>
          </w:cols>
          <w:pgMar w:left="580" w:top="265" w:right="919" w:bottom="1440" w:gutter="0" w:footer="0" w:header="0"/>
        </w:sectPr>
      </w:pPr>
    </w:p>
    <w:bookmarkStart w:id="422" w:name="page423"/>
    <w:bookmarkEnd w:id="422"/>
    <w:p>
      <w:pPr>
        <w:ind w:right="280"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executed this Tenth Amended and Restated Investors’ Rights Agreement as of the date first written above.</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u w:val="single" w:color="auto"/>
          <w:color w:val="auto"/>
        </w:rPr>
        <w:t>INVESTORS</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b w:val="1"/>
          <w:bCs w:val="1"/>
          <w:color w:val="auto"/>
        </w:rPr>
        <w:t>SCOTTISH MORTGAGE INVESTMENT TRUST PLC</w:t>
      </w:r>
    </w:p>
    <w:p>
      <w:pPr>
        <w:spacing w:after="0" w:line="23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color w:val="auto"/>
        </w:rPr>
        <w:t>Executed for and on behalf of Scottish Mortgage Investment</w:t>
      </w:r>
    </w:p>
    <w:p>
      <w:pPr>
        <w:spacing w:after="0" w:line="4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Trust plc, acting through its agent, Baillie Gifford &amp; Co</w:t>
      </w:r>
    </w:p>
    <w:p>
      <w:pPr>
        <w:spacing w:after="0" w:line="19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Tom Slater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Tom Slater</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Partner of Baillie Gifford &amp; Co.</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THE SCHIEHALLION FUND LIMITED</w:t>
      </w:r>
    </w:p>
    <w:p>
      <w:pPr>
        <w:spacing w:after="0" w:line="21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Executed for and on behalf of The Schiehallion Fund</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Limited, acting through its agent, Baillie Gifford Overseas</w:t>
      </w:r>
    </w:p>
    <w:p>
      <w:pPr>
        <w:spacing w:after="0" w:line="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Limited</w:t>
      </w:r>
    </w:p>
    <w:p>
      <w:pPr>
        <w:spacing w:after="0" w:line="19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Tom Slater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Tom Slater</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Authorised Signatory of Baillie Gifford Overseas</w:t>
      </w:r>
    </w:p>
    <w:p>
      <w:pPr>
        <w:spacing w:after="0" w:line="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Limited</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 PAGE TO TENTH AMENDED &amp; RESTATED INVESTORS’ RIGHTS AGREEMENT (TEMPUS LABS, INC.)</w:t>
      </w:r>
    </w:p>
    <w:p>
      <w:pPr>
        <w:sectPr>
          <w:pgSz w:w="11900" w:h="16838" w:orient="portrait"/>
          <w:cols w:equalWidth="0" w:num="1">
            <w:col w:w="10680"/>
          </w:cols>
          <w:pgMar w:left="580" w:top="265" w:right="639" w:bottom="1440" w:gutter="0" w:footer="0" w:header="0"/>
        </w:sectPr>
      </w:pPr>
    </w:p>
    <w:bookmarkStart w:id="423" w:name="page424"/>
    <w:bookmarkEnd w:id="423"/>
    <w:p>
      <w:pPr>
        <w:ind w:right="120"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executed this Tenth Amended and Restated Investors’ Rights Agreement as of the date first written above.</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u w:val="single" w:color="auto"/>
          <w:color w:val="auto"/>
        </w:rPr>
        <w:t>INVESTORS</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b w:val="1"/>
          <w:bCs w:val="1"/>
          <w:color w:val="auto"/>
        </w:rPr>
        <w:t>NEUBERGER BERMAN PRINCIPAL STRATEGIES</w:t>
      </w:r>
    </w:p>
    <w:p>
      <w:pPr>
        <w:spacing w:after="0" w:line="4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PRIMA FUND LP</w:t>
      </w:r>
    </w:p>
    <w:p>
      <w:pPr>
        <w:spacing w:after="0" w:line="19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Neuberger Berman Investment Advisers LLC, its</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19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Gabe Cahill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Gabe Cahill</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b w:val="1"/>
          <w:bCs w:val="1"/>
          <w:color w:val="auto"/>
        </w:rPr>
        <w:t>NEUBERGER BERMAN PRINCIPAL STRATEGIES</w:t>
      </w:r>
    </w:p>
    <w:p>
      <w:pPr>
        <w:spacing w:after="0" w:line="4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PRIMA CO-INVEST FUND IV LP</w:t>
      </w:r>
    </w:p>
    <w:p>
      <w:pPr>
        <w:spacing w:after="0" w:line="19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Neuberger Berman Investment Advisers LLC, its</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19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Gabe Cahill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Gabe Cahill</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SIGNATURE PAGE TO TENTH AMENDED &amp; RESTATED INVESTORS’ RIGHTS AGREEMENT (TEMPUS LABS, INC.)</w:t>
      </w:r>
    </w:p>
    <w:p>
      <w:pPr>
        <w:sectPr>
          <w:pgSz w:w="11900" w:h="16838" w:orient="portrait"/>
          <w:cols w:equalWidth="0" w:num="1">
            <w:col w:w="10520"/>
          </w:cols>
          <w:pgMar w:left="580" w:top="265" w:right="799" w:bottom="1440" w:gutter="0" w:footer="0" w:header="0"/>
        </w:sectPr>
      </w:pPr>
    </w:p>
    <w:bookmarkStart w:id="424" w:name="page425"/>
    <w:bookmarkEnd w:id="424"/>
    <w:p>
      <w:pPr>
        <w:ind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executed this Tenth Amended and Restated Investors’ Rights Agreement as of the date first written above.</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u w:val="single" w:color="auto"/>
          <w:color w:val="auto"/>
        </w:rPr>
        <w:t>INVESTORS</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BLUE MEDIA, LLC</w:t>
      </w:r>
    </w:p>
    <w:p>
      <w:pPr>
        <w:spacing w:after="0" w:line="21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 Title: Manager</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SIGNATURE PAGE TO TENTH AMENDED &amp; RESTATED INVESTORS’ RIGHTS AGREEMENT (TEMPUS LABS, INC.)</w:t>
      </w:r>
    </w:p>
    <w:p>
      <w:pPr>
        <w:sectPr>
          <w:pgSz w:w="11900" w:h="16838" w:orient="portrait"/>
          <w:cols w:equalWidth="0" w:num="1">
            <w:col w:w="10400"/>
          </w:cols>
          <w:pgMar w:left="580" w:top="265" w:right="919" w:bottom="1440" w:gutter="0" w:footer="0" w:header="0"/>
        </w:sectPr>
      </w:pPr>
    </w:p>
    <w:bookmarkStart w:id="425" w:name="page426"/>
    <w:bookmarkEnd w:id="425"/>
    <w:p>
      <w:pPr>
        <w:ind w:right="320"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executed this Tenth Amended and Restated Investors’ Rights Agreement as of the date first written above.</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u w:val="single" w:color="auto"/>
          <w:color w:val="auto"/>
        </w:rPr>
        <w:t>INVESTORS</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JAMES AND WENDY ABRAMS, AS JOINT</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TENANTS</w:t>
      </w:r>
    </w:p>
    <w:p>
      <w:pPr>
        <w:spacing w:after="0" w:line="208" w:lineRule="exact"/>
        <w:rPr>
          <w:sz w:val="20"/>
          <w:szCs w:val="20"/>
          <w:color w:val="auto"/>
        </w:rPr>
      </w:pPr>
    </w:p>
    <w:tbl>
      <w:tblPr>
        <w:tblLayout w:type="fixed"/>
        <w:tblInd w:w="644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James Abrams</w:t>
            </w:r>
          </w:p>
        </w:tc>
      </w:tr>
      <w:tr>
        <w:trPr>
          <w:trHeight w:val="2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James Abrams</w:t>
            </w:r>
          </w:p>
        </w:tc>
      </w:tr>
      <w:tr>
        <w:trPr>
          <w:trHeight w:val="41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 Wendy Abrams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635</wp:posOffset>
            </wp:positionV>
            <wp:extent cx="235902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ind w:left="6440"/>
        <w:spacing w:after="0"/>
        <w:rPr>
          <w:sz w:val="20"/>
          <w:szCs w:val="20"/>
          <w:color w:val="auto"/>
        </w:rPr>
      </w:pPr>
      <w:r>
        <w:rPr>
          <w:rFonts w:ascii="Times New Roman" w:cs="Times New Roman" w:eastAsia="Times New Roman" w:hAnsi="Times New Roman"/>
          <w:sz w:val="18"/>
          <w:szCs w:val="18"/>
          <w:color w:val="auto"/>
        </w:rPr>
        <w:t>Name: Wendy Abrams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TO TENTH AMENDED &amp; RESTATED INVESTORS’ RIGHTS AGREEMENT (TEMPUS LABS, INC.)</w:t>
      </w:r>
    </w:p>
    <w:p>
      <w:pPr>
        <w:sectPr>
          <w:pgSz w:w="11900" w:h="16838" w:orient="portrait"/>
          <w:cols w:equalWidth="0" w:num="1">
            <w:col w:w="10720"/>
          </w:cols>
          <w:pgMar w:left="580" w:top="265" w:right="599" w:bottom="1440" w:gutter="0" w:footer="0" w:header="0"/>
        </w:sectPr>
      </w:pPr>
    </w:p>
    <w:bookmarkStart w:id="426" w:name="page427"/>
    <w:bookmarkEnd w:id="426"/>
    <w:p>
      <w:pPr>
        <w:ind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executed this Tenth Amended and Restated Investors’ Rights Agreement as of the date first written above.</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u w:val="single" w:color="auto"/>
          <w:color w:val="auto"/>
        </w:rPr>
        <w:t>INVESTORS</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INNOVATION GROUP INVESTORS, L.P.</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 2011 SERIES</w:t>
      </w:r>
    </w:p>
    <w:p>
      <w:pPr>
        <w:spacing w:after="0" w:line="19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Innovation Group, LLC, its General Partner</w:t>
      </w:r>
    </w:p>
    <w:p>
      <w:pPr>
        <w:spacing w:after="0" w:line="213"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 Title: Manager</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LIGHTBANK INVESTMENTS 1B, LLC</w:t>
      </w:r>
    </w:p>
    <w:p>
      <w:pPr>
        <w:spacing w:after="0" w:line="21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Lightbank, LLC, its Manager</w:t>
      </w:r>
    </w:p>
    <w:p>
      <w:pPr>
        <w:spacing w:after="0" w:line="213"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 Title: Manager</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INNOVATION GROUP INVESTORS, L.P.</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 SERIES 1B</w:t>
      </w:r>
    </w:p>
    <w:p>
      <w:pPr>
        <w:spacing w:after="0" w:line="19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Innovation Group, LLC, its General Partner</w:t>
      </w:r>
    </w:p>
    <w:p>
      <w:pPr>
        <w:spacing w:after="0" w:line="213"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 Title: Manager</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SIGNATURE PAGE TO TENTH AMENDED &amp; RESTATED INVESTORS’ RIGHTS AGREEMENT (TEMPUS LABS, INC.)</w:t>
      </w:r>
    </w:p>
    <w:p>
      <w:pPr>
        <w:sectPr>
          <w:pgSz w:w="11900" w:h="16838" w:orient="portrait"/>
          <w:cols w:equalWidth="0" w:num="1">
            <w:col w:w="10400"/>
          </w:cols>
          <w:pgMar w:left="580" w:top="265" w:right="919" w:bottom="1440" w:gutter="0" w:footer="0" w:header="0"/>
        </w:sectPr>
      </w:pPr>
    </w:p>
    <w:bookmarkStart w:id="427" w:name="page428"/>
    <w:bookmarkEnd w:id="427"/>
    <w:p>
      <w:pPr>
        <w:ind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executed this Tenth Amended and Restated Investors’ Rights Agreement as of the date first written above.</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u w:val="single" w:color="auto"/>
          <w:color w:val="auto"/>
        </w:rPr>
        <w:t>INVESTORS:</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TEMPUS SERIES A INVESTMENTS, LLC</w:t>
      </w:r>
    </w:p>
    <w:p>
      <w:pPr>
        <w:spacing w:after="0" w:line="13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Lightbank, LLC, its Manager</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13335</wp:posOffset>
            </wp:positionV>
            <wp:extent cx="249237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Manager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TEMPUS SERIES B INVESTMENTS, LLC</w:t>
      </w:r>
    </w:p>
    <w:p>
      <w:pPr>
        <w:spacing w:after="0" w:line="13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Lightbank, LLC, its Manager</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13335</wp:posOffset>
            </wp:positionV>
            <wp:extent cx="249237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TEMPUS SERIES B-1 INVESTMENTS, LLC</w:t>
      </w:r>
    </w:p>
    <w:p>
      <w:pPr>
        <w:spacing w:after="0" w:line="13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Lightbank, LLC, its Manager</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13335</wp:posOffset>
            </wp:positionV>
            <wp:extent cx="249237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Manager</w:t>
      </w:r>
    </w:p>
    <w:p>
      <w:pPr>
        <w:spacing w:after="0" w:line="3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SIGNATURE PAGE TO TENTH AMENDED &amp; RESTATED INVESTORS’ RIGHTS AGREEMENT (TEMPUS LABS, INC.)</w:t>
      </w:r>
    </w:p>
    <w:p>
      <w:pPr>
        <w:sectPr>
          <w:pgSz w:w="11900" w:h="16838" w:orient="portrait"/>
          <w:cols w:equalWidth="0" w:num="1">
            <w:col w:w="10400"/>
          </w:cols>
          <w:pgMar w:left="580" w:top="265" w:right="919" w:bottom="1440" w:gutter="0" w:footer="0" w:header="0"/>
        </w:sectPr>
      </w:pPr>
    </w:p>
    <w:bookmarkStart w:id="428" w:name="page429"/>
    <w:bookmarkEnd w:id="428"/>
    <w:p>
      <w:pPr>
        <w:ind w:left="5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TEMPUS SERIES B-2 INVESTMENTS, LLC</w:t>
      </w:r>
    </w:p>
    <w:p>
      <w:pPr>
        <w:spacing w:after="0" w:line="13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Blue Media, LLC, its Manager</w:t>
      </w:r>
    </w:p>
    <w:p>
      <w:pPr>
        <w:spacing w:after="0" w:line="21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13335</wp:posOffset>
            </wp:positionV>
            <wp:extent cx="249237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Manager</w:t>
      </w:r>
    </w:p>
    <w:p>
      <w:pPr>
        <w:spacing w:after="0" w:line="20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TEMPUS SERIES C INVESTMENTS, LLC</w:t>
      </w:r>
    </w:p>
    <w:p>
      <w:pPr>
        <w:spacing w:after="0" w:line="13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Blue Media, LLC, its Manager</w:t>
      </w:r>
    </w:p>
    <w:p>
      <w:pPr>
        <w:spacing w:after="0" w:line="21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13335</wp:posOffset>
            </wp:positionV>
            <wp:extent cx="249237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Manager</w:t>
      </w:r>
    </w:p>
    <w:p>
      <w:pPr>
        <w:spacing w:after="0" w:line="20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TEMPUS SERIES D INVESTMENTS, LLC</w:t>
      </w:r>
    </w:p>
    <w:p>
      <w:pPr>
        <w:spacing w:after="0" w:line="13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Blue Media, LLC, its Manager</w:t>
      </w:r>
    </w:p>
    <w:p>
      <w:pPr>
        <w:spacing w:after="0" w:line="21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13335</wp:posOffset>
            </wp:positionV>
            <wp:extent cx="249237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Manager</w:t>
      </w:r>
    </w:p>
    <w:p>
      <w:pPr>
        <w:spacing w:after="0" w:line="20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TEMPUS SERIES E INVESTMENTS, LLC</w:t>
      </w:r>
    </w:p>
    <w:p>
      <w:pPr>
        <w:spacing w:after="0" w:line="13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Blue Media, LLC, its Manager</w:t>
      </w:r>
    </w:p>
    <w:p>
      <w:pPr>
        <w:spacing w:after="0" w:line="21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13335</wp:posOffset>
            </wp:positionV>
            <wp:extent cx="249237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Manager</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SIGNATURE PAGE TO TENTH AMENDED &amp; RESTATED INVESTORS’ RIGHTS AGREEMENT (TEMPUS LABS, INC.)</w:t>
      </w:r>
    </w:p>
    <w:p>
      <w:pPr>
        <w:sectPr>
          <w:pgSz w:w="11900" w:h="16838" w:orient="portrait"/>
          <w:cols w:equalWidth="0" w:num="1">
            <w:col w:w="9460"/>
          </w:cols>
          <w:pgMar w:left="1220" w:top="263" w:right="1219" w:bottom="1440" w:gutter="0" w:footer="0" w:header="0"/>
        </w:sectPr>
      </w:pPr>
    </w:p>
    <w:bookmarkStart w:id="429" w:name="page430"/>
    <w:bookmarkEnd w:id="429"/>
    <w:p>
      <w:pPr>
        <w:ind w:left="5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TEMPUS SERIES G INVESTMENTS, LLC</w:t>
      </w:r>
    </w:p>
    <w:p>
      <w:pPr>
        <w:spacing w:after="0" w:line="13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Blue Media, LLC, its Manager</w:t>
      </w:r>
    </w:p>
    <w:p>
      <w:pPr>
        <w:spacing w:after="0" w:line="21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13335</wp:posOffset>
            </wp:positionV>
            <wp:extent cx="249237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Manager</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SIGNATURE PAGE TO TENTH AMENDED &amp; RESTATED INVESTORS’ RIGHTS AGREEMENT (TEMPUS LABS, INC.)</w:t>
      </w:r>
    </w:p>
    <w:p>
      <w:pPr>
        <w:sectPr>
          <w:pgSz w:w="11900" w:h="16838" w:orient="portrait"/>
          <w:cols w:equalWidth="0" w:num="1">
            <w:col w:w="9460"/>
          </w:cols>
          <w:pgMar w:left="1220" w:top="263" w:right="1219" w:bottom="1440" w:gutter="0" w:footer="0" w:header="0"/>
        </w:sectPr>
      </w:pPr>
    </w:p>
    <w:bookmarkStart w:id="430" w:name="page431"/>
    <w:bookmarkEnd w:id="430"/>
    <w:p>
      <w:pPr>
        <w:ind w:left="340" w:firstLine="39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executed this Tenth Amended and Restated Investors’ Rights Agreement as of the date first written above.</w:t>
      </w:r>
    </w:p>
    <w:p>
      <w:pPr>
        <w:spacing w:after="0" w:line="19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u w:val="single" w:color="auto"/>
          <w:color w:val="auto"/>
        </w:rPr>
        <w:t>COMMON HOLDERS:</w:t>
      </w:r>
    </w:p>
    <w:p>
      <w:pPr>
        <w:spacing w:after="0" w:line="21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GRAY MEDIA, LLC</w:t>
      </w:r>
    </w:p>
    <w:p>
      <w:pPr>
        <w:spacing w:after="0" w:line="21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13335</wp:posOffset>
            </wp:positionV>
            <wp:extent cx="249237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Manager</w:t>
      </w:r>
    </w:p>
    <w:p>
      <w:pPr>
        <w:spacing w:after="0" w:line="20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BLUE MEDIA, LLC</w:t>
      </w:r>
    </w:p>
    <w:p>
      <w:pPr>
        <w:spacing w:after="0" w:line="21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13335</wp:posOffset>
            </wp:positionV>
            <wp:extent cx="249237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Manager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 PAGE TO TENTH AMENDED &amp; RESTATED INVESTORS’ RIGHTS AGREEMENT (TEMPUS LABS, INC.)</w:t>
      </w:r>
    </w:p>
    <w:p>
      <w:pPr>
        <w:sectPr>
          <w:pgSz w:w="11900" w:h="16838" w:orient="portrait"/>
          <w:cols w:equalWidth="0" w:num="1">
            <w:col w:w="10020"/>
          </w:cols>
          <w:pgMar w:left="1220" w:top="265" w:right="659" w:bottom="1440" w:gutter="0" w:footer="0" w:header="0"/>
        </w:sectPr>
      </w:pPr>
    </w:p>
    <w:bookmarkStart w:id="431" w:name="page432"/>
    <w:bookmarkEnd w:id="431"/>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A</w:t>
      </w:r>
    </w:p>
    <w:p>
      <w:pPr>
        <w:spacing w:after="0" w:line="2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u w:val="single" w:color="auto"/>
          <w:color w:val="auto"/>
        </w:rPr>
        <w:t>Investors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Blue Media,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Eric Lefkofsky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Innovation Group Investors, L.P. – Series 2011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Lightbank Investments 1B,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Innovation Group Investors, L.P. – Series 1B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Highland Alternative III,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GCM Progress,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Grosvenor Holdings,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 North Michigan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1100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60611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Attention:Michael Sacks/Adam Pollock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James and Wendy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80581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80581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389890</wp:posOffset>
            </wp:positionV>
            <wp:extent cx="80581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Schedule A-1</w:t>
      </w:r>
    </w:p>
    <w:p>
      <w:pPr>
        <w:sectPr>
          <w:pgSz w:w="11900" w:h="16838" w:orient="portrait"/>
          <w:cols w:equalWidth="0" w:num="1">
            <w:col w:w="9879"/>
          </w:cols>
          <w:pgMar w:left="580" w:top="263" w:right="1440"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Tempus Series A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Tempus Series B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Tempus Series B-1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Tempus Series B-2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Tempus Series C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Tempus Series D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Tempus Series E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130" w:lineRule="exact"/>
        <w:rPr>
          <w:sz w:val="20"/>
          <w:szCs w:val="20"/>
          <w:color w:val="auto"/>
        </w:rPr>
      </w:pPr>
    </w:p>
    <w:p>
      <w:pPr>
        <w:jc w:val="right"/>
        <w:ind w:right="4039"/>
        <w:spacing w:after="0"/>
        <w:rPr>
          <w:sz w:val="20"/>
          <w:szCs w:val="20"/>
          <w:color w:val="auto"/>
        </w:rPr>
      </w:pPr>
      <w:r>
        <w:rPr>
          <w:rFonts w:ascii="Times New Roman" w:cs="Times New Roman" w:eastAsia="Times New Roman" w:hAnsi="Times New Roman"/>
          <w:sz w:val="18"/>
          <w:szCs w:val="18"/>
          <w:color w:val="auto"/>
        </w:rPr>
        <w:t>Schedule A-2</w:t>
      </w:r>
    </w:p>
    <w:p>
      <w:pPr>
        <w:sectPr>
          <w:pgSz w:w="11900" w:h="16838" w:orient="portrait"/>
          <w:cols w:equalWidth="0" w:num="1">
            <w:col w:w="9879"/>
          </w:cols>
          <w:pgMar w:left="580" w:top="263" w:right="1440"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Tempus Series G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Mike Mauceri</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Enterprise Associates 16,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1954 Greenspring Drive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600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Timonium, Maryland 21093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Attention:General Counsel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NEA Ventures 2017,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1954 Greenspring Drive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600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Timonium, Maryland 21093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Attention:General Counsel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Rowe Price New Horizons Fund,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Rowe Price New Horizons Trust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Rowe Price U.S. Equities Trust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MassMutual Select Funds - MassMutual Select T. Rowe Price Small and Mid Cap Blend Fund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Rowe Price Health Sciences Fund,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TD Mutual Funds - TD Health Sciences Fund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VALIC Company I - Science &amp; Technology Fund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Rowe Price Health Sciences Portfolio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 Rowe Price Associates,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East Pratt Street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MD 21202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Andrew Baek, Vice President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Revolution Growth III,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1717 Rhode Island Ave. NW</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1000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20036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Attention:General Counsel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Praxitela Ventures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751 Laurel Street, No. 717</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Carlos, California 94070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Barbara S. Hager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SFT Private Equity LLC (2016) SCT 2018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G. Searle Charitable Trusts Partnership</w:t>
      </w:r>
    </w:p>
    <w:p>
      <w:pPr>
        <w:spacing w:after="0" w:line="1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Schedule A-3</w:t>
      </w:r>
    </w:p>
    <w:p>
      <w:pPr>
        <w:sectPr>
          <w:pgSz w:w="11900" w:h="16838" w:orient="portrait"/>
          <w:cols w:equalWidth="0" w:num="1">
            <w:col w:w="9879"/>
          </w:cols>
          <w:pgMar w:left="580" w:top="263" w:right="1440"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Frances C. Searle Charitable Trusts Partnership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KTC Alternatives Fund IV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KTC Alternatives Fund V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Kinship Trust Company,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West Washington, 28th Floor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Chris Lucchetti</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Scottish Mortgage Investment Trust plc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Schiehallion Fund Limited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Baillie Gifford &amp; Co.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Calton Square, 1 Greenside Row</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Edinburgh EH1 3AN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Scotland, the United Kingdom</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Teacher Retirement System of Texas, a public pension fund and entity of the State of Texas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Red River Street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 78701-2698</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Novo Holdings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Tuborg Havnevej 19</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DK-2900 Hellerup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Robert Ghenchev</w:t>
      </w:r>
    </w:p>
    <w:p>
      <w:pPr>
        <w:spacing w:after="0" w:line="298" w:lineRule="exact"/>
        <w:rPr>
          <w:sz w:val="20"/>
          <w:szCs w:val="20"/>
          <w:color w:val="auto"/>
        </w:rPr>
      </w:pPr>
    </w:p>
    <w:p>
      <w:pPr>
        <w:ind w:right="4259"/>
        <w:spacing w:after="0" w:line="282" w:lineRule="auto"/>
        <w:rPr>
          <w:sz w:val="20"/>
          <w:szCs w:val="20"/>
          <w:color w:val="auto"/>
        </w:rPr>
      </w:pPr>
      <w:r>
        <w:rPr>
          <w:rFonts w:ascii="Times New Roman" w:cs="Times New Roman" w:eastAsia="Times New Roman" w:hAnsi="Times New Roman"/>
          <w:sz w:val="16"/>
          <w:szCs w:val="16"/>
          <w:b w:val="1"/>
          <w:bCs w:val="1"/>
          <w:color w:val="auto"/>
        </w:rPr>
        <w:t>Franklin Strategic Series – Franklin Growth Opportunities Fund Franklin Templeton Investment Funds – Franklin U.S. Opportunities Fund Franklin Templeton Investment Funds – Franklin Technology Fund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Franklin Parkway, Building 920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 94403</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RFG-Sunflower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RFG Financial Group,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 Fourth Street, 5</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Monica, CA 90401</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RFG-Hazel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RFG Financial Group,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 Fourth Street, 5</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Monica, CA 90401</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Google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1600 Amphitheatre Parkway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View, California 94043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-22225</wp:posOffset>
            </wp:positionV>
            <wp:extent cx="77787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77875" cy="8255"/>
                    </a:xfrm>
                    <a:prstGeom prst="rect">
                      <a:avLst/>
                    </a:prstGeom>
                    <a:noFill/>
                  </pic:spPr>
                </pic:pic>
              </a:graphicData>
            </a:graphic>
          </wp:anchor>
        </w:drawing>
      </w:r>
    </w:p>
    <w:p>
      <w:pPr>
        <w:spacing w:after="0" w:line="1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Schedule A-4</w:t>
      </w:r>
    </w:p>
    <w:p>
      <w:pPr>
        <w:sectPr>
          <w:pgSz w:w="11900" w:h="16838" w:orient="portrait"/>
          <w:cols w:equalWidth="0" w:num="1">
            <w:col w:w="9879"/>
          </w:cols>
          <w:pgMar w:left="580" w:top="263" w:right="1440"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Neuberger Berman Principal Strategies PRIMA Fund LP</w:t>
      </w:r>
    </w:p>
    <w:p>
      <w:pPr>
        <w:spacing w:after="0" w:line="23" w:lineRule="exact"/>
        <w:rPr>
          <w:sz w:val="20"/>
          <w:szCs w:val="20"/>
          <w:color w:val="auto"/>
        </w:rPr>
      </w:pPr>
    </w:p>
    <w:p>
      <w:pPr>
        <w:ind w:right="4559"/>
        <w:spacing w:after="0" w:line="243" w:lineRule="auto"/>
        <w:rPr>
          <w:sz w:val="20"/>
          <w:szCs w:val="20"/>
          <w:color w:val="auto"/>
        </w:rPr>
      </w:pPr>
      <w:r>
        <w:rPr>
          <w:rFonts w:ascii="Times New Roman" w:cs="Times New Roman" w:eastAsia="Times New Roman" w:hAnsi="Times New Roman"/>
          <w:sz w:val="18"/>
          <w:szCs w:val="18"/>
          <w:b w:val="1"/>
          <w:bCs w:val="1"/>
          <w:color w:val="auto"/>
        </w:rPr>
        <w:t>Neuberger Berman Principal Strategies PRIMA Co-Invest Fund IV LP PRIMA MLP Fund LP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190 S. LaSalle Street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60603</w:t>
      </w:r>
    </w:p>
    <w:p>
      <w:pPr>
        <w:spacing w:after="0" w:line="130" w:lineRule="exact"/>
        <w:rPr>
          <w:sz w:val="20"/>
          <w:szCs w:val="20"/>
          <w:color w:val="auto"/>
        </w:rPr>
      </w:pPr>
    </w:p>
    <w:p>
      <w:pPr>
        <w:jc w:val="right"/>
        <w:ind w:right="4039"/>
        <w:spacing w:after="0"/>
        <w:rPr>
          <w:sz w:val="20"/>
          <w:szCs w:val="20"/>
          <w:color w:val="auto"/>
        </w:rPr>
      </w:pPr>
      <w:r>
        <w:rPr>
          <w:rFonts w:ascii="Times New Roman" w:cs="Times New Roman" w:eastAsia="Times New Roman" w:hAnsi="Times New Roman"/>
          <w:sz w:val="18"/>
          <w:szCs w:val="18"/>
          <w:color w:val="auto"/>
        </w:rPr>
        <w:t>Schedule A-5</w:t>
      </w:r>
    </w:p>
    <w:p>
      <w:pPr>
        <w:sectPr>
          <w:pgSz w:w="11900" w:h="16838" w:orient="portrait"/>
          <w:cols w:equalWidth="0" w:num="1">
            <w:col w:w="9879"/>
          </w:cols>
          <w:pgMar w:left="580" w:top="263" w:right="1440" w:bottom="1440" w:gutter="0" w:footer="0" w:header="0"/>
        </w:sectPr>
      </w:pPr>
    </w:p>
    <w:bookmarkStart w:id="436" w:name="page437"/>
    <w:bookmarkEnd w:id="436"/>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B</w:t>
      </w:r>
    </w:p>
    <w:p>
      <w:pPr>
        <w:spacing w:after="0" w:line="213" w:lineRule="exact"/>
        <w:rPr>
          <w:sz w:val="20"/>
          <w:szCs w:val="20"/>
          <w:color w:val="auto"/>
        </w:rPr>
      </w:pPr>
    </w:p>
    <w:p>
      <w:pPr>
        <w:jc w:val="right"/>
        <w:ind w:right="3859"/>
        <w:spacing w:after="0"/>
        <w:rPr>
          <w:sz w:val="20"/>
          <w:szCs w:val="20"/>
          <w:color w:val="auto"/>
        </w:rPr>
      </w:pPr>
      <w:r>
        <w:rPr>
          <w:rFonts w:ascii="Times New Roman" w:cs="Times New Roman" w:eastAsia="Times New Roman" w:hAnsi="Times New Roman"/>
          <w:sz w:val="18"/>
          <w:szCs w:val="18"/>
          <w:b w:val="1"/>
          <w:bCs w:val="1"/>
          <w:u w:val="single" w:color="auto"/>
          <w:color w:val="auto"/>
        </w:rPr>
        <w:t>Common Holders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Gray Media,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Eric Lefkofsky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Blue Media,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Eric Lefkofsky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Keeks,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Brad Keywell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RFG-Sunflower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RFG Financial Group,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 Fourth Street, 5</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Monica, CA 90401</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RFG-Hazel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RFG Financial Group,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 Fourth Street, 5</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Monica, CA 90401</w:t>
      </w:r>
    </w:p>
    <w:p>
      <w:pPr>
        <w:spacing w:after="0" w:line="36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Schedule B-1</w:t>
      </w:r>
    </w:p>
    <w:p>
      <w:pPr>
        <w:sectPr>
          <w:pgSz w:w="11900" w:h="16838" w:orient="portrait"/>
          <w:cols w:equalWidth="0" w:num="1">
            <w:col w:w="9879"/>
          </w:cols>
          <w:pgMar w:left="580" w:top="263" w:right="1440" w:bottom="1440" w:gutter="0" w:footer="0" w:header="0"/>
        </w:sectPr>
      </w:pPr>
    </w:p>
    <w:bookmarkStart w:id="437" w:name="page438"/>
    <w:bookmarkEnd w:id="43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A</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Novo Side Letter</w:t>
      </w:r>
    </w:p>
    <w:p>
      <w:pPr>
        <w:sectPr>
          <w:pgSz w:w="11900" w:h="16838" w:orient="portrait"/>
          <w:cols w:equalWidth="0" w:num="1">
            <w:col w:w="9019"/>
          </w:cols>
          <w:pgMar w:left="1440" w:top="263" w:right="1440" w:bottom="1440" w:gutter="0" w:footer="0" w:header="0"/>
        </w:sectPr>
      </w:pPr>
    </w:p>
    <w:bookmarkStart w:id="438" w:name="page439"/>
    <w:bookmarkEnd w:id="43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TEMPUS LABS,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193" w:lineRule="exact"/>
        <w:rPr>
          <w:sz w:val="20"/>
          <w:szCs w:val="20"/>
          <w:color w:val="auto"/>
        </w:rPr>
      </w:pPr>
    </w:p>
    <w:p>
      <w:pPr>
        <w:ind w:left="620" w:hanging="184"/>
        <w:spacing w:after="0"/>
        <w:tabs>
          <w:tab w:leader="none" w:pos="62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4"/>
          <w:szCs w:val="14"/>
          <w:b w:val="1"/>
          <w:bCs w:val="1"/>
          <w:u w:val="single" w:color="auto"/>
          <w:color w:val="auto"/>
        </w:rPr>
        <w:t>STABLISHMENT</w:t>
      </w:r>
      <w:r>
        <w:rPr>
          <w:rFonts w:ascii="Times New Roman" w:cs="Times New Roman" w:eastAsia="Times New Roman" w:hAnsi="Times New Roman"/>
          <w:sz w:val="18"/>
          <w:szCs w:val="18"/>
          <w:b w:val="1"/>
          <w:bCs w:val="1"/>
          <w:u w:val="single" w:color="auto"/>
          <w:color w:val="auto"/>
        </w:rPr>
        <w:t>, P</w:t>
      </w:r>
      <w:r>
        <w:rPr>
          <w:rFonts w:ascii="Times New Roman" w:cs="Times New Roman" w:eastAsia="Times New Roman" w:hAnsi="Times New Roman"/>
          <w:sz w:val="14"/>
          <w:szCs w:val="14"/>
          <w:b w:val="1"/>
          <w:bCs w:val="1"/>
          <w:u w:val="single" w:color="auto"/>
          <w:color w:val="auto"/>
        </w:rPr>
        <w:t>URPOSE AND</w:t>
      </w:r>
      <w:r>
        <w:rPr>
          <w:rFonts w:ascii="Times New Roman" w:cs="Times New Roman" w:eastAsia="Times New Roman" w:hAnsi="Times New Roman"/>
          <w:sz w:val="18"/>
          <w:szCs w:val="18"/>
          <w:b w:val="1"/>
          <w:bCs w:val="1"/>
          <w:u w:val="single" w:color="auto"/>
          <w:color w:val="auto"/>
        </w:rPr>
        <w:t xml:space="preserve"> T</w:t>
      </w:r>
      <w:r>
        <w:rPr>
          <w:rFonts w:ascii="Times New Roman" w:cs="Times New Roman" w:eastAsia="Times New Roman" w:hAnsi="Times New Roman"/>
          <w:sz w:val="14"/>
          <w:szCs w:val="14"/>
          <w:b w:val="1"/>
          <w:bCs w:val="1"/>
          <w:u w:val="single" w:color="auto"/>
          <w:color w:val="auto"/>
        </w:rPr>
        <w:t>ERM OF</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LAN</w:t>
      </w:r>
      <w:r>
        <w:rPr>
          <w:rFonts w:ascii="Times New Roman" w:cs="Times New Roman" w:eastAsia="Times New Roman" w:hAnsi="Times New Roman"/>
          <w:sz w:val="18"/>
          <w:szCs w:val="18"/>
          <w:b w:val="1"/>
          <w:bCs w:val="1"/>
          <w:u w:val="single" w:color="auto"/>
          <w:color w:val="auto"/>
        </w:rPr>
        <w:t>.</w:t>
      </w:r>
    </w:p>
    <w:p>
      <w:pPr>
        <w:spacing w:after="0" w:line="106" w:lineRule="exact"/>
        <w:rPr>
          <w:sz w:val="20"/>
          <w:szCs w:val="20"/>
          <w:color w:val="auto"/>
        </w:rPr>
      </w:pPr>
    </w:p>
    <w:p>
      <w:pPr>
        <w:ind w:right="480" w:firstLine="964"/>
        <w:spacing w:after="0" w:line="25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Establishment.</w:t>
      </w:r>
      <w:r>
        <w:rPr>
          <w:rFonts w:ascii="Times New Roman" w:cs="Times New Roman" w:eastAsia="Times New Roman" w:hAnsi="Times New Roman"/>
          <w:sz w:val="18"/>
          <w:szCs w:val="18"/>
          <w:color w:val="auto"/>
        </w:rPr>
        <w:t xml:space="preserve"> The Tempus Labs, Inc. 2015 Stock Plan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was established effective as of September 21, 2015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Plan was amended and restated as of September 8, 2017, and further amended and restated as of March 16, 2018 and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16, 2019.</w:t>
      </w:r>
    </w:p>
    <w:p>
      <w:pPr>
        <w:spacing w:after="0" w:line="68" w:lineRule="exact"/>
        <w:rPr>
          <w:sz w:val="20"/>
          <w:szCs w:val="20"/>
          <w:color w:val="auto"/>
        </w:rPr>
      </w:pPr>
    </w:p>
    <w:p>
      <w:pPr>
        <w:ind w:right="60" w:firstLine="964"/>
        <w:spacing w:after="0" w:line="25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Restricted Stock Awards and Restricted Stock Unit Awards.</w:t>
      </w:r>
    </w:p>
    <w:p>
      <w:pPr>
        <w:spacing w:after="0" w:line="74" w:lineRule="exact"/>
        <w:rPr>
          <w:sz w:val="20"/>
          <w:szCs w:val="20"/>
          <w:color w:val="auto"/>
        </w:rPr>
      </w:pPr>
    </w:p>
    <w:p>
      <w:pPr>
        <w:ind w:right="60" w:firstLine="964"/>
        <w:spacing w:after="0" w:line="25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Term of Plan.</w:t>
      </w:r>
      <w:r>
        <w:rPr>
          <w:rFonts w:ascii="Times New Roman" w:cs="Times New Roman" w:eastAsia="Times New Roman" w:hAnsi="Times New Roman"/>
          <w:sz w:val="18"/>
          <w:szCs w:val="18"/>
          <w:color w:val="auto"/>
        </w:rPr>
        <w:t xml:space="preserve"> The Plan shall continue in effect until its termination by the Board; provided, however, that all Awards shall be granted, if at all, within ten (10) years from the earlier of the date the Plan is adopted by the Board or the date the Plan is duly approved by the stockholders of the Company.</w:t>
      </w:r>
    </w:p>
    <w:p>
      <w:pPr>
        <w:spacing w:after="0" w:line="283" w:lineRule="exact"/>
        <w:rPr>
          <w:sz w:val="20"/>
          <w:szCs w:val="20"/>
          <w:color w:val="auto"/>
        </w:rPr>
      </w:pPr>
    </w:p>
    <w:p>
      <w:pPr>
        <w:ind w:left="620" w:hanging="184"/>
        <w:spacing w:after="0"/>
        <w:tabs>
          <w:tab w:leader="none" w:pos="62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4"/>
          <w:szCs w:val="14"/>
          <w:b w:val="1"/>
          <w:bCs w:val="1"/>
          <w:u w:val="single" w:color="auto"/>
          <w:color w:val="auto"/>
        </w:rPr>
        <w:t>EFINITIONS AND</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ONSTRUCTION</w:t>
      </w:r>
      <w:r>
        <w:rPr>
          <w:rFonts w:ascii="Times New Roman" w:cs="Times New Roman" w:eastAsia="Times New Roman" w:hAnsi="Times New Roman"/>
          <w:sz w:val="18"/>
          <w:szCs w:val="18"/>
          <w:b w:val="1"/>
          <w:bCs w:val="1"/>
          <w:u w:val="single" w:color="auto"/>
          <w:color w:val="auto"/>
        </w:rPr>
        <w:t>.</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xml:space="preserve"> Whenever used herein, the following terms shall have their respective meanings set forth below:</w:t>
      </w:r>
    </w:p>
    <w:p>
      <w:pPr>
        <w:spacing w:after="0" w:line="10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an Option, Restricted Stock Purchase Right, Restricted Stock Bonus or Restricted Stock Unit Award granted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Plan.</w:t>
      </w:r>
    </w:p>
    <w:p>
      <w:pPr>
        <w:spacing w:after="0" w:line="86" w:lineRule="exact"/>
        <w:rPr>
          <w:sz w:val="20"/>
          <w:szCs w:val="20"/>
          <w:color w:val="auto"/>
        </w:rPr>
      </w:pPr>
    </w:p>
    <w:p>
      <w:pPr>
        <w:ind w:right="280" w:firstLine="1400"/>
        <w:spacing w:after="0" w:line="272" w:lineRule="auto"/>
        <w:tabs>
          <w:tab w:leader="none" w:pos="16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written or electronic agreement between the Company and a Participant setting forth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restrictions applicable to an Award.</w:t>
      </w:r>
    </w:p>
    <w:p>
      <w:pPr>
        <w:spacing w:after="0" w:line="55" w:lineRule="exact"/>
        <w:rPr>
          <w:rFonts w:ascii="Times New Roman" w:cs="Times New Roman" w:eastAsia="Times New Roman" w:hAnsi="Times New Roman"/>
          <w:sz w:val="18"/>
          <w:szCs w:val="18"/>
          <w:color w:val="auto"/>
        </w:rPr>
      </w:pPr>
    </w:p>
    <w:p>
      <w:pPr>
        <w:ind w:right="580" w:firstLine="1400"/>
        <w:spacing w:after="0" w:line="272" w:lineRule="auto"/>
        <w:tabs>
          <w:tab w:leader="none" w:pos="163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Board of Directors of the Company. If one or more Committees have been appointed by the Board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administer the Plan,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also means such Committee(s).</w:t>
      </w:r>
    </w:p>
    <w:p>
      <w:pPr>
        <w:spacing w:after="0" w:line="55" w:lineRule="exact"/>
        <w:rPr>
          <w:rFonts w:ascii="Times New Roman" w:cs="Times New Roman" w:eastAsia="Times New Roman" w:hAnsi="Times New Roman"/>
          <w:sz w:val="18"/>
          <w:szCs w:val="18"/>
          <w:color w:val="auto"/>
        </w:rPr>
      </w:pPr>
    </w:p>
    <w:p>
      <w:pPr>
        <w:ind w:firstLine="1400"/>
        <w:spacing w:after="0" w:line="249" w:lineRule="auto"/>
        <w:tabs>
          <w:tab w:leader="none" w:pos="16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unless such term or an equivalent term is otherwise defined by the applicable Award Agreement or other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between a Participant and a Participating Company applicable to an Award,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w:t>
      </w:r>
    </w:p>
    <w:p>
      <w:pPr>
        <w:sectPr>
          <w:pgSz w:w="11900" w:h="16838" w:orient="portrait"/>
          <w:cols w:equalWidth="0" w:num="1">
            <w:col w:w="10720"/>
          </w:cols>
          <w:pgMar w:left="580" w:top="119" w:right="599" w:bottom="1440" w:gutter="0" w:footer="0" w:header="0"/>
        </w:sectPr>
      </w:pPr>
    </w:p>
    <w:bookmarkStart w:id="439" w:name="page440"/>
    <w:bookmarkEnd w:id="439"/>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or service agreement between the Participant and a Participating Company,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a Participating Company.</w:t>
      </w:r>
    </w:p>
    <w:p>
      <w:pPr>
        <w:spacing w:after="0" w:line="80" w:lineRule="exact"/>
        <w:rPr>
          <w:sz w:val="20"/>
          <w:szCs w:val="20"/>
          <w:color w:val="auto"/>
        </w:rPr>
      </w:pPr>
    </w:p>
    <w:p>
      <w:pPr>
        <w:jc w:val="both"/>
        <w:ind w:right="40" w:firstLine="1400"/>
        <w:spacing w:after="0" w:line="258" w:lineRule="auto"/>
        <w:tabs>
          <w:tab w:leader="none" w:pos="163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unless such term or an equivalent term is otherwise defined by the applicable Award Agreement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written agreement between the Participant and a Participating Company applicable to an Award, the occurrence of any one or a combination of the following:</w:t>
      </w:r>
    </w:p>
    <w:p>
      <w:pPr>
        <w:spacing w:after="0" w:line="67" w:lineRule="exact"/>
        <w:rPr>
          <w:rFonts w:ascii="Times New Roman" w:cs="Times New Roman" w:eastAsia="Times New Roman" w:hAnsi="Times New Roman"/>
          <w:sz w:val="18"/>
          <w:szCs w:val="18"/>
          <w:color w:val="auto"/>
        </w:rPr>
      </w:pPr>
    </w:p>
    <w:p>
      <w:pPr>
        <w:ind w:right="60" w:firstLine="1936"/>
        <w:spacing w:after="0" w:line="250" w:lineRule="auto"/>
        <w:tabs>
          <w:tab w:leader="none" w:pos="2137"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Ownership Change Event or a series of related Ownership Change Events (collectively, 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w:t>
      </w:r>
      <w:r>
        <w:rPr>
          <w:rFonts w:ascii="Times New Roman" w:cs="Times New Roman" w:eastAsia="Times New Roman" w:hAnsi="Times New Roman"/>
          <w:sz w:val="18"/>
          <w:szCs w:val="18"/>
          <w:u w:val="single" w:color="auto"/>
          <w:color w:val="auto"/>
        </w:rPr>
        <w:t>Section 2.1(v)(iii)</w:t>
      </w:r>
      <w:r>
        <w:rPr>
          <w:rFonts w:ascii="Times New Roman" w:cs="Times New Roman" w:eastAsia="Times New Roman" w:hAnsi="Times New Roman"/>
          <w:sz w:val="18"/>
          <w:szCs w:val="18"/>
          <w:color w:val="auto"/>
        </w:rPr>
        <w:t xml:space="preserve">, the entity to which the assets of the Company were transferred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Transferee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as the case may be; or</w:t>
      </w:r>
    </w:p>
    <w:p>
      <w:pPr>
        <w:spacing w:after="0" w:line="81" w:lineRule="exact"/>
        <w:rPr>
          <w:rFonts w:ascii="Times New Roman" w:cs="Times New Roman" w:eastAsia="Times New Roman" w:hAnsi="Times New Roman"/>
          <w:sz w:val="18"/>
          <w:szCs w:val="18"/>
          <w:color w:val="auto"/>
        </w:rPr>
      </w:pPr>
    </w:p>
    <w:p>
      <w:pPr>
        <w:ind w:left="2200" w:hanging="264"/>
        <w:spacing w:after="0"/>
        <w:tabs>
          <w:tab w:leader="none" w:pos="2200" w:val="left"/>
        </w:tabs>
        <w:numPr>
          <w:ilvl w:val="1"/>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date specified by the Board following approval by the stockholders of a plan of complete liquidation or dissolution of</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Company;</w:t>
      </w:r>
    </w:p>
    <w:p>
      <w:pPr>
        <w:spacing w:after="0" w:line="19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provided, however, that a Change in Control shall be deemed not to include a transaction described in subsection (i) of this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 xml:space="preserve"> in which a majority of the members of the board of directors of the continuing, surviving or successor entity, or parent thereof, immediately after such transaction is comprised of Incumbent Directors.</w:t>
      </w:r>
    </w:p>
    <w:p>
      <w:pPr>
        <w:spacing w:after="0" w:line="7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 xml:space="preserve">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Board shall determine whether multiple events described in subsections (i) and (ii) of this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 xml:space="preserve"> are related and to be treated in the aggregate as a single Change in Control, and its determination shall be final, binding and conclusive.</w:t>
      </w:r>
    </w:p>
    <w:p>
      <w:pPr>
        <w:spacing w:after="0" w:line="78" w:lineRule="exact"/>
        <w:rPr>
          <w:sz w:val="20"/>
          <w:szCs w:val="20"/>
          <w:color w:val="auto"/>
        </w:rPr>
      </w:pPr>
    </w:p>
    <w:p>
      <w:pPr>
        <w:ind w:right="320" w:firstLine="1400"/>
        <w:spacing w:after="0" w:line="272" w:lineRule="auto"/>
        <w:tabs>
          <w:tab w:leader="none" w:pos="161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Internal Revenue Code of 1986, as amended, and any applicable regulations and administrative guidelines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promulgated thereunder.</w:t>
      </w:r>
    </w:p>
    <w:p>
      <w:pPr>
        <w:spacing w:after="0" w:line="55" w:lineRule="exact"/>
        <w:rPr>
          <w:rFonts w:ascii="Times New Roman" w:cs="Times New Roman" w:eastAsia="Times New Roman" w:hAnsi="Times New Roman"/>
          <w:sz w:val="18"/>
          <w:szCs w:val="18"/>
          <w:color w:val="auto"/>
        </w:rPr>
      </w:pPr>
    </w:p>
    <w:p>
      <w:pPr>
        <w:jc w:val="both"/>
        <w:ind w:right="60" w:firstLine="1400"/>
        <w:spacing w:after="0" w:line="253" w:lineRule="auto"/>
        <w:tabs>
          <w:tab w:leader="none" w:pos="164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compensation committee or other committee or subcommittee of the Board duly appointed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administer the Plan and having such powers as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20"/>
          </w:cols>
          <w:pgMar w:left="580" w:top="265" w:right="599" w:bottom="1440" w:gutter="0" w:footer="0" w:header="0"/>
        </w:sectPr>
      </w:pPr>
    </w:p>
    <w:bookmarkStart w:id="440" w:name="page441"/>
    <w:bookmarkEnd w:id="440"/>
    <w:p>
      <w:pPr>
        <w:ind w:left="1620" w:hanging="240"/>
        <w:spacing w:after="0"/>
        <w:tabs>
          <w:tab w:leader="none" w:pos="162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Tempus Labs, Inc., a Delaware corporation, and any successor thereto.</w:t>
      </w:r>
    </w:p>
    <w:p>
      <w:pPr>
        <w:spacing w:after="0" w:line="108" w:lineRule="exact"/>
        <w:rPr>
          <w:rFonts w:ascii="Times New Roman" w:cs="Times New Roman" w:eastAsia="Times New Roman" w:hAnsi="Times New Roman"/>
          <w:sz w:val="18"/>
          <w:szCs w:val="18"/>
          <w:color w:val="auto"/>
        </w:rPr>
      </w:pPr>
    </w:p>
    <w:p>
      <w:pPr>
        <w:ind w:left="-20" w:right="40" w:firstLine="1400"/>
        <w:spacing w:after="0" w:line="250" w:lineRule="auto"/>
        <w:tabs>
          <w:tab w:leader="none" w:pos="1581"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person engaged to provide consulting or advisory services (other than as an Employee or a Director)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Participating Company, provided that the identity of such person, the nature of such services or the entity to which such services are provided would not preclude the Company from offering or selling securities to such person pursuant to the Plan in reliance on either the exemption from registration provided by Rule 701 under the Securities Act or, if the Company is required to file reports pursuant to Section 13 or 15(d) of the Exchange Act, registration on a Form S-8 Registration Statement under the Securities Act.</w:t>
      </w:r>
    </w:p>
    <w:p>
      <w:pPr>
        <w:spacing w:after="0" w:line="77" w:lineRule="exact"/>
        <w:rPr>
          <w:rFonts w:ascii="Times New Roman" w:cs="Times New Roman" w:eastAsia="Times New Roman" w:hAnsi="Times New Roman"/>
          <w:sz w:val="18"/>
          <w:szCs w:val="18"/>
          <w:color w:val="auto"/>
        </w:rPr>
      </w:pPr>
    </w:p>
    <w:p>
      <w:pPr>
        <w:ind w:left="1580" w:hanging="200"/>
        <w:spacing w:after="0"/>
        <w:tabs>
          <w:tab w:leader="none" w:pos="15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member of the Board.</w:t>
      </w:r>
    </w:p>
    <w:p>
      <w:pPr>
        <w:spacing w:after="0" w:line="108" w:lineRule="exact"/>
        <w:rPr>
          <w:rFonts w:ascii="Times New Roman" w:cs="Times New Roman" w:eastAsia="Times New Roman" w:hAnsi="Times New Roman"/>
          <w:sz w:val="18"/>
          <w:szCs w:val="18"/>
          <w:color w:val="auto"/>
        </w:rPr>
      </w:pPr>
    </w:p>
    <w:p>
      <w:pPr>
        <w:ind w:left="-20" w:right="40" w:firstLine="1400"/>
        <w:spacing w:after="0" w:line="272" w:lineRule="auto"/>
        <w:tabs>
          <w:tab w:leader="none" w:pos="162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inability of the Participant, in the opinion of a qualified physician acceptable to the Company, to perform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major duties of the Participant’s position with the Participating Company Group because of the sickness or injury of the Participant.</w:t>
      </w:r>
    </w:p>
    <w:p>
      <w:pPr>
        <w:spacing w:after="0" w:line="55" w:lineRule="exact"/>
        <w:rPr>
          <w:rFonts w:ascii="Times New Roman" w:cs="Times New Roman" w:eastAsia="Times New Roman" w:hAnsi="Times New Roman"/>
          <w:sz w:val="18"/>
          <w:szCs w:val="18"/>
          <w:color w:val="auto"/>
        </w:rPr>
      </w:pPr>
    </w:p>
    <w:p>
      <w:pPr>
        <w:ind w:left="-20" w:right="60" w:firstLine="1400"/>
        <w:spacing w:after="0" w:line="258" w:lineRule="auto"/>
        <w:tabs>
          <w:tab w:leader="none" w:pos="1581"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Dividend Equivalent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right of a Participant, granted at the discretion of the Board or as otherwise provided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to receive a credit for the account of such Participant in an amount equal to the cash dividends paid on one share of Stock for each share of Stock represented by an Award held by such Participant.</w:t>
      </w:r>
    </w:p>
    <w:p>
      <w:pPr>
        <w:spacing w:after="0" w:line="67" w:lineRule="exact"/>
        <w:rPr>
          <w:rFonts w:ascii="Times New Roman" w:cs="Times New Roman" w:eastAsia="Times New Roman" w:hAnsi="Times New Roman"/>
          <w:sz w:val="18"/>
          <w:szCs w:val="18"/>
          <w:color w:val="auto"/>
        </w:rPr>
      </w:pPr>
    </w:p>
    <w:p>
      <w:pPr>
        <w:ind w:left="-20" w:firstLine="1400"/>
        <w:spacing w:after="0" w:line="282" w:lineRule="auto"/>
        <w:tabs>
          <w:tab w:leader="none" w:pos="1669"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Employee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means any person treated as an employee (including an Officer or a Director who is also treated as an employee)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56" w:lineRule="exact"/>
        <w:rPr>
          <w:rFonts w:ascii="Times New Roman" w:cs="Times New Roman" w:eastAsia="Times New Roman" w:hAnsi="Times New Roman"/>
          <w:sz w:val="16"/>
          <w:szCs w:val="16"/>
          <w:color w:val="auto"/>
        </w:rPr>
      </w:pPr>
    </w:p>
    <w:p>
      <w:pPr>
        <w:ind w:left="1620" w:hanging="240"/>
        <w:spacing w:after="0"/>
        <w:tabs>
          <w:tab w:leader="none" w:pos="162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Securities Exchange Act of 1934, as amended.</w:t>
      </w:r>
    </w:p>
    <w:p>
      <w:pPr>
        <w:spacing w:after="0" w:line="108" w:lineRule="exact"/>
        <w:rPr>
          <w:rFonts w:ascii="Times New Roman" w:cs="Times New Roman" w:eastAsia="Times New Roman" w:hAnsi="Times New Roman"/>
          <w:sz w:val="18"/>
          <w:szCs w:val="18"/>
          <w:color w:val="auto"/>
        </w:rPr>
      </w:pPr>
    </w:p>
    <w:p>
      <w:pPr>
        <w:ind w:left="-20" w:right="260" w:firstLine="1400"/>
        <w:spacing w:after="0" w:line="336" w:lineRule="auto"/>
        <w:tabs>
          <w:tab w:leader="none" w:pos="1620"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Fair Market Value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means, as of any date, the value of a share of Stock or other property as determined by the Board, in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discretion, or by the Company, in its discretion, if such determination is expressly allocated to the Company herein, subject to the following:</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80"/>
          </w:cols>
          <w:pgMar w:left="600" w:top="261" w:right="619" w:bottom="1440" w:gutter="0" w:footer="0" w:header="0"/>
        </w:sectPr>
      </w:pPr>
    </w:p>
    <w:bookmarkStart w:id="441" w:name="page442"/>
    <w:bookmarkEnd w:id="441"/>
    <w:p>
      <w:pPr>
        <w:ind w:right="120" w:firstLine="1936"/>
        <w:spacing w:after="0" w:line="248" w:lineRule="auto"/>
        <w:tabs>
          <w:tab w:leader="none" w:pos="2137"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Board, in its discretion.</w:t>
      </w:r>
    </w:p>
    <w:p>
      <w:pPr>
        <w:spacing w:after="0" w:line="82" w:lineRule="exact"/>
        <w:rPr>
          <w:rFonts w:ascii="Times New Roman" w:cs="Times New Roman" w:eastAsia="Times New Roman" w:hAnsi="Times New Roman"/>
          <w:sz w:val="18"/>
          <w:szCs w:val="18"/>
          <w:color w:val="auto"/>
        </w:rPr>
      </w:pPr>
    </w:p>
    <w:p>
      <w:pPr>
        <w:ind w:right="140" w:firstLine="1936"/>
        <w:spacing w:after="0" w:line="255" w:lineRule="auto"/>
        <w:tabs>
          <w:tab w:leader="none" w:pos="2186"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such date, the Stock is not listed or quoted on a national or regional securities exchange or quotation system, the Fair Market Value of a share of Stock shall be as determined by the Board in good faith without regard to any restriction other than a restriction which, by its terms, will never lapse, and in a manner consistent with the requirements of Section 409A.</w:t>
      </w:r>
    </w:p>
    <w:p>
      <w:pPr>
        <w:spacing w:after="0" w:line="71" w:lineRule="exact"/>
        <w:rPr>
          <w:rFonts w:ascii="Times New Roman" w:cs="Times New Roman" w:eastAsia="Times New Roman" w:hAnsi="Times New Roman"/>
          <w:sz w:val="18"/>
          <w:szCs w:val="18"/>
          <w:color w:val="auto"/>
        </w:rPr>
      </w:pPr>
    </w:p>
    <w:p>
      <w:pPr>
        <w:ind w:right="440" w:firstLine="1400"/>
        <w:spacing w:after="0" w:line="272" w:lineRule="auto"/>
        <w:tabs>
          <w:tab w:leader="none" w:pos="16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Option intended to be (as set forth in the Award Agreement) and which qualifies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stock option within the meaning of Section 422(b) of the Code.</w:t>
      </w:r>
    </w:p>
    <w:p>
      <w:pPr>
        <w:spacing w:after="0" w:line="55" w:lineRule="exact"/>
        <w:rPr>
          <w:rFonts w:ascii="Times New Roman" w:cs="Times New Roman" w:eastAsia="Times New Roman" w:hAnsi="Times New Roman"/>
          <w:sz w:val="18"/>
          <w:szCs w:val="18"/>
          <w:color w:val="auto"/>
        </w:rPr>
      </w:pPr>
    </w:p>
    <w:p>
      <w:pPr>
        <w:ind w:right="180" w:firstLine="1400"/>
        <w:spacing w:after="0" w:line="253" w:lineRule="auto"/>
        <w:tabs>
          <w:tab w:leader="none" w:pos="16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Incumbent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director who either (i) is a member of the Board as of the Effective Date or (ii) is elected,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spacing w:after="0" w:line="72" w:lineRule="exact"/>
        <w:rPr>
          <w:rFonts w:ascii="Times New Roman" w:cs="Times New Roman" w:eastAsia="Times New Roman" w:hAnsi="Times New Roman"/>
          <w:sz w:val="18"/>
          <w:szCs w:val="18"/>
          <w:color w:val="auto"/>
        </w:rPr>
      </w:pPr>
    </w:p>
    <w:p>
      <w:pPr>
        <w:ind w:left="1620" w:hanging="220"/>
        <w:spacing w:after="0"/>
        <w:tabs>
          <w:tab w:leader="none" w:pos="16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Officer, a Director or other person whose transactions in Stock are subject to Section 16 of the Exchange</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w:t>
      </w:r>
    </w:p>
    <w:p>
      <w:pPr>
        <w:spacing w:after="0" w:line="86" w:lineRule="exact"/>
        <w:rPr>
          <w:rFonts w:ascii="Times New Roman" w:cs="Times New Roman" w:eastAsia="Times New Roman" w:hAnsi="Times New Roman"/>
          <w:sz w:val="18"/>
          <w:szCs w:val="18"/>
          <w:color w:val="auto"/>
        </w:rPr>
      </w:pPr>
    </w:p>
    <w:p>
      <w:pPr>
        <w:ind w:right="440" w:firstLine="1400"/>
        <w:spacing w:after="0" w:line="272" w:lineRule="auto"/>
        <w:tabs>
          <w:tab w:leader="none" w:pos="1621"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Option not intended to be (as set forth in the Award Agreement) or which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as an incentive stock option within the meaning of Section 422(b) of the Code.</w:t>
      </w:r>
    </w:p>
    <w:p>
      <w:pPr>
        <w:spacing w:after="0" w:line="55" w:lineRule="exact"/>
        <w:rPr>
          <w:rFonts w:ascii="Times New Roman" w:cs="Times New Roman" w:eastAsia="Times New Roman" w:hAnsi="Times New Roman"/>
          <w:sz w:val="18"/>
          <w:szCs w:val="18"/>
          <w:color w:val="auto"/>
        </w:rPr>
      </w:pPr>
    </w:p>
    <w:p>
      <w:pPr>
        <w:ind w:left="1600" w:hanging="200"/>
        <w:spacing w:after="0"/>
        <w:tabs>
          <w:tab w:leader="none" w:pos="16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person designated by the Board as an officer of the Company.</w:t>
      </w:r>
    </w:p>
    <w:p>
      <w:pPr>
        <w:spacing w:after="0" w:line="108" w:lineRule="exact"/>
        <w:rPr>
          <w:rFonts w:ascii="Times New Roman" w:cs="Times New Roman" w:eastAsia="Times New Roman" w:hAnsi="Times New Roman"/>
          <w:sz w:val="18"/>
          <w:szCs w:val="18"/>
          <w:color w:val="auto"/>
        </w:rPr>
      </w:pPr>
    </w:p>
    <w:p>
      <w:pPr>
        <w:ind w:left="1640" w:hanging="240"/>
        <w:spacing w:after="0"/>
        <w:tabs>
          <w:tab w:leader="none" w:pos="16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Incentive Stock Option or a Nonstatutory Stock Option granted pursuant to the Plan.</w:t>
      </w:r>
    </w:p>
    <w:p>
      <w:pPr>
        <w:spacing w:after="0" w:line="108" w:lineRule="exact"/>
        <w:rPr>
          <w:rFonts w:ascii="Times New Roman" w:cs="Times New Roman" w:eastAsia="Times New Roman" w:hAnsi="Times New Roman"/>
          <w:sz w:val="18"/>
          <w:szCs w:val="18"/>
          <w:color w:val="auto"/>
        </w:rPr>
      </w:pPr>
    </w:p>
    <w:p>
      <w:pPr>
        <w:ind w:firstLine="1400"/>
        <w:spacing w:after="0" w:line="250" w:lineRule="auto"/>
        <w:tabs>
          <w:tab w:leader="none" w:pos="16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Ownership Change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occurrence of any of the following with respect to the Company: (i) the direct or indirect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00"/>
          </w:cols>
          <w:pgMar w:left="580" w:top="265" w:right="619" w:bottom="1440" w:gutter="0" w:footer="0" w:header="0"/>
        </w:sectPr>
      </w:pPr>
    </w:p>
    <w:bookmarkStart w:id="442" w:name="page443"/>
    <w:bookmarkEnd w:id="442"/>
    <w:p>
      <w:pPr>
        <w:ind w:left="1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(w)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Parent Corporation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any present or future “parent corporation” of the Company, as defined in Section 424(e) of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86" w:lineRule="exact"/>
        <w:rPr>
          <w:sz w:val="20"/>
          <w:szCs w:val="20"/>
          <w:color w:val="auto"/>
        </w:rPr>
      </w:pPr>
    </w:p>
    <w:p>
      <w:pPr>
        <w:ind w:left="1640" w:hanging="240"/>
        <w:spacing w:after="0"/>
        <w:tabs>
          <w:tab w:leader="none" w:pos="16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xml:space="preserve"> means any eligible person who has been granted one or more Awards.</w:t>
      </w:r>
    </w:p>
    <w:p>
      <w:pPr>
        <w:spacing w:after="0" w:line="108" w:lineRule="exact"/>
        <w:rPr>
          <w:rFonts w:ascii="Times New Roman" w:cs="Times New Roman" w:eastAsia="Times New Roman" w:hAnsi="Times New Roman"/>
          <w:sz w:val="18"/>
          <w:szCs w:val="18"/>
          <w:color w:val="auto"/>
        </w:rPr>
      </w:pPr>
    </w:p>
    <w:p>
      <w:pPr>
        <w:ind w:left="1640" w:hanging="240"/>
        <w:spacing w:after="0"/>
        <w:tabs>
          <w:tab w:leader="none" w:pos="16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Participating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Company or any Parent Corporation or Subsidiary Corporation.</w:t>
      </w:r>
    </w:p>
    <w:p>
      <w:pPr>
        <w:spacing w:after="0" w:line="108" w:lineRule="exact"/>
        <w:rPr>
          <w:rFonts w:ascii="Times New Roman" w:cs="Times New Roman" w:eastAsia="Times New Roman" w:hAnsi="Times New Roman"/>
          <w:sz w:val="18"/>
          <w:szCs w:val="18"/>
          <w:color w:val="auto"/>
        </w:rPr>
      </w:pPr>
    </w:p>
    <w:p>
      <w:pPr>
        <w:ind w:left="1640" w:hanging="240"/>
        <w:spacing w:after="0"/>
        <w:tabs>
          <w:tab w:leader="none" w:pos="164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Participating Company Group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means, at any point in time, all entities collectively which are then Participating Companies.</w:t>
      </w:r>
    </w:p>
    <w:p>
      <w:pPr>
        <w:spacing w:after="0" w:line="131" w:lineRule="exact"/>
        <w:rPr>
          <w:rFonts w:ascii="Times New Roman" w:cs="Times New Roman" w:eastAsia="Times New Roman" w:hAnsi="Times New Roman"/>
          <w:sz w:val="16"/>
          <w:szCs w:val="16"/>
          <w:color w:val="auto"/>
        </w:rPr>
      </w:pPr>
    </w:p>
    <w:p>
      <w:pPr>
        <w:ind w:left="1720" w:hanging="320"/>
        <w:spacing w:after="0"/>
        <w:tabs>
          <w:tab w:leader="none" w:pos="172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in the form of a Restricted Stock Bonus or a Restricted Stock Purchase Right.</w:t>
      </w:r>
    </w:p>
    <w:p>
      <w:pPr>
        <w:spacing w:after="0" w:line="108" w:lineRule="exact"/>
        <w:rPr>
          <w:rFonts w:ascii="Times New Roman" w:cs="Times New Roman" w:eastAsia="Times New Roman" w:hAnsi="Times New Roman"/>
          <w:sz w:val="18"/>
          <w:szCs w:val="18"/>
          <w:color w:val="auto"/>
        </w:rPr>
      </w:pPr>
    </w:p>
    <w:p>
      <w:pPr>
        <w:ind w:left="1740" w:hanging="340"/>
        <w:spacing w:after="0"/>
        <w:tabs>
          <w:tab w:leader="none" w:pos="17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Stock Bonus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Stock granted to a Participant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1720" w:hanging="320"/>
        <w:spacing w:after="0"/>
        <w:tabs>
          <w:tab w:leader="none" w:pos="172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Stock Purchase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right to purchase Stock granted to a Participant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to Section 7</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60" w:firstLine="1400"/>
        <w:spacing w:after="0" w:line="272" w:lineRule="auto"/>
        <w:tabs>
          <w:tab w:leader="none" w:pos="172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right granted to a Participant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receive on a future date or event a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Stock or cash in lieu thereof, as determined by the Board.</w:t>
      </w:r>
    </w:p>
    <w:p>
      <w:pPr>
        <w:spacing w:after="0" w:line="55" w:lineRule="exact"/>
        <w:rPr>
          <w:rFonts w:ascii="Times New Roman" w:cs="Times New Roman" w:eastAsia="Times New Roman" w:hAnsi="Times New Roman"/>
          <w:sz w:val="18"/>
          <w:szCs w:val="18"/>
          <w:color w:val="auto"/>
        </w:rPr>
      </w:pPr>
    </w:p>
    <w:p>
      <w:pPr>
        <w:ind w:left="1720" w:hanging="320"/>
        <w:spacing w:after="0"/>
        <w:tabs>
          <w:tab w:leader="none" w:pos="1720"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Rule 16b-3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means Rule 16b-3 under the Exchange Act, as amended from time to time, or any successor rule or regulation.</w:t>
      </w:r>
    </w:p>
    <w:p>
      <w:pPr>
        <w:spacing w:after="0" w:line="131" w:lineRule="exact"/>
        <w:rPr>
          <w:rFonts w:ascii="Times New Roman" w:cs="Times New Roman" w:eastAsia="Times New Roman" w:hAnsi="Times New Roman"/>
          <w:sz w:val="16"/>
          <w:szCs w:val="16"/>
          <w:color w:val="auto"/>
        </w:rPr>
      </w:pPr>
    </w:p>
    <w:p>
      <w:pPr>
        <w:ind w:left="1680" w:hanging="280"/>
        <w:spacing w:after="0"/>
        <w:tabs>
          <w:tab w:leader="none" w:pos="16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Section 409A of the Code.</w:t>
      </w:r>
    </w:p>
    <w:p>
      <w:pPr>
        <w:spacing w:after="0" w:line="108" w:lineRule="exact"/>
        <w:rPr>
          <w:rFonts w:ascii="Times New Roman" w:cs="Times New Roman" w:eastAsia="Times New Roman" w:hAnsi="Times New Roman"/>
          <w:sz w:val="18"/>
          <w:szCs w:val="18"/>
          <w:color w:val="auto"/>
        </w:rPr>
      </w:pPr>
    </w:p>
    <w:p>
      <w:pPr>
        <w:ind w:left="1740" w:hanging="340"/>
        <w:spacing w:after="0"/>
        <w:tabs>
          <w:tab w:leader="none" w:pos="17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Securities Act of 1933, as amended.</w:t>
      </w:r>
    </w:p>
    <w:p>
      <w:pPr>
        <w:spacing w:after="0" w:line="108" w:lineRule="exact"/>
        <w:rPr>
          <w:rFonts w:ascii="Times New Roman" w:cs="Times New Roman" w:eastAsia="Times New Roman" w:hAnsi="Times New Roman"/>
          <w:sz w:val="18"/>
          <w:szCs w:val="18"/>
          <w:color w:val="auto"/>
        </w:rPr>
      </w:pPr>
    </w:p>
    <w:p>
      <w:pPr>
        <w:ind w:firstLine="1400"/>
        <w:spacing w:after="0" w:line="246" w:lineRule="auto"/>
        <w:tabs>
          <w:tab w:leader="none" w:pos="172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Participant’s employment or service with the Participating Company Group, whether as an Employee,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or a Consultant. Unless otherwise provided by the Board,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However, unless otherwise provided by the Board,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A Participant’s Service shall be deemed to have terminated either upon an actual termination of Service or upon the business entity for which the Participant performs Service ceasing to be a</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00"/>
          </w:cols>
          <w:pgMar w:left="580" w:top="261" w:right="619" w:bottom="1440" w:gutter="0" w:footer="0" w:header="0"/>
        </w:sectPr>
      </w:pPr>
    </w:p>
    <w:bookmarkStart w:id="443" w:name="page444"/>
    <w:bookmarkEnd w:id="443"/>
    <w:p>
      <w:pPr>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Participating Company. Subject to the foregoing, the Company, in its discretion, shall determine whether the Participant’s Service has terminated and the effective date of and reason for such termination.</w:t>
      </w:r>
    </w:p>
    <w:p>
      <w:pPr>
        <w:spacing w:after="0" w:line="61" w:lineRule="exact"/>
        <w:rPr>
          <w:sz w:val="20"/>
          <w:szCs w:val="20"/>
          <w:color w:val="auto"/>
        </w:rPr>
      </w:pPr>
    </w:p>
    <w:p>
      <w:pPr>
        <w:ind w:left="1660" w:hanging="260"/>
        <w:spacing w:after="0"/>
        <w:tabs>
          <w:tab w:leader="none" w:pos="16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non-voting common stock of the Company, as adjusted from time to time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1660" w:hanging="260"/>
        <w:spacing w:after="0"/>
        <w:tabs>
          <w:tab w:leader="none" w:pos="1660" w:val="left"/>
        </w:tabs>
        <w:numPr>
          <w:ilvl w:val="0"/>
          <w:numId w:val="2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Subsidiary Corporation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means any present or future “subsidiary corporation” of the Company, as defined in Section 424(f) of</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Code.</w:t>
      </w:r>
    </w:p>
    <w:p>
      <w:pPr>
        <w:spacing w:after="0" w:line="86" w:lineRule="exact"/>
        <w:rPr>
          <w:sz w:val="20"/>
          <w:szCs w:val="20"/>
          <w:color w:val="auto"/>
        </w:rPr>
      </w:pPr>
    </w:p>
    <w:p>
      <w:pPr>
        <w:ind w:right="20" w:firstLine="1400"/>
        <w:spacing w:after="0" w:line="258" w:lineRule="auto"/>
        <w:tabs>
          <w:tab w:leader="none" w:pos="172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person who, at the time an Award is granted to such person, owns stock possessing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ten percent (10%) of the total combined voting power of all classes of stock of a Participating Company within the meaning of Section 422(b)(6) of the Code.</w:t>
      </w:r>
    </w:p>
    <w:p>
      <w:pPr>
        <w:spacing w:after="0" w:line="67" w:lineRule="exact"/>
        <w:rPr>
          <w:rFonts w:ascii="Times New Roman" w:cs="Times New Roman" w:eastAsia="Times New Roman" w:hAnsi="Times New Roman"/>
          <w:sz w:val="18"/>
          <w:szCs w:val="18"/>
          <w:color w:val="auto"/>
        </w:rPr>
      </w:pPr>
    </w:p>
    <w:p>
      <w:pPr>
        <w:jc w:val="both"/>
        <w:ind w:right="500" w:firstLine="1400"/>
        <w:spacing w:after="0" w:line="258" w:lineRule="auto"/>
        <w:tabs>
          <w:tab w:leader="none" w:pos="165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Trading Compliance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written policy of the Company pertaining to the purchase, sale, transfer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 of the Company’s equity securities by Directors, Officers, Employees or other service providers who may possess material, nonpublic information regarding the Company or its securities.</w:t>
      </w:r>
    </w:p>
    <w:p>
      <w:pPr>
        <w:spacing w:after="0" w:line="67" w:lineRule="exact"/>
        <w:rPr>
          <w:rFonts w:ascii="Times New Roman" w:cs="Times New Roman" w:eastAsia="Times New Roman" w:hAnsi="Times New Roman"/>
          <w:sz w:val="18"/>
          <w:szCs w:val="18"/>
          <w:color w:val="auto"/>
        </w:rPr>
      </w:pPr>
    </w:p>
    <w:p>
      <w:pPr>
        <w:ind w:right="380" w:firstLine="1400"/>
        <w:spacing w:after="0" w:line="305" w:lineRule="auto"/>
        <w:tabs>
          <w:tab w:leader="none" w:pos="1825" w:val="left"/>
        </w:tabs>
        <w:numPr>
          <w:ilvl w:val="0"/>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Vesting Conditions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 those conditions established in accordance with the Plan prior to the satisfaction of which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w:t>
      </w:r>
    </w:p>
    <w:p>
      <w:pPr>
        <w:spacing w:after="0" w:line="36" w:lineRule="exact"/>
        <w:rPr>
          <w:sz w:val="20"/>
          <w:szCs w:val="20"/>
          <w:color w:val="auto"/>
        </w:rPr>
      </w:pPr>
    </w:p>
    <w:p>
      <w:pPr>
        <w:jc w:val="both"/>
        <w:ind w:right="80" w:firstLine="964"/>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388" w:lineRule="exact"/>
        <w:rPr>
          <w:sz w:val="20"/>
          <w:szCs w:val="20"/>
          <w:color w:val="auto"/>
        </w:rPr>
      </w:pPr>
    </w:p>
    <w:p>
      <w:pPr>
        <w:ind w:left="620" w:hanging="184"/>
        <w:spacing w:after="0"/>
        <w:tabs>
          <w:tab w:leader="none" w:pos="6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4"/>
          <w:szCs w:val="14"/>
          <w:b w:val="1"/>
          <w:bCs w:val="1"/>
          <w:u w:val="single" w:color="auto"/>
          <w:color w:val="auto"/>
        </w:rPr>
        <w:t>DMINISTRATION</w:t>
      </w:r>
      <w:r>
        <w:rPr>
          <w:rFonts w:ascii="Times New Roman" w:cs="Times New Roman" w:eastAsia="Times New Roman" w:hAnsi="Times New Roman"/>
          <w:sz w:val="18"/>
          <w:szCs w:val="18"/>
          <w:b w:val="1"/>
          <w:bCs w:val="1"/>
          <w:u w:val="single" w:color="auto"/>
          <w:color w:val="auto"/>
        </w:rPr>
        <w:t>.</w:t>
      </w:r>
    </w:p>
    <w:p>
      <w:pPr>
        <w:spacing w:after="0" w:line="108" w:lineRule="exact"/>
        <w:rPr>
          <w:sz w:val="20"/>
          <w:szCs w:val="20"/>
          <w:color w:val="auto"/>
        </w:rPr>
      </w:pPr>
    </w:p>
    <w:p>
      <w:pPr>
        <w:ind w:right="80" w:firstLine="964"/>
        <w:spacing w:after="0" w:line="247"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Administration by the Board.</w:t>
      </w:r>
      <w:r>
        <w:rPr>
          <w:rFonts w:ascii="Times New Roman" w:cs="Times New Roman" w:eastAsia="Times New Roman" w:hAnsi="Times New Roman"/>
          <w:sz w:val="18"/>
          <w:szCs w:val="18"/>
          <w:color w:val="auto"/>
        </w:rPr>
        <w:t xml:space="preserve"> The Plan shall be administered by the Board. All questions of interpretation of the Plan, of any Award Agreement or of any other form of agreement or other document employed by the Company in the administration of the Plan or of any Award shall be determined by the Board, and such determinations shall be final, binding and conclusive upon all persons having an interest in the Plan or such Award, unless fraudulent or made in bad faith. Any and all actions, decisions and determinations taken or made by the Board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p>
    <w:p>
      <w:pPr>
        <w:spacing w:after="0" w:line="84" w:lineRule="exact"/>
        <w:rPr>
          <w:sz w:val="20"/>
          <w:szCs w:val="20"/>
          <w:color w:val="auto"/>
        </w:rPr>
      </w:pPr>
    </w:p>
    <w:p>
      <w:pPr>
        <w:ind w:right="520" w:firstLine="964"/>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Authority of Officers.</w:t>
      </w:r>
      <w:r>
        <w:rPr>
          <w:rFonts w:ascii="Times New Roman" w:cs="Times New Roman" w:eastAsia="Times New Roman" w:hAnsi="Times New Roman"/>
          <w:sz w:val="18"/>
          <w:szCs w:val="18"/>
          <w:color w:val="auto"/>
        </w:rPr>
        <w:t xml:space="preserve">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00"/>
          </w:cols>
          <w:pgMar w:left="580" w:top="265" w:right="619" w:bottom="1440" w:gutter="0" w:footer="0" w:header="0"/>
        </w:sectPr>
      </w:pPr>
    </w:p>
    <w:bookmarkStart w:id="444" w:name="page445"/>
    <w:bookmarkEnd w:id="444"/>
    <w:p>
      <w:pPr>
        <w:ind w:right="260" w:firstLine="964"/>
        <w:spacing w:after="0" w:line="27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3.3 </w:t>
      </w:r>
      <w:r>
        <w:rPr>
          <w:rFonts w:ascii="Times New Roman" w:cs="Times New Roman" w:eastAsia="Times New Roman" w:hAnsi="Times New Roman"/>
          <w:sz w:val="18"/>
          <w:szCs w:val="18"/>
          <w:b w:val="1"/>
          <w:bCs w:val="1"/>
          <w:color w:val="auto"/>
        </w:rPr>
        <w:t>Powers of the Board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In addition to any other powers set forth in the Plan and subject to the provisions of the Plan, the Board shall have the full and final power and authority, in its discretion:</w:t>
      </w:r>
    </w:p>
    <w:p>
      <w:pPr>
        <w:spacing w:after="0" w:line="60" w:lineRule="exact"/>
        <w:rPr>
          <w:sz w:val="20"/>
          <w:szCs w:val="20"/>
          <w:color w:val="auto"/>
        </w:rPr>
      </w:pPr>
    </w:p>
    <w:p>
      <w:pPr>
        <w:ind w:right="80" w:firstLine="1400"/>
        <w:spacing w:after="0" w:line="267" w:lineRule="auto"/>
        <w:tabs>
          <w:tab w:leader="none" w:pos="1631"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persons to whom, and the time or times at which, Awards shall be granted and the number of shares of Stock or units to be subject to each Award;</w:t>
      </w:r>
    </w:p>
    <w:p>
      <w:pPr>
        <w:spacing w:after="0" w:line="64" w:lineRule="exact"/>
        <w:rPr>
          <w:rFonts w:ascii="Times New Roman" w:cs="Times New Roman" w:eastAsia="Times New Roman" w:hAnsi="Times New Roman"/>
          <w:sz w:val="18"/>
          <w:szCs w:val="18"/>
          <w:color w:val="auto"/>
        </w:rPr>
      </w:pPr>
    </w:p>
    <w:p>
      <w:pPr>
        <w:ind w:left="1640" w:hanging="240"/>
        <w:spacing w:after="0"/>
        <w:tabs>
          <w:tab w:leader="none" w:pos="16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type of Award granted;</w:t>
      </w:r>
    </w:p>
    <w:p>
      <w:pPr>
        <w:spacing w:after="0" w:line="108" w:lineRule="exact"/>
        <w:rPr>
          <w:rFonts w:ascii="Times New Roman" w:cs="Times New Roman" w:eastAsia="Times New Roman" w:hAnsi="Times New Roman"/>
          <w:sz w:val="18"/>
          <w:szCs w:val="18"/>
          <w:color w:val="auto"/>
        </w:rPr>
      </w:pPr>
    </w:p>
    <w:p>
      <w:pPr>
        <w:ind w:left="1640" w:hanging="240"/>
        <w:spacing w:after="0"/>
        <w:tabs>
          <w:tab w:leader="none" w:pos="16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 of shares of Stock or other property;</w:t>
      </w:r>
    </w:p>
    <w:p>
      <w:pPr>
        <w:spacing w:after="0" w:line="108" w:lineRule="exact"/>
        <w:rPr>
          <w:rFonts w:ascii="Times New Roman" w:cs="Times New Roman" w:eastAsia="Times New Roman" w:hAnsi="Times New Roman"/>
          <w:sz w:val="18"/>
          <w:szCs w:val="18"/>
          <w:color w:val="auto"/>
        </w:rPr>
      </w:pPr>
    </w:p>
    <w:p>
      <w:pPr>
        <w:ind w:right="180" w:firstLine="1400"/>
        <w:spacing w:after="0" w:line="247" w:lineRule="auto"/>
        <w:tabs>
          <w:tab w:leader="none" w:pos="16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time of expiration of any Award, (vi) the effect of any Participant’s termination of Service on any of the foregoing, and (vii) all other terms, conditions and restrictions applicable to any Award or shares acquired pursuant thereto not inconsistent with the terms of the Plan;</w:t>
      </w:r>
    </w:p>
    <w:p>
      <w:pPr>
        <w:spacing w:after="0" w:line="84" w:lineRule="exact"/>
        <w:rPr>
          <w:rFonts w:ascii="Times New Roman" w:cs="Times New Roman" w:eastAsia="Times New Roman" w:hAnsi="Times New Roman"/>
          <w:sz w:val="18"/>
          <w:szCs w:val="18"/>
          <w:color w:val="auto"/>
        </w:rPr>
      </w:pPr>
    </w:p>
    <w:p>
      <w:pPr>
        <w:ind w:left="1640" w:hanging="240"/>
        <w:spacing w:after="0"/>
        <w:tabs>
          <w:tab w:leader="none" w:pos="16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 Award will be settled in shares of Stock, cash, other property or in any combination thereof;</w:t>
      </w:r>
    </w:p>
    <w:p>
      <w:pPr>
        <w:spacing w:after="0" w:line="108" w:lineRule="exact"/>
        <w:rPr>
          <w:rFonts w:ascii="Times New Roman" w:cs="Times New Roman" w:eastAsia="Times New Roman" w:hAnsi="Times New Roman"/>
          <w:sz w:val="18"/>
          <w:szCs w:val="18"/>
          <w:color w:val="auto"/>
        </w:rPr>
      </w:pPr>
    </w:p>
    <w:p>
      <w:pPr>
        <w:ind w:left="1620" w:hanging="220"/>
        <w:spacing w:after="0"/>
        <w:tabs>
          <w:tab w:leader="none" w:pos="162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forms of Award Agreement;</w:t>
      </w:r>
    </w:p>
    <w:p>
      <w:pPr>
        <w:spacing w:after="0" w:line="108" w:lineRule="exact"/>
        <w:rPr>
          <w:rFonts w:ascii="Times New Roman" w:cs="Times New Roman" w:eastAsia="Times New Roman" w:hAnsi="Times New Roman"/>
          <w:sz w:val="18"/>
          <w:szCs w:val="18"/>
          <w:color w:val="auto"/>
        </w:rPr>
      </w:pPr>
    </w:p>
    <w:p>
      <w:pPr>
        <w:ind w:right="140" w:firstLine="1400"/>
        <w:spacing w:after="0" w:line="267" w:lineRule="auto"/>
        <w:tabs>
          <w:tab w:leader="none" w:pos="16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modify, extend, cancel or renew any Award or to waive any restrictions or conditions applicable to any Award or any shares acquired pursuant thereto;</w:t>
      </w:r>
    </w:p>
    <w:p>
      <w:pPr>
        <w:spacing w:after="0" w:line="64" w:lineRule="exact"/>
        <w:rPr>
          <w:rFonts w:ascii="Times New Roman" w:cs="Times New Roman" w:eastAsia="Times New Roman" w:hAnsi="Times New Roman"/>
          <w:sz w:val="18"/>
          <w:szCs w:val="18"/>
          <w:color w:val="auto"/>
        </w:rPr>
      </w:pPr>
    </w:p>
    <w:p>
      <w:pPr>
        <w:ind w:right="180" w:firstLine="1400"/>
        <w:spacing w:after="0" w:line="267" w:lineRule="auto"/>
        <w:tabs>
          <w:tab w:leader="none" w:pos="16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reprice or otherwise adjust the exercise price of any Option, or to grant in substitution for any Option a new Award covering the same or different number of shares of Stock;</w:t>
      </w:r>
    </w:p>
    <w:p>
      <w:pPr>
        <w:spacing w:after="0" w:line="64" w:lineRule="exact"/>
        <w:rPr>
          <w:rFonts w:ascii="Times New Roman" w:cs="Times New Roman" w:eastAsia="Times New Roman" w:hAnsi="Times New Roman"/>
          <w:sz w:val="18"/>
          <w:szCs w:val="18"/>
          <w:color w:val="auto"/>
        </w:rPr>
      </w:pPr>
    </w:p>
    <w:p>
      <w:pPr>
        <w:ind w:right="580" w:firstLine="1400"/>
        <w:spacing w:after="0" w:line="267" w:lineRule="auto"/>
        <w:tabs>
          <w:tab w:leader="none" w:pos="1602"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continue, extend or defer the exercisability or vesting of any Award or any shares acquired pursuant thereto, including with respect to the period following a Participant’s termination of Service;</w:t>
      </w:r>
    </w:p>
    <w:p>
      <w:pPr>
        <w:spacing w:after="0" w:line="64" w:lineRule="exact"/>
        <w:rPr>
          <w:rFonts w:ascii="Times New Roman" w:cs="Times New Roman" w:eastAsia="Times New Roman" w:hAnsi="Times New Roman"/>
          <w:sz w:val="18"/>
          <w:szCs w:val="18"/>
          <w:color w:val="auto"/>
        </w:rPr>
      </w:pPr>
    </w:p>
    <w:p>
      <w:pPr>
        <w:ind w:firstLine="1400"/>
        <w:spacing w:after="0" w:line="255" w:lineRule="auto"/>
        <w:tabs>
          <w:tab w:leader="none" w:pos="1602"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or rescind rules, guidelines and policies relating to the Plan, or to adopt sub-plans or supplements to, or alternative versions of, the Plan, including, without limitation, as the Board deems necessary or desirable to comply with the laws of, or to accommodate the tax policy, accounting principles or custom of, foreign jurisdictions whose residents may be granted Awards; and</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00"/>
          </w:cols>
          <w:pgMar w:left="580" w:top="261" w:right="619" w:bottom="1440" w:gutter="0" w:footer="0" w:header="0"/>
        </w:sectPr>
      </w:pPr>
    </w:p>
    <w:bookmarkStart w:id="445" w:name="page446"/>
    <w:bookmarkEnd w:id="445"/>
    <w:p>
      <w:pPr>
        <w:jc w:val="both"/>
        <w:ind w:right="200" w:firstLine="1400"/>
        <w:spacing w:after="0" w:line="255" w:lineRule="auto"/>
        <w:tabs>
          <w:tab w:leader="none" w:pos="164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to correct any defect, supply any omission or reconcile any inconsistency in the Plan or any Award Agreement and to make all other determinations and take such other actions with respect to the Plan or any Award as the Board may deem advisable to the extent not inconsistent with the provisions of the Plan or applicable law.</w:t>
      </w:r>
    </w:p>
    <w:p>
      <w:pPr>
        <w:spacing w:after="0" w:line="73" w:lineRule="exact"/>
        <w:rPr>
          <w:sz w:val="20"/>
          <w:szCs w:val="20"/>
          <w:color w:val="auto"/>
        </w:rPr>
      </w:pPr>
    </w:p>
    <w:p>
      <w:pPr>
        <w:ind w:right="20" w:firstLine="964"/>
        <w:spacing w:after="0" w:line="25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Administration with Respect to Insiders.</w:t>
      </w:r>
      <w:r>
        <w:rPr>
          <w:rFonts w:ascii="Times New Roman" w:cs="Times New Roman" w:eastAsia="Times New Roman" w:hAnsi="Times New Roman"/>
          <w:sz w:val="18"/>
          <w:szCs w:val="18"/>
          <w:color w:val="auto"/>
        </w:rPr>
        <w:t xml:space="preserve">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73" w:lineRule="exact"/>
        <w:rPr>
          <w:sz w:val="20"/>
          <w:szCs w:val="20"/>
          <w:color w:val="auto"/>
        </w:rPr>
      </w:pPr>
    </w:p>
    <w:p>
      <w:pPr>
        <w:ind w:right="100" w:firstLine="964"/>
        <w:spacing w:after="0" w:line="24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xml:space="preserve"> In addition to such other rights of indemnification as they may have as members of the Board or as officers or employees of the Participating Company Group, to the extent permitted by applicable law, members of the Board and any officers or employees of the Participating Company Group to whom authority to act for the Board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294" w:lineRule="exact"/>
        <w:rPr>
          <w:sz w:val="20"/>
          <w:szCs w:val="20"/>
          <w:color w:val="auto"/>
        </w:rPr>
      </w:pPr>
    </w:p>
    <w:p>
      <w:pPr>
        <w:ind w:left="620" w:hanging="184"/>
        <w:spacing w:after="0"/>
        <w:tabs>
          <w:tab w:leader="none" w:pos="62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4"/>
          <w:szCs w:val="14"/>
          <w:b w:val="1"/>
          <w:bCs w:val="1"/>
          <w:u w:val="single" w:color="auto"/>
          <w:color w:val="auto"/>
        </w:rPr>
        <w:t>HARES</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UBJECT TO</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LAN</w:t>
      </w:r>
      <w:r>
        <w:rPr>
          <w:rFonts w:ascii="Times New Roman" w:cs="Times New Roman" w:eastAsia="Times New Roman" w:hAnsi="Times New Roman"/>
          <w:sz w:val="18"/>
          <w:szCs w:val="18"/>
          <w:b w:val="1"/>
          <w:bCs w:val="1"/>
          <w:u w:val="single" w:color="auto"/>
          <w:color w:val="auto"/>
        </w:rPr>
        <w:t>.</w:t>
      </w:r>
    </w:p>
    <w:p>
      <w:pPr>
        <w:spacing w:after="0" w:line="108" w:lineRule="exact"/>
        <w:rPr>
          <w:sz w:val="20"/>
          <w:szCs w:val="20"/>
          <w:color w:val="auto"/>
        </w:rPr>
      </w:pPr>
    </w:p>
    <w:p>
      <w:pPr>
        <w:ind w:firstLine="964"/>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Maximum Number of Shares Issuable.</w:t>
      </w:r>
      <w:r>
        <w:rPr>
          <w:rFonts w:ascii="Times New Roman" w:cs="Times New Roman" w:eastAsia="Times New Roman" w:hAnsi="Times New Roman"/>
          <w:sz w:val="18"/>
          <w:szCs w:val="18"/>
          <w:color w:val="auto"/>
        </w:rPr>
        <w:t xml:space="preserve"> Subject to adjustment as provided in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the maximum aggregate number of shares of Stock that may be issued under the Plan shall be 12,615,750 and shall consist of authorized but unissued or reacquired shares of Stock or any combination thereof.</w:t>
      </w:r>
    </w:p>
    <w:p>
      <w:pPr>
        <w:spacing w:after="0" w:line="73" w:lineRule="exact"/>
        <w:rPr>
          <w:sz w:val="20"/>
          <w:szCs w:val="20"/>
          <w:color w:val="auto"/>
        </w:rPr>
      </w:pPr>
    </w:p>
    <w:p>
      <w:pPr>
        <w:ind w:right="80" w:firstLine="964"/>
        <w:spacing w:after="0" w:line="24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Share Counting.</w:t>
      </w:r>
      <w:r>
        <w:rPr>
          <w:rFonts w:ascii="Times New Roman" w:cs="Times New Roman" w:eastAsia="Times New Roman" w:hAnsi="Times New Roman"/>
          <w:sz w:val="18"/>
          <w:szCs w:val="18"/>
          <w:color w:val="auto"/>
        </w:rPr>
        <w:t xml:space="preserve">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exercise or purchase price, the shares of Stock allocable to the terminated portion of such Award or such forfeited or repurchased shares of Stock shall again be available for issuance under the Plan. Shares of Stock shall not be deemed to have been issued pursuant to the Plan (a) with respect to any portion of an Award that is settled in cash or (b) to the extent such shares are withheld or reacquired by the Company in satisfaction of tax withholding obligations pursuant to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If the exercise price of an Option is paid by tender to the Company, or attestation to the ownership, of shares of Stock owned by the Participant, or by means of a Net Exercise, the number of shares available for issuance under the Plan shall be reduced by the net number of shares issued upon the exercise of the Option.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20"/>
          </w:cols>
          <w:pgMar w:left="580" w:top="265" w:right="599" w:bottom="1440" w:gutter="0" w:footer="0" w:header="0"/>
        </w:sectPr>
      </w:pPr>
    </w:p>
    <w:bookmarkStart w:id="446" w:name="page447"/>
    <w:bookmarkEnd w:id="446"/>
    <w:p>
      <w:pPr>
        <w:ind w:firstLine="964"/>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4.3 </w:t>
      </w:r>
      <w:r>
        <w:rPr>
          <w:rFonts w:ascii="Times New Roman" w:cs="Times New Roman" w:eastAsia="Times New Roman" w:hAnsi="Times New Roman"/>
          <w:sz w:val="16"/>
          <w:szCs w:val="16"/>
          <w:b w:val="1"/>
          <w:bCs w:val="1"/>
          <w:color w:val="auto"/>
        </w:rPr>
        <w:t>Adjustments for Changes in Capital Structure</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Subject to any required action by the stockholders of the Company and the requirements of Sections 409A and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in the ISO Share Limit set forth in </w:t>
      </w:r>
      <w:r>
        <w:rPr>
          <w:rFonts w:ascii="Times New Roman" w:cs="Times New Roman" w:eastAsia="Times New Roman" w:hAnsi="Times New Roman"/>
          <w:sz w:val="16"/>
          <w:szCs w:val="16"/>
          <w:u w:val="single" w:color="auto"/>
          <w:color w:val="auto"/>
        </w:rPr>
        <w:t>Section 5.3(a)</w:t>
      </w:r>
      <w:r>
        <w:rPr>
          <w:rFonts w:ascii="Times New Roman" w:cs="Times New Roman" w:eastAsia="Times New Roman" w:hAnsi="Times New Roman"/>
          <w:sz w:val="16"/>
          <w:szCs w:val="16"/>
          <w:color w:val="auto"/>
        </w:rPr>
        <w:t xml:space="preserve">, and in the exercise or purchase price per share under any outstanding Awards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New Shares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the Board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Board, in its discretion.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the Award. Such adjustments shall be determined by the Board, and its determination shall be final, binding and conclusive.</w:t>
      </w:r>
    </w:p>
    <w:p>
      <w:pPr>
        <w:spacing w:after="0" w:line="268" w:lineRule="exact"/>
        <w:rPr>
          <w:sz w:val="20"/>
          <w:szCs w:val="20"/>
          <w:color w:val="auto"/>
        </w:rPr>
      </w:pPr>
    </w:p>
    <w:p>
      <w:pPr>
        <w:ind w:right="80" w:firstLine="964"/>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Assumption or Substitution of Awards.</w:t>
      </w:r>
      <w:r>
        <w:rPr>
          <w:rFonts w:ascii="Times New Roman" w:cs="Times New Roman" w:eastAsia="Times New Roman" w:hAnsi="Times New Roman"/>
          <w:sz w:val="18"/>
          <w:szCs w:val="18"/>
          <w:color w:val="auto"/>
        </w:rPr>
        <w:t xml:space="preserve"> The Board may, without affecting the number of shares of Stock available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authorize the issuance or assumption of benefits under this Plan in connection with any merger, consolidation, acquisition of property or stock, or reorganization upon such terms and conditions as it may deem appropriate, subject to compliance with Section 409A and any other applicable provisions of the Code.</w:t>
      </w:r>
    </w:p>
    <w:p>
      <w:pPr>
        <w:spacing w:after="0" w:line="286" w:lineRule="exact"/>
        <w:rPr>
          <w:sz w:val="20"/>
          <w:szCs w:val="20"/>
          <w:color w:val="auto"/>
        </w:rPr>
      </w:pPr>
    </w:p>
    <w:p>
      <w:pPr>
        <w:ind w:left="620" w:hanging="184"/>
        <w:spacing w:after="0"/>
        <w:tabs>
          <w:tab w:leader="none" w:pos="62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4"/>
          <w:szCs w:val="14"/>
          <w:b w:val="1"/>
          <w:bCs w:val="1"/>
          <w:u w:val="single" w:color="auto"/>
          <w:color w:val="auto"/>
        </w:rPr>
        <w:t>LIGIBILITY</w:t>
      </w:r>
      <w:r>
        <w:rPr>
          <w:rFonts w:ascii="Times New Roman" w:cs="Times New Roman" w:eastAsia="Times New Roman" w:hAnsi="Times New Roman"/>
          <w:sz w:val="18"/>
          <w:szCs w:val="18"/>
          <w:b w:val="1"/>
          <w:bCs w:val="1"/>
          <w:u w:val="single" w:color="auto"/>
          <w:color w:val="auto"/>
        </w:rPr>
        <w:t>, P</w:t>
      </w:r>
      <w:r>
        <w:rPr>
          <w:rFonts w:ascii="Times New Roman" w:cs="Times New Roman" w:eastAsia="Times New Roman" w:hAnsi="Times New Roman"/>
          <w:sz w:val="14"/>
          <w:szCs w:val="14"/>
          <w:b w:val="1"/>
          <w:bCs w:val="1"/>
          <w:u w:val="single" w:color="auto"/>
          <w:color w:val="auto"/>
        </w:rPr>
        <w:t>ARTICIPATION AND</w:t>
      </w:r>
      <w:r>
        <w:rPr>
          <w:rFonts w:ascii="Times New Roman" w:cs="Times New Roman" w:eastAsia="Times New Roman" w:hAnsi="Times New Roman"/>
          <w:sz w:val="18"/>
          <w:szCs w:val="18"/>
          <w:b w:val="1"/>
          <w:bCs w:val="1"/>
          <w:u w:val="single" w:color="auto"/>
          <w:color w:val="auto"/>
        </w:rPr>
        <w:t xml:space="preserve"> O</w:t>
      </w:r>
      <w:r>
        <w:rPr>
          <w:rFonts w:ascii="Times New Roman" w:cs="Times New Roman" w:eastAsia="Times New Roman" w:hAnsi="Times New Roman"/>
          <w:sz w:val="14"/>
          <w:szCs w:val="14"/>
          <w:b w:val="1"/>
          <w:bCs w:val="1"/>
          <w:u w:val="single" w:color="auto"/>
          <w:color w:val="auto"/>
        </w:rPr>
        <w:t>PTION</w:t>
      </w:r>
      <w:r>
        <w:rPr>
          <w:rFonts w:ascii="Times New Roman" w:cs="Times New Roman" w:eastAsia="Times New Roman" w:hAnsi="Times New Roman"/>
          <w:sz w:val="18"/>
          <w:szCs w:val="18"/>
          <w:b w:val="1"/>
          <w:bCs w:val="1"/>
          <w:u w:val="single" w:color="auto"/>
          <w:color w:val="auto"/>
        </w:rPr>
        <w:t xml:space="preserve"> L</w:t>
      </w:r>
      <w:r>
        <w:rPr>
          <w:rFonts w:ascii="Times New Roman" w:cs="Times New Roman" w:eastAsia="Times New Roman" w:hAnsi="Times New Roman"/>
          <w:sz w:val="14"/>
          <w:szCs w:val="14"/>
          <w:b w:val="1"/>
          <w:bCs w:val="1"/>
          <w:u w:val="single" w:color="auto"/>
          <w:color w:val="auto"/>
        </w:rPr>
        <w:t>IMITATIONS</w:t>
      </w:r>
      <w:r>
        <w:rPr>
          <w:rFonts w:ascii="Times New Roman" w:cs="Times New Roman" w:eastAsia="Times New Roman" w:hAnsi="Times New Roman"/>
          <w:sz w:val="18"/>
          <w:szCs w:val="18"/>
          <w:b w:val="1"/>
          <w:bCs w:val="1"/>
          <w:u w:val="single" w:color="auto"/>
          <w:color w:val="auto"/>
        </w:rPr>
        <w:t>.</w:t>
      </w:r>
    </w:p>
    <w:p>
      <w:pPr>
        <w:spacing w:after="0" w:line="1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Persons Eligible for Awards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Awards may be granted only to Employees, Consultants and Directors.</w:t>
      </w:r>
    </w:p>
    <w:p>
      <w:pPr>
        <w:spacing w:after="0" w:line="215" w:lineRule="exact"/>
        <w:rPr>
          <w:sz w:val="20"/>
          <w:szCs w:val="20"/>
          <w:color w:val="auto"/>
        </w:rPr>
      </w:pPr>
    </w:p>
    <w:p>
      <w:pPr>
        <w:ind w:firstLine="964"/>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Participation in the Plan.</w:t>
      </w:r>
      <w:r>
        <w:rPr>
          <w:rFonts w:ascii="Times New Roman" w:cs="Times New Roman" w:eastAsia="Times New Roman" w:hAnsi="Times New Roman"/>
          <w:sz w:val="18"/>
          <w:szCs w:val="18"/>
          <w:color w:val="auto"/>
        </w:rPr>
        <w:t xml:space="preserve"> Awards are granted solely at the discretion of the Board. Eligible persons may be granted more than one Award. However, eligibility in accordance with this Section shall not entitle any person to be granted an Award, or, having been granted an Award, to be granted an additional Award.</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60"/>
          </w:cols>
          <w:pgMar w:left="580" w:top="261" w:right="659" w:bottom="1440" w:gutter="0" w:footer="0" w:header="0"/>
        </w:sectPr>
      </w:pPr>
    </w:p>
    <w:bookmarkStart w:id="447" w:name="page448"/>
    <w:bookmarkEnd w:id="44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5.3 </w:t>
      </w:r>
      <w:r>
        <w:rPr>
          <w:rFonts w:ascii="Times New Roman" w:cs="Times New Roman" w:eastAsia="Times New Roman" w:hAnsi="Times New Roman"/>
          <w:sz w:val="18"/>
          <w:szCs w:val="18"/>
          <w:b w:val="1"/>
          <w:bCs w:val="1"/>
          <w:color w:val="auto"/>
        </w:rPr>
        <w:t>Incentive Stock Option Limitations.</w:t>
      </w:r>
    </w:p>
    <w:p>
      <w:pPr>
        <w:spacing w:after="0" w:line="106" w:lineRule="exact"/>
        <w:rPr>
          <w:sz w:val="20"/>
          <w:szCs w:val="20"/>
          <w:color w:val="auto"/>
        </w:rPr>
      </w:pPr>
    </w:p>
    <w:p>
      <w:pPr>
        <w:ind w:right="20" w:firstLine="1400"/>
        <w:spacing w:after="0" w:line="250" w:lineRule="auto"/>
        <w:tabs>
          <w:tab w:leader="none" w:pos="163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Maximum Number of Shares Issuable Pursuant to Incentive Stock Options. </w:t>
      </w:r>
      <w:r>
        <w:rPr>
          <w:rFonts w:ascii="Times New Roman" w:cs="Times New Roman" w:eastAsia="Times New Roman" w:hAnsi="Times New Roman"/>
          <w:sz w:val="18"/>
          <w:szCs w:val="18"/>
          <w:color w:val="auto"/>
        </w:rPr>
        <w:t>Subject to Section 4.1 and adjustment as 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 Sections 4.2 and 4.3, the maximum aggregate number of shares of Stock that may be issued under the Plan pursuant to the exercise of Incentive Stock Options shall not exceed 12,615,750 shares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ISO Share Limit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maximum aggregate number of shares of Stock that may be issued under the Plan pursuant to all Awards other than Incentive Stock Options shall be the number of shares determined in accordance with Section 4.1, subject to adjustment as provided in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right="60" w:firstLine="1400"/>
        <w:spacing w:after="0" w:line="258" w:lineRule="auto"/>
        <w:tabs>
          <w:tab w:leader="none" w:pos="164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Persons Eligible. </w:t>
      </w:r>
      <w:r>
        <w:rPr>
          <w:rFonts w:ascii="Times New Roman" w:cs="Times New Roman" w:eastAsia="Times New Roman" w:hAnsi="Times New Roman"/>
          <w:sz w:val="18"/>
          <w:szCs w:val="18"/>
          <w:color w:val="auto"/>
        </w:rPr>
        <w:t>An Incentive Stock Option may be granted only to a person who, on the effective date of grant, is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Any person who is not an Employee on the effective date of the grant of an Option to such person may be granted only a Nonstatutory Stock Option.</w:t>
      </w:r>
    </w:p>
    <w:p>
      <w:pPr>
        <w:spacing w:after="0" w:line="67" w:lineRule="exact"/>
        <w:rPr>
          <w:rFonts w:ascii="Times New Roman" w:cs="Times New Roman" w:eastAsia="Times New Roman" w:hAnsi="Times New Roman"/>
          <w:sz w:val="18"/>
          <w:szCs w:val="18"/>
          <w:color w:val="auto"/>
        </w:rPr>
      </w:pPr>
    </w:p>
    <w:p>
      <w:pPr>
        <w:ind w:right="40" w:firstLine="1400"/>
        <w:spacing w:after="0" w:line="280" w:lineRule="auto"/>
        <w:tabs>
          <w:tab w:leader="none" w:pos="1630" w:val="left"/>
        </w:tabs>
        <w:numPr>
          <w:ilvl w:val="1"/>
          <w:numId w:val="2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Fair Market Value Limitation. </w:t>
      </w:r>
      <w:r>
        <w:rPr>
          <w:rFonts w:ascii="Times New Roman" w:cs="Times New Roman" w:eastAsia="Times New Roman" w:hAnsi="Times New Roman"/>
          <w:sz w:val="16"/>
          <w:szCs w:val="16"/>
          <w:color w:val="auto"/>
        </w:rPr>
        <w:t>To the extent that options designated as Incentive Stock Options (granted under all stock plans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p>
    <w:p>
      <w:pPr>
        <w:spacing w:after="0" w:line="271" w:lineRule="exact"/>
        <w:rPr>
          <w:rFonts w:ascii="Times New Roman" w:cs="Times New Roman" w:eastAsia="Times New Roman" w:hAnsi="Times New Roman"/>
          <w:sz w:val="16"/>
          <w:szCs w:val="16"/>
          <w:color w:val="auto"/>
        </w:rPr>
      </w:pPr>
    </w:p>
    <w:p>
      <w:pPr>
        <w:ind w:left="620" w:hanging="184"/>
        <w:spacing w:after="0"/>
        <w:tabs>
          <w:tab w:leader="none" w:pos="62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4"/>
          <w:szCs w:val="14"/>
          <w:b w:val="1"/>
          <w:bCs w:val="1"/>
          <w:u w:val="single" w:color="auto"/>
          <w:color w:val="auto"/>
        </w:rPr>
        <w:t>TOCK</w:t>
      </w:r>
      <w:r>
        <w:rPr>
          <w:rFonts w:ascii="Times New Roman" w:cs="Times New Roman" w:eastAsia="Times New Roman" w:hAnsi="Times New Roman"/>
          <w:sz w:val="18"/>
          <w:szCs w:val="18"/>
          <w:b w:val="1"/>
          <w:bCs w:val="1"/>
          <w:u w:val="single" w:color="auto"/>
          <w:color w:val="auto"/>
        </w:rPr>
        <w:t xml:space="preserve"> O</w:t>
      </w:r>
      <w:r>
        <w:rPr>
          <w:rFonts w:ascii="Times New Roman" w:cs="Times New Roman" w:eastAsia="Times New Roman" w:hAnsi="Times New Roman"/>
          <w:sz w:val="14"/>
          <w:szCs w:val="14"/>
          <w:b w:val="1"/>
          <w:bCs w:val="1"/>
          <w:u w:val="single" w:color="auto"/>
          <w:color w:val="auto"/>
        </w:rPr>
        <w:t>PTIONS</w:t>
      </w:r>
      <w:r>
        <w:rPr>
          <w:rFonts w:ascii="Times New Roman" w:cs="Times New Roman" w:eastAsia="Times New Roman" w:hAnsi="Times New Roman"/>
          <w:sz w:val="18"/>
          <w:szCs w:val="18"/>
          <w:b w:val="1"/>
          <w:bCs w:val="1"/>
          <w:u w:val="single" w:color="auto"/>
          <w:color w:val="auto"/>
        </w:rPr>
        <w:t>.</w:t>
      </w:r>
    </w:p>
    <w:p>
      <w:pPr>
        <w:spacing w:after="0" w:line="110" w:lineRule="exact"/>
        <w:rPr>
          <w:sz w:val="20"/>
          <w:szCs w:val="20"/>
          <w:color w:val="auto"/>
        </w:rPr>
      </w:pPr>
    </w:p>
    <w:p>
      <w:pPr>
        <w:jc w:val="both"/>
        <w:ind w:right="280" w:firstLine="964"/>
        <w:spacing w:after="0" w:line="255" w:lineRule="auto"/>
        <w:rPr>
          <w:sz w:val="20"/>
          <w:szCs w:val="20"/>
          <w:color w:val="auto"/>
        </w:rPr>
      </w:pPr>
      <w:r>
        <w:rPr>
          <w:rFonts w:ascii="Times New Roman" w:cs="Times New Roman" w:eastAsia="Times New Roman" w:hAnsi="Times New Roman"/>
          <w:sz w:val="18"/>
          <w:szCs w:val="18"/>
          <w:color w:val="auto"/>
        </w:rPr>
        <w:t>Options shall be evidenced by Award Agreements specifying the number of shares of Stock covered thereby, in such form as the Board shall establish. Such Award Agreements may incorporate all or any of the terms of the Plan by reference and shall comply with and be subject to the following terms and conditions:</w:t>
      </w:r>
    </w:p>
    <w:p>
      <w:pPr>
        <w:spacing w:after="0" w:line="71" w:lineRule="exact"/>
        <w:rPr>
          <w:sz w:val="20"/>
          <w:szCs w:val="20"/>
          <w:color w:val="auto"/>
        </w:rPr>
      </w:pPr>
    </w:p>
    <w:p>
      <w:pPr>
        <w:ind w:right="160" w:firstLine="964"/>
        <w:spacing w:after="0" w:line="288"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b w:val="1"/>
          <w:bCs w:val="1"/>
          <w:color w:val="auto"/>
        </w:rPr>
        <w:t>Exercise Price</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The exercise price for each Option shall be established in the discretion of the Board; provided, however, that (a) the exercise price per share for an Option shall be not less than the Fair Market Value of a share of Stock on the effective date of grant of the Option and</w:t>
      </w:r>
    </w:p>
    <w:p>
      <w:pPr>
        <w:ind w:firstLine="8"/>
        <w:spacing w:after="0" w:line="244" w:lineRule="auto"/>
        <w:tabs>
          <w:tab w:leader="none" w:pos="248"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Stock Option granted to a Ten Percent Stockholder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 as applicable.</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00"/>
          </w:cols>
          <w:pgMar w:left="580" w:top="263" w:right="619" w:bottom="1440" w:gutter="0" w:footer="0" w:header="0"/>
        </w:sectPr>
      </w:pPr>
    </w:p>
    <w:bookmarkStart w:id="448" w:name="page449"/>
    <w:bookmarkEnd w:id="448"/>
    <w:p>
      <w:pPr>
        <w:jc w:val="both"/>
        <w:ind w:right="100" w:firstLine="964"/>
        <w:spacing w:after="0" w:line="28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6.2 </w:t>
      </w:r>
      <w:r>
        <w:rPr>
          <w:rFonts w:ascii="Times New Roman" w:cs="Times New Roman" w:eastAsia="Times New Roman" w:hAnsi="Times New Roman"/>
          <w:sz w:val="16"/>
          <w:szCs w:val="16"/>
          <w:b w:val="1"/>
          <w:bCs w:val="1"/>
          <w:color w:val="auto"/>
        </w:rPr>
        <w:t>Exercisability and Term of Options</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Options shall be exercisable at such time or times, or upon such event or events, and subject to such terms, conditions, performance criteria and restrictions as shall be determined by the Board and set forth in the Award Agreement evidencing such Option; provided, however, that (a) no Option shall be exercisable after the expiration of ten (10) years after the effective date of grant of such Option,</w:t>
      </w:r>
    </w:p>
    <w:p>
      <w:pPr>
        <w:spacing w:after="0" w:line="1" w:lineRule="exact"/>
        <w:rPr>
          <w:sz w:val="20"/>
          <w:szCs w:val="20"/>
          <w:color w:val="auto"/>
        </w:rPr>
      </w:pPr>
    </w:p>
    <w:p>
      <w:pPr>
        <w:ind w:firstLine="8"/>
        <w:spacing w:after="0" w:line="244" w:lineRule="auto"/>
        <w:tabs>
          <w:tab w:leader="none" w:pos="248"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Stock Option granted to a Ten Percent Stockholder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Board in the grant of an Option, each Option shall terminate ten (10) years after the effective date of grant of the Option, unless earlier terminated in accordance with its provisions.</w:t>
      </w:r>
    </w:p>
    <w:p>
      <w:pPr>
        <w:spacing w:after="0" w:line="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Payment of Exercise Price</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right="180" w:firstLine="1400"/>
        <w:spacing w:after="0" w:line="249" w:lineRule="auto"/>
        <w:tabs>
          <w:tab w:leader="none" w:pos="163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Forms of Consideration Authorized. </w:t>
      </w:r>
      <w:r>
        <w:rPr>
          <w:rFonts w:ascii="Times New Roman" w:cs="Times New Roman" w:eastAsia="Times New Roman" w:hAnsi="Times New Roman"/>
          <w:sz w:val="18"/>
          <w:szCs w:val="18"/>
          <w:color w:val="auto"/>
        </w:rPr>
        <w:t>Except as otherwise provided below, payment of the exercise price for the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shares of Stock being purchased pursuant to any Option shall be made (i) in cash, by check or in cash equivalent, (ii) if permitted by the Company and subject to the limitations contained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by means of (1) a Stock Tender Exercise, (2) a Cashless Exercise or (3) a Net Exercise; (iii) by such other consideration as may be approved by the Board from time to time to the extent permitted by applicable law, or (iv) by any combination thereof. The Board may at any time or from time to time grant Options which do not permit all of the foregoing forms of consideration to be used in payment of the exercise price or which otherwise restrict one or more forms of consideration.</w:t>
      </w:r>
    </w:p>
    <w:p>
      <w:pPr>
        <w:spacing w:after="0" w:line="76" w:lineRule="exact"/>
        <w:rPr>
          <w:rFonts w:ascii="Times New Roman" w:cs="Times New Roman" w:eastAsia="Times New Roman" w:hAnsi="Times New Roman"/>
          <w:sz w:val="18"/>
          <w:szCs w:val="18"/>
          <w:color w:val="auto"/>
        </w:rPr>
      </w:pPr>
    </w:p>
    <w:p>
      <w:pPr>
        <w:ind w:left="1640" w:hanging="240"/>
        <w:spacing w:after="0"/>
        <w:tabs>
          <w:tab w:leader="none" w:pos="164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Limitations on Forms of Consideration</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right="40" w:firstLine="1936"/>
        <w:spacing w:after="0" w:line="284" w:lineRule="auto"/>
        <w:tabs>
          <w:tab w:leader="none" w:pos="2137" w:val="left"/>
        </w:tabs>
        <w:numPr>
          <w:ilvl w:val="1"/>
          <w:numId w:val="2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Stock Tender Exercise. </w:t>
      </w:r>
      <w:r>
        <w:rPr>
          <w:rFonts w:ascii="Times New Roman" w:cs="Times New Roman" w:eastAsia="Times New Roman" w:hAnsi="Times New Roman"/>
          <w:sz w:val="16"/>
          <w:szCs w:val="16"/>
          <w:color w:val="auto"/>
        </w:rPr>
        <w:t>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Stock Tender Exercise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means the delivery of a properly executed exercise notice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accompanied 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53" w:lineRule="exact"/>
        <w:rPr>
          <w:rFonts w:ascii="Times New Roman" w:cs="Times New Roman" w:eastAsia="Times New Roman" w:hAnsi="Times New Roman"/>
          <w:sz w:val="16"/>
          <w:szCs w:val="16"/>
          <w:color w:val="auto"/>
        </w:rPr>
      </w:pPr>
    </w:p>
    <w:p>
      <w:pPr>
        <w:ind w:right="100" w:firstLine="1936"/>
        <w:spacing w:after="0" w:line="270" w:lineRule="auto"/>
        <w:tabs>
          <w:tab w:leader="none" w:pos="2186"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Cashless Exercise. </w:t>
      </w:r>
      <w:r>
        <w:rPr>
          <w:rFonts w:ascii="Times New Roman" w:cs="Times New Roman" w:eastAsia="Times New Roman" w:hAnsi="Times New Roman"/>
          <w:sz w:val="18"/>
          <w:szCs w:val="18"/>
          <w:color w:val="auto"/>
        </w:rPr>
        <w:t>A Cashless Exercise shall be permitted only upon the class of shares subject to the Option becoming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publicly traded in an established securities market. 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the delivery of a properly executed exercise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20"/>
          </w:cols>
          <w:pgMar w:left="580" w:top="261" w:right="599" w:bottom="1440" w:gutter="0" w:footer="0" w:header="0"/>
        </w:sectPr>
      </w:pPr>
    </w:p>
    <w:bookmarkStart w:id="449" w:name="page450"/>
    <w:bookmarkEnd w:id="449"/>
    <w:p>
      <w:pPr>
        <w:ind w:right="4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8040" cy="36830"/>
                    </a:xfrm>
                    <a:prstGeom prst="rect">
                      <a:avLst/>
                    </a:prstGeom>
                    <a:noFill/>
                  </pic:spPr>
                </pic:pic>
              </a:graphicData>
            </a:graphic>
          </wp:anchor>
        </w:drawing>
        <w:t>notice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78" w:lineRule="exact"/>
        <w:rPr>
          <w:sz w:val="20"/>
          <w:szCs w:val="20"/>
          <w:color w:val="auto"/>
        </w:rPr>
      </w:pPr>
    </w:p>
    <w:p>
      <w:pPr>
        <w:ind w:right="100" w:firstLine="1936"/>
        <w:spacing w:after="0" w:line="250" w:lineRule="auto"/>
        <w:tabs>
          <w:tab w:leader="none" w:pos="2234"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Exercise.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Net Exercise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delivery of a properly executed exercise notice followed by a procedure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right="20" w:firstLine="1400"/>
        <w:spacing w:after="0" w:line="253" w:lineRule="auto"/>
        <w:tabs>
          <w:tab w:leader="none" w:pos="163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Option Exercisability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earlier termination of the Option as otherwise provided by this Plan and unless a longer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 period is provided by the Board, an Option shall terminate immediately upon the Participant’s termination of Service to the extent that it is then unvested and shall be exercisable after the Participant’s termination of Service to the extent it is then vested only during the applicable time period determined in accordance with this Section and thereafter shall terminate:</w:t>
      </w:r>
    </w:p>
    <w:p>
      <w:pPr>
        <w:spacing w:after="0" w:line="74" w:lineRule="exact"/>
        <w:rPr>
          <w:rFonts w:ascii="Times New Roman" w:cs="Times New Roman" w:eastAsia="Times New Roman" w:hAnsi="Times New Roman"/>
          <w:sz w:val="18"/>
          <w:szCs w:val="18"/>
          <w:color w:val="auto"/>
        </w:rPr>
      </w:pPr>
    </w:p>
    <w:p>
      <w:pPr>
        <w:ind w:right="160" w:firstLine="1936"/>
        <w:spacing w:after="0" w:line="288" w:lineRule="auto"/>
        <w:tabs>
          <w:tab w:leader="none" w:pos="2137" w:val="left"/>
        </w:tabs>
        <w:numPr>
          <w:ilvl w:val="1"/>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Disability. </w:t>
      </w:r>
      <w:r>
        <w:rPr>
          <w:rFonts w:ascii="Times New Roman" w:cs="Times New Roman" w:eastAsia="Times New Roman" w:hAnsi="Times New Roman"/>
          <w:sz w:val="16"/>
          <w:szCs w:val="16"/>
          <w:color w:val="auto"/>
        </w:rPr>
        <w:t>If the Participant’s Service terminates because of the Disability of the Participant, the Option, to the extent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unexercised and exercisable for vested shares on the date on which the Participant’s Service terminated, may be exercised by the Participant (or the Participant’s guardian or legal representative) at any time prior to the expiration of twelve (12) months (or such longer or shorter period (but not less than six (6) months) provided by the Award Agreement) after the date on which the Participant’s Service terminated, but in any event no later than the date of expiration of the Option’s term as set forth in the Award Agreement evidencing such Option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Option Expiration Date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w:t>
      </w:r>
    </w:p>
    <w:p>
      <w:pPr>
        <w:spacing w:after="0" w:line="51" w:lineRule="exact"/>
        <w:rPr>
          <w:rFonts w:ascii="Times New Roman" w:cs="Times New Roman" w:eastAsia="Times New Roman" w:hAnsi="Times New Roman"/>
          <w:sz w:val="16"/>
          <w:szCs w:val="16"/>
          <w:color w:val="auto"/>
        </w:rPr>
      </w:pPr>
    </w:p>
    <w:p>
      <w:pPr>
        <w:ind w:firstLine="1936"/>
        <w:spacing w:after="0" w:line="247" w:lineRule="auto"/>
        <w:tabs>
          <w:tab w:leader="none" w:pos="2186"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Death. </w:t>
      </w:r>
      <w:r>
        <w:rPr>
          <w:rFonts w:ascii="Times New Roman" w:cs="Times New Roman" w:eastAsia="Times New Roman" w:hAnsi="Times New Roman"/>
          <w:sz w:val="18"/>
          <w:szCs w:val="18"/>
          <w:color w:val="auto"/>
        </w:rPr>
        <w:t>If the Participant’s Service terminates because of the death of the Participant, the Option,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(or such longer or shorter period (but not less than six (6) months) provided by the Award Agreement) after the date on which the Participant’s Service terminated, but in any event no later than the Option Expiration Date. The Participant’s Service shall be deemed to have terminated on account of death if the Participant dies within thirty (30) days (or such longer period provided by the Board) after the Participant’s termination of Service.</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680"/>
          </w:cols>
          <w:pgMar w:left="580" w:top="265" w:right="639" w:bottom="1440" w:gutter="0" w:footer="0" w:header="0"/>
        </w:sectPr>
      </w:pPr>
    </w:p>
    <w:bookmarkStart w:id="450" w:name="page451"/>
    <w:bookmarkEnd w:id="450"/>
    <w:p>
      <w:pPr>
        <w:ind w:right="180" w:firstLine="1936"/>
        <w:spacing w:after="0" w:line="333" w:lineRule="auto"/>
        <w:tabs>
          <w:tab w:leader="none" w:pos="2234" w:val="left"/>
        </w:tabs>
        <w:numPr>
          <w:ilvl w:val="1"/>
          <w:numId w:val="3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Termination for Cause. </w:t>
      </w:r>
      <w:r>
        <w:rPr>
          <w:rFonts w:ascii="Times New Roman" w:cs="Times New Roman" w:eastAsia="Times New Roman" w:hAnsi="Times New Roman"/>
          <w:sz w:val="16"/>
          <w:szCs w:val="16"/>
          <w:color w:val="auto"/>
        </w:rPr>
        <w:t>Notwithstanding any other provision of the Plan to the contrary, if the Participant’s Service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terminated for Cause, the Option shall terminate in its entirety and cease to be exercisable immediately upon such termination of Service.</w:t>
      </w:r>
    </w:p>
    <w:p>
      <w:pPr>
        <w:spacing w:after="0" w:line="14" w:lineRule="exact"/>
        <w:rPr>
          <w:rFonts w:ascii="Times New Roman" w:cs="Times New Roman" w:eastAsia="Times New Roman" w:hAnsi="Times New Roman"/>
          <w:sz w:val="16"/>
          <w:szCs w:val="16"/>
          <w:color w:val="auto"/>
        </w:rPr>
      </w:pPr>
    </w:p>
    <w:p>
      <w:pPr>
        <w:ind w:right="40" w:firstLine="1936"/>
        <w:spacing w:after="0" w:line="293" w:lineRule="auto"/>
        <w:tabs>
          <w:tab w:leader="none" w:pos="2224" w:val="left"/>
        </w:tabs>
        <w:numPr>
          <w:ilvl w:val="1"/>
          <w:numId w:val="3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Other Termination of Service. </w:t>
      </w:r>
      <w:r>
        <w:rPr>
          <w:rFonts w:ascii="Times New Roman" w:cs="Times New Roman" w:eastAsia="Times New Roman" w:hAnsi="Times New Roman"/>
          <w:sz w:val="16"/>
          <w:szCs w:val="16"/>
          <w:color w:val="auto"/>
        </w:rPr>
        <w:t>If the Participant’s Service terminates for any reason, except Disability, death or Cause,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Option, to the extent unexercised and exercisable for vested shares on the date on which the Participant’s Service terminated, may be exercised by the Participant at any time prior to the expiration of three (3) months (or such longer or shorter period (but not less than thirty (30) days) provided by the Award Agreement) after the date on which the Participant’s Service terminated, but in any event no later than the Option Expiration Date.</w:t>
      </w:r>
    </w:p>
    <w:p>
      <w:pPr>
        <w:spacing w:after="0" w:line="44" w:lineRule="exact"/>
        <w:rPr>
          <w:rFonts w:ascii="Times New Roman" w:cs="Times New Roman" w:eastAsia="Times New Roman" w:hAnsi="Times New Roman"/>
          <w:sz w:val="16"/>
          <w:szCs w:val="16"/>
          <w:color w:val="auto"/>
        </w:rPr>
      </w:pPr>
    </w:p>
    <w:p>
      <w:pPr>
        <w:ind w:right="140" w:firstLine="1400"/>
        <w:spacing w:after="0" w:line="253" w:lineRule="auto"/>
        <w:tabs>
          <w:tab w:leader="none" w:pos="16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Extension if Exercise Prevented by Law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Notwithstanding the foregoing other than termination of Service for Cause, if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exercise of an Option within the applicable time periods set forth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is prevented by the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below, the Option shall remain exercisable until the later of (i) thirty (30) days after the date such exercise first would no longer be prevented by such provisions or (ii) the end of the applicable time period under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but in any event no later than the Option Expiration Date.</w:t>
      </w:r>
    </w:p>
    <w:p>
      <w:pPr>
        <w:spacing w:after="0" w:line="74" w:lineRule="exact"/>
        <w:rPr>
          <w:sz w:val="20"/>
          <w:szCs w:val="20"/>
          <w:color w:val="auto"/>
        </w:rPr>
      </w:pPr>
    </w:p>
    <w:p>
      <w:pPr>
        <w:ind w:firstLine="964"/>
        <w:spacing w:after="0" w:line="279" w:lineRule="auto"/>
        <w:rPr>
          <w:sz w:val="20"/>
          <w:szCs w:val="20"/>
          <w:color w:val="auto"/>
        </w:rPr>
      </w:pPr>
      <w:r>
        <w:rPr>
          <w:rFonts w:ascii="Times New Roman" w:cs="Times New Roman" w:eastAsia="Times New Roman" w:hAnsi="Times New Roman"/>
          <w:sz w:val="16"/>
          <w:szCs w:val="16"/>
          <w:color w:val="auto"/>
        </w:rPr>
        <w:t xml:space="preserve">6.5 </w:t>
      </w:r>
      <w:r>
        <w:rPr>
          <w:rFonts w:ascii="Times New Roman" w:cs="Times New Roman" w:eastAsia="Times New Roman" w:hAnsi="Times New Roman"/>
          <w:sz w:val="16"/>
          <w:szCs w:val="16"/>
          <w:b w:val="1"/>
          <w:bCs w:val="1"/>
          <w:color w:val="auto"/>
        </w:rPr>
        <w:t>Transferability of Options.</w:t>
      </w:r>
      <w:r>
        <w:rPr>
          <w:rFonts w:ascii="Times New Roman" w:cs="Times New Roman" w:eastAsia="Times New Roman" w:hAnsi="Times New Roman"/>
          <w:sz w:val="16"/>
          <w:szCs w:val="16"/>
          <w:color w:val="auto"/>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provided, however, that to the extent permitted by the Board, in its discretion, and set forth in the Award Agreement evidencing such Option, an Option shall be assignable or transferable subject to the applicable limitations, if any, described in Rule 701 under the Securities Act and the General Instructions to Form S-8 Registration Statement under the Securities Act or, in the case of an Incentive Stock Option, only as permitted by applicable regulations under Section 421 of the Code in a manner that does not disqualify such Option as an Incentive Stock Option. Notwithstanding the foregoing, for so long as the Company is relying on the exemption provided by Rule 12h-1(f) under the Exchange Act, no Option or, prior to its exercise, the shares to be issued upon the exercise of the Option, shall be transferred except in compliance with the restrictions on transfer under Rule 12h-1(f) (including the requirement under such rule that any permitted transferee may not further transfer the Option) or be made subject to any short position, “put equivalent position” or “call equivalent position” by the Participant, as such terms are defined in Rule 16a-1 of the Exchange Act.</w:t>
      </w:r>
    </w:p>
    <w:p>
      <w:pPr>
        <w:spacing w:after="0" w:line="273" w:lineRule="exact"/>
        <w:rPr>
          <w:sz w:val="20"/>
          <w:szCs w:val="20"/>
          <w:color w:val="auto"/>
        </w:rPr>
      </w:pPr>
    </w:p>
    <w:p>
      <w:pPr>
        <w:ind w:left="620" w:hanging="184"/>
        <w:spacing w:after="0"/>
        <w:tabs>
          <w:tab w:leader="none" w:pos="62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4"/>
          <w:szCs w:val="14"/>
          <w:b w:val="1"/>
          <w:bCs w:val="1"/>
          <w:u w:val="single" w:color="auto"/>
          <w:color w:val="auto"/>
        </w:rPr>
        <w:t>ESTRICTED</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TOCK</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WARDS</w:t>
      </w:r>
      <w:r>
        <w:rPr>
          <w:rFonts w:ascii="Times New Roman" w:cs="Times New Roman" w:eastAsia="Times New Roman" w:hAnsi="Times New Roman"/>
          <w:sz w:val="18"/>
          <w:szCs w:val="18"/>
          <w:b w:val="1"/>
          <w:bCs w:val="1"/>
          <w:u w:val="single" w:color="auto"/>
          <w:color w:val="auto"/>
        </w:rPr>
        <w:t>.</w:t>
      </w:r>
    </w:p>
    <w:p>
      <w:pPr>
        <w:spacing w:after="0" w:line="110" w:lineRule="exact"/>
        <w:rPr>
          <w:sz w:val="20"/>
          <w:szCs w:val="20"/>
          <w:color w:val="auto"/>
        </w:rPr>
      </w:pPr>
    </w:p>
    <w:p>
      <w:pPr>
        <w:ind w:right="40" w:firstLine="964"/>
        <w:spacing w:after="0" w:line="302" w:lineRule="auto"/>
        <w:rPr>
          <w:sz w:val="20"/>
          <w:szCs w:val="20"/>
          <w:color w:val="auto"/>
        </w:rPr>
      </w:pPr>
      <w:r>
        <w:rPr>
          <w:rFonts w:ascii="Times New Roman" w:cs="Times New Roman" w:eastAsia="Times New Roman" w:hAnsi="Times New Roman"/>
          <w:sz w:val="16"/>
          <w:szCs w:val="16"/>
          <w:color w:val="auto"/>
        </w:rPr>
        <w:t>Restricted Stock Awards shall be evidenced by Award Agreements specifying whether the Award is a Restricted Stock Bonus or a Restricted Stock Purchase Right and the number of shares of Stock subject to the Award, in such form as the Board shall establish. Such Award Agreements may incorporate all or any of the terms of the Plan by reference and shall comply with and be subject to the following terms and conditions: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20"/>
          </w:cols>
          <w:pgMar w:left="580" w:top="263" w:right="599" w:bottom="1440" w:gutter="0" w:footer="0" w:header="0"/>
        </w:sectPr>
      </w:pPr>
    </w:p>
    <w:bookmarkStart w:id="451" w:name="page452"/>
    <w:bookmarkEnd w:id="451"/>
    <w:p>
      <w:pPr>
        <w:jc w:val="both"/>
        <w:ind w:right="320" w:firstLine="96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7.1 </w:t>
      </w:r>
      <w:r>
        <w:rPr>
          <w:rFonts w:ascii="Times New Roman" w:cs="Times New Roman" w:eastAsia="Times New Roman" w:hAnsi="Times New Roman"/>
          <w:sz w:val="18"/>
          <w:szCs w:val="18"/>
          <w:b w:val="1"/>
          <w:bCs w:val="1"/>
          <w:color w:val="auto"/>
        </w:rPr>
        <w:t>Types of Restricted Stock Awards Authorized.</w:t>
      </w:r>
      <w:r>
        <w:rPr>
          <w:rFonts w:ascii="Times New Roman" w:cs="Times New Roman" w:eastAsia="Times New Roman" w:hAnsi="Times New Roman"/>
          <w:sz w:val="18"/>
          <w:szCs w:val="18"/>
          <w:color w:val="auto"/>
        </w:rPr>
        <w:t xml:space="preserve"> Restricted Stock Awards may be granted in the form of either a Restricted Stock Bonus or a Restricted Stock Purchase Right. Restricted Stock Awards may be granted upon such conditions as the Board shall determine, including, without limitation, upon the attainment of one or more performance goals.</w:t>
      </w:r>
    </w:p>
    <w:p>
      <w:pPr>
        <w:spacing w:after="0" w:line="73" w:lineRule="exact"/>
        <w:rPr>
          <w:sz w:val="20"/>
          <w:szCs w:val="20"/>
          <w:color w:val="auto"/>
        </w:rPr>
      </w:pPr>
    </w:p>
    <w:p>
      <w:pPr>
        <w:jc w:val="both"/>
        <w:ind w:right="200" w:firstLine="964"/>
        <w:spacing w:after="0" w:line="282" w:lineRule="auto"/>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b w:val="1"/>
          <w:bCs w:val="1"/>
          <w:color w:val="auto"/>
        </w:rPr>
        <w:t>Purchase Price.</w:t>
      </w:r>
      <w:r>
        <w:rPr>
          <w:rFonts w:ascii="Times New Roman" w:cs="Times New Roman" w:eastAsia="Times New Roman" w:hAnsi="Times New Roman"/>
          <w:sz w:val="16"/>
          <w:szCs w:val="16"/>
          <w:color w:val="auto"/>
        </w:rPr>
        <w:t xml:space="preserve"> The purchase price for shares of Stock issuable under each Restricted Stock Purchase Right shall be established by the Board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w:t>
      </w:r>
    </w:p>
    <w:p>
      <w:pPr>
        <w:spacing w:after="0" w:line="1"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81" w:lineRule="exact"/>
        <w:rPr>
          <w:sz w:val="20"/>
          <w:szCs w:val="20"/>
          <w:color w:val="auto"/>
        </w:rPr>
      </w:pPr>
    </w:p>
    <w:p>
      <w:pPr>
        <w:ind w:right="120" w:firstLine="964"/>
        <w:spacing w:after="0" w:line="270"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Purchase Period.</w:t>
      </w:r>
      <w:r>
        <w:rPr>
          <w:rFonts w:ascii="Times New Roman" w:cs="Times New Roman" w:eastAsia="Times New Roman" w:hAnsi="Times New Roman"/>
          <w:sz w:val="18"/>
          <w:szCs w:val="18"/>
          <w:color w:val="auto"/>
        </w:rPr>
        <w:t xml:space="preserve"> A Restricted Stock Purchase Right shall be exercisable within a period established by the Board, which shall in no event exceed thirty (30) days from the effective date of the grant of the Restricted Stock Purchase Right.</w:t>
      </w:r>
    </w:p>
    <w:p>
      <w:pPr>
        <w:spacing w:after="0" w:line="59" w:lineRule="exact"/>
        <w:rPr>
          <w:sz w:val="20"/>
          <w:szCs w:val="20"/>
          <w:color w:val="auto"/>
        </w:rPr>
      </w:pPr>
    </w:p>
    <w:p>
      <w:pPr>
        <w:ind w:right="240" w:firstLine="964"/>
        <w:spacing w:after="0" w:line="303" w:lineRule="auto"/>
        <w:rPr>
          <w:sz w:val="20"/>
          <w:szCs w:val="20"/>
          <w:color w:val="auto"/>
        </w:rPr>
      </w:pPr>
      <w:r>
        <w:rPr>
          <w:rFonts w:ascii="Times New Roman" w:cs="Times New Roman" w:eastAsia="Times New Roman" w:hAnsi="Times New Roman"/>
          <w:sz w:val="16"/>
          <w:szCs w:val="16"/>
          <w:color w:val="auto"/>
        </w:rPr>
        <w:t xml:space="preserve">7.4 </w:t>
      </w:r>
      <w:r>
        <w:rPr>
          <w:rFonts w:ascii="Times New Roman" w:cs="Times New Roman" w:eastAsia="Times New Roman" w:hAnsi="Times New Roman"/>
          <w:sz w:val="16"/>
          <w:szCs w:val="16"/>
          <w:b w:val="1"/>
          <w:bCs w:val="1"/>
          <w:color w:val="auto"/>
        </w:rPr>
        <w:t>Payment of Purchase Price.</w:t>
      </w:r>
      <w:r>
        <w:rPr>
          <w:rFonts w:ascii="Times New Roman" w:cs="Times New Roman" w:eastAsia="Times New Roman" w:hAnsi="Times New Roman"/>
          <w:sz w:val="16"/>
          <w:szCs w:val="16"/>
          <w:color w:val="auto"/>
        </w:rPr>
        <w:t xml:space="preserve"> Except as otherwise provided below, payment of the purchase price for the number of shares of Stock being purchased pursuant to any Restricted Stock Purchase Right shall be made (a) in cash, by check or in cash equivalent, (b) by such other consideration as may be approved by the Board from time to time to the extent permitted by applicable law, or (c) by any combination thereof.</w:t>
      </w:r>
    </w:p>
    <w:p>
      <w:pPr>
        <w:spacing w:after="0" w:line="38" w:lineRule="exact"/>
        <w:rPr>
          <w:sz w:val="20"/>
          <w:szCs w:val="20"/>
          <w:color w:val="auto"/>
        </w:rPr>
      </w:pPr>
    </w:p>
    <w:p>
      <w:pPr>
        <w:ind w:firstLine="964"/>
        <w:spacing w:after="0" w:line="24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color w:val="auto"/>
        </w:rPr>
        <w:t>Vesting and Restrictions on Transfer.</w:t>
      </w:r>
      <w:r>
        <w:rPr>
          <w:rFonts w:ascii="Times New Roman" w:cs="Times New Roman" w:eastAsia="Times New Roman" w:hAnsi="Times New Roman"/>
          <w:sz w:val="18"/>
          <w:szCs w:val="18"/>
          <w:color w:val="auto"/>
        </w:rPr>
        <w:t xml:space="preserve"> Shares issued pursuant to any Restricted Stock Award may (but need not) be made subject to Vesting Conditions based upon the satisfaction of such Service requirements, conditions, restrictions or performance criteria, as shall be established by the Board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The Board,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82" w:lineRule="exact"/>
        <w:rPr>
          <w:sz w:val="20"/>
          <w:szCs w:val="20"/>
          <w:color w:val="auto"/>
        </w:rPr>
      </w:pPr>
    </w:p>
    <w:p>
      <w:pPr>
        <w:ind w:right="120" w:firstLine="964"/>
        <w:spacing w:after="0" w:line="270"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color w:val="auto"/>
        </w:rPr>
        <w:t>Voting Rights; Dividends and Distributions.</w:t>
      </w:r>
      <w:r>
        <w:rPr>
          <w:rFonts w:ascii="Times New Roman" w:cs="Times New Roman" w:eastAsia="Times New Roman" w:hAnsi="Times New Roman"/>
          <w:sz w:val="18"/>
          <w:szCs w:val="18"/>
          <w:color w:val="auto"/>
        </w:rPr>
        <w:t xml:space="preserve"> Except as provided in this Section,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and any Award Agreement, during any period in which shares acquired pursuant to a Restricted Stock Award remain subject to Vesting Conditions, the Participant shall</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680"/>
          </w:cols>
          <w:pgMar w:left="580" w:top="263" w:right="639" w:bottom="1440" w:gutter="0" w:footer="0" w:header="0"/>
        </w:sectPr>
      </w:pPr>
    </w:p>
    <w:bookmarkStart w:id="452" w:name="page453"/>
    <w:bookmarkEnd w:id="452"/>
    <w:p>
      <w:pPr>
        <w:ind w:right="40"/>
        <w:spacing w:after="0" w:line="28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have all of the rights of a stockholder of the Company holding shares of Stock, including the right to vote such shares and to receive all dividends and other distributions paid with respect to such shares; provided, however, that if so determined by the Board and provided by the Award Agreement, such dividends and distributions shall be subject to the same Vesting Conditions as the shares subject to the Restricted Stock Award with respect to which such dividends or distributions were paid, and otherwise shall be paid no later than the end of the calendar year in which such dividends or distributions are paid to stockholders (or, if later, the 15th day of the third month following the date such dividends or distributions are paid to stockholders). In the event of a dividend or distribution paid in shares of Stock or other property or any other adjustment made upon a change in the capital structure of the Company as described in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any and all new, substituted or additional securities or other property (other than regular, periodic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55" w:lineRule="exact"/>
        <w:rPr>
          <w:sz w:val="20"/>
          <w:szCs w:val="20"/>
          <w:color w:val="auto"/>
        </w:rPr>
      </w:pPr>
    </w:p>
    <w:p>
      <w:pPr>
        <w:ind w:firstLine="964"/>
        <w:spacing w:after="0" w:line="247"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 xml:space="preserve"> Unless otherwise provided by the Board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84" w:lineRule="exact"/>
        <w:rPr>
          <w:sz w:val="20"/>
          <w:szCs w:val="20"/>
          <w:color w:val="auto"/>
        </w:rPr>
      </w:pPr>
    </w:p>
    <w:p>
      <w:pPr>
        <w:ind w:right="100" w:firstLine="964"/>
        <w:spacing w:after="0" w:line="250"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b w:val="1"/>
          <w:bCs w:val="1"/>
          <w:color w:val="auto"/>
        </w:rPr>
        <w:t>Nontransferability of Restricted Stock Award Rights.</w:t>
      </w:r>
      <w:r>
        <w:rPr>
          <w:rFonts w:ascii="Times New Roman" w:cs="Times New Roman" w:eastAsia="Times New Roman" w:hAnsi="Times New Roman"/>
          <w:sz w:val="18"/>
          <w:szCs w:val="18"/>
          <w:color w:val="auto"/>
        </w:rPr>
        <w:t xml:space="preserve">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182" w:lineRule="exact"/>
        <w:rPr>
          <w:sz w:val="20"/>
          <w:szCs w:val="20"/>
          <w:color w:val="auto"/>
        </w:rPr>
      </w:pPr>
    </w:p>
    <w:p>
      <w:pPr>
        <w:ind w:left="620" w:hanging="184"/>
        <w:spacing w:after="0"/>
        <w:tabs>
          <w:tab w:leader="none" w:pos="62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4"/>
          <w:szCs w:val="14"/>
          <w:b w:val="1"/>
          <w:bCs w:val="1"/>
          <w:u w:val="single" w:color="auto"/>
          <w:color w:val="auto"/>
        </w:rPr>
        <w:t>ESTRICTED</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TOCK</w:t>
      </w:r>
      <w:r>
        <w:rPr>
          <w:rFonts w:ascii="Times New Roman" w:cs="Times New Roman" w:eastAsia="Times New Roman" w:hAnsi="Times New Roman"/>
          <w:sz w:val="18"/>
          <w:szCs w:val="18"/>
          <w:b w:val="1"/>
          <w:bCs w:val="1"/>
          <w:u w:val="single" w:color="auto"/>
          <w:color w:val="auto"/>
        </w:rPr>
        <w:t xml:space="preserve"> U</w:t>
      </w:r>
      <w:r>
        <w:rPr>
          <w:rFonts w:ascii="Times New Roman" w:cs="Times New Roman" w:eastAsia="Times New Roman" w:hAnsi="Times New Roman"/>
          <w:sz w:val="14"/>
          <w:szCs w:val="14"/>
          <w:b w:val="1"/>
          <w:bCs w:val="1"/>
          <w:u w:val="single" w:color="auto"/>
          <w:color w:val="auto"/>
        </w:rPr>
        <w:t>NITS</w:t>
      </w:r>
      <w:r>
        <w:rPr>
          <w:rFonts w:ascii="Times New Roman" w:cs="Times New Roman" w:eastAsia="Times New Roman" w:hAnsi="Times New Roman"/>
          <w:sz w:val="18"/>
          <w:szCs w:val="18"/>
          <w:b w:val="1"/>
          <w:bCs w:val="1"/>
          <w:u w:val="single" w:color="auto"/>
          <w:color w:val="auto"/>
        </w:rPr>
        <w:t>.</w:t>
      </w:r>
    </w:p>
    <w:p>
      <w:pPr>
        <w:spacing w:after="0" w:line="215" w:lineRule="exact"/>
        <w:rPr>
          <w:sz w:val="20"/>
          <w:szCs w:val="20"/>
          <w:color w:val="auto"/>
        </w:rPr>
      </w:pPr>
    </w:p>
    <w:p>
      <w:pPr>
        <w:jc w:val="both"/>
        <w:ind w:right="200" w:firstLine="964"/>
        <w:spacing w:after="0" w:line="255" w:lineRule="auto"/>
        <w:rPr>
          <w:sz w:val="20"/>
          <w:szCs w:val="20"/>
          <w:color w:val="auto"/>
        </w:rPr>
      </w:pPr>
      <w:r>
        <w:rPr>
          <w:rFonts w:ascii="Times New Roman" w:cs="Times New Roman" w:eastAsia="Times New Roman" w:hAnsi="Times New Roman"/>
          <w:sz w:val="18"/>
          <w:szCs w:val="18"/>
          <w:color w:val="auto"/>
        </w:rPr>
        <w:t>Restricted Stock Unit Awards shall be evidenced by Award Agreements specifying the number of Restricted Stock Units subject to the Award, in such form as the Board shall establish. Award Agreements evidencing Restricted Stock Units may incorporate all or any of the terms of the Plan by reference and shall comply with and be subject to the following terms and conditions:</w:t>
      </w:r>
    </w:p>
    <w:p>
      <w:pPr>
        <w:spacing w:after="0" w:line="73" w:lineRule="exact"/>
        <w:rPr>
          <w:sz w:val="20"/>
          <w:szCs w:val="20"/>
          <w:color w:val="auto"/>
        </w:rPr>
      </w:pPr>
    </w:p>
    <w:p>
      <w:pPr>
        <w:ind w:right="420" w:firstLine="964"/>
        <w:spacing w:after="0" w:line="270"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Grant of Restricted Stock Unit Awards.</w:t>
      </w:r>
      <w:r>
        <w:rPr>
          <w:rFonts w:ascii="Times New Roman" w:cs="Times New Roman" w:eastAsia="Times New Roman" w:hAnsi="Times New Roman"/>
          <w:sz w:val="18"/>
          <w:szCs w:val="18"/>
          <w:color w:val="auto"/>
        </w:rPr>
        <w:t xml:space="preserve"> Restricted Stock Unit Awards may be granted upon such conditions as the Board shall determine, including, without limitation, upon the attainment of one or more performance goals established by the Board.</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680"/>
          </w:cols>
          <w:pgMar w:left="580" w:top="265" w:right="639" w:bottom="1440" w:gutter="0" w:footer="0" w:header="0"/>
        </w:sectPr>
      </w:pPr>
    </w:p>
    <w:bookmarkStart w:id="453" w:name="page454"/>
    <w:bookmarkEnd w:id="453"/>
    <w:p>
      <w:pPr>
        <w:ind w:firstLine="964"/>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8.2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77" w:lineRule="exact"/>
        <w:rPr>
          <w:sz w:val="20"/>
          <w:szCs w:val="20"/>
          <w:color w:val="auto"/>
        </w:rPr>
      </w:pPr>
    </w:p>
    <w:p>
      <w:pPr>
        <w:ind w:right="80" w:firstLine="964"/>
        <w:spacing w:after="0" w:line="247"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xml:space="preserve"> Restricted Stock Unit Awards may (but need not) be made subject to Vesting Conditions based upon the satisfaction of such Service requirements, conditions, restrictions or performance criteria as shall be established by the Board and set forth in the Award Agreement evidencing such Award. The Board, in its discretion, may provide in any Award Agreement evidencing a Restricted Stock Unit Award that, if the satisfaction of Vesting Conditions with respect to any shares subject to the Award would otherwise occur on a day on which the sale of such shares would violate the provisions of the Trading Compliance Policy, then the satisfaction of the Vesting Conditions automatically shall be determined on the first to occur of (a) the next trading day on which the sale of such shares would not violate the Trading Compliance Policy or (b) the last day of the calendar year in which the original vesting date occurred.</w:t>
      </w:r>
    </w:p>
    <w:p>
      <w:pPr>
        <w:spacing w:after="0" w:line="84" w:lineRule="exact"/>
        <w:rPr>
          <w:sz w:val="20"/>
          <w:szCs w:val="20"/>
          <w:color w:val="auto"/>
        </w:rPr>
      </w:pPr>
    </w:p>
    <w:p>
      <w:pPr>
        <w:ind w:right="20" w:firstLine="964"/>
        <w:spacing w:after="0" w:line="277" w:lineRule="auto"/>
        <w:rPr>
          <w:sz w:val="20"/>
          <w:szCs w:val="20"/>
          <w:color w:val="auto"/>
        </w:rPr>
      </w:pPr>
      <w:r>
        <w:rPr>
          <w:rFonts w:ascii="Times New Roman" w:cs="Times New Roman" w:eastAsia="Times New Roman" w:hAnsi="Times New Roman"/>
          <w:sz w:val="16"/>
          <w:szCs w:val="16"/>
          <w:color w:val="auto"/>
        </w:rPr>
        <w:t xml:space="preserve">8.4 </w:t>
      </w:r>
      <w:r>
        <w:rPr>
          <w:rFonts w:ascii="Times New Roman" w:cs="Times New Roman" w:eastAsia="Times New Roman" w:hAnsi="Times New Roman"/>
          <w:sz w:val="16"/>
          <w:szCs w:val="16"/>
          <w:b w:val="1"/>
          <w:bCs w:val="1"/>
          <w:color w:val="auto"/>
        </w:rPr>
        <w:t>Voting Rights, Dividend Equivalent Rights and Distributions.</w:t>
      </w:r>
      <w:r>
        <w:rPr>
          <w:rFonts w:ascii="Times New Roman" w:cs="Times New Roman" w:eastAsia="Times New Roman" w:hAnsi="Times New Roman"/>
          <w:sz w:val="16"/>
          <w:szCs w:val="16"/>
          <w:color w:val="auto"/>
        </w:rPr>
        <w:t xml:space="preserve">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Board,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Board. The number of additional Restricted Stock Units (rounded to the nearest whole number), if any, to be credited shall be determined by dividing</w:t>
      </w:r>
    </w:p>
    <w:p>
      <w:pPr>
        <w:spacing w:after="0" w:line="2" w:lineRule="exact"/>
        <w:rPr>
          <w:sz w:val="20"/>
          <w:szCs w:val="20"/>
          <w:color w:val="auto"/>
        </w:rPr>
      </w:pPr>
    </w:p>
    <w:p>
      <w:pPr>
        <w:ind w:right="20" w:firstLine="8"/>
        <w:spacing w:after="0" w:line="244" w:lineRule="auto"/>
        <w:tabs>
          <w:tab w:leader="none" w:pos="238"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cash dividends paid on the dividend payment date with respect to the number of shares of Stock represented by the Restricted Stock Units previously credited to the Participant by (b) the Fair Market Value per share of Stock on such date. Such cash amount or additional Restricted Stock Units shall be subject to the same terms and conditions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appropriate adjustments shall be made in the Participant’s Restricted Stock Unit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680"/>
          </w:cols>
          <w:pgMar w:left="580" w:top="263" w:right="639" w:bottom="1440" w:gutter="0" w:footer="0" w:header="0"/>
        </w:sectPr>
      </w:pPr>
    </w:p>
    <w:bookmarkStart w:id="454" w:name="page455"/>
    <w:bookmarkEnd w:id="454"/>
    <w:p>
      <w:pPr>
        <w:ind w:right="120" w:firstLine="96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8.5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 xml:space="preserve"> Unless otherwise provided by the Board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76" w:lineRule="exact"/>
        <w:rPr>
          <w:sz w:val="20"/>
          <w:szCs w:val="20"/>
          <w:color w:val="auto"/>
        </w:rPr>
      </w:pPr>
    </w:p>
    <w:p>
      <w:pPr>
        <w:ind w:firstLine="964"/>
        <w:spacing w:after="0" w:line="281" w:lineRule="auto"/>
        <w:rPr>
          <w:sz w:val="20"/>
          <w:szCs w:val="20"/>
          <w:color w:val="auto"/>
        </w:rPr>
      </w:pPr>
      <w:r>
        <w:rPr>
          <w:rFonts w:ascii="Times New Roman" w:cs="Times New Roman" w:eastAsia="Times New Roman" w:hAnsi="Times New Roman"/>
          <w:sz w:val="16"/>
          <w:szCs w:val="16"/>
          <w:color w:val="auto"/>
        </w:rPr>
        <w:t xml:space="preserve">8.6 </w:t>
      </w:r>
      <w:r>
        <w:rPr>
          <w:rFonts w:ascii="Times New Roman" w:cs="Times New Roman" w:eastAsia="Times New Roman" w:hAnsi="Times New Roman"/>
          <w:sz w:val="16"/>
          <w:szCs w:val="16"/>
          <w:b w:val="1"/>
          <w:bCs w:val="1"/>
          <w:color w:val="auto"/>
        </w:rPr>
        <w:t>Settlement of Restricted Stock Unit Awards.</w:t>
      </w:r>
      <w:r>
        <w:rPr>
          <w:rFonts w:ascii="Times New Roman" w:cs="Times New Roman" w:eastAsia="Times New Roman" w:hAnsi="Times New Roman"/>
          <w:sz w:val="16"/>
          <w:szCs w:val="16"/>
          <w:color w:val="auto"/>
        </w:rPr>
        <w:t xml:space="preserve"> The Company shall issue to a Participant on the date on which Restricted Stock Units subject to the Participant’s Restricted Stock Unit Award vest or on such other date determined by the Board in compliance with Section 409A, if applicable, and set forth in the Award Agreement one (1) share of Stock (and/or any other new, substituted or additional securities or other property pursuant to an adjustment described in </w:t>
      </w:r>
      <w:r>
        <w:rPr>
          <w:rFonts w:ascii="Times New Roman" w:cs="Times New Roman" w:eastAsia="Times New Roman" w:hAnsi="Times New Roman"/>
          <w:sz w:val="16"/>
          <w:szCs w:val="16"/>
          <w:u w:val="single" w:color="auto"/>
          <w:color w:val="auto"/>
        </w:rPr>
        <w:t>Section 8.4</w:t>
      </w:r>
      <w:r>
        <w:rPr>
          <w:rFonts w:ascii="Times New Roman" w:cs="Times New Roman" w:eastAsia="Times New Roman" w:hAnsi="Times New Roman"/>
          <w:sz w:val="16"/>
          <w:szCs w:val="16"/>
          <w:color w:val="auto"/>
        </w:rPr>
        <w:t>) for each Restricted Stock Unit then becoming vested or otherwise to be settled on such date, subject to the withholding of applicable taxes, if any. If permitted by the Board,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Notwithstanding the foregoing, the Board, in its discretion, may provide for settlement of any Restricted Stock Unit Award by payment to the Participant in cash of an amount equal to the Fair Market Value on the payment date of the shares of Stock or other property otherwise issuable to the Participant pursuant to this Section.</w:t>
      </w:r>
    </w:p>
    <w:p>
      <w:pPr>
        <w:spacing w:after="0" w:line="57" w:lineRule="exact"/>
        <w:rPr>
          <w:sz w:val="20"/>
          <w:szCs w:val="20"/>
          <w:color w:val="auto"/>
        </w:rPr>
      </w:pPr>
    </w:p>
    <w:p>
      <w:pPr>
        <w:ind w:right="60" w:firstLine="964"/>
        <w:spacing w:after="0" w:line="24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Nontransferability of Restricted Stock Unit Awards.</w:t>
      </w:r>
      <w:r>
        <w:rPr>
          <w:rFonts w:ascii="Times New Roman" w:cs="Times New Roman" w:eastAsia="Times New Roman" w:hAnsi="Times New Roman"/>
          <w:sz w:val="18"/>
          <w:szCs w:val="18"/>
          <w:color w:val="auto"/>
        </w:rPr>
        <w:t xml:space="preserve">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For so long as the Company is relying on an order of the Securities and Exchange Commission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under Section 12(h) of the Exchange Act or a no-action position of the Staff of the SEC relieving the Company from registration under Section 12(g) of the Exchange Act of the Units and the shares of Stock subject thereto, no Restricted Stock Unit Award, or prior to its settlement, shares of Stock underlying such Award, shall be transferred except in compliance with the restrictions on transfer under Rule 12h-1(f) under the Exchange Act that would apply were the Restricted Stock Units subject to such rule (including the requirement under such rule that any permitted transferee may not further transfer the securities) or be made subject to any short position, “put equivalent position” or “call equivalent position” by the Participant, as such terms are defined in Rule 16a-1 under the Exchange Act. All rights with respect to a Restricted Stock Unit Award granted to a Participant hereunder shall be exercisable during his or her lifetime only by such Participant or the Participant’s guardian or legal representative.</w:t>
      </w:r>
    </w:p>
    <w:p>
      <w:pPr>
        <w:spacing w:after="0" w:line="187" w:lineRule="exact"/>
        <w:rPr>
          <w:sz w:val="20"/>
          <w:szCs w:val="20"/>
          <w:color w:val="auto"/>
        </w:rPr>
      </w:pPr>
    </w:p>
    <w:p>
      <w:pPr>
        <w:ind w:left="620" w:hanging="184"/>
        <w:spacing w:after="0"/>
        <w:tabs>
          <w:tab w:leader="none" w:pos="62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4"/>
          <w:szCs w:val="14"/>
          <w:b w:val="1"/>
          <w:bCs w:val="1"/>
          <w:u w:val="single" w:color="auto"/>
          <w:color w:val="auto"/>
        </w:rPr>
        <w:t>TANDARD</w:t>
      </w:r>
      <w:r>
        <w:rPr>
          <w:rFonts w:ascii="Times New Roman" w:cs="Times New Roman" w:eastAsia="Times New Roman" w:hAnsi="Times New Roman"/>
          <w:sz w:val="18"/>
          <w:szCs w:val="18"/>
          <w:b w:val="1"/>
          <w:bCs w:val="1"/>
          <w:u w:val="single" w:color="auto"/>
          <w:color w:val="auto"/>
        </w:rPr>
        <w:t xml:space="preserve"> F</w:t>
      </w:r>
      <w:r>
        <w:rPr>
          <w:rFonts w:ascii="Times New Roman" w:cs="Times New Roman" w:eastAsia="Times New Roman" w:hAnsi="Times New Roman"/>
          <w:sz w:val="14"/>
          <w:szCs w:val="14"/>
          <w:b w:val="1"/>
          <w:bCs w:val="1"/>
          <w:u w:val="single" w:color="auto"/>
          <w:color w:val="auto"/>
        </w:rPr>
        <w:t>ORMS OF</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WARD</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GREEMENTS</w:t>
      </w:r>
      <w:r>
        <w:rPr>
          <w:rFonts w:ascii="Times New Roman" w:cs="Times New Roman" w:eastAsia="Times New Roman" w:hAnsi="Times New Roman"/>
          <w:sz w:val="18"/>
          <w:szCs w:val="18"/>
          <w:b w:val="1"/>
          <w:bCs w:val="1"/>
          <w:u w:val="single" w:color="auto"/>
          <w:color w:val="auto"/>
        </w:rPr>
        <w:t>.</w:t>
      </w:r>
    </w:p>
    <w:p>
      <w:pPr>
        <w:spacing w:after="0" w:line="106" w:lineRule="exact"/>
        <w:rPr>
          <w:sz w:val="20"/>
          <w:szCs w:val="20"/>
          <w:color w:val="auto"/>
        </w:rPr>
      </w:pPr>
    </w:p>
    <w:p>
      <w:pPr>
        <w:ind w:right="220" w:firstLine="964"/>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Award Agreements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Each Award shall comply with and be subject to the terms and conditions set forth in the appropriate form of Award Agreement approved by the Board and as amended from time to time. No Award or purported Award shall be a valid and binding obligation of the Company unless evidenced by a fully executed Award Agreement, which execution may be evidenced by electronic means.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20"/>
          </w:cols>
          <w:pgMar w:left="580" w:top="263" w:right="599" w:bottom="1440" w:gutter="0" w:footer="0" w:header="0"/>
        </w:sectPr>
      </w:pPr>
    </w:p>
    <w:bookmarkStart w:id="455" w:name="page456"/>
    <w:bookmarkEnd w:id="455"/>
    <w:p>
      <w:pPr>
        <w:ind w:right="140" w:firstLine="96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9.2 </w:t>
      </w:r>
      <w:r>
        <w:rPr>
          <w:rFonts w:ascii="Times New Roman" w:cs="Times New Roman" w:eastAsia="Times New Roman" w:hAnsi="Times New Roman"/>
          <w:sz w:val="18"/>
          <w:szCs w:val="18"/>
          <w:b w:val="1"/>
          <w:bCs w:val="1"/>
          <w:color w:val="auto"/>
        </w:rPr>
        <w:t>Authority to Vary Terms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Board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179" w:lineRule="exact"/>
        <w:rPr>
          <w:sz w:val="20"/>
          <w:szCs w:val="20"/>
          <w:color w:val="auto"/>
        </w:rPr>
      </w:pPr>
    </w:p>
    <w:p>
      <w:pPr>
        <w:ind w:left="700" w:hanging="264"/>
        <w:spacing w:after="0"/>
        <w:tabs>
          <w:tab w:leader="none" w:pos="70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HANGE IN</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ONTROL</w:t>
      </w:r>
      <w:r>
        <w:rPr>
          <w:rFonts w:ascii="Times New Roman" w:cs="Times New Roman" w:eastAsia="Times New Roman" w:hAnsi="Times New Roman"/>
          <w:sz w:val="18"/>
          <w:szCs w:val="18"/>
          <w:b w:val="1"/>
          <w:bCs w:val="1"/>
          <w:u w:val="single" w:color="auto"/>
          <w:color w:val="auto"/>
        </w:rPr>
        <w:t>.</w:t>
      </w:r>
    </w:p>
    <w:p>
      <w:pPr>
        <w:spacing w:after="0" w:line="106" w:lineRule="exact"/>
        <w:rPr>
          <w:sz w:val="20"/>
          <w:szCs w:val="20"/>
          <w:color w:val="auto"/>
        </w:rPr>
      </w:pPr>
    </w:p>
    <w:p>
      <w:pPr>
        <w:ind w:right="100" w:firstLine="964"/>
        <w:spacing w:after="0" w:line="27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Effect of Change in Control on Awards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Subject to the requirements and limitations of Section 409A, if applicable, the Board may provide for any one or more of the following:</w:t>
      </w:r>
    </w:p>
    <w:p>
      <w:pPr>
        <w:spacing w:after="0" w:line="56" w:lineRule="exact"/>
        <w:rPr>
          <w:sz w:val="20"/>
          <w:szCs w:val="20"/>
          <w:color w:val="auto"/>
        </w:rPr>
      </w:pPr>
    </w:p>
    <w:p>
      <w:pPr>
        <w:ind w:right="60" w:firstLine="1400"/>
        <w:spacing w:after="0" w:line="253" w:lineRule="auto"/>
        <w:tabs>
          <w:tab w:leader="none" w:pos="163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Accelerated Vesting</w:t>
      </w:r>
      <w:r>
        <w:rPr>
          <w:rFonts w:ascii="Times New Roman" w:cs="Times New Roman" w:eastAsia="Times New Roman" w:hAnsi="Times New Roman"/>
          <w:sz w:val="18"/>
          <w:szCs w:val="18"/>
          <w:color w:val="auto"/>
        </w:rPr>
        <w:t>. In its discretion, the Board may provide in the grant of any Award or at any other time may take action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Board determines.</w:t>
      </w:r>
    </w:p>
    <w:p>
      <w:pPr>
        <w:spacing w:after="0" w:line="72" w:lineRule="exact"/>
        <w:rPr>
          <w:rFonts w:ascii="Times New Roman" w:cs="Times New Roman" w:eastAsia="Times New Roman" w:hAnsi="Times New Roman"/>
          <w:sz w:val="18"/>
          <w:szCs w:val="18"/>
          <w:color w:val="auto"/>
        </w:rPr>
      </w:pPr>
    </w:p>
    <w:p>
      <w:pPr>
        <w:ind w:firstLine="1400"/>
        <w:spacing w:after="0" w:line="245" w:lineRule="auto"/>
        <w:tabs>
          <w:tab w:leader="none" w:pos="16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Assumption, Continuation or Substitution of Awards</w:t>
      </w:r>
      <w:r>
        <w:rPr>
          <w:rFonts w:ascii="Times New Roman" w:cs="Times New Roman" w:eastAsia="Times New Roman" w:hAnsi="Times New Roman"/>
          <w:sz w:val="18"/>
          <w:szCs w:val="18"/>
          <w:color w:val="auto"/>
        </w:rPr>
        <w:t>. In the event of a Change in Control, the surviving, continuing, successor,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or purchasing corporation or other business entity or parent thereof, as the case may be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Acquiror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For purposes of this Section, if so determined by the Board, in its discretion, an Award or any portion thereof shall be deemed assumed if, following the Change in Control, the Award confers the right to receive, subject to the terms and conditions of the Plan and the applicable Award Agreement, for each share of Stock subject to such portion of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Board may, with the consent of the Acquiror, provide for the consideration to be received upon the exercise or settlement of the Award, for each share of Stock subject to the Award, solely common stock of the Acquiror equal in Fair Market Value to the per share consideration received by holders of Stock pursuant to the Change in Control. If any portion of such consideration may be received by holders of Stock pursuant to the Change in Control on a contingent or delayed basis, the Board may, in its discretion, determine such Fair Market Value per share as of the time of the Change in Control on the basis of the Board’s good faith estimate of the present value of the probable future payment of such consideration. Any Award or portion thereof which is neither assumed or continued by the Acquiror in connection with the Change in</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00"/>
          </w:cols>
          <w:pgMar w:left="580" w:top="261" w:right="619" w:bottom="1440" w:gutter="0" w:footer="0" w:header="0"/>
        </w:sectPr>
      </w:pPr>
    </w:p>
    <w:bookmarkStart w:id="456" w:name="page457"/>
    <w:bookmarkEnd w:id="456"/>
    <w:p>
      <w:pPr>
        <w:ind w:right="8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Control nor exercised as of the time of consummation of the Change in Control shall terminate and cease to be outstanding effective as of the time of consummation of the Change in Control. Notwithstanding the foregoing, shares acquired upon exercise of an Award prior to the Change in Control and any consideration received pursuant to the Change in Control with respect to such shares shall continue to be subject to all applicable provisions of the Award Agreement evidencing such Award except as otherwise provided in such Award Agreement.</w:t>
      </w:r>
    </w:p>
    <w:p>
      <w:pPr>
        <w:spacing w:after="0" w:line="75" w:lineRule="exact"/>
        <w:rPr>
          <w:sz w:val="20"/>
          <w:szCs w:val="20"/>
          <w:color w:val="auto"/>
        </w:rPr>
      </w:pPr>
    </w:p>
    <w:p>
      <w:pPr>
        <w:ind w:firstLine="1400"/>
        <w:spacing w:after="0" w:line="245" w:lineRule="auto"/>
        <w:tabs>
          <w:tab w:leader="none" w:pos="163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Cash-Out of Outstanding Awards. </w:t>
      </w:r>
      <w:r>
        <w:rPr>
          <w:rFonts w:ascii="Times New Roman" w:cs="Times New Roman" w:eastAsia="Times New Roman" w:hAnsi="Times New Roman"/>
          <w:sz w:val="18"/>
          <w:szCs w:val="18"/>
          <w:color w:val="auto"/>
        </w:rPr>
        <w:t>The Board may, in its discretion and without the consent of any Participant, determine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occurrence of a Change in Control, each or any Award or portion thereof outstanding immediately prior to the Change in Control and not previously exercised or settled shall be canceled in exchange for a payment with respect to each vested share (and each unvested share, if so determined by the Board)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If any portion of such consideration may be received by holders of Stock pursuant to the Change in Control on a contingent or delayed basis, the Board may, in its sole discretion, determine such Fair Market Value per share as of the time of the Change in Control on the basis of the Board’s good faith estimate of the present value of the probable amount of future payment of such consideration. In the event such determination is made by the Board, an Award having an exercise or purchase price per share equal to or greater than the Fair Market Value of the consideration to be paid per share of Stock in the Change in Control may be canceled without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10.2 Federal Excise Tax Under Section 4999 of the Code.</w:t>
      </w:r>
    </w:p>
    <w:p>
      <w:pPr>
        <w:spacing w:after="0" w:line="104" w:lineRule="exact"/>
        <w:rPr>
          <w:sz w:val="20"/>
          <w:szCs w:val="20"/>
          <w:color w:val="auto"/>
        </w:rPr>
      </w:pPr>
    </w:p>
    <w:p>
      <w:pPr>
        <w:ind w:right="20" w:firstLine="1400"/>
        <w:spacing w:after="0" w:line="250" w:lineRule="auto"/>
        <w:tabs>
          <w:tab w:leader="none" w:pos="163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Excess Parachute Payment. </w:t>
      </w:r>
      <w:r>
        <w:rPr>
          <w:rFonts w:ascii="Times New Roman" w:cs="Times New Roman" w:eastAsia="Times New Roman" w:hAnsi="Times New Roman"/>
          <w:sz w:val="18"/>
          <w:szCs w:val="18"/>
          <w:color w:val="auto"/>
        </w:rPr>
        <w:t>If any acceleration of vesting pursuant to an Award and any other payment or benefit received 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p>
    <w:p>
      <w:pPr>
        <w:spacing w:after="0" w:line="182" w:lineRule="exact"/>
        <w:rPr>
          <w:rFonts w:ascii="Times New Roman" w:cs="Times New Roman" w:eastAsia="Times New Roman" w:hAnsi="Times New Roman"/>
          <w:sz w:val="18"/>
          <w:szCs w:val="18"/>
          <w:color w:val="auto"/>
        </w:rPr>
      </w:pPr>
    </w:p>
    <w:p>
      <w:pPr>
        <w:ind w:firstLine="1400"/>
        <w:spacing w:after="0" w:line="253" w:lineRule="auto"/>
        <w:tabs>
          <w:tab w:leader="none" w:pos="164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Determination by Tax Firm. </w:t>
      </w:r>
      <w:r>
        <w:rPr>
          <w:rFonts w:ascii="Times New Roman" w:cs="Times New Roman" w:eastAsia="Times New Roman" w:hAnsi="Times New Roman"/>
          <w:sz w:val="18"/>
          <w:szCs w:val="18"/>
          <w:color w:val="auto"/>
        </w:rPr>
        <w:t>To aid the Participant in making any election called for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no later than the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the occurrence of any event that might reasonably be anticipated to result in an “excess parachute payment” to the Participant as described in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the Company shall request a determination in writing by the professional firm engaged by the Company for general tax purposes, or, if the tax firm so engaged by the Company is serving as accountant or auditor for the Acquiror, the Company will</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680"/>
          </w:cols>
          <w:pgMar w:left="580" w:top="265" w:right="639" w:bottom="1440" w:gutter="0" w:footer="0" w:header="0"/>
        </w:sectPr>
      </w:pPr>
    </w:p>
    <w:bookmarkStart w:id="457" w:name="page458"/>
    <w:bookmarkEnd w:id="457"/>
    <w:p>
      <w:pPr>
        <w:ind w:right="4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appoint a nationally recognized tax firm to make the determinations required by this Section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Tax Firm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may charge in connection with its services contemplated by this Section.</w:t>
      </w:r>
    </w:p>
    <w:p>
      <w:pPr>
        <w:spacing w:after="0" w:line="184" w:lineRule="exact"/>
        <w:rPr>
          <w:sz w:val="20"/>
          <w:szCs w:val="20"/>
          <w:color w:val="auto"/>
        </w:rPr>
      </w:pPr>
    </w:p>
    <w:p>
      <w:pPr>
        <w:ind w:left="700" w:hanging="264"/>
        <w:spacing w:after="0"/>
        <w:tabs>
          <w:tab w:leader="none" w:pos="70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w:t>
      </w:r>
      <w:r>
        <w:rPr>
          <w:rFonts w:ascii="Times New Roman" w:cs="Times New Roman" w:eastAsia="Times New Roman" w:hAnsi="Times New Roman"/>
          <w:sz w:val="14"/>
          <w:szCs w:val="14"/>
          <w:b w:val="1"/>
          <w:bCs w:val="1"/>
          <w:u w:val="single" w:color="auto"/>
          <w:color w:val="auto"/>
        </w:rPr>
        <w:t>AX</w:t>
      </w:r>
      <w:r>
        <w:rPr>
          <w:rFonts w:ascii="Times New Roman" w:cs="Times New Roman" w:eastAsia="Times New Roman" w:hAnsi="Times New Roman"/>
          <w:sz w:val="18"/>
          <w:szCs w:val="18"/>
          <w:b w:val="1"/>
          <w:bCs w:val="1"/>
          <w:u w:val="single" w:color="auto"/>
          <w:color w:val="auto"/>
        </w:rPr>
        <w:t xml:space="preserve"> W</w:t>
      </w:r>
      <w:r>
        <w:rPr>
          <w:rFonts w:ascii="Times New Roman" w:cs="Times New Roman" w:eastAsia="Times New Roman" w:hAnsi="Times New Roman"/>
          <w:sz w:val="14"/>
          <w:szCs w:val="14"/>
          <w:b w:val="1"/>
          <w:bCs w:val="1"/>
          <w:u w:val="single" w:color="auto"/>
          <w:color w:val="auto"/>
        </w:rPr>
        <w:t>ITHHOLDING</w:t>
      </w:r>
      <w:r>
        <w:rPr>
          <w:rFonts w:ascii="Times New Roman" w:cs="Times New Roman" w:eastAsia="Times New Roman" w:hAnsi="Times New Roman"/>
          <w:sz w:val="18"/>
          <w:szCs w:val="18"/>
          <w:b w:val="1"/>
          <w:bCs w:val="1"/>
          <w:u w:val="single" w:color="auto"/>
          <w:color w:val="auto"/>
        </w:rPr>
        <w:t>.</w:t>
      </w:r>
    </w:p>
    <w:p>
      <w:pPr>
        <w:spacing w:after="0" w:line="108" w:lineRule="exact"/>
        <w:rPr>
          <w:sz w:val="20"/>
          <w:szCs w:val="20"/>
          <w:color w:val="auto"/>
        </w:rPr>
      </w:pPr>
    </w:p>
    <w:p>
      <w:pPr>
        <w:ind w:right="80" w:firstLine="964"/>
        <w:spacing w:after="0" w:line="248"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color w:val="auto"/>
        </w:rPr>
        <w:t>Tax Withholding in General.</w:t>
      </w:r>
      <w:r>
        <w:rPr>
          <w:rFonts w:ascii="Times New Roman" w:cs="Times New Roman" w:eastAsia="Times New Roman" w:hAnsi="Times New Roman"/>
          <w:sz w:val="18"/>
          <w:szCs w:val="18"/>
          <w:color w:val="auto"/>
        </w:rPr>
        <w:t xml:space="preserve">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82" w:lineRule="exact"/>
        <w:rPr>
          <w:sz w:val="20"/>
          <w:szCs w:val="20"/>
          <w:color w:val="auto"/>
        </w:rPr>
      </w:pPr>
    </w:p>
    <w:p>
      <w:pPr>
        <w:ind w:firstLine="964"/>
        <w:spacing w:after="0" w:line="247"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color w:val="auto"/>
        </w:rPr>
        <w:t>Withholding in or Directed Sale of Shares.</w:t>
      </w:r>
      <w:r>
        <w:rPr>
          <w:rFonts w:ascii="Times New Roman" w:cs="Times New Roman" w:eastAsia="Times New Roman" w:hAnsi="Times New Roman"/>
          <w:sz w:val="18"/>
          <w:szCs w:val="18"/>
          <w:color w:val="auto"/>
        </w:rPr>
        <w:t xml:space="preserve"> The Company shall have the right, but not the obligation, to deduct from the shares of Stock issuable to a Participant upon the exercise, vesting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not exceed the amount determined by the applicable minimum statutory withholding rates.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the Participating Company in cash.</w:t>
      </w:r>
    </w:p>
    <w:p>
      <w:pPr>
        <w:spacing w:after="0" w:line="396" w:lineRule="exact"/>
        <w:rPr>
          <w:sz w:val="20"/>
          <w:szCs w:val="20"/>
          <w:color w:val="auto"/>
        </w:rPr>
      </w:pPr>
    </w:p>
    <w:p>
      <w:pPr>
        <w:ind w:left="700" w:hanging="264"/>
        <w:spacing w:after="0"/>
        <w:tabs>
          <w:tab w:leader="none" w:pos="7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OMPLIANCE WITH</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ECTION</w:t>
      </w:r>
      <w:r>
        <w:rPr>
          <w:rFonts w:ascii="Times New Roman" w:cs="Times New Roman" w:eastAsia="Times New Roman" w:hAnsi="Times New Roman"/>
          <w:sz w:val="18"/>
          <w:szCs w:val="18"/>
          <w:b w:val="1"/>
          <w:bCs w:val="1"/>
          <w:u w:val="single" w:color="auto"/>
          <w:color w:val="auto"/>
        </w:rPr>
        <w:t xml:space="preserve"> 409A.</w:t>
      </w:r>
    </w:p>
    <w:p>
      <w:pPr>
        <w:spacing w:after="0" w:line="108" w:lineRule="exact"/>
        <w:rPr>
          <w:sz w:val="20"/>
          <w:szCs w:val="20"/>
          <w:color w:val="auto"/>
        </w:rPr>
      </w:pPr>
    </w:p>
    <w:p>
      <w:pPr>
        <w:ind w:right="120" w:firstLine="964"/>
        <w:spacing w:after="0" w:line="288" w:lineRule="auto"/>
        <w:rPr>
          <w:sz w:val="20"/>
          <w:szCs w:val="20"/>
          <w:color w:val="auto"/>
        </w:rPr>
      </w:pPr>
      <w:r>
        <w:rPr>
          <w:rFonts w:ascii="Times New Roman" w:cs="Times New Roman" w:eastAsia="Times New Roman" w:hAnsi="Times New Roman"/>
          <w:sz w:val="16"/>
          <w:szCs w:val="16"/>
          <w:color w:val="auto"/>
        </w:rPr>
        <w:t xml:space="preserve">12.1 </w:t>
      </w:r>
      <w:r>
        <w:rPr>
          <w:rFonts w:ascii="Times New Roman" w:cs="Times New Roman" w:eastAsia="Times New Roman" w:hAnsi="Times New Roman"/>
          <w:sz w:val="16"/>
          <w:szCs w:val="16"/>
          <w:b w:val="1"/>
          <w:bCs w:val="1"/>
          <w:color w:val="auto"/>
        </w:rPr>
        <w:t>In General</w:t>
      </w:r>
      <w:r>
        <w:rPr>
          <w:rFonts w:ascii="Times New Roman" w:cs="Times New Roman" w:eastAsia="Times New Roman" w:hAnsi="Times New Roman"/>
          <w:sz w:val="16"/>
          <w:szCs w:val="16"/>
          <w:color w:val="auto"/>
        </w:rPr>
        <w:t>. The Plan and all Awards granted hereunder are intended to comply with, or otherwise be exempt from, Section 409A. The Plan and all Awards granted under the Plan shall be administered, interpreted, and construed in a manner consistent with Section 409A, as determined by the Company in good faith, to the extent necessary to avoid the imposition of additional taxes under Section 409A(a)(1)(B) of the Code. It is intended that any election, payment or benefit which is made or provided pursuant to or in connection with any Award that may result in deferred compensation within the meaning of Section 409A shall comply in all respects with the applicable requirements of Section 409A.</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00"/>
          </w:cols>
          <w:pgMar w:left="580" w:top="261" w:right="619" w:bottom="1440" w:gutter="0" w:footer="0" w:header="0"/>
        </w:sectPr>
      </w:pPr>
    </w:p>
    <w:bookmarkStart w:id="458" w:name="page459"/>
    <w:bookmarkEnd w:id="458"/>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12.2 </w:t>
      </w:r>
      <w:r>
        <w:rPr>
          <w:rFonts w:ascii="Times New Roman" w:cs="Times New Roman" w:eastAsia="Times New Roman" w:hAnsi="Times New Roman"/>
          <w:sz w:val="18"/>
          <w:szCs w:val="18"/>
          <w:b w:val="1"/>
          <w:bCs w:val="1"/>
          <w:color w:val="auto"/>
        </w:rPr>
        <w:t>Certain Limitations</w:t>
      </w:r>
      <w:r>
        <w:rPr>
          <w:rFonts w:ascii="Times New Roman" w:cs="Times New Roman" w:eastAsia="Times New Roman" w:hAnsi="Times New Roman"/>
          <w:sz w:val="18"/>
          <w:szCs w:val="18"/>
          <w:color w:val="auto"/>
        </w:rPr>
        <w:t>. With respect to any Award that is subject to Section 409A, the following shall apply, as applicable:</w:t>
      </w:r>
    </w:p>
    <w:p>
      <w:pPr>
        <w:spacing w:after="0" w:line="110" w:lineRule="exact"/>
        <w:rPr>
          <w:sz w:val="20"/>
          <w:szCs w:val="20"/>
          <w:color w:val="auto"/>
        </w:rPr>
      </w:pPr>
    </w:p>
    <w:p>
      <w:pPr>
        <w:ind w:firstLine="1400"/>
        <w:spacing w:after="0" w:line="251" w:lineRule="auto"/>
        <w:tabs>
          <w:tab w:leader="none" w:pos="1631"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Plan or any Award Agreement, to the extent required to avoid tax penalties under Section 409A, amounts that would otherwise be payable and benefits that would otherwise be provided pursuant to the Plan on account of, and during the six (6) month period immediately following, the Participant’s termination of Service shall instead be paid on the first payroll date after the six-month anniversary of the Participant’s separation from service (or the Participant’s death, if earlier).</w:t>
      </w:r>
    </w:p>
    <w:p>
      <w:pPr>
        <w:spacing w:after="0" w:line="79" w:lineRule="exact"/>
        <w:rPr>
          <w:rFonts w:ascii="Times New Roman" w:cs="Times New Roman" w:eastAsia="Times New Roman" w:hAnsi="Times New Roman"/>
          <w:sz w:val="18"/>
          <w:szCs w:val="18"/>
          <w:color w:val="auto"/>
        </w:rPr>
      </w:pPr>
    </w:p>
    <w:p>
      <w:pPr>
        <w:ind w:right="400" w:firstLine="1400"/>
        <w:spacing w:after="0" w:line="267" w:lineRule="auto"/>
        <w:tabs>
          <w:tab w:leader="none" w:pos="164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Participant nor the Company shall take any action to accelerate or delay the payment of any amount or benefits under an Award in any manner which would not be in compliance with Section 409A.</w:t>
      </w:r>
    </w:p>
    <w:p>
      <w:pPr>
        <w:spacing w:after="0" w:line="64" w:lineRule="exact"/>
        <w:rPr>
          <w:rFonts w:ascii="Times New Roman" w:cs="Times New Roman" w:eastAsia="Times New Roman" w:hAnsi="Times New Roman"/>
          <w:sz w:val="18"/>
          <w:szCs w:val="18"/>
          <w:color w:val="auto"/>
        </w:rPr>
      </w:pPr>
    </w:p>
    <w:p>
      <w:pPr>
        <w:ind w:right="20" w:firstLine="1400"/>
        <w:spacing w:after="0" w:line="246" w:lineRule="auto"/>
        <w:tabs>
          <w:tab w:leader="none" w:pos="1631"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the Plan or any Award Agreement, to the extent that any amount constituting deferred compensation subject to Section 409A would become payable under the Plan by reason of a Change in Control, such amount shall become payable only if the event constituting the Change in Control would also constitute a change in ownership or effective control of the Company or a change in the ownership of a substantial portion of the assets of the Company within the meaning of Section 409A. Any Award which constitutes deferred compensation subject to Section 409A and which would vest and otherwise become payable upon a Change in Control as a result of the failure of the Acquiror to assume, continue or substitute for such Award in accordance with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shall vest to the extent provided by such Award but shall be converted automatically at the effective time of such Change in Control into a right to receive, in cash on the date or dates such award would have been settled in accordance with its then existing settlement schedule, an amount or amounts equal in the aggregate to the intrinsic value of the Award at the time of the Change in Control.</w:t>
      </w:r>
    </w:p>
    <w:p>
      <w:pPr>
        <w:spacing w:after="0" w:line="86" w:lineRule="exact"/>
        <w:rPr>
          <w:rFonts w:ascii="Times New Roman" w:cs="Times New Roman" w:eastAsia="Times New Roman" w:hAnsi="Times New Roman"/>
          <w:sz w:val="18"/>
          <w:szCs w:val="18"/>
          <w:color w:val="auto"/>
        </w:rPr>
      </w:pPr>
    </w:p>
    <w:p>
      <w:pPr>
        <w:ind w:firstLine="1400"/>
        <w:spacing w:after="0" w:line="251" w:lineRule="auto"/>
        <w:tabs>
          <w:tab w:leader="none" w:pos="164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provision of the Plan, any Award Agreement, or any other agreement or arrangement contemplated by the Plan be found not to comply with, or otherwise be exempt from, the provisions of Section 409A, such provision shall be modified and given effect (retroactively if necessary), in the sole discretion of the Board, and without the consent of the holder of the Award, in such manner as the Board determines to be necessary or appropriate to comply with, or to effectuate an exemption from, Section 409A.</w:t>
      </w:r>
    </w:p>
    <w:p>
      <w:pPr>
        <w:spacing w:after="0" w:line="79" w:lineRule="exact"/>
        <w:rPr>
          <w:rFonts w:ascii="Times New Roman" w:cs="Times New Roman" w:eastAsia="Times New Roman" w:hAnsi="Times New Roman"/>
          <w:sz w:val="18"/>
          <w:szCs w:val="18"/>
          <w:color w:val="auto"/>
        </w:rPr>
      </w:pPr>
    </w:p>
    <w:p>
      <w:pPr>
        <w:ind w:right="240" w:firstLine="1400"/>
        <w:spacing w:after="0" w:line="255" w:lineRule="auto"/>
        <w:tabs>
          <w:tab w:leader="none" w:pos="1631"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neither the Company nor the Board shall have any obligation to take any action to prevent the assessment of any tax or penalty on any Participant under Section 409A, and neither the Company nor the Board will have any liability to any Participant for such tax or penalty.</w:t>
      </w:r>
    </w:p>
    <w:p>
      <w:pPr>
        <w:spacing w:after="0" w:line="17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OMPLIANCE WITH</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ECURITIES</w:t>
      </w:r>
      <w:r>
        <w:rPr>
          <w:rFonts w:ascii="Times New Roman" w:cs="Times New Roman" w:eastAsia="Times New Roman" w:hAnsi="Times New Roman"/>
          <w:sz w:val="18"/>
          <w:szCs w:val="18"/>
          <w:b w:val="1"/>
          <w:bCs w:val="1"/>
          <w:u w:val="single" w:color="auto"/>
          <w:color w:val="auto"/>
        </w:rPr>
        <w:t xml:space="preserve"> L</w:t>
      </w:r>
      <w:r>
        <w:rPr>
          <w:rFonts w:ascii="Times New Roman" w:cs="Times New Roman" w:eastAsia="Times New Roman" w:hAnsi="Times New Roman"/>
          <w:sz w:val="14"/>
          <w:szCs w:val="14"/>
          <w:b w:val="1"/>
          <w:bCs w:val="1"/>
          <w:u w:val="single" w:color="auto"/>
          <w:color w:val="auto"/>
        </w:rPr>
        <w:t>AW</w:t>
      </w:r>
      <w:r>
        <w:rPr>
          <w:rFonts w:ascii="Times New Roman" w:cs="Times New Roman" w:eastAsia="Times New Roman" w:hAnsi="Times New Roman"/>
          <w:sz w:val="18"/>
          <w:szCs w:val="18"/>
          <w:b w:val="1"/>
          <w:bCs w:val="1"/>
          <w:u w:val="single" w:color="auto"/>
          <w:color w:val="auto"/>
        </w:rPr>
        <w:t>.</w:t>
      </w:r>
    </w:p>
    <w:p>
      <w:pPr>
        <w:spacing w:after="0" w:line="110" w:lineRule="exact"/>
        <w:rPr>
          <w:sz w:val="20"/>
          <w:szCs w:val="20"/>
          <w:color w:val="auto"/>
        </w:rPr>
      </w:pPr>
    </w:p>
    <w:p>
      <w:pPr>
        <w:ind w:right="120" w:firstLine="964"/>
        <w:spacing w:after="0" w:line="255" w:lineRule="auto"/>
        <w:rPr>
          <w:sz w:val="20"/>
          <w:szCs w:val="20"/>
          <w:color w:val="auto"/>
        </w:rPr>
      </w:pPr>
      <w:r>
        <w:rPr>
          <w:rFonts w:ascii="Times New Roman" w:cs="Times New Roman" w:eastAsia="Times New Roman" w:hAnsi="Times New Roman"/>
          <w:sz w:val="18"/>
          <w:szCs w:val="18"/>
          <w:color w:val="auto"/>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680"/>
          </w:cols>
          <w:pgMar w:left="580" w:top="263" w:right="639" w:bottom="1440" w:gutter="0" w:footer="0" w:header="0"/>
        </w:sectPr>
      </w:pPr>
    </w:p>
    <w:bookmarkStart w:id="459" w:name="page460"/>
    <w:bookmarkEnd w:id="459"/>
    <w:p>
      <w:pPr>
        <w:spacing w:after="0" w:line="28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8040" cy="36830"/>
                    </a:xfrm>
                    <a:prstGeom prst="rect">
                      <a:avLst/>
                    </a:prstGeom>
                    <a:noFill/>
                  </pic:spPr>
                </pic:pic>
              </a:graphicData>
            </a:graphic>
          </wp:anchor>
        </w:drawing>
        <w:t>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Except as otherwise determined by the Board, the Company intends that securities issued pursuant to the Plan be exempt from requirements of registration and qualification of such securities pursuant to the exemptions afforded by Rule 701 promulgated under the Securities Act and any other applicable exemptions, and the Plan shall be so construed. The inability of the Company to obtain from any regulatory body having jurisdiction the authority, if any, deemed by the Company’s legal counsel to be necessary to the lawful issuance and sale of any shares hereunder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377" w:lineRule="exact"/>
        <w:rPr>
          <w:sz w:val="20"/>
          <w:szCs w:val="20"/>
          <w:color w:val="auto"/>
        </w:rPr>
      </w:pPr>
    </w:p>
    <w:p>
      <w:pPr>
        <w:ind w:left="700" w:hanging="264"/>
        <w:spacing w:after="0"/>
        <w:tabs>
          <w:tab w:leader="none" w:pos="7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4"/>
          <w:szCs w:val="14"/>
          <w:b w:val="1"/>
          <w:bCs w:val="1"/>
          <w:u w:val="single" w:color="auto"/>
          <w:color w:val="auto"/>
        </w:rPr>
        <w:t>MENDMENT OR</w:t>
      </w:r>
      <w:r>
        <w:rPr>
          <w:rFonts w:ascii="Times New Roman" w:cs="Times New Roman" w:eastAsia="Times New Roman" w:hAnsi="Times New Roman"/>
          <w:sz w:val="18"/>
          <w:szCs w:val="18"/>
          <w:b w:val="1"/>
          <w:bCs w:val="1"/>
          <w:u w:val="single" w:color="auto"/>
          <w:color w:val="auto"/>
        </w:rPr>
        <w:t xml:space="preserve"> T</w:t>
      </w:r>
      <w:r>
        <w:rPr>
          <w:rFonts w:ascii="Times New Roman" w:cs="Times New Roman" w:eastAsia="Times New Roman" w:hAnsi="Times New Roman"/>
          <w:sz w:val="14"/>
          <w:szCs w:val="14"/>
          <w:b w:val="1"/>
          <w:bCs w:val="1"/>
          <w:u w:val="single" w:color="auto"/>
          <w:color w:val="auto"/>
        </w:rPr>
        <w:t>ERMINATION OF</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LAN</w:t>
      </w:r>
      <w:r>
        <w:rPr>
          <w:rFonts w:ascii="Times New Roman" w:cs="Times New Roman" w:eastAsia="Times New Roman" w:hAnsi="Times New Roman"/>
          <w:sz w:val="18"/>
          <w:szCs w:val="18"/>
          <w:b w:val="1"/>
          <w:bCs w:val="1"/>
          <w:u w:val="single" w:color="auto"/>
          <w:color w:val="auto"/>
        </w:rPr>
        <w:t>.</w:t>
      </w:r>
    </w:p>
    <w:p>
      <w:pPr>
        <w:spacing w:after="0" w:line="110" w:lineRule="exact"/>
        <w:rPr>
          <w:sz w:val="20"/>
          <w:szCs w:val="20"/>
          <w:color w:val="auto"/>
        </w:rPr>
      </w:pPr>
    </w:p>
    <w:p>
      <w:pPr>
        <w:ind w:firstLine="964"/>
        <w:spacing w:after="0" w:line="280" w:lineRule="auto"/>
        <w:rPr>
          <w:sz w:val="20"/>
          <w:szCs w:val="20"/>
          <w:color w:val="auto"/>
        </w:rPr>
      </w:pPr>
      <w:r>
        <w:rPr>
          <w:rFonts w:ascii="Times New Roman" w:cs="Times New Roman" w:eastAsia="Times New Roman" w:hAnsi="Times New Roman"/>
          <w:sz w:val="16"/>
          <w:szCs w:val="16"/>
          <w:color w:val="auto"/>
        </w:rPr>
        <w:t xml:space="preserve">The Board may amend, suspend or terminate the Plan at any time. However, without the approval of the Company’s stockholders, there shall be (a) no increase in the maximum aggregate number of shares of Stock that may be issued under the Plan (except by operation of the provisions of </w:t>
      </w:r>
      <w:r>
        <w:rPr>
          <w:rFonts w:ascii="Times New Roman" w:cs="Times New Roman" w:eastAsia="Times New Roman" w:hAnsi="Times New Roman"/>
          <w:sz w:val="16"/>
          <w:szCs w:val="16"/>
          <w:u w:val="single" w:color="auto"/>
          <w:color w:val="auto"/>
        </w:rPr>
        <w:t>Sections 4.2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4.3</w:t>
      </w:r>
      <w:r>
        <w:rPr>
          <w:rFonts w:ascii="Times New Roman" w:cs="Times New Roman" w:eastAsia="Times New Roman" w:hAnsi="Times New Roman"/>
          <w:sz w:val="16"/>
          <w:szCs w:val="16"/>
          <w:color w:val="auto"/>
        </w:rPr>
        <w:t>),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Board.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Board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162" w:lineRule="exact"/>
        <w:rPr>
          <w:sz w:val="20"/>
          <w:szCs w:val="20"/>
          <w:color w:val="auto"/>
        </w:rPr>
      </w:pPr>
    </w:p>
    <w:p>
      <w:pPr>
        <w:ind w:left="700" w:hanging="264"/>
        <w:spacing w:after="0"/>
        <w:tabs>
          <w:tab w:leader="none" w:pos="70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w:t>
      </w:r>
      <w:r>
        <w:rPr>
          <w:rFonts w:ascii="Times New Roman" w:cs="Times New Roman" w:eastAsia="Times New Roman" w:hAnsi="Times New Roman"/>
          <w:sz w:val="14"/>
          <w:szCs w:val="14"/>
          <w:b w:val="1"/>
          <w:bCs w:val="1"/>
          <w:u w:val="single" w:color="auto"/>
          <w:color w:val="auto"/>
        </w:rPr>
        <w:t>ISCELLANEOUS</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ROVISIONS</w:t>
      </w:r>
      <w:r>
        <w:rPr>
          <w:rFonts w:ascii="Times New Roman" w:cs="Times New Roman" w:eastAsia="Times New Roman" w:hAnsi="Times New Roman"/>
          <w:sz w:val="18"/>
          <w:szCs w:val="18"/>
          <w:b w:val="1"/>
          <w:bCs w:val="1"/>
          <w:u w:val="single" w:color="auto"/>
          <w:color w:val="auto"/>
        </w:rPr>
        <w:t>.</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b w:val="1"/>
          <w:bCs w:val="1"/>
          <w:color w:val="auto"/>
        </w:rPr>
        <w:t>Restrictions on Transfer of Shares</w:t>
      </w:r>
      <w:r>
        <w:rPr>
          <w:rFonts w:ascii="Times New Roman" w:cs="Times New Roman" w:eastAsia="Times New Roman" w:hAnsi="Times New Roman"/>
          <w:sz w:val="18"/>
          <w:szCs w:val="18"/>
          <w:i w:val="1"/>
          <w:iCs w:val="1"/>
          <w:color w:val="auto"/>
        </w:rPr>
        <w:t>.</w:t>
      </w:r>
    </w:p>
    <w:p>
      <w:pPr>
        <w:spacing w:after="0" w:line="110" w:lineRule="exact"/>
        <w:rPr>
          <w:sz w:val="20"/>
          <w:szCs w:val="20"/>
          <w:color w:val="auto"/>
        </w:rPr>
      </w:pPr>
    </w:p>
    <w:p>
      <w:pPr>
        <w:ind w:right="40" w:firstLine="1400"/>
        <w:spacing w:after="0" w:line="248" w:lineRule="auto"/>
        <w:tabs>
          <w:tab w:leader="none" w:pos="1631"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issued under the Plan may be subject to a right of first refusal, one or more repurchase options, or other conditions and restrictions as determined by the Board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00"/>
          </w:cols>
          <w:pgMar w:left="580" w:top="264" w:right="619" w:bottom="1440" w:gutter="0" w:footer="0" w:header="0"/>
        </w:sectPr>
      </w:pPr>
    </w:p>
    <w:bookmarkStart w:id="460" w:name="page461"/>
    <w:bookmarkEnd w:id="460"/>
    <w:p>
      <w:pPr>
        <w:ind w:firstLine="1400"/>
        <w:spacing w:after="0" w:line="276" w:lineRule="auto"/>
        <w:tabs>
          <w:tab w:leader="none" w:pos="1640" w:val="left"/>
        </w:tabs>
        <w:numPr>
          <w:ilvl w:val="1"/>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Notwithstanding the provisions of any Award Agreement to the contrary, at any time prior to the date on which the Stock is listed on a national securities exchange (as such term is used in the Exchange Act) or is traded on the over-the-counter market and prices therefore are published daily on business days in a recognized financial journal, the Board may prohibit any Participant who acquires shares of Stock pursuant to the Plan or any transferee of such Participant from selling, transferring, assigning, pledging, or otherwise disposing of or encumbering any such shares (each, a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Transfer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without the prior written consent of the Board. The Board may withhold consent to any Transfer for any reason, including without limitation any Transfer (i) to any individual or entity identified by the Company as a potential competitor or considered by the Company to be unfriendly, or (ii) if such Transfer increases the risk of the Company having a class of security held of record by such number of persons as would require the Company to register any class of securities under the Exchange Act; or (iii) if such Transfer would result in the loss of any federal or state securities law exemption relied upon by the Company in connection with the initial issuance of such shares or the issuance of any other securities; or</w:t>
      </w:r>
    </w:p>
    <w:p>
      <w:pPr>
        <w:spacing w:after="0" w:line="4" w:lineRule="exact"/>
        <w:rPr>
          <w:rFonts w:ascii="Times New Roman" w:cs="Times New Roman" w:eastAsia="Times New Roman" w:hAnsi="Times New Roman"/>
          <w:sz w:val="16"/>
          <w:szCs w:val="16"/>
          <w:color w:val="auto"/>
        </w:rPr>
      </w:pPr>
    </w:p>
    <w:p>
      <w:pPr>
        <w:ind w:firstLine="8"/>
        <w:spacing w:after="0" w:line="244" w:lineRule="auto"/>
        <w:tabs>
          <w:tab w:leader="none" w:pos="29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Transfer is facilitated in any manner by any public posting, message board, trading portal, Internet site, or similar method of communication, including without limitation any trading portal or Internet site intended to facilitate secondary transfers of securities; or (v) if such Transfer is to be effected in a brokered transaction; or (vi) if such Transfer would be of less than all of the shares of Stock then held by the stockholder and its affiliates or is to be made to more than a single transferee.</w:t>
      </w:r>
    </w:p>
    <w:p>
      <w:pPr>
        <w:spacing w:after="0" w:line="84" w:lineRule="exact"/>
        <w:rPr>
          <w:sz w:val="20"/>
          <w:szCs w:val="20"/>
          <w:color w:val="auto"/>
        </w:rPr>
      </w:pPr>
    </w:p>
    <w:p>
      <w:pPr>
        <w:ind w:right="120" w:firstLine="964"/>
        <w:spacing w:after="0" w:line="248"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color w:val="auto"/>
        </w:rPr>
        <w:t>Forfeiture Events.</w:t>
      </w:r>
      <w:r>
        <w:rPr>
          <w:rFonts w:ascii="Times New Roman" w:cs="Times New Roman" w:eastAsia="Times New Roman" w:hAnsi="Times New Roman"/>
          <w:sz w:val="18"/>
          <w:szCs w:val="18"/>
          <w:color w:val="auto"/>
        </w:rPr>
        <w:t xml:space="preserve"> The Board may determine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w:t>
      </w:r>
    </w:p>
    <w:p>
      <w:pPr>
        <w:spacing w:after="0" w:line="82" w:lineRule="exact"/>
        <w:rPr>
          <w:sz w:val="20"/>
          <w:szCs w:val="20"/>
          <w:color w:val="auto"/>
        </w:rPr>
      </w:pPr>
    </w:p>
    <w:p>
      <w:pPr>
        <w:ind w:right="20" w:firstLine="964"/>
        <w:spacing w:after="0" w:line="281" w:lineRule="auto"/>
        <w:rPr>
          <w:sz w:val="20"/>
          <w:szCs w:val="20"/>
          <w:color w:val="auto"/>
        </w:rPr>
      </w:pPr>
      <w:r>
        <w:rPr>
          <w:rFonts w:ascii="Times New Roman" w:cs="Times New Roman" w:eastAsia="Times New Roman" w:hAnsi="Times New Roman"/>
          <w:sz w:val="16"/>
          <w:szCs w:val="16"/>
          <w:color w:val="auto"/>
        </w:rPr>
        <w:t xml:space="preserve">15.3 </w:t>
      </w:r>
      <w:r>
        <w:rPr>
          <w:rFonts w:ascii="Times New Roman" w:cs="Times New Roman" w:eastAsia="Times New Roman" w:hAnsi="Times New Roman"/>
          <w:sz w:val="16"/>
          <w:szCs w:val="16"/>
          <w:b w:val="1"/>
          <w:bCs w:val="1"/>
          <w:color w:val="auto"/>
        </w:rPr>
        <w:t>Provision of Information.</w:t>
      </w:r>
      <w:r>
        <w:rPr>
          <w:rFonts w:ascii="Times New Roman" w:cs="Times New Roman" w:eastAsia="Times New Roman" w:hAnsi="Times New Roman"/>
          <w:sz w:val="16"/>
          <w:szCs w:val="16"/>
          <w:color w:val="auto"/>
        </w:rPr>
        <w:t xml:space="preserve"> At least annually, copies of the Company’s balance sheet and income statement for the just completed fiscal year shall be made available to each Participant and purchaser of shares of Stock upon the exercise of an Award; provided, however, that this requirement shall not apply if all offers and sales of securities pursuant to the Plan comply with all applicable conditions of Rule 701 under the Securities Act. The Company shall not be required to provide such information to key persons whose duties in connection with the Company assure them access to equivalent information. The Company shall deliver to each Participant such disclosures as are required in accordance with Rule 701 under the Securities Act. Notwithstanding the foregoing, at any time the Company is relying on the exemption provided by Rule 12h-1(f) under the Exchange Act, the Company shall provide to the applicable Participants the information described in Securities Act Rules 701(e)(3), (4) and (5) by a method allowed under Rule 12h-1(f)(1)(vi) and in accordance with the requirements of Rule 12h-1(f)(1)(vi), provided that the Participant agrees to keep the information confidential until the Company becomes subject to the reporting requirements of Section 13 or Section 15(d) of the Exchange Act.</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00"/>
          </w:cols>
          <w:pgMar w:left="580" w:top="265" w:right="619" w:bottom="1440" w:gutter="0" w:footer="0" w:header="0"/>
        </w:sectPr>
      </w:pPr>
    </w:p>
    <w:bookmarkStart w:id="461" w:name="page462"/>
    <w:bookmarkEnd w:id="461"/>
    <w:p>
      <w:pPr>
        <w:ind w:firstLine="964"/>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15.4 </w:t>
      </w:r>
      <w:r>
        <w:rPr>
          <w:rFonts w:ascii="Times New Roman" w:cs="Times New Roman" w:eastAsia="Times New Roman" w:hAnsi="Times New Roman"/>
          <w:sz w:val="18"/>
          <w:szCs w:val="18"/>
          <w:b w:val="1"/>
          <w:bCs w:val="1"/>
          <w:color w:val="auto"/>
        </w:rPr>
        <w:t>Rights as Employee, Consultant or Director.</w:t>
      </w:r>
      <w:r>
        <w:rPr>
          <w:rFonts w:ascii="Times New Roman" w:cs="Times New Roman" w:eastAsia="Times New Roman" w:hAnsi="Times New Roman"/>
          <w:sz w:val="18"/>
          <w:szCs w:val="18"/>
          <w:color w:val="auto"/>
        </w:rPr>
        <w:t xml:space="preserve"> No person, even though eligible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82" w:lineRule="exact"/>
        <w:rPr>
          <w:sz w:val="20"/>
          <w:szCs w:val="20"/>
          <w:color w:val="auto"/>
        </w:rPr>
      </w:pPr>
    </w:p>
    <w:p>
      <w:pPr>
        <w:ind w:firstLine="1393"/>
        <w:spacing w:after="0" w:line="252"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or another provision of the Plan.</w:t>
      </w:r>
    </w:p>
    <w:p>
      <w:pPr>
        <w:spacing w:after="0" w:line="76" w:lineRule="exact"/>
        <w:rPr>
          <w:sz w:val="20"/>
          <w:szCs w:val="20"/>
          <w:color w:val="auto"/>
        </w:rPr>
      </w:pPr>
    </w:p>
    <w:p>
      <w:pPr>
        <w:ind w:right="80" w:firstLine="1393"/>
        <w:spacing w:after="0" w:line="250" w:lineRule="auto"/>
        <w:rPr>
          <w:sz w:val="20"/>
          <w:szCs w:val="20"/>
          <w:color w:val="auto"/>
        </w:rPr>
      </w:pPr>
      <w:r>
        <w:rPr>
          <w:rFonts w:ascii="Times New Roman" w:cs="Times New Roman" w:eastAsia="Times New Roman" w:hAnsi="Times New Roman"/>
          <w:sz w:val="18"/>
          <w:szCs w:val="18"/>
          <w:color w:val="auto"/>
        </w:rPr>
        <w:t xml:space="preserve">15.6 </w:t>
      </w:r>
      <w:r>
        <w:rPr>
          <w:rFonts w:ascii="Times New Roman" w:cs="Times New Roman" w:eastAsia="Times New Roman" w:hAnsi="Times New Roman"/>
          <w:sz w:val="18"/>
          <w:szCs w:val="18"/>
          <w:b w:val="1"/>
          <w:bCs w:val="1"/>
          <w:color w:val="auto"/>
        </w:rPr>
        <w:t>Delivery of Title to Shares.</w:t>
      </w:r>
      <w:r>
        <w:rPr>
          <w:rFonts w:ascii="Times New Roman" w:cs="Times New Roman" w:eastAsia="Times New Roman" w:hAnsi="Times New Roman"/>
          <w:sz w:val="18"/>
          <w:szCs w:val="18"/>
          <w:color w:val="auto"/>
        </w:rPr>
        <w:t xml:space="preserve">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7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 xml:space="preserve">15.7 </w:t>
      </w:r>
      <w:r>
        <w:rPr>
          <w:rFonts w:ascii="Times New Roman" w:cs="Times New Roman" w:eastAsia="Times New Roman" w:hAnsi="Times New Roman"/>
          <w:sz w:val="16"/>
          <w:szCs w:val="16"/>
          <w:b w:val="1"/>
          <w:bCs w:val="1"/>
          <w:color w:val="auto"/>
        </w:rPr>
        <w:t>Fractional Shares.</w:t>
      </w:r>
      <w:r>
        <w:rPr>
          <w:rFonts w:ascii="Times New Roman" w:cs="Times New Roman" w:eastAsia="Times New Roman" w:hAnsi="Times New Roman"/>
          <w:sz w:val="16"/>
          <w:szCs w:val="16"/>
          <w:color w:val="auto"/>
        </w:rPr>
        <w:t xml:space="preserve"> The Company shall not be required to issue fractional shares upon the exercise or settlement of any Award.</w:t>
      </w:r>
    </w:p>
    <w:p>
      <w:pPr>
        <w:spacing w:after="0" w:line="131" w:lineRule="exact"/>
        <w:rPr>
          <w:sz w:val="20"/>
          <w:szCs w:val="20"/>
          <w:color w:val="auto"/>
        </w:rPr>
      </w:pPr>
    </w:p>
    <w:p>
      <w:pPr>
        <w:ind w:right="220" w:firstLine="1393"/>
        <w:spacing w:after="0" w:line="252" w:lineRule="auto"/>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b w:val="1"/>
          <w:bCs w:val="1"/>
          <w:color w:val="auto"/>
        </w:rPr>
        <w:t>Retirement and Welfare Plans.</w:t>
      </w:r>
      <w:r>
        <w:rPr>
          <w:rFonts w:ascii="Times New Roman" w:cs="Times New Roman" w:eastAsia="Times New Roman" w:hAnsi="Times New Roman"/>
          <w:sz w:val="18"/>
          <w:szCs w:val="18"/>
          <w:color w:val="auto"/>
        </w:rPr>
        <w:t xml:space="preserve">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benefits.</w:t>
      </w:r>
    </w:p>
    <w:p>
      <w:pPr>
        <w:spacing w:after="0" w:line="76" w:lineRule="exact"/>
        <w:rPr>
          <w:sz w:val="20"/>
          <w:szCs w:val="20"/>
          <w:color w:val="auto"/>
        </w:rPr>
      </w:pPr>
    </w:p>
    <w:p>
      <w:pPr>
        <w:ind w:right="120" w:firstLine="1393"/>
        <w:spacing w:after="0" w:line="256" w:lineRule="auto"/>
        <w:rPr>
          <w:sz w:val="20"/>
          <w:szCs w:val="20"/>
          <w:color w:val="auto"/>
        </w:rPr>
      </w:pPr>
      <w:r>
        <w:rPr>
          <w:rFonts w:ascii="Times New Roman" w:cs="Times New Roman" w:eastAsia="Times New Roman" w:hAnsi="Times New Roman"/>
          <w:sz w:val="18"/>
          <w:szCs w:val="18"/>
          <w:color w:val="auto"/>
        </w:rPr>
        <w:t xml:space="preserve">15.9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xml:space="preserve">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73" w:lineRule="exact"/>
        <w:rPr>
          <w:sz w:val="20"/>
          <w:szCs w:val="20"/>
          <w:color w:val="auto"/>
        </w:rPr>
      </w:pPr>
    </w:p>
    <w:p>
      <w:pPr>
        <w:ind w:right="380" w:firstLine="1393"/>
        <w:spacing w:after="0" w:line="270" w:lineRule="auto"/>
        <w:rPr>
          <w:sz w:val="20"/>
          <w:szCs w:val="20"/>
          <w:color w:val="auto"/>
        </w:rPr>
      </w:pPr>
      <w:r>
        <w:rPr>
          <w:rFonts w:ascii="Times New Roman" w:cs="Times New Roman" w:eastAsia="Times New Roman" w:hAnsi="Times New Roman"/>
          <w:sz w:val="18"/>
          <w:szCs w:val="18"/>
          <w:color w:val="auto"/>
        </w:rPr>
        <w:t xml:space="preserve">15.10 </w:t>
      </w:r>
      <w:r>
        <w:rPr>
          <w:rFonts w:ascii="Times New Roman" w:cs="Times New Roman" w:eastAsia="Times New Roman" w:hAnsi="Times New Roman"/>
          <w:sz w:val="18"/>
          <w:szCs w:val="18"/>
          <w:b w:val="1"/>
          <w:bCs w:val="1"/>
          <w:color w:val="auto"/>
        </w:rPr>
        <w:t>No Constraint on Corporate Action.</w:t>
      </w:r>
      <w:r>
        <w:rPr>
          <w:rFonts w:ascii="Times New Roman" w:cs="Times New Roman" w:eastAsia="Times New Roman" w:hAnsi="Times New Roman"/>
          <w:sz w:val="18"/>
          <w:szCs w:val="18"/>
          <w:color w:val="auto"/>
        </w:rPr>
        <w:t xml:space="preserve"> Nothing in this Plan shall be construed to: (a) limit, impair, or otherwise affect the Company’s or another Participating Company’s right or power to make adjustments, reclassifications, reorganizations, or changes of</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00"/>
          </w:cols>
          <w:pgMar w:left="580" w:top="263" w:right="619" w:bottom="1440" w:gutter="0" w:footer="0" w:header="0"/>
        </w:sectPr>
      </w:pPr>
    </w:p>
    <w:bookmarkStart w:id="462" w:name="page463"/>
    <w:bookmarkEnd w:id="462"/>
    <w:p>
      <w:pPr>
        <w:ind w:right="120"/>
        <w:spacing w:after="0" w:line="33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16" w:lineRule="exact"/>
        <w:rPr>
          <w:sz w:val="20"/>
          <w:szCs w:val="20"/>
          <w:color w:val="auto"/>
        </w:rPr>
      </w:pPr>
    </w:p>
    <w:p>
      <w:pPr>
        <w:ind w:firstLine="964"/>
        <w:spacing w:after="0" w:line="246" w:lineRule="auto"/>
        <w:rPr>
          <w:sz w:val="20"/>
          <w:szCs w:val="20"/>
          <w:color w:val="auto"/>
        </w:rPr>
      </w:pPr>
      <w:r>
        <w:rPr>
          <w:rFonts w:ascii="Times New Roman" w:cs="Times New Roman" w:eastAsia="Times New Roman" w:hAnsi="Times New Roman"/>
          <w:sz w:val="18"/>
          <w:szCs w:val="18"/>
          <w:color w:val="auto"/>
        </w:rPr>
        <w:t xml:space="preserve">15.11 </w:t>
      </w:r>
      <w:r>
        <w:rPr>
          <w:rFonts w:ascii="Times New Roman" w:cs="Times New Roman" w:eastAsia="Times New Roman" w:hAnsi="Times New Roman"/>
          <w:sz w:val="18"/>
          <w:szCs w:val="18"/>
          <w:b w:val="1"/>
          <w:bCs w:val="1"/>
          <w:color w:val="auto"/>
        </w:rPr>
        <w:t>Unfunded Obligation.</w:t>
      </w:r>
      <w:r>
        <w:rPr>
          <w:rFonts w:ascii="Times New Roman" w:cs="Times New Roman" w:eastAsia="Times New Roman" w:hAnsi="Times New Roman"/>
          <w:sz w:val="18"/>
          <w:szCs w:val="18"/>
          <w:color w:val="auto"/>
        </w:rPr>
        <w:t xml:space="preserve">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Board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86" w:lineRule="exact"/>
        <w:rPr>
          <w:sz w:val="20"/>
          <w:szCs w:val="20"/>
          <w:color w:val="auto"/>
        </w:rPr>
      </w:pPr>
    </w:p>
    <w:p>
      <w:pPr>
        <w:ind w:firstLine="964"/>
        <w:spacing w:after="0" w:line="333" w:lineRule="auto"/>
        <w:rPr>
          <w:sz w:val="20"/>
          <w:szCs w:val="20"/>
          <w:color w:val="auto"/>
        </w:rPr>
      </w:pPr>
      <w:r>
        <w:rPr>
          <w:rFonts w:ascii="Times New Roman" w:cs="Times New Roman" w:eastAsia="Times New Roman" w:hAnsi="Times New Roman"/>
          <w:sz w:val="16"/>
          <w:szCs w:val="16"/>
          <w:color w:val="auto"/>
        </w:rPr>
        <w:t xml:space="preserve">15.12 </w:t>
      </w:r>
      <w:r>
        <w:rPr>
          <w:rFonts w:ascii="Times New Roman" w:cs="Times New Roman" w:eastAsia="Times New Roman" w:hAnsi="Times New Roman"/>
          <w:sz w:val="16"/>
          <w:szCs w:val="16"/>
          <w:b w:val="1"/>
          <w:bCs w:val="1"/>
          <w:color w:val="auto"/>
        </w:rPr>
        <w:t>Choice of Law.</w:t>
      </w:r>
      <w:r>
        <w:rPr>
          <w:rFonts w:ascii="Times New Roman" w:cs="Times New Roman" w:eastAsia="Times New Roman" w:hAnsi="Times New Roman"/>
          <w:sz w:val="16"/>
          <w:szCs w:val="16"/>
          <w:color w:val="auto"/>
        </w:rPr>
        <w:t xml:space="preserve"> Except to the extent governed by applicable federal law, the validity, interpretation, construction and performance of the Plan and each Award Agreement shall be governed by the laws of the State of Delaware, without regard to its conflict of law rules.</w:t>
      </w:r>
    </w:p>
    <w:p>
      <w:pPr>
        <w:spacing w:after="0" w:line="15" w:lineRule="exact"/>
        <w:rPr>
          <w:sz w:val="20"/>
          <w:szCs w:val="20"/>
          <w:color w:val="auto"/>
        </w:rPr>
      </w:pPr>
    </w:p>
    <w:p>
      <w:pPr>
        <w:ind w:right="140" w:firstLine="964"/>
        <w:spacing w:after="0" w:line="283" w:lineRule="auto"/>
        <w:rPr>
          <w:sz w:val="20"/>
          <w:szCs w:val="20"/>
          <w:color w:val="auto"/>
        </w:rPr>
      </w:pPr>
      <w:r>
        <w:rPr>
          <w:rFonts w:ascii="Times New Roman" w:cs="Times New Roman" w:eastAsia="Times New Roman" w:hAnsi="Times New Roman"/>
          <w:sz w:val="16"/>
          <w:szCs w:val="16"/>
          <w:color w:val="auto"/>
        </w:rPr>
        <w:t xml:space="preserve">15.13 </w:t>
      </w:r>
      <w:r>
        <w:rPr>
          <w:rFonts w:ascii="Times New Roman" w:cs="Times New Roman" w:eastAsia="Times New Roman" w:hAnsi="Times New Roman"/>
          <w:sz w:val="16"/>
          <w:szCs w:val="16"/>
          <w:b w:val="1"/>
          <w:bCs w:val="1"/>
          <w:color w:val="auto"/>
        </w:rPr>
        <w:t>Stockholder Approval.</w:t>
      </w:r>
      <w:r>
        <w:rPr>
          <w:rFonts w:ascii="Times New Roman" w:cs="Times New Roman" w:eastAsia="Times New Roman" w:hAnsi="Times New Roman"/>
          <w:sz w:val="16"/>
          <w:szCs w:val="16"/>
          <w:color w:val="auto"/>
        </w:rPr>
        <w:t xml:space="preserve"> The Plan or any increase in the maximum aggregate number of shares of Stock issuable thereunder as provided in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Authorized Shares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shall be approved by a majority of the outstanding securities of the Company entitled to vote by the later of (a) a period beginning twelve (12) months before and ending twelve (12) months after the date of adoption thereof by the Board or (b) the first issuance of any security pursuant to the Plan in the State of California (within the meaning of Section 25008 of the California Corporations Code). Awards granted prior to security holder approval of the Plan or in excess of the Authorized Shares previously approved by the security holders shall become exercisable no earlier than the date of security holder approval of the Plan or such increase in the Authorized Shares, as the case may be, and such Awards shall be rescinded if such security holder approval is not received in the manner described in the preceding sentence.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20"/>
          </w:cols>
          <w:pgMar w:left="580" w:top="265" w:right="599" w:bottom="1440" w:gutter="0" w:footer="0" w:header="0"/>
        </w:sectPr>
      </w:pPr>
    </w:p>
    <w:bookmarkStart w:id="463" w:name="page464"/>
    <w:bookmarkEnd w:id="463"/>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 HISTORY</w:t>
            </w:r>
          </w:p>
        </w:tc>
      </w:tr>
      <w:tr>
        <w:trPr>
          <w:trHeight w:val="20"/>
        </w:trPr>
        <w:tc>
          <w:tcPr>
            <w:tcW w:w="1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465"/>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September 21, 2015</w:t>
            </w:r>
          </w:p>
        </w:tc>
        <w:tc>
          <w:tcPr>
            <w:tcW w:w="8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Board adopts Plan, with an initial reserve of 7,500,000 shares.</w:t>
            </w:r>
          </w:p>
        </w:tc>
      </w:tr>
      <w:tr>
        <w:trPr>
          <w:trHeight w:val="315"/>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September 21, 2015</w:t>
            </w:r>
          </w:p>
        </w:tc>
        <w:tc>
          <w:tcPr>
            <w:tcW w:w="8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Stockholders of the Company approve Plan.</w:t>
            </w:r>
          </w:p>
        </w:tc>
      </w:tr>
      <w:tr>
        <w:trPr>
          <w:trHeight w:val="297"/>
        </w:trPr>
        <w:tc>
          <w:tcPr>
            <w:tcW w:w="1900" w:type="dxa"/>
            <w:vAlign w:val="bottom"/>
          </w:tcPr>
          <w:p>
            <w:pPr>
              <w:spacing w:after="0"/>
              <w:rPr>
                <w:sz w:val="24"/>
                <w:szCs w:val="24"/>
                <w:color w:val="auto"/>
              </w:rPr>
            </w:pPr>
          </w:p>
        </w:tc>
        <w:tc>
          <w:tcPr>
            <w:tcW w:w="8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6"/>
              </w:rPr>
              <w:t>Board adopts the amended and restated Plan and Stockholders of the Company approve the amendment and</w:t>
            </w:r>
          </w:p>
        </w:tc>
      </w:tr>
      <w:tr>
        <w:trPr>
          <w:trHeight w:val="228"/>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September 8, 2017</w:t>
            </w:r>
          </w:p>
        </w:tc>
        <w:tc>
          <w:tcPr>
            <w:tcW w:w="8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restatement of Plan for a new reserve of 10,415,750 shares.</w:t>
            </w:r>
          </w:p>
        </w:tc>
      </w:tr>
      <w:tr>
        <w:trPr>
          <w:trHeight w:val="297"/>
        </w:trPr>
        <w:tc>
          <w:tcPr>
            <w:tcW w:w="1900" w:type="dxa"/>
            <w:vAlign w:val="bottom"/>
          </w:tcPr>
          <w:p>
            <w:pPr>
              <w:spacing w:after="0"/>
              <w:rPr>
                <w:sz w:val="24"/>
                <w:szCs w:val="24"/>
                <w:color w:val="auto"/>
              </w:rPr>
            </w:pPr>
          </w:p>
        </w:tc>
        <w:tc>
          <w:tcPr>
            <w:tcW w:w="8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6"/>
              </w:rPr>
              <w:t>Board adopts the amended and restated Plan and Stockholders of the Company approve the amendment and</w:t>
            </w:r>
          </w:p>
        </w:tc>
      </w:tr>
      <w:tr>
        <w:trPr>
          <w:trHeight w:val="228"/>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March 16, 2018</w:t>
            </w:r>
          </w:p>
        </w:tc>
        <w:tc>
          <w:tcPr>
            <w:tcW w:w="8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restatement of Plan for a new reserve of 12,615,750 shares.</w:t>
            </w:r>
          </w:p>
        </w:tc>
      </w:tr>
      <w:tr>
        <w:trPr>
          <w:trHeight w:val="297"/>
        </w:trPr>
        <w:tc>
          <w:tcPr>
            <w:tcW w:w="1900" w:type="dxa"/>
            <w:vAlign w:val="bottom"/>
          </w:tcPr>
          <w:p>
            <w:pPr>
              <w:spacing w:after="0"/>
              <w:rPr>
                <w:sz w:val="24"/>
                <w:szCs w:val="24"/>
                <w:color w:val="auto"/>
              </w:rPr>
            </w:pPr>
          </w:p>
        </w:tc>
        <w:tc>
          <w:tcPr>
            <w:tcW w:w="8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6"/>
              </w:rPr>
              <w:t>Board adopts the amended and restated Plan and Stockholders of the Company approve the amendment and</w:t>
            </w:r>
          </w:p>
        </w:tc>
      </w:tr>
      <w:tr>
        <w:trPr>
          <w:trHeight w:val="228"/>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October 16, 2019</w:t>
            </w:r>
          </w:p>
        </w:tc>
        <w:tc>
          <w:tcPr>
            <w:tcW w:w="8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restatement of Plan for a new reserve of 14,115,750 shares.</w:t>
            </w:r>
          </w:p>
        </w:tc>
      </w:tr>
    </w:tbl>
    <w:p>
      <w:pPr>
        <w:ind w:left="480"/>
        <w:spacing w:after="0"/>
        <w:rPr>
          <w:sz w:val="20"/>
          <w:szCs w:val="20"/>
          <w:color w:val="auto"/>
        </w:rPr>
        <w:sectPr>
          <w:pgSz w:w="11900" w:h="16838" w:orient="portrait"/>
          <w:cols w:equalWidth="0" w:num="1">
            <w:col w:w="9920"/>
          </w:cols>
          <w:pgMar w:left="580" w:top="247" w:right="139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464" w:name="page465"/>
    <w:bookmarkEnd w:id="46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APPENDIX A</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THIRD AMENDED AND RESTATED TEMPUS LABS, INC.</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Provisions For California Residents</w:t>
      </w:r>
    </w:p>
    <w:p>
      <w:pPr>
        <w:spacing w:after="0" w:line="215" w:lineRule="exact"/>
        <w:rPr>
          <w:sz w:val="20"/>
          <w:szCs w:val="20"/>
          <w:color w:val="auto"/>
        </w:rPr>
      </w:pPr>
    </w:p>
    <w:p>
      <w:pPr>
        <w:ind w:right="40" w:firstLine="428"/>
        <w:spacing w:after="0" w:line="251" w:lineRule="auto"/>
        <w:rPr>
          <w:sz w:val="20"/>
          <w:szCs w:val="20"/>
          <w:color w:val="auto"/>
        </w:rPr>
      </w:pPr>
      <w:r>
        <w:rPr>
          <w:rFonts w:ascii="Times New Roman" w:cs="Times New Roman" w:eastAsia="Times New Roman" w:hAnsi="Times New Roman"/>
          <w:sz w:val="18"/>
          <w:szCs w:val="18"/>
          <w:color w:val="auto"/>
        </w:rPr>
        <w:t>With respect to Awards granted to California residents prior to a public offering of capital stock of the Company that is effected pursuant to a registration statement filed with, and declared effective by, the Securities and Exchange Commission under the Securities Act of 1933, as amended, and only to the extent required by applicable law, the following provisions shall apply notwithstanding anything in the Plan or an Award Agreement to the contrary:</w:t>
      </w:r>
    </w:p>
    <w:p>
      <w:pPr>
        <w:spacing w:after="0" w:line="184" w:lineRule="exact"/>
        <w:rPr>
          <w:sz w:val="20"/>
          <w:szCs w:val="20"/>
          <w:color w:val="auto"/>
        </w:rPr>
      </w:pPr>
    </w:p>
    <w:p>
      <w:pPr>
        <w:ind w:left="180" w:hanging="172"/>
        <w:spacing w:after="0"/>
        <w:tabs>
          <w:tab w:leader="none" w:pos="1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Award granted in the form of a stock option pursuant to Section 6 of the Plan:</w:t>
      </w:r>
    </w:p>
    <w:p>
      <w:pPr>
        <w:spacing w:after="0" w:line="10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period shall be no more than 120 months from the date the Option is granted.</w:t>
      </w:r>
    </w:p>
    <w:p>
      <w:pPr>
        <w:spacing w:after="0" w:line="108" w:lineRule="exact"/>
        <w:rPr>
          <w:rFonts w:ascii="Times New Roman" w:cs="Times New Roman" w:eastAsia="Times New Roman" w:hAnsi="Times New Roman"/>
          <w:sz w:val="18"/>
          <w:szCs w:val="18"/>
          <w:color w:val="auto"/>
        </w:rPr>
      </w:pPr>
    </w:p>
    <w:p>
      <w:pPr>
        <w:ind w:left="440" w:right="220" w:hanging="4"/>
        <w:spacing w:after="0" w:line="331" w:lineRule="auto"/>
        <w:tabs>
          <w:tab w:leader="none" w:pos="688" w:val="left"/>
        </w:tabs>
        <w:numPr>
          <w:ilvl w:val="1"/>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shall be non-transferable other than by will, by the laws of descent and distribution, or, if and to the extent permitted under the Award Agreement, to a revocable trust or as permitted by Rule 701 of the Securities Act of 1933, as amended (17 C.F.R. 230.701).</w:t>
      </w:r>
    </w:p>
    <w:p>
      <w:pPr>
        <w:spacing w:after="0" w:line="17" w:lineRule="exact"/>
        <w:rPr>
          <w:rFonts w:ascii="Times New Roman" w:cs="Times New Roman" w:eastAsia="Times New Roman" w:hAnsi="Times New Roman"/>
          <w:sz w:val="16"/>
          <w:szCs w:val="16"/>
          <w:color w:val="auto"/>
        </w:rPr>
      </w:pPr>
    </w:p>
    <w:p>
      <w:pPr>
        <w:jc w:val="both"/>
        <w:ind w:left="440" w:hanging="4"/>
        <w:spacing w:after="0" w:line="255" w:lineRule="auto"/>
        <w:tabs>
          <w:tab w:leader="none" w:pos="678"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Service is terminated for “cause” as defined by applicable law, the terms of the Plan or Award Agreement, or a contract of employment or other service, the right to exercise the Option in the event of termination of Service, to the extent that the Award recipient is entitled to exercise on the date employment terminates, will continue until the earlier of the Option expiration date, or:</w:t>
      </w:r>
    </w:p>
    <w:p>
      <w:pPr>
        <w:spacing w:after="0" w:line="75" w:lineRule="exact"/>
        <w:rPr>
          <w:rFonts w:ascii="Times New Roman" w:cs="Times New Roman" w:eastAsia="Times New Roman" w:hAnsi="Times New Roman"/>
          <w:sz w:val="18"/>
          <w:szCs w:val="18"/>
          <w:color w:val="auto"/>
        </w:rPr>
      </w:pPr>
    </w:p>
    <w:p>
      <w:pPr>
        <w:ind w:left="1220" w:hanging="248"/>
        <w:spacing w:after="0"/>
        <w:tabs>
          <w:tab w:leader="none" w:pos="1220" w:val="left"/>
        </w:tabs>
        <w:numPr>
          <w:ilvl w:val="2"/>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6 months from the date of termination if termination was caused by death or Disability.</w:t>
      </w:r>
    </w:p>
    <w:p>
      <w:pPr>
        <w:spacing w:after="0" w:line="108" w:lineRule="exact"/>
        <w:rPr>
          <w:rFonts w:ascii="Times New Roman" w:cs="Times New Roman" w:eastAsia="Times New Roman" w:hAnsi="Times New Roman"/>
          <w:sz w:val="18"/>
          <w:szCs w:val="18"/>
          <w:color w:val="auto"/>
        </w:rPr>
      </w:pPr>
    </w:p>
    <w:p>
      <w:pPr>
        <w:ind w:left="1220" w:hanging="248"/>
        <w:spacing w:after="0"/>
        <w:tabs>
          <w:tab w:leader="none" w:pos="1220" w:val="left"/>
        </w:tabs>
        <w:numPr>
          <w:ilvl w:val="2"/>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30 days from the date of termination if termination was caused by other than death or Disability.</w:t>
      </w:r>
    </w:p>
    <w:p>
      <w:pPr>
        <w:spacing w:after="0" w:line="213" w:lineRule="exact"/>
        <w:rPr>
          <w:rFonts w:ascii="Times New Roman" w:cs="Times New Roman" w:eastAsia="Times New Roman" w:hAnsi="Times New Roman"/>
          <w:sz w:val="18"/>
          <w:szCs w:val="18"/>
          <w:color w:val="auto"/>
        </w:rPr>
      </w:pPr>
    </w:p>
    <w:p>
      <w:pPr>
        <w:ind w:firstLine="8"/>
        <w:spacing w:after="0" w:line="255" w:lineRule="auto"/>
        <w:tabs>
          <w:tab w:leader="none" w:pos="17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Award, granted pursuant to of Section 7 the Plan, that provides the Award recipient the right to purchase stock, the Award shall be non-transferable other than by will, by the laws of descent and distribution, or, if and to the extent permitted under the Award Agreement, to a revocable trust or as permitted by Rule 701 of the Securities Act of 1933, as amended (17 C.F.R. 230.701).</w:t>
      </w:r>
    </w:p>
    <w:p>
      <w:pPr>
        <w:spacing w:after="0" w:line="180" w:lineRule="exact"/>
        <w:rPr>
          <w:rFonts w:ascii="Times New Roman" w:cs="Times New Roman" w:eastAsia="Times New Roman" w:hAnsi="Times New Roman"/>
          <w:sz w:val="18"/>
          <w:szCs w:val="18"/>
          <w:color w:val="auto"/>
        </w:rPr>
      </w:pPr>
    </w:p>
    <w:p>
      <w:pPr>
        <w:ind w:right="200" w:firstLine="8"/>
        <w:spacing w:after="0" w:line="267" w:lineRule="auto"/>
        <w:tabs>
          <w:tab w:leader="none" w:pos="17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have a termination date of not more than 10 years from the date the Plan is adopted by the Board or the date the Plan is approved by the security holders, whichever is earlier.</w:t>
      </w:r>
    </w:p>
    <w:p>
      <w:pPr>
        <w:sectPr>
          <w:pgSz w:w="11900" w:h="16838" w:orient="portrait"/>
          <w:cols w:equalWidth="0" w:num="1">
            <w:col w:w="10660"/>
          </w:cols>
          <w:pgMar w:left="580" w:top="263" w:right="659" w:bottom="1440" w:gutter="0" w:footer="0" w:header="0"/>
        </w:sectPr>
      </w:pPr>
    </w:p>
    <w:bookmarkStart w:id="465" w:name="page466"/>
    <w:bookmarkEnd w:id="465"/>
    <w:p>
      <w:pPr>
        <w:ind w:left="-8" w:right="120" w:firstLine="8"/>
        <w:spacing w:after="0" w:line="251" w:lineRule="auto"/>
        <w:tabs>
          <w:tab w:leader="none" w:pos="16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Security holders representing a majority of the Company’s outstanding securities entitled to vote must approve the Plan by the later of (a) 12 months after the date the Plan is adopted or (b) 12 months after the granting of any Award to a resident of California. Any Option exercised or any securities purchased before security holder approval is obtained must be rescinded if security holder approval is not obtained within the period described in the preceding sentence. Such securities shall not be counted in determining whether such approval is obtained.</w:t>
      </w:r>
    </w:p>
    <w:p>
      <w:pPr>
        <w:spacing w:after="0" w:line="79" w:lineRule="exact"/>
        <w:rPr>
          <w:rFonts w:ascii="Times New Roman" w:cs="Times New Roman" w:eastAsia="Times New Roman" w:hAnsi="Times New Roman"/>
          <w:sz w:val="18"/>
          <w:szCs w:val="18"/>
          <w:color w:val="auto"/>
        </w:rPr>
      </w:pPr>
    </w:p>
    <w:p>
      <w:pPr>
        <w:ind w:left="-8" w:right="60" w:firstLine="8"/>
        <w:spacing w:after="0" w:line="249" w:lineRule="auto"/>
        <w:tabs>
          <w:tab w:leader="none" w:pos="16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provide financial statements to each Award recipient annually during the period such individual has Awards outstanding, or as otherwise required under section 260.140.46 of Title 10 of the California Code of Regulations. Notwithstanding the foregoing, the Company will not be required to provide such financial statements to Award recipients when the Plan complies with all conditions of Rule 701 of the Securities Act of 1933, as amended (17 C.F.R. 230.701); provided that for purposes of determining such compliance, any registered domestic partner shall be considered a “family member” as that term is defined in Rule 701.</w:t>
      </w:r>
    </w:p>
    <w:p>
      <w:pPr>
        <w:spacing w:after="0" w:line="186" w:lineRule="exact"/>
        <w:rPr>
          <w:rFonts w:ascii="Times New Roman" w:cs="Times New Roman" w:eastAsia="Times New Roman" w:hAnsi="Times New Roman"/>
          <w:sz w:val="18"/>
          <w:szCs w:val="18"/>
          <w:color w:val="auto"/>
        </w:rPr>
      </w:pPr>
    </w:p>
    <w:p>
      <w:pPr>
        <w:ind w:left="-8" w:firstLine="8"/>
        <w:spacing w:after="0" w:line="285" w:lineRule="auto"/>
        <w:tabs>
          <w:tab w:leader="none" w:pos="167" w:val="left"/>
        </w:tabs>
        <w:numPr>
          <w:ilvl w:val="0"/>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is intended to comply with section 25102(o) of the California Corporations Code. Any provision of this Plan which is inconsistent with section 25102(o), including without limitation any provision of this Plan that is more restrictive than would be permitted by section 25102(o) as amended from time to time, shall, without further act or amendment by the Board, be reformed to comply with the provisions of section 25102(o). If at any time the Board determines that the delivery of Stock under the Plan is or may be unlawful under the laws of any applicable jurisdiction, or federal or state securities laws, the right to exercise an Award or receive shares of Stock pursuant to an Award shall be suspended until the Board determines that such delivery is lawful. The Company shall have no obligation to effect any registration or qualification of the Stock under federal or state laws.</w:t>
      </w:r>
    </w:p>
    <w:p>
      <w:pPr>
        <w:sectPr>
          <w:pgSz w:w="11900" w:h="16838" w:orient="portrait"/>
          <w:cols w:equalWidth="0" w:num="1">
            <w:col w:w="10692"/>
          </w:cols>
          <w:pgMar w:left="588" w:top="265" w:right="619" w:bottom="1440" w:gutter="0" w:footer="0" w:header="0"/>
        </w:sectPr>
      </w:pPr>
    </w:p>
    <w:bookmarkStart w:id="466" w:name="page467"/>
    <w:bookmarkEnd w:id="466"/>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380" w:type="dxa"/>
            <w:vAlign w:val="bottom"/>
          </w:tcPr>
          <w:p>
            <w:pPr>
              <w:jc w:val="right"/>
              <w:ind w:right="4273"/>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63"/>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78"/>
              </w:rPr>
              <w:t>1. </w:t>
            </w:r>
          </w:p>
        </w:tc>
        <w:tc>
          <w:tcPr>
            <w:tcW w:w="4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Establishment, Purpose and Term of Plan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Establishment</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Purpose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of Plan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5"/>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78"/>
              </w:rPr>
              <w:t>2. 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Definitions and Construction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5"/>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78"/>
              </w:rPr>
              <w:t>3. 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Administration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Administration by the Board</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Authority of Officers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Powers of the Board</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Administration with Respect to Insiders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5"/>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78"/>
              </w:rPr>
              <w:t>4. </w:t>
            </w:r>
          </w:p>
        </w:tc>
        <w:tc>
          <w:tcPr>
            <w:tcW w:w="4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Shares Subject to Plan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Maximum Number of Shares Issuable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Counting</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for Changes in Capital Structure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Assumption or Substitution of Awards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15"/>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78"/>
              </w:rPr>
              <w:t>5. </w:t>
            </w:r>
          </w:p>
        </w:tc>
        <w:tc>
          <w:tcPr>
            <w:tcW w:w="4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Eligibility, Participation and Option Limitations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Persons Eligible for Awards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Participation in the Plan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Incentive Stock Option Limitations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5"/>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78"/>
              </w:rPr>
              <w:t>6. 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Stock Options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Price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Exercisability and Term of Options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Exercise Price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Termination of Service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15"/>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Transferability of Options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54"/>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380" w:type="dxa"/>
            <w:vAlign w:val="bottom"/>
          </w:tcPr>
          <w:p>
            <w:pPr>
              <w:jc w:val="right"/>
              <w:ind w:right="5133"/>
              <w:spacing w:after="0"/>
              <w:rPr>
                <w:sz w:val="20"/>
                <w:szCs w:val="20"/>
                <w:color w:val="auto"/>
              </w:rPr>
            </w:pPr>
            <w:r>
              <w:rPr>
                <w:rFonts w:ascii="Times New Roman" w:cs="Times New Roman" w:eastAsia="Times New Roman" w:hAnsi="Times New Roman"/>
                <w:sz w:val="18"/>
                <w:szCs w:val="18"/>
                <w:color w:val="auto"/>
              </w:rPr>
              <w:t>-i-</w:t>
            </w:r>
          </w:p>
        </w:tc>
      </w:tr>
    </w:tbl>
    <w:p>
      <w:pPr>
        <w:jc w:val="right"/>
        <w:ind w:right="5133"/>
        <w:spacing w:after="0"/>
        <w:rPr>
          <w:sz w:val="20"/>
          <w:szCs w:val="20"/>
          <w:color w:val="auto"/>
        </w:rPr>
        <w:sectPr>
          <w:pgSz w:w="11900" w:h="16838" w:orient="portrait"/>
          <w:cols w:equalWidth="0" w:num="1">
            <w:col w:w="10660"/>
          </w:cols>
          <w:pgMar w:left="580" w:top="263" w:right="65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467" w:name="page468"/>
    <w:bookmarkEnd w:id="467"/>
    <w:tbl>
      <w:tblPr>
        <w:tblLayout w:type="fixed"/>
        <w:tblInd w:w="0"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500" w:type="dxa"/>
            <w:vAlign w:val="bottom"/>
          </w:tcPr>
          <w:p>
            <w:pPr>
              <w:jc w:val="center"/>
              <w:ind w:left="1452"/>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320" w:type="dxa"/>
            <w:vAlign w:val="bottom"/>
          </w:tcPr>
          <w:p>
            <w:pPr>
              <w:spacing w:after="0"/>
              <w:rPr>
                <w:sz w:val="18"/>
                <w:szCs w:val="18"/>
                <w:color w:val="auto"/>
              </w:rPr>
            </w:pPr>
          </w:p>
        </w:tc>
      </w:tr>
      <w:tr>
        <w:trPr>
          <w:trHeight w:val="228"/>
        </w:trPr>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50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6"/>
              </w:rPr>
              <w:t>(continued)</w:t>
            </w:r>
          </w:p>
        </w:tc>
        <w:tc>
          <w:tcPr>
            <w:tcW w:w="2320" w:type="dxa"/>
            <w:vAlign w:val="bottom"/>
          </w:tcPr>
          <w:p>
            <w:pPr>
              <w:spacing w:after="0"/>
              <w:rPr>
                <w:sz w:val="19"/>
                <w:szCs w:val="19"/>
                <w:color w:val="auto"/>
              </w:rPr>
            </w:pPr>
          </w:p>
        </w:tc>
      </w:tr>
      <w:tr>
        <w:trPr>
          <w:trHeight w:val="30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82"/>
              </w:rPr>
              <w:t>7. </w:t>
            </w:r>
          </w:p>
        </w:tc>
        <w:tc>
          <w:tcPr>
            <w:tcW w:w="100" w:type="dxa"/>
            <w:vAlign w:val="bottom"/>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7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Restricted Stock Awards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Types of Restricted Stock Awards Authorized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Price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Period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Purchase Price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 and Restrictions on Transfer</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Voting Rights; Dividends and Distributions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Termination of Service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Nontransferability of Restricted Stock Award Rights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82"/>
              </w:rPr>
              <w:t>8. </w:t>
            </w:r>
          </w:p>
        </w:tc>
        <w:tc>
          <w:tcPr>
            <w:tcW w:w="100" w:type="dxa"/>
            <w:vAlign w:val="bottom"/>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7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Restricted Stock Units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 of Restricted Stock Unit Awards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Price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Voting Rights, Dividend Equivalent Rights and Distributions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Termination of Service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 of Restricted Stock Unit Awards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Nontransferability of Restricted Stock Unit Awards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82"/>
              </w:rPr>
              <w:t>9. </w:t>
            </w: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Standard Forms of Award Agreements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Award Agreements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Authority to Vary Terms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15"/>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10.      Change in Control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Change in Control on Awards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Excise Tax Under Section 4999 of the Code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72"/>
              </w:rPr>
              <w:t>11. </w:t>
            </w:r>
          </w:p>
        </w:tc>
        <w:tc>
          <w:tcPr>
            <w:tcW w:w="100" w:type="dxa"/>
            <w:vAlign w:val="bottom"/>
          </w:tcPr>
          <w:p>
            <w:pPr>
              <w:spacing w:after="0"/>
              <w:rPr>
                <w:sz w:val="24"/>
                <w:szCs w:val="24"/>
                <w:color w:val="auto"/>
              </w:rPr>
            </w:pPr>
          </w:p>
        </w:tc>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Tax Withholding</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Withholding in General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 in or Directed Sale of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15"/>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12.      Compliance with Section 409A</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General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15"/>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Limitations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15"/>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13.      Compliance with Securities Law</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15"/>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14.      Amendment or Termination of Plan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54"/>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500" w:type="dxa"/>
            <w:vAlign w:val="bottom"/>
          </w:tcPr>
          <w:p>
            <w:pPr>
              <w:jc w:val="center"/>
              <w:ind w:left="1472"/>
              <w:spacing w:after="0"/>
              <w:rPr>
                <w:sz w:val="20"/>
                <w:szCs w:val="20"/>
                <w:color w:val="auto"/>
              </w:rPr>
            </w:pPr>
            <w:r>
              <w:rPr>
                <w:rFonts w:ascii="Times New Roman" w:cs="Times New Roman" w:eastAsia="Times New Roman" w:hAnsi="Times New Roman"/>
                <w:sz w:val="18"/>
                <w:szCs w:val="18"/>
                <w:color w:val="auto"/>
                <w:w w:val="99"/>
              </w:rPr>
              <w:t>-ii-</w:t>
            </w:r>
          </w:p>
        </w:tc>
        <w:tc>
          <w:tcPr>
            <w:tcW w:w="2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660"/>
          </w:cols>
          <w:pgMar w:left="580" w:top="263" w:right="65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468" w:name="page469"/>
    <w:bookmarkEnd w:id="468"/>
    <w:tbl>
      <w:tblPr>
        <w:tblLayout w:type="fixed"/>
        <w:tblInd w:w="0" w:type="dxa"/>
        <w:tblCellMar>
          <w:top w:w="0" w:type="dxa"/>
          <w:left w:w="0" w:type="dxa"/>
          <w:bottom w:w="0" w:type="dxa"/>
          <w:right w:w="0" w:type="dxa"/>
        </w:tblCellMar>
      </w:tblPr>
      <w:tr>
        <w:trPr>
          <w:trHeight w:val="212"/>
        </w:trPr>
        <w:tc>
          <w:tcPr>
            <w:tcW w:w="8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40" w:type="dxa"/>
            <w:vAlign w:val="bottom"/>
          </w:tcPr>
          <w:p>
            <w:pPr>
              <w:jc w:val="right"/>
              <w:ind w:right="4274"/>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228"/>
        </w:trPr>
        <w:tc>
          <w:tcPr>
            <w:tcW w:w="8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440" w:type="dxa"/>
            <w:vAlign w:val="bottom"/>
          </w:tcPr>
          <w:p>
            <w:pPr>
              <w:jc w:val="right"/>
              <w:ind w:right="4814"/>
              <w:spacing w:after="0"/>
              <w:rPr>
                <w:sz w:val="20"/>
                <w:szCs w:val="20"/>
                <w:color w:val="auto"/>
              </w:rPr>
            </w:pPr>
            <w:r>
              <w:rPr>
                <w:rFonts w:ascii="Times New Roman" w:cs="Times New Roman" w:eastAsia="Times New Roman" w:hAnsi="Times New Roman"/>
                <w:sz w:val="18"/>
                <w:szCs w:val="18"/>
                <w:color w:val="auto"/>
              </w:rPr>
              <w:t>(continued)</w:t>
            </w:r>
          </w:p>
        </w:tc>
      </w:tr>
      <w:tr>
        <w:trPr>
          <w:trHeight w:val="271"/>
        </w:trPr>
        <w:tc>
          <w:tcPr>
            <w:tcW w:w="8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6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15.      Miscellaneous Provisions</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Restrictions on Transfer of Shares</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Forfeiture Events</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of Information</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15.4</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as Employee, Consultant or Director</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15.5</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as a Stockholder</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Delivery of Title to Shares</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15.7</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Fractional Shares</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15.8</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Retirement and Welfare Plans</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15.10</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Constraint on Corporate Action</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15.11</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Unfunded Obligation</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15.12</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Choice of Law</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15"/>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15.13</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Stockholder Approval</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660"/>
          </w:cols>
          <w:pgMar w:left="580" w:top="263" w:right="659" w:bottom="1440" w:gutter="0" w:footer="0" w:header="0"/>
        </w:sectPr>
      </w:pPr>
    </w:p>
    <w:bookmarkStart w:id="469" w:name="page470"/>
    <w:bookmarkEnd w:id="46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AMENDMENT TO</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195" w:lineRule="exact"/>
        <w:rPr>
          <w:sz w:val="20"/>
          <w:szCs w:val="20"/>
          <w:color w:val="auto"/>
        </w:rPr>
      </w:pPr>
    </w:p>
    <w:p>
      <w:pPr>
        <w:jc w:val="both"/>
        <w:ind w:right="140" w:firstLine="964"/>
        <w:spacing w:after="0" w:line="255"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Third Amended and Restated Tempus Labs, Inc. 2015 Stock Plan (as amended,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was adopted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Tempus Labs,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June 24, 2020, subject to approval by the Company’s stockholders.</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maintains the Plan;</w:t>
      </w:r>
    </w:p>
    <w:p>
      <w:pPr>
        <w:spacing w:after="0" w:line="213" w:lineRule="exact"/>
        <w:rPr>
          <w:sz w:val="20"/>
          <w:szCs w:val="20"/>
          <w:color w:val="auto"/>
        </w:rPr>
      </w:pPr>
    </w:p>
    <w:p>
      <w:pPr>
        <w:ind w:right="54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14 of the Plan, the Board may amend the Plan at any time, subject to approval by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in accordance with Section 15.13 of the Plan;</w:t>
      </w:r>
    </w:p>
    <w:p>
      <w:pPr>
        <w:spacing w:after="0" w:line="164" w:lineRule="exact"/>
        <w:rPr>
          <w:sz w:val="20"/>
          <w:szCs w:val="20"/>
          <w:color w:val="auto"/>
        </w:rPr>
      </w:pPr>
    </w:p>
    <w:p>
      <w:pPr>
        <w:ind w:right="6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deems it to be in the best interests of the Company and its stockholders to amend the Plan in order to increase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number of authorized shares that may be issued pursuant to Section 4.1 of the Plan; and</w:t>
      </w:r>
    </w:p>
    <w:p>
      <w:pPr>
        <w:spacing w:after="0" w:line="164" w:lineRule="exact"/>
        <w:rPr>
          <w:sz w:val="20"/>
          <w:szCs w:val="20"/>
          <w:color w:val="auto"/>
        </w:rPr>
      </w:pPr>
    </w:p>
    <w:p>
      <w:pPr>
        <w:ind w:right="28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reviewed, and adopted, this Amendment June 24, 2020, subject to approval by the Company’s stockholders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15.13 of the Plan.</w:t>
      </w:r>
    </w:p>
    <w:p>
      <w:pPr>
        <w:spacing w:after="0" w:line="164" w:lineRule="exact"/>
        <w:rPr>
          <w:sz w:val="20"/>
          <w:szCs w:val="20"/>
          <w:color w:val="auto"/>
        </w:rPr>
      </w:pPr>
    </w:p>
    <w:p>
      <w:pPr>
        <w:ind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following amendments and modifications are hereby made a part of the Plan, subject to, and effective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the approval of this Amendment by the Company’s stockholders:</w:t>
      </w:r>
    </w:p>
    <w:p>
      <w:pPr>
        <w:spacing w:after="0" w:line="75" w:lineRule="exact"/>
        <w:rPr>
          <w:sz w:val="20"/>
          <w:szCs w:val="20"/>
          <w:color w:val="auto"/>
        </w:rPr>
      </w:pPr>
    </w:p>
    <w:p>
      <w:pPr>
        <w:ind w:left="960" w:right="400" w:hanging="532"/>
        <w:spacing w:after="0" w:line="267" w:lineRule="auto"/>
        <w:tabs>
          <w:tab w:leader="none" w:pos="96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 of the Plan is amended by replacing the reference to “14,115,750” with “20,115,750” in order to reflect an increase in the aggregate number of authorized shares that may be issued pursuant to Section 4.1 of the Plan.</w:t>
      </w:r>
    </w:p>
    <w:p>
      <w:pPr>
        <w:spacing w:after="0" w:line="77" w:lineRule="exact"/>
        <w:rPr>
          <w:rFonts w:ascii="Times New Roman" w:cs="Times New Roman" w:eastAsia="Times New Roman" w:hAnsi="Times New Roman"/>
          <w:sz w:val="18"/>
          <w:szCs w:val="18"/>
          <w:color w:val="auto"/>
        </w:rPr>
      </w:pPr>
    </w:p>
    <w:p>
      <w:pPr>
        <w:ind w:left="960" w:right="500" w:hanging="532"/>
        <w:spacing w:after="0" w:line="267" w:lineRule="auto"/>
        <w:tabs>
          <w:tab w:leader="none" w:pos="96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and conditions of the Plan not otherwise amended or modified by this Amendment, either expressly or by necessary implication, shall remain in full force and effect.</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660"/>
          </w:cols>
          <w:pgMar w:left="580" w:top="263" w:right="659" w:bottom="1440" w:gutter="0" w:footer="0" w:header="0"/>
        </w:sectPr>
      </w:pPr>
    </w:p>
    <w:bookmarkStart w:id="470" w:name="page471"/>
    <w:bookmarkEnd w:id="47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AMENDMENT TO</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195" w:lineRule="exact"/>
        <w:rPr>
          <w:sz w:val="20"/>
          <w:szCs w:val="20"/>
          <w:color w:val="auto"/>
        </w:rPr>
      </w:pPr>
    </w:p>
    <w:p>
      <w:pPr>
        <w:ind w:right="140" w:firstLine="964"/>
        <w:spacing w:after="0" w:line="255"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Third Amended and Restated Tempus Labs, Inc. 2015 Stock Plan (as amended,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was adopted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Tempus Labs,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November 16, 2020, subject to approval by the Company’s stockholders.</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maintains the Plan;</w:t>
      </w:r>
    </w:p>
    <w:p>
      <w:pPr>
        <w:spacing w:after="0" w:line="213" w:lineRule="exact"/>
        <w:rPr>
          <w:sz w:val="20"/>
          <w:szCs w:val="20"/>
          <w:color w:val="auto"/>
        </w:rPr>
      </w:pPr>
    </w:p>
    <w:p>
      <w:pPr>
        <w:ind w:right="54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14 of the Plan, the Board may amend the Plan at any time, subject to approval by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in accordance with Section 15.13 of the Plan;</w:t>
      </w:r>
    </w:p>
    <w:p>
      <w:pPr>
        <w:spacing w:after="0" w:line="164" w:lineRule="exact"/>
        <w:rPr>
          <w:sz w:val="20"/>
          <w:szCs w:val="20"/>
          <w:color w:val="auto"/>
        </w:rPr>
      </w:pPr>
    </w:p>
    <w:p>
      <w:pPr>
        <w:ind w:right="6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deems it to be in the best interests of the Company and its stockholders to amend the Plan in order to increase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number of authorized shares that may be issued pursuant to Section 4.1 of the Plan; and</w:t>
      </w:r>
    </w:p>
    <w:p>
      <w:pPr>
        <w:spacing w:after="0" w:line="164" w:lineRule="exact"/>
        <w:rPr>
          <w:sz w:val="20"/>
          <w:szCs w:val="20"/>
          <w:color w:val="auto"/>
        </w:rPr>
      </w:pPr>
    </w:p>
    <w:p>
      <w:pPr>
        <w:ind w:right="76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reviewed, and adopted, this Amendment on November 16, 2020, subject to approval by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in accordance with Section 15.13 of the Plan.</w:t>
      </w:r>
    </w:p>
    <w:p>
      <w:pPr>
        <w:spacing w:after="0" w:line="164" w:lineRule="exact"/>
        <w:rPr>
          <w:sz w:val="20"/>
          <w:szCs w:val="20"/>
          <w:color w:val="auto"/>
        </w:rPr>
      </w:pPr>
    </w:p>
    <w:p>
      <w:pPr>
        <w:ind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following amendments and modifications are hereby made a part of the Plan, subject to, and effective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the approval of this Amendment by the Company’s stockholders:</w:t>
      </w:r>
    </w:p>
    <w:p>
      <w:pPr>
        <w:spacing w:after="0" w:line="75" w:lineRule="exact"/>
        <w:rPr>
          <w:sz w:val="20"/>
          <w:szCs w:val="20"/>
          <w:color w:val="auto"/>
        </w:rPr>
      </w:pPr>
    </w:p>
    <w:p>
      <w:pPr>
        <w:ind w:left="960" w:right="400" w:hanging="532"/>
        <w:spacing w:after="0" w:line="267" w:lineRule="auto"/>
        <w:tabs>
          <w:tab w:leader="none" w:pos="96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 of the Plan is amended by replacing the reference to “20,115,750” with “22,115,750” in order to reflect an increase in the aggregate number of authorized shares that may be issued pursuant to Section 4.1 of the Plan.</w:t>
      </w:r>
    </w:p>
    <w:p>
      <w:pPr>
        <w:spacing w:after="0" w:line="77" w:lineRule="exact"/>
        <w:rPr>
          <w:rFonts w:ascii="Times New Roman" w:cs="Times New Roman" w:eastAsia="Times New Roman" w:hAnsi="Times New Roman"/>
          <w:sz w:val="18"/>
          <w:szCs w:val="18"/>
          <w:color w:val="auto"/>
        </w:rPr>
      </w:pPr>
    </w:p>
    <w:p>
      <w:pPr>
        <w:ind w:left="960" w:right="500" w:hanging="532"/>
        <w:spacing w:after="0" w:line="267" w:lineRule="auto"/>
        <w:tabs>
          <w:tab w:leader="none" w:pos="96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and conditions of the Plan not otherwise amended or modified by this Amendment, either expressly or by necessary implication, shall remain in full force and effect.</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660"/>
          </w:cols>
          <w:pgMar w:left="580" w:top="263" w:right="659" w:bottom="1440" w:gutter="0" w:footer="0" w:header="0"/>
        </w:sectPr>
      </w:pPr>
    </w:p>
    <w:bookmarkStart w:id="471" w:name="page472"/>
    <w:bookmarkEnd w:id="47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AMENDMENT TO</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195" w:lineRule="exact"/>
        <w:rPr>
          <w:sz w:val="20"/>
          <w:szCs w:val="20"/>
          <w:color w:val="auto"/>
        </w:rPr>
      </w:pPr>
    </w:p>
    <w:p>
      <w:pPr>
        <w:jc w:val="both"/>
        <w:ind w:right="180" w:firstLine="964"/>
        <w:spacing w:after="0" w:line="255"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Third Amended and Restated Tempus Labs, Inc. 2015 Stock Plan (as amended,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was adopted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Tempus Labs,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April 27, 2021, subject to approval by the Company’s stockholders.</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maintains the Plan;</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14 of the Plan, the Board may amend the Plan at any time;</w:t>
      </w:r>
    </w:p>
    <w:p>
      <w:pPr>
        <w:spacing w:after="0" w:line="213" w:lineRule="exact"/>
        <w:rPr>
          <w:sz w:val="20"/>
          <w:szCs w:val="20"/>
          <w:color w:val="auto"/>
        </w:rPr>
      </w:pPr>
    </w:p>
    <w:p>
      <w:pPr>
        <w:ind w:right="2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deems it to be in the best interests of the Company and its stockholders to amend the Plan in order to permit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of awards to be made under the Plan to participants outside of the United States; and</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reviewed, and adopted, this Amendment, effective as of April 27, 2021.</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the following amendments and modifications are hereby made a part of the Plan, effective as of April 27, 2021:</w:t>
      </w:r>
    </w:p>
    <w:p>
      <w:pPr>
        <w:spacing w:after="0" w:line="146" w:lineRule="exact"/>
        <w:rPr>
          <w:sz w:val="20"/>
          <w:szCs w:val="20"/>
          <w:color w:val="auto"/>
        </w:rPr>
      </w:pPr>
    </w:p>
    <w:p>
      <w:pPr>
        <w:ind w:left="960" w:hanging="532"/>
        <w:spacing w:after="0"/>
        <w:tabs>
          <w:tab w:leader="none" w:pos="96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paragraph is hereby added to the Plan as a new Section 3.6:</w:t>
      </w:r>
    </w:p>
    <w:p>
      <w:pPr>
        <w:spacing w:after="0" w:line="106" w:lineRule="exact"/>
        <w:rPr>
          <w:rFonts w:ascii="Times New Roman" w:cs="Times New Roman" w:eastAsia="Times New Roman" w:hAnsi="Times New Roman"/>
          <w:sz w:val="18"/>
          <w:szCs w:val="18"/>
          <w:color w:val="auto"/>
        </w:rPr>
      </w:pPr>
    </w:p>
    <w:p>
      <w:pPr>
        <w:ind w:left="980"/>
        <w:spacing w:after="0" w:line="2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“3.6 </w:t>
      </w:r>
      <w:r>
        <w:rPr>
          <w:rFonts w:ascii="Times New Roman" w:cs="Times New Roman" w:eastAsia="Times New Roman" w:hAnsi="Times New Roman"/>
          <w:sz w:val="16"/>
          <w:szCs w:val="16"/>
          <w:b w:val="1"/>
          <w:bCs w:val="1"/>
          <w:color w:val="auto"/>
        </w:rPr>
        <w:t>Non-United States Participants</w:t>
      </w:r>
      <w:r>
        <w:rPr>
          <w:rFonts w:ascii="Times New Roman" w:cs="Times New Roman" w:eastAsia="Times New Roman" w:hAnsi="Times New Roman"/>
          <w:sz w:val="16"/>
          <w:szCs w:val="16"/>
          <w:color w:val="auto"/>
        </w:rPr>
        <w:t>. Without amending the Plan, the Board may grant Awards to Employees, Consultants and Directors residing in non-United States jurisdictions on such terms and conditions different from those specified in the Plan, including the terms of any Award Agreement or plan, adopted by the Company or any Subsidiary Corporation to comply with, or take advantage of favorable tax or other treatment available wider, the laws of any non-United States jurisdiction, as may in the judgment of the Board be necessary or desirable to foster and promote achievement of the purposes of the Plan and, in furtherance of such purposes the Board may make such modifications, amendments, procedures, subplans and the like as may be necessary or advisable to comply with provisions of laws in other countries or jurisdictions in which the Company or its Subsidiary Corporations operates or has employees.”</w:t>
      </w:r>
    </w:p>
    <w:p>
      <w:pPr>
        <w:spacing w:after="0" w:line="71" w:lineRule="exact"/>
        <w:rPr>
          <w:rFonts w:ascii="Times New Roman" w:cs="Times New Roman" w:eastAsia="Times New Roman" w:hAnsi="Times New Roman"/>
          <w:sz w:val="18"/>
          <w:szCs w:val="18"/>
          <w:color w:val="auto"/>
        </w:rPr>
      </w:pPr>
    </w:p>
    <w:p>
      <w:pPr>
        <w:ind w:left="960" w:right="540" w:hanging="532"/>
        <w:spacing w:after="0" w:line="267" w:lineRule="auto"/>
        <w:tabs>
          <w:tab w:leader="none" w:pos="96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and conditions of the Plan not otherwise amended or modified by this Amendment, either expressly or by necessary implication, shall remain in full force and effect.</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700"/>
          </w:cols>
          <w:pgMar w:left="580" w:top="263" w:right="619" w:bottom="1440" w:gutter="0" w:footer="0" w:header="0"/>
        </w:sectPr>
      </w:pPr>
    </w:p>
    <w:bookmarkStart w:id="472" w:name="page473"/>
    <w:bookmarkEnd w:id="47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AMENDMENT TO</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195" w:lineRule="exact"/>
        <w:rPr>
          <w:sz w:val="20"/>
          <w:szCs w:val="20"/>
          <w:color w:val="auto"/>
        </w:rPr>
      </w:pPr>
    </w:p>
    <w:p>
      <w:pPr>
        <w:ind w:firstLine="964"/>
        <w:spacing w:after="0" w:line="255"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Third Amended and Restated Tempus Labs, Inc. 2015 Stock Plan (as amended,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was adopted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Tempus Labs,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January 27, 2022, subject to approval by the Company’s stockholders.</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maintains the Plan;</w:t>
      </w:r>
    </w:p>
    <w:p>
      <w:pPr>
        <w:spacing w:after="0" w:line="213" w:lineRule="exact"/>
        <w:rPr>
          <w:sz w:val="20"/>
          <w:szCs w:val="20"/>
          <w:color w:val="auto"/>
        </w:rPr>
      </w:pPr>
    </w:p>
    <w:p>
      <w:pPr>
        <w:ind w:right="56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14 of the Plan, the Board may amend the Plan at any time, subject to approval by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in accordance with Section 15.13 of the Plan;</w:t>
      </w:r>
    </w:p>
    <w:p>
      <w:pPr>
        <w:spacing w:after="0" w:line="164" w:lineRule="exact"/>
        <w:rPr>
          <w:sz w:val="20"/>
          <w:szCs w:val="20"/>
          <w:color w:val="auto"/>
        </w:rPr>
      </w:pPr>
    </w:p>
    <w:p>
      <w:pPr>
        <w:ind w:right="8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deems it to be in the best interests of the Company and its stockholders to amend the Plan in order to increase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number of authorized shares that may be issued pursuant to Section 4.1 of the Plan; and</w:t>
      </w:r>
    </w:p>
    <w:p>
      <w:pPr>
        <w:spacing w:after="0" w:line="164" w:lineRule="exact"/>
        <w:rPr>
          <w:sz w:val="20"/>
          <w:szCs w:val="20"/>
          <w:color w:val="auto"/>
        </w:rPr>
      </w:pPr>
    </w:p>
    <w:p>
      <w:pPr>
        <w:ind w:right="4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reviewed, and adopted, this Amendment on January 27, 2022, subject to approval by the Company’s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Section 15.13 of the Plan.</w:t>
      </w:r>
    </w:p>
    <w:p>
      <w:pPr>
        <w:spacing w:after="0" w:line="164" w:lineRule="exact"/>
        <w:rPr>
          <w:sz w:val="20"/>
          <w:szCs w:val="20"/>
          <w:color w:val="auto"/>
        </w:rPr>
      </w:pPr>
    </w:p>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following amendments and modifications are hereby made a part of the Plan, subject to, and effective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the approval of this Amendment by the Company’s stockholders:</w:t>
      </w:r>
    </w:p>
    <w:p>
      <w:pPr>
        <w:spacing w:after="0" w:line="75" w:lineRule="exact"/>
        <w:rPr>
          <w:sz w:val="20"/>
          <w:szCs w:val="20"/>
          <w:color w:val="auto"/>
        </w:rPr>
      </w:pPr>
    </w:p>
    <w:p>
      <w:pPr>
        <w:ind w:left="960" w:right="420" w:hanging="532"/>
        <w:spacing w:after="0" w:line="267" w:lineRule="auto"/>
        <w:tabs>
          <w:tab w:leader="none" w:pos="9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 of the Plan is amended by replacing the reference to “22,115,750” with “25,115,750” in order to reflect an increase in the aggregate number of authorized shares that may be issued pursuant to Section 4.1 of the Plan.</w:t>
      </w:r>
    </w:p>
    <w:p>
      <w:pPr>
        <w:spacing w:after="0" w:line="77" w:lineRule="exact"/>
        <w:rPr>
          <w:rFonts w:ascii="Times New Roman" w:cs="Times New Roman" w:eastAsia="Times New Roman" w:hAnsi="Times New Roman"/>
          <w:sz w:val="18"/>
          <w:szCs w:val="18"/>
          <w:color w:val="auto"/>
        </w:rPr>
      </w:pPr>
    </w:p>
    <w:p>
      <w:pPr>
        <w:ind w:left="960" w:right="520" w:hanging="532"/>
        <w:spacing w:after="0" w:line="267" w:lineRule="auto"/>
        <w:tabs>
          <w:tab w:leader="none" w:pos="9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and conditions of the Plan not otherwise amended or modified by this Amendment, either expressly or by necessary implication, shall remain in full force and effect.</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680"/>
          </w:cols>
          <w:pgMar w:left="580" w:top="263" w:right="639" w:bottom="1440" w:gutter="0" w:footer="0" w:header="0"/>
        </w:sectPr>
      </w:pPr>
    </w:p>
    <w:bookmarkStart w:id="473" w:name="page474"/>
    <w:bookmarkEnd w:id="473"/>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1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the Board of Directors: December 18, 2021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4"/>
          <w:szCs w:val="14"/>
          <w:b w:val="1"/>
          <w:bCs w:val="1"/>
          <w:color w:val="auto"/>
        </w:rPr>
        <w:t>ANUARY</w:t>
      </w:r>
      <w:r>
        <w:rPr>
          <w:rFonts w:ascii="Times New Roman" w:cs="Times New Roman" w:eastAsia="Times New Roman" w:hAnsi="Times New Roman"/>
          <w:sz w:val="18"/>
          <w:szCs w:val="18"/>
          <w:b w:val="1"/>
          <w:bCs w:val="1"/>
          <w:color w:val="auto"/>
        </w:rPr>
        <w:t xml:space="preserve"> 3, 2022</w:t>
      </w:r>
    </w:p>
    <w:p>
      <w:pPr>
        <w:spacing w:after="0" w:line="220" w:lineRule="exact"/>
        <w:rPr>
          <w:sz w:val="20"/>
          <w:szCs w:val="20"/>
          <w:color w:val="auto"/>
        </w:rPr>
      </w:pPr>
    </w:p>
    <w:p>
      <w:pPr>
        <w:ind w:left="420" w:hanging="412"/>
        <w:spacing w:after="0"/>
        <w:tabs>
          <w:tab w:leader="none" w:pos="420" w:val="left"/>
        </w:tabs>
        <w:numPr>
          <w:ilvl w:val="0"/>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w:t>
      </w:r>
    </w:p>
    <w:p>
      <w:pPr>
        <w:spacing w:after="0" w:line="108" w:lineRule="exact"/>
        <w:rPr>
          <w:rFonts w:ascii="Times New Roman" w:cs="Times New Roman" w:eastAsia="Times New Roman" w:hAnsi="Times New Roman"/>
          <w:sz w:val="18"/>
          <w:szCs w:val="18"/>
          <w:b w:val="1"/>
          <w:bCs w:val="1"/>
          <w:color w:val="auto"/>
        </w:rPr>
      </w:pPr>
    </w:p>
    <w:p>
      <w:pPr>
        <w:ind w:right="20" w:firstLine="436"/>
        <w:spacing w:after="0" w:line="250" w:lineRule="auto"/>
        <w:tabs>
          <w:tab w:leader="none" w:pos="676" w:val="left"/>
        </w:tabs>
        <w:numPr>
          <w:ilvl w:val="1"/>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 to and Continuation of Prior Plan</w:t>
      </w:r>
      <w:r>
        <w:rPr>
          <w:rFonts w:ascii="Times New Roman" w:cs="Times New Roman" w:eastAsia="Times New Roman" w:hAnsi="Times New Roman"/>
          <w:sz w:val="18"/>
          <w:szCs w:val="18"/>
          <w:color w:val="auto"/>
        </w:rPr>
        <w:t>. The Plan is the successor to and continuation of the Prior Plan. As of the Effective Date, (i)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awards may be granted under the Prior Plan; (ii)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82" w:lineRule="exact"/>
        <w:rPr>
          <w:rFonts w:ascii="Times New Roman" w:cs="Times New Roman" w:eastAsia="Times New Roman" w:hAnsi="Times New Roman"/>
          <w:sz w:val="18"/>
          <w:szCs w:val="18"/>
          <w:b w:val="1"/>
          <w:bCs w:val="1"/>
          <w:color w:val="auto"/>
        </w:rPr>
      </w:pPr>
    </w:p>
    <w:p>
      <w:pPr>
        <w:ind w:right="220" w:firstLine="436"/>
        <w:spacing w:after="0" w:line="256" w:lineRule="auto"/>
        <w:tabs>
          <w:tab w:leader="none" w:pos="686" w:val="left"/>
        </w:tabs>
        <w:numPr>
          <w:ilvl w:val="1"/>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 Employees, Directors and Consultants,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77"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1"/>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 Options;</w:t>
      </w:r>
    </w:p>
    <w:p>
      <w:pPr>
        <w:spacing w:after="0" w:line="23" w:lineRule="exact"/>
        <w:rPr>
          <w:sz w:val="20"/>
          <w:szCs w:val="20"/>
          <w:color w:val="auto"/>
        </w:rPr>
      </w:pPr>
    </w:p>
    <w:p>
      <w:pPr>
        <w:ind w:left="320" w:hanging="312"/>
        <w:spacing w:after="0"/>
        <w:tabs>
          <w:tab w:leader="none" w:pos="32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 (iv) Restricted Stock Awards; (v) RSU Awards; (vi) Performance Awards; and (vii) Other Awards.</w:t>
      </w:r>
    </w:p>
    <w:p>
      <w:pPr>
        <w:spacing w:after="0" w:line="19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1"/>
          <w:numId w:val="3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Adoption Date; Effective Date. </w:t>
      </w:r>
      <w:r>
        <w:rPr>
          <w:rFonts w:ascii="Times New Roman" w:cs="Times New Roman" w:eastAsia="Times New Roman" w:hAnsi="Times New Roman"/>
          <w:sz w:val="16"/>
          <w:szCs w:val="16"/>
          <w:color w:val="auto"/>
        </w:rPr>
        <w:t>The Plan will come into existence on the Adoption Date, but no Award may be granted prior to the Effective</w:t>
      </w:r>
    </w:p>
    <w:p>
      <w:pPr>
        <w:spacing w:after="0" w:line="45"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Date.</w:t>
      </w:r>
    </w:p>
    <w:p>
      <w:pPr>
        <w:spacing w:after="0" w:line="338" w:lineRule="exact"/>
        <w:rPr>
          <w:sz w:val="20"/>
          <w:szCs w:val="20"/>
          <w:color w:val="auto"/>
        </w:rPr>
      </w:pPr>
    </w:p>
    <w:p>
      <w:pPr>
        <w:ind w:left="420" w:hanging="412"/>
        <w:spacing w:after="0"/>
        <w:tabs>
          <w:tab w:leader="none" w:pos="420" w:val="left"/>
        </w:tabs>
        <w:numPr>
          <w:ilvl w:val="0"/>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08" w:lineRule="exact"/>
        <w:rPr>
          <w:rFonts w:ascii="Times New Roman" w:cs="Times New Roman" w:eastAsia="Times New Roman" w:hAnsi="Times New Roman"/>
          <w:sz w:val="18"/>
          <w:szCs w:val="18"/>
          <w:b w:val="1"/>
          <w:bCs w:val="1"/>
          <w:color w:val="auto"/>
        </w:rPr>
      </w:pPr>
    </w:p>
    <w:p>
      <w:pPr>
        <w:ind w:right="40" w:firstLine="436"/>
        <w:spacing w:after="0" w:line="248" w:lineRule="auto"/>
        <w:tabs>
          <w:tab w:leader="none" w:pos="676" w:val="left"/>
        </w:tabs>
        <w:numPr>
          <w:ilvl w:val="1"/>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2(c) and any adjustments as necessary to implement any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the aggregate number of shares of Common Stock that may be issued pursuant to Awards will not exceed 10,000,000 shares, provided that such aggregate number of shares of Common Stock will automatically increase on January 1 of each year for a period of ten years commencing on January 1, 2023 and ending on (and including) January 1, 2032, in an amount equal to three percent (3%) of the total number of shares of Combined Common Stock outstanding on December 31 of the preceding year; provided, however, that the Board may act prior to January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8"/>
          <w:szCs w:val="18"/>
          <w:color w:val="auto"/>
        </w:rPr>
        <w:t xml:space="preserve"> of a given year to provide that the increase for such year will be a lesser number of shares of Common Stock.</w:t>
      </w:r>
    </w:p>
    <w:p>
      <w:pPr>
        <w:spacing w:after="0" w:line="187" w:lineRule="exact"/>
        <w:rPr>
          <w:rFonts w:ascii="Times New Roman" w:cs="Times New Roman" w:eastAsia="Times New Roman" w:hAnsi="Times New Roman"/>
          <w:sz w:val="18"/>
          <w:szCs w:val="18"/>
          <w:b w:val="1"/>
          <w:bCs w:val="1"/>
          <w:color w:val="auto"/>
        </w:rPr>
      </w:pPr>
    </w:p>
    <w:p>
      <w:pPr>
        <w:ind w:right="40" w:firstLine="436"/>
        <w:spacing w:after="0" w:line="256" w:lineRule="auto"/>
        <w:tabs>
          <w:tab w:leader="none" w:pos="686" w:val="left"/>
        </w:tabs>
        <w:numPr>
          <w:ilvl w:val="1"/>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Notwithstanding anything to the contrary in Section 2(a) and subject to any adjustments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implement any Capitalization Adjustments, the aggregate maximum number of shares of Common Stock that may be issued pursuant to the exercise of Incentive Stock Options is 30,000,000 shares.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119" w:right="599" w:bottom="1440" w:gutter="0" w:footer="0" w:header="0"/>
        </w:sectPr>
      </w:pPr>
    </w:p>
    <w:bookmarkStart w:id="474" w:name="page475"/>
    <w:bookmarkEnd w:id="474"/>
    <w:p>
      <w:pPr>
        <w:ind w:left="672" w:hanging="244"/>
        <w:spacing w:after="0"/>
        <w:tabs>
          <w:tab w:leader="none" w:pos="672" w:val="left"/>
        </w:tabs>
        <w:numPr>
          <w:ilvl w:val="1"/>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Share Reserve Operation.</w:t>
      </w:r>
    </w:p>
    <w:p>
      <w:pPr>
        <w:spacing w:after="0" w:line="213" w:lineRule="exact"/>
        <w:rPr>
          <w:rFonts w:ascii="Times New Roman" w:cs="Times New Roman" w:eastAsia="Times New Roman" w:hAnsi="Times New Roman"/>
          <w:sz w:val="18"/>
          <w:szCs w:val="18"/>
          <w:b w:val="1"/>
          <w:bCs w:val="1"/>
          <w:color w:val="auto"/>
        </w:rPr>
      </w:pPr>
    </w:p>
    <w:p>
      <w:pPr>
        <w:ind w:left="-8" w:right="320" w:firstLine="972"/>
        <w:spacing w:after="0" w:line="248" w:lineRule="auto"/>
        <w:tabs>
          <w:tab w:leader="none" w:pos="1165" w:val="left"/>
        </w:tabs>
        <w:numPr>
          <w:ilvl w:val="2"/>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 limit on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87" w:lineRule="exact"/>
        <w:rPr>
          <w:rFonts w:ascii="Times New Roman" w:cs="Times New Roman" w:eastAsia="Times New Roman" w:hAnsi="Times New Roman"/>
          <w:sz w:val="18"/>
          <w:szCs w:val="18"/>
          <w:b w:val="1"/>
          <w:bCs w:val="1"/>
          <w:color w:val="auto"/>
        </w:rPr>
      </w:pPr>
    </w:p>
    <w:p>
      <w:pPr>
        <w:ind w:left="-8" w:firstLine="972"/>
        <w:spacing w:after="0" w:line="248" w:lineRule="auto"/>
        <w:tabs>
          <w:tab w:leader="none" w:pos="1214" w:val="left"/>
        </w:tabs>
        <w:numPr>
          <w:ilvl w:val="2"/>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87" w:lineRule="exact"/>
        <w:rPr>
          <w:rFonts w:ascii="Times New Roman" w:cs="Times New Roman" w:eastAsia="Times New Roman" w:hAnsi="Times New Roman"/>
          <w:sz w:val="18"/>
          <w:szCs w:val="18"/>
          <w:b w:val="1"/>
          <w:bCs w:val="1"/>
          <w:color w:val="auto"/>
        </w:rPr>
      </w:pPr>
    </w:p>
    <w:p>
      <w:pPr>
        <w:ind w:left="-8" w:right="20" w:firstLine="972"/>
        <w:spacing w:after="0" w:line="288" w:lineRule="auto"/>
        <w:tabs>
          <w:tab w:leader="none" w:pos="1263" w:val="left"/>
        </w:tabs>
        <w:numPr>
          <w:ilvl w:val="2"/>
          <w:numId w:val="3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Reversion of Previously Issued Shares of Common Stock to Share Reserve. </w:t>
      </w:r>
      <w:r>
        <w:rPr>
          <w:rFonts w:ascii="Times New Roman" w:cs="Times New Roman" w:eastAsia="Times New Roman" w:hAnsi="Times New Roman"/>
          <w:sz w:val="16"/>
          <w:szCs w:val="16"/>
          <w:color w:val="auto"/>
        </w:rPr>
        <w:t>The following shares of Common Stock previously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300" w:lineRule="exact"/>
        <w:rPr>
          <w:rFonts w:ascii="Times New Roman" w:cs="Times New Roman" w:eastAsia="Times New Roman" w:hAnsi="Times New Roman"/>
          <w:sz w:val="16"/>
          <w:szCs w:val="16"/>
          <w:b w:val="1"/>
          <w:bCs w:val="1"/>
          <w:color w:val="auto"/>
        </w:rPr>
      </w:pPr>
    </w:p>
    <w:p>
      <w:pPr>
        <w:ind w:left="412" w:hanging="412"/>
        <w:spacing w:after="0"/>
        <w:tabs>
          <w:tab w:leader="none" w:pos="412" w:val="left"/>
        </w:tabs>
        <w:numPr>
          <w:ilvl w:val="0"/>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IMITATIONS</w:t>
      </w:r>
      <w:r>
        <w:rPr>
          <w:rFonts w:ascii="Times New Roman" w:cs="Times New Roman" w:eastAsia="Times New Roman" w:hAnsi="Times New Roman"/>
          <w:sz w:val="18"/>
          <w:szCs w:val="18"/>
          <w:b w:val="1"/>
          <w:bCs w:val="1"/>
          <w:color w:val="auto"/>
        </w:rPr>
        <w:t>.</w:t>
      </w:r>
    </w:p>
    <w:p>
      <w:pPr>
        <w:spacing w:after="0" w:line="108" w:lineRule="exact"/>
        <w:rPr>
          <w:rFonts w:ascii="Times New Roman" w:cs="Times New Roman" w:eastAsia="Times New Roman" w:hAnsi="Times New Roman"/>
          <w:sz w:val="18"/>
          <w:szCs w:val="18"/>
          <w:b w:val="1"/>
          <w:bCs w:val="1"/>
          <w:color w:val="auto"/>
        </w:rPr>
      </w:pPr>
    </w:p>
    <w:p>
      <w:pPr>
        <w:ind w:left="672" w:hanging="244"/>
        <w:spacing w:after="0"/>
        <w:tabs>
          <w:tab w:leader="none" w:pos="672" w:val="left"/>
        </w:tabs>
        <w:numPr>
          <w:ilvl w:val="1"/>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 are eligible to receive Awards.</w:t>
      </w:r>
    </w:p>
    <w:p>
      <w:pPr>
        <w:spacing w:after="0" w:line="213" w:lineRule="exact"/>
        <w:rPr>
          <w:rFonts w:ascii="Times New Roman" w:cs="Times New Roman" w:eastAsia="Times New Roman" w:hAnsi="Times New Roman"/>
          <w:sz w:val="18"/>
          <w:szCs w:val="18"/>
          <w:b w:val="1"/>
          <w:bCs w:val="1"/>
          <w:color w:val="auto"/>
        </w:rPr>
      </w:pPr>
    </w:p>
    <w:p>
      <w:pPr>
        <w:ind w:left="692" w:hanging="264"/>
        <w:spacing w:after="0"/>
        <w:tabs>
          <w:tab w:leader="none" w:pos="692" w:val="left"/>
        </w:tabs>
        <w:numPr>
          <w:ilvl w:val="1"/>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p>
    <w:p>
      <w:pPr>
        <w:spacing w:after="0" w:line="213" w:lineRule="exact"/>
        <w:rPr>
          <w:rFonts w:ascii="Times New Roman" w:cs="Times New Roman" w:eastAsia="Times New Roman" w:hAnsi="Times New Roman"/>
          <w:sz w:val="18"/>
          <w:szCs w:val="18"/>
          <w:b w:val="1"/>
          <w:bCs w:val="1"/>
          <w:color w:val="auto"/>
        </w:rPr>
      </w:pPr>
    </w:p>
    <w:p>
      <w:pPr>
        <w:ind w:left="-8" w:right="100" w:firstLine="972"/>
        <w:spacing w:after="0" w:line="270" w:lineRule="auto"/>
        <w:tabs>
          <w:tab w:leader="none" w:pos="1165" w:val="left"/>
        </w:tabs>
        <w:numPr>
          <w:ilvl w:val="2"/>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 only to Employees of the Company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corporation” or “subsidiary corporation” thereof (as such terms are defined in Sections 424(e) and (f) of the Code).</w:t>
      </w:r>
    </w:p>
    <w:p>
      <w:pPr>
        <w:spacing w:after="0" w:line="164" w:lineRule="exact"/>
        <w:rPr>
          <w:rFonts w:ascii="Times New Roman" w:cs="Times New Roman" w:eastAsia="Times New Roman" w:hAnsi="Times New Roman"/>
          <w:sz w:val="18"/>
          <w:szCs w:val="18"/>
          <w:b w:val="1"/>
          <w:bCs w:val="1"/>
          <w:color w:val="auto"/>
        </w:rPr>
      </w:pPr>
    </w:p>
    <w:p>
      <w:pPr>
        <w:jc w:val="both"/>
        <w:ind w:left="-8" w:right="60" w:firstLine="972"/>
        <w:spacing w:after="0" w:line="256" w:lineRule="auto"/>
        <w:tabs>
          <w:tab w:leader="none" w:pos="1214" w:val="left"/>
        </w:tabs>
        <w:numPr>
          <w:ilvl w:val="2"/>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 (determined at the time of grant)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with respect to which Incentive Stock Options are exercisable for the first time by any Optionholder during any calendar year (under all plans of the Company and any Affiliates) exceeds $100,000 (or such</w:t>
      </w:r>
    </w:p>
    <w:p>
      <w:pPr>
        <w:spacing w:after="0" w:line="11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92"/>
          </w:cols>
          <w:pgMar w:left="588" w:top="263" w:right="619" w:bottom="1440" w:gutter="0" w:footer="0" w:header="0"/>
        </w:sectPr>
      </w:pPr>
    </w:p>
    <w:bookmarkStart w:id="475" w:name="page476"/>
    <w:bookmarkEnd w:id="475"/>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78" w:lineRule="exact"/>
        <w:rPr>
          <w:sz w:val="20"/>
          <w:szCs w:val="20"/>
          <w:color w:val="auto"/>
        </w:rPr>
      </w:pPr>
    </w:p>
    <w:p>
      <w:pPr>
        <w:ind w:right="60" w:firstLine="972"/>
        <w:spacing w:after="0" w:line="286" w:lineRule="auto"/>
        <w:tabs>
          <w:tab w:leader="none" w:pos="1270" w:val="left"/>
        </w:tabs>
        <w:numPr>
          <w:ilvl w:val="2"/>
          <w:numId w:val="3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Limitations on Incentive Stock Options Granted to Ten Percent Stockholders. </w:t>
      </w:r>
      <w:r>
        <w:rPr>
          <w:rFonts w:ascii="Times New Roman" w:cs="Times New Roman" w:eastAsia="Times New Roman" w:hAnsi="Times New Roman"/>
          <w:sz w:val="16"/>
          <w:szCs w:val="16"/>
          <w:color w:val="auto"/>
        </w:rPr>
        <w:t>A Ten Percent Stockholder may not be granted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Incentive Stock Option unless (1) the exercise price of such Option is at least 110% of the Fair Market Value on the date of grant of such Option and</w:t>
      </w:r>
    </w:p>
    <w:p>
      <w:pPr>
        <w:spacing w:after="0" w:line="1" w:lineRule="exact"/>
        <w:rPr>
          <w:rFonts w:ascii="Times New Roman" w:cs="Times New Roman" w:eastAsia="Times New Roman" w:hAnsi="Times New Roman"/>
          <w:sz w:val="16"/>
          <w:szCs w:val="16"/>
          <w:b w:val="1"/>
          <w:bCs w:val="1"/>
          <w:color w:val="auto"/>
        </w:rPr>
      </w:pPr>
    </w:p>
    <w:p>
      <w:pPr>
        <w:ind w:left="260" w:hanging="252"/>
        <w:spacing w:after="0"/>
        <w:tabs>
          <w:tab w:leader="none" w:pos="2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not exercisable after the expiration of five years from the date of grant of such Option.</w:t>
      </w:r>
    </w:p>
    <w:p>
      <w:pPr>
        <w:spacing w:after="0" w:line="193" w:lineRule="exact"/>
        <w:rPr>
          <w:rFonts w:ascii="Times New Roman" w:cs="Times New Roman" w:eastAsia="Times New Roman" w:hAnsi="Times New Roman"/>
          <w:sz w:val="18"/>
          <w:szCs w:val="18"/>
          <w:color w:val="auto"/>
        </w:rPr>
      </w:pPr>
    </w:p>
    <w:p>
      <w:pPr>
        <w:ind w:right="160" w:firstLine="972"/>
        <w:spacing w:after="0" w:line="256" w:lineRule="auto"/>
        <w:tabs>
          <w:tab w:leader="none" w:pos="1260" w:val="left"/>
        </w:tabs>
        <w:numPr>
          <w:ilvl w:val="2"/>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 may not be granted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Consultants unless the stock underlying such Awards is treated as “service recipient stock” under Section 409A or unless such Awards otherwise comply with the requirements of Section 409A.</w:t>
      </w:r>
    </w:p>
    <w:p>
      <w:pPr>
        <w:spacing w:after="0" w:line="177" w:lineRule="exact"/>
        <w:rPr>
          <w:rFonts w:ascii="Times New Roman" w:cs="Times New Roman" w:eastAsia="Times New Roman" w:hAnsi="Times New Roman"/>
          <w:sz w:val="18"/>
          <w:szCs w:val="18"/>
          <w:b w:val="1"/>
          <w:bCs w:val="1"/>
          <w:color w:val="auto"/>
        </w:rPr>
      </w:pPr>
    </w:p>
    <w:p>
      <w:pPr>
        <w:ind w:right="160" w:firstLine="436"/>
        <w:spacing w:after="0" w:line="270" w:lineRule="auto"/>
        <w:tabs>
          <w:tab w:leader="none" w:pos="666" w:val="left"/>
        </w:tabs>
        <w:numPr>
          <w:ilvl w:val="1"/>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 Stock that may be issued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Incentive Stock Options is the number of shares specified in Section 2(b).</w:t>
      </w:r>
    </w:p>
    <w:p>
      <w:pPr>
        <w:spacing w:after="0" w:line="164" w:lineRule="exact"/>
        <w:rPr>
          <w:rFonts w:ascii="Times New Roman" w:cs="Times New Roman" w:eastAsia="Times New Roman" w:hAnsi="Times New Roman"/>
          <w:sz w:val="18"/>
          <w:szCs w:val="18"/>
          <w:b w:val="1"/>
          <w:bCs w:val="1"/>
          <w:color w:val="auto"/>
        </w:rPr>
      </w:pPr>
    </w:p>
    <w:p>
      <w:pPr>
        <w:ind w:right="20" w:firstLine="436"/>
        <w:spacing w:after="0" w:line="248" w:lineRule="auto"/>
        <w:tabs>
          <w:tab w:leader="none" w:pos="686" w:val="left"/>
        </w:tabs>
        <w:numPr>
          <w:ilvl w:val="1"/>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 paid, as applicable, to any individual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as a Non-Employee Director with respect to any calendar year, including Awards granted and cash fees paid by the Company to such Non-Employee Director, will not exceed (1) $750,000 in total value or (2)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spacing w:after="0" w:line="331" w:lineRule="exact"/>
        <w:rPr>
          <w:sz w:val="20"/>
          <w:szCs w:val="20"/>
          <w:color w:val="auto"/>
        </w:rPr>
      </w:pPr>
    </w:p>
    <w:p>
      <w:pPr>
        <w:ind w:left="420" w:hanging="412"/>
        <w:spacing w:after="0"/>
        <w:tabs>
          <w:tab w:leader="none" w:pos="420"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10" w:lineRule="exact"/>
        <w:rPr>
          <w:sz w:val="20"/>
          <w:szCs w:val="20"/>
          <w:color w:val="auto"/>
        </w:rPr>
      </w:pPr>
    </w:p>
    <w:p>
      <w:pPr>
        <w:ind w:firstLine="428"/>
        <w:spacing w:after="0" w:line="247"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82" w:lineRule="exact"/>
        <w:rPr>
          <w:sz w:val="20"/>
          <w:szCs w:val="20"/>
          <w:color w:val="auto"/>
        </w:rPr>
      </w:pPr>
    </w:p>
    <w:p>
      <w:pPr>
        <w:ind w:firstLine="436"/>
        <w:spacing w:after="0" w:line="270" w:lineRule="auto"/>
        <w:tabs>
          <w:tab w:leader="none" w:pos="676" w:val="left"/>
        </w:tabs>
        <w:numPr>
          <w:ilvl w:val="0"/>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 regarding Ten Percent Stockholders, no Option or SAR will be exercisable after the expiration of ten years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of such Award or such shorter period specified in the Award Agreement.</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60"/>
          </w:cols>
          <w:pgMar w:left="580" w:top="265" w:right="659" w:bottom="1440" w:gutter="0" w:footer="0" w:header="0"/>
        </w:sectPr>
      </w:pPr>
    </w:p>
    <w:bookmarkStart w:id="476" w:name="page477"/>
    <w:bookmarkEnd w:id="476"/>
    <w:p>
      <w:pPr>
        <w:ind w:left="-20" w:right="100" w:firstLine="436"/>
        <w:spacing w:after="0" w:line="250" w:lineRule="auto"/>
        <w:tabs>
          <w:tab w:leader="none" w:pos="666"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Exercise or Strike Price. </w:t>
      </w:r>
      <w:r>
        <w:rPr>
          <w:rFonts w:ascii="Times New Roman" w:cs="Times New Roman" w:eastAsia="Times New Roman" w:hAnsi="Times New Roman"/>
          <w:sz w:val="18"/>
          <w:szCs w:val="18"/>
          <w:color w:val="auto"/>
        </w:rPr>
        <w:t>Subject to Section 3(b) regarding Ten Percent Stockholders, the exercise or strike price of each Option or SAR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82" w:lineRule="exact"/>
        <w:rPr>
          <w:rFonts w:ascii="Times New Roman" w:cs="Times New Roman" w:eastAsia="Times New Roman" w:hAnsi="Times New Roman"/>
          <w:sz w:val="18"/>
          <w:szCs w:val="18"/>
          <w:b w:val="1"/>
          <w:bCs w:val="1"/>
          <w:color w:val="auto"/>
        </w:rPr>
      </w:pPr>
    </w:p>
    <w:p>
      <w:pPr>
        <w:ind w:left="-20" w:right="160" w:firstLine="436"/>
        <w:spacing w:after="0" w:line="248" w:lineRule="auto"/>
        <w:tabs>
          <w:tab w:leader="none" w:pos="646"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89" w:lineRule="exact"/>
        <w:rPr>
          <w:rFonts w:ascii="Times New Roman" w:cs="Times New Roman" w:eastAsia="Times New Roman" w:hAnsi="Times New Roman"/>
          <w:sz w:val="18"/>
          <w:szCs w:val="18"/>
          <w:b w:val="1"/>
          <w:bCs w:val="1"/>
          <w:color w:val="auto"/>
        </w:rPr>
      </w:pPr>
    </w:p>
    <w:p>
      <w:pPr>
        <w:ind w:left="1160" w:hanging="208"/>
        <w:spacing w:after="0"/>
        <w:tabs>
          <w:tab w:leader="none" w:pos="1160" w:val="left"/>
        </w:tabs>
        <w:numPr>
          <w:ilvl w:val="1"/>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213" w:lineRule="exact"/>
        <w:rPr>
          <w:rFonts w:ascii="Times New Roman" w:cs="Times New Roman" w:eastAsia="Times New Roman" w:hAnsi="Times New Roman"/>
          <w:sz w:val="18"/>
          <w:szCs w:val="18"/>
          <w:b w:val="1"/>
          <w:bCs w:val="1"/>
          <w:color w:val="auto"/>
        </w:rPr>
      </w:pPr>
    </w:p>
    <w:p>
      <w:pPr>
        <w:ind w:left="-20" w:right="220" w:firstLine="972"/>
        <w:spacing w:after="0" w:line="255" w:lineRule="auto"/>
        <w:tabs>
          <w:tab w:leader="none" w:pos="1202" w:val="left"/>
        </w:tabs>
        <w:numPr>
          <w:ilvl w:val="1"/>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80" w:lineRule="exact"/>
        <w:rPr>
          <w:rFonts w:ascii="Times New Roman" w:cs="Times New Roman" w:eastAsia="Times New Roman" w:hAnsi="Times New Roman"/>
          <w:sz w:val="18"/>
          <w:szCs w:val="18"/>
          <w:b w:val="1"/>
          <w:bCs w:val="1"/>
          <w:color w:val="auto"/>
        </w:rPr>
      </w:pPr>
    </w:p>
    <w:p>
      <w:pPr>
        <w:ind w:left="-20" w:firstLine="972"/>
        <w:spacing w:after="0" w:line="247" w:lineRule="auto"/>
        <w:tabs>
          <w:tab w:leader="none" w:pos="1250" w:val="left"/>
        </w:tabs>
        <w:numPr>
          <w:ilvl w:val="1"/>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9" w:lineRule="exact"/>
        <w:rPr>
          <w:rFonts w:ascii="Times New Roman" w:cs="Times New Roman" w:eastAsia="Times New Roman" w:hAnsi="Times New Roman"/>
          <w:sz w:val="18"/>
          <w:szCs w:val="18"/>
          <w:b w:val="1"/>
          <w:bCs w:val="1"/>
          <w:color w:val="auto"/>
        </w:rPr>
      </w:pPr>
    </w:p>
    <w:p>
      <w:pPr>
        <w:jc w:val="both"/>
        <w:ind w:left="-20" w:right="20" w:firstLine="972"/>
        <w:spacing w:after="0" w:line="251" w:lineRule="auto"/>
        <w:tabs>
          <w:tab w:leader="none" w:pos="1240" w:val="left"/>
        </w:tabs>
        <w:numPr>
          <w:ilvl w:val="1"/>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84" w:lineRule="exact"/>
        <w:rPr>
          <w:rFonts w:ascii="Times New Roman" w:cs="Times New Roman" w:eastAsia="Times New Roman" w:hAnsi="Times New Roman"/>
          <w:sz w:val="18"/>
          <w:szCs w:val="18"/>
          <w:b w:val="1"/>
          <w:bCs w:val="1"/>
          <w:color w:val="auto"/>
        </w:rPr>
      </w:pPr>
    </w:p>
    <w:p>
      <w:pPr>
        <w:ind w:left="1200" w:hanging="248"/>
        <w:spacing w:after="0"/>
        <w:tabs>
          <w:tab w:leader="none" w:pos="1200" w:val="left"/>
        </w:tabs>
        <w:numPr>
          <w:ilvl w:val="1"/>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80"/>
          </w:cols>
          <w:pgMar w:left="600" w:top="263" w:right="619" w:bottom="1440" w:gutter="0" w:footer="0" w:header="0"/>
        </w:sectPr>
      </w:pPr>
    </w:p>
    <w:bookmarkStart w:id="477" w:name="page478"/>
    <w:bookmarkEnd w:id="477"/>
    <w:p>
      <w:pPr>
        <w:ind w:left="-20" w:right="60" w:firstLine="436"/>
        <w:spacing w:after="0" w:line="248" w:lineRule="auto"/>
        <w:tabs>
          <w:tab w:leader="none" w:pos="666"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Exercise Procedure and Payment of Appreciation Distribution for SARs. </w:t>
      </w:r>
      <w:r>
        <w:rPr>
          <w:rFonts w:ascii="Times New Roman" w:cs="Times New Roman" w:eastAsia="Times New Roman" w:hAnsi="Times New Roman"/>
          <w:sz w:val="18"/>
          <w:szCs w:val="18"/>
          <w:color w:val="auto"/>
        </w:rPr>
        <w:t>In order to exercise any SAR, the Participant must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87" w:lineRule="exact"/>
        <w:rPr>
          <w:rFonts w:ascii="Times New Roman" w:cs="Times New Roman" w:eastAsia="Times New Roman" w:hAnsi="Times New Roman"/>
          <w:sz w:val="18"/>
          <w:szCs w:val="18"/>
          <w:b w:val="1"/>
          <w:bCs w:val="1"/>
          <w:color w:val="auto"/>
        </w:rPr>
      </w:pPr>
    </w:p>
    <w:p>
      <w:pPr>
        <w:ind w:left="-20" w:right="140" w:firstLine="436"/>
        <w:spacing w:after="0" w:line="250" w:lineRule="auto"/>
        <w:tabs>
          <w:tab w:leader="none" w:pos="646"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77" w:lineRule="exact"/>
        <w:rPr>
          <w:rFonts w:ascii="Times New Roman" w:cs="Times New Roman" w:eastAsia="Times New Roman" w:hAnsi="Times New Roman"/>
          <w:sz w:val="18"/>
          <w:szCs w:val="18"/>
          <w:b w:val="1"/>
          <w:bCs w:val="1"/>
          <w:color w:val="auto"/>
        </w:rPr>
      </w:pPr>
    </w:p>
    <w:p>
      <w:pPr>
        <w:ind w:left="-20" w:firstLine="972"/>
        <w:spacing w:after="0" w:line="250" w:lineRule="auto"/>
        <w:tabs>
          <w:tab w:leader="none" w:pos="1153" w:val="left"/>
        </w:tabs>
        <w:numPr>
          <w:ilvl w:val="1"/>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82" w:lineRule="exact"/>
        <w:rPr>
          <w:rFonts w:ascii="Times New Roman" w:cs="Times New Roman" w:eastAsia="Times New Roman" w:hAnsi="Times New Roman"/>
          <w:sz w:val="18"/>
          <w:szCs w:val="18"/>
          <w:b w:val="1"/>
          <w:bCs w:val="1"/>
          <w:color w:val="auto"/>
        </w:rPr>
      </w:pPr>
    </w:p>
    <w:p>
      <w:pPr>
        <w:ind w:left="-20" w:right="60" w:firstLine="972"/>
        <w:spacing w:after="0" w:line="256" w:lineRule="auto"/>
        <w:tabs>
          <w:tab w:leader="none" w:pos="1202" w:val="left"/>
        </w:tabs>
        <w:numPr>
          <w:ilvl w:val="1"/>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subject to the execution of transfer documentation in a format acceptable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and subject to the approval of the Board or a duly authorized Officer, an Option or SAR may be transferred pursuant to a domestic relations order.</w:t>
      </w:r>
    </w:p>
    <w:p>
      <w:pPr>
        <w:spacing w:after="0" w:line="177" w:lineRule="exact"/>
        <w:rPr>
          <w:rFonts w:ascii="Times New Roman" w:cs="Times New Roman" w:eastAsia="Times New Roman" w:hAnsi="Times New Roman"/>
          <w:sz w:val="18"/>
          <w:szCs w:val="18"/>
          <w:b w:val="1"/>
          <w:bCs w:val="1"/>
          <w:color w:val="auto"/>
        </w:rPr>
      </w:pPr>
    </w:p>
    <w:p>
      <w:pPr>
        <w:ind w:left="-20" w:right="220" w:firstLine="436"/>
        <w:spacing w:after="0" w:line="256" w:lineRule="auto"/>
        <w:tabs>
          <w:tab w:leader="none" w:pos="627"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Except as otherwise provided in the Award Agreement or other written agreement between a Participant and the Company or an Affiliate, vesting of Options and SARs will cease upon termination of the Participant’s Continuous Service.</w:t>
      </w:r>
    </w:p>
    <w:p>
      <w:pPr>
        <w:spacing w:after="0" w:line="177" w:lineRule="exact"/>
        <w:rPr>
          <w:rFonts w:ascii="Times New Roman" w:cs="Times New Roman" w:eastAsia="Times New Roman" w:hAnsi="Times New Roman"/>
          <w:sz w:val="18"/>
          <w:szCs w:val="18"/>
          <w:b w:val="1"/>
          <w:bCs w:val="1"/>
          <w:color w:val="auto"/>
        </w:rPr>
      </w:pPr>
    </w:p>
    <w:p>
      <w:pPr>
        <w:ind w:left="-20" w:firstLine="436"/>
        <w:spacing w:after="0" w:line="248" w:lineRule="auto"/>
        <w:tabs>
          <w:tab w:leader="none" w:pos="656"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for Cause. </w:t>
      </w:r>
      <w:r>
        <w:rPr>
          <w:rFonts w:ascii="Times New Roman" w:cs="Times New Roman" w:eastAsia="Times New Roman" w:hAnsi="Times New Roman"/>
          <w:sz w:val="18"/>
          <w:szCs w:val="18"/>
          <w:color w:val="auto"/>
        </w:rPr>
        <w:t>Except as explicitly otherwise provided in the Award Agreement or other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00"/>
          </w:cols>
          <w:pgMar w:left="600" w:top="263" w:right="599" w:bottom="1440" w:gutter="0" w:footer="0" w:header="0"/>
        </w:sectPr>
      </w:pPr>
    </w:p>
    <w:bookmarkStart w:id="478" w:name="page479"/>
    <w:bookmarkEnd w:id="478"/>
    <w:p>
      <w:pPr>
        <w:ind w:firstLine="436"/>
        <w:spacing w:after="0" w:line="250" w:lineRule="auto"/>
        <w:tabs>
          <w:tab w:leader="none" w:pos="686"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 Section 4(i),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79" w:lineRule="exact"/>
        <w:rPr>
          <w:rFonts w:ascii="Times New Roman" w:cs="Times New Roman" w:eastAsia="Times New Roman" w:hAnsi="Times New Roman"/>
          <w:sz w:val="18"/>
          <w:szCs w:val="18"/>
          <w:b w:val="1"/>
          <w:bCs w:val="1"/>
          <w:color w:val="auto"/>
        </w:rPr>
      </w:pPr>
    </w:p>
    <w:p>
      <w:pPr>
        <w:ind w:right="60" w:firstLine="972"/>
        <w:spacing w:after="0" w:line="267" w:lineRule="auto"/>
        <w:tabs>
          <w:tab w:leader="none" w:pos="1173" w:val="left"/>
        </w:tabs>
        <w:numPr>
          <w:ilvl w:val="1"/>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169"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213" w:lineRule="exact"/>
        <w:rPr>
          <w:rFonts w:ascii="Times New Roman" w:cs="Times New Roman" w:eastAsia="Times New Roman" w:hAnsi="Times New Roman"/>
          <w:sz w:val="18"/>
          <w:szCs w:val="18"/>
          <w:b w:val="1"/>
          <w:bCs w:val="1"/>
          <w:color w:val="auto"/>
        </w:rPr>
      </w:pPr>
    </w:p>
    <w:p>
      <w:pPr>
        <w:ind w:left="1280" w:hanging="308"/>
        <w:spacing w:after="0"/>
        <w:tabs>
          <w:tab w:leader="none" w:pos="1280" w:val="left"/>
        </w:tabs>
        <w:numPr>
          <w:ilvl w:val="1"/>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213" w:lineRule="exact"/>
        <w:rPr>
          <w:rFonts w:ascii="Times New Roman" w:cs="Times New Roman" w:eastAsia="Times New Roman" w:hAnsi="Times New Roman"/>
          <w:sz w:val="18"/>
          <w:szCs w:val="18"/>
          <w:b w:val="1"/>
          <w:bCs w:val="1"/>
          <w:color w:val="auto"/>
        </w:rPr>
      </w:pPr>
    </w:p>
    <w:p>
      <w:pPr>
        <w:ind w:right="360" w:firstLine="972"/>
        <w:spacing w:after="0" w:line="267" w:lineRule="auto"/>
        <w:tabs>
          <w:tab w:leader="none" w:pos="1260" w:val="left"/>
        </w:tabs>
        <w:numPr>
          <w:ilvl w:val="1"/>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70" w:lineRule="exact"/>
        <w:rPr>
          <w:sz w:val="20"/>
          <w:szCs w:val="20"/>
          <w:color w:val="auto"/>
        </w:rPr>
      </w:pPr>
    </w:p>
    <w:p>
      <w:pPr>
        <w:ind w:right="340"/>
        <w:spacing w:after="0" w:line="25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82" w:lineRule="exact"/>
        <w:rPr>
          <w:sz w:val="20"/>
          <w:szCs w:val="20"/>
          <w:color w:val="auto"/>
        </w:rPr>
      </w:pPr>
    </w:p>
    <w:p>
      <w:pPr>
        <w:ind w:firstLine="436"/>
        <w:spacing w:after="0" w:line="246" w:lineRule="auto"/>
        <w:tabs>
          <w:tab w:leader="none" w:pos="637" w:val="left"/>
        </w:tabs>
        <w:numPr>
          <w:ilvl w:val="0"/>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660"/>
          </w:cols>
          <w:pgMar w:left="580" w:top="263" w:right="659" w:bottom="1440" w:gutter="0" w:footer="0" w:header="0"/>
        </w:sectPr>
      </w:pPr>
    </w:p>
    <w:bookmarkStart w:id="479" w:name="page480"/>
    <w:bookmarkEnd w:id="479"/>
    <w:p>
      <w:pPr>
        <w:ind w:left="-8" w:firstLine="436"/>
        <w:spacing w:after="0" w:line="282" w:lineRule="auto"/>
        <w:tabs>
          <w:tab w:leader="none" w:pos="639" w:val="left"/>
        </w:tabs>
        <w:numPr>
          <w:ilvl w:val="1"/>
          <w:numId w:val="3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Non-Exempt Employees. </w:t>
      </w:r>
      <w:r>
        <w:rPr>
          <w:rFonts w:ascii="Times New Roman" w:cs="Times New Roman" w:eastAsia="Times New Roman" w:hAnsi="Times New Roman"/>
          <w:sz w:val="16"/>
          <w:szCs w:val="16"/>
          <w:color w:val="auto"/>
        </w:rPr>
        <w:t>No Option or SAR, whether or not vested, granted to an Employee who is a non-exempt employee for purposes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61" w:lineRule="exact"/>
        <w:rPr>
          <w:rFonts w:ascii="Times New Roman" w:cs="Times New Roman" w:eastAsia="Times New Roman" w:hAnsi="Times New Roman"/>
          <w:sz w:val="16"/>
          <w:szCs w:val="16"/>
          <w:b w:val="1"/>
          <w:bCs w:val="1"/>
          <w:color w:val="auto"/>
        </w:rPr>
      </w:pPr>
    </w:p>
    <w:p>
      <w:pPr>
        <w:ind w:left="692" w:hanging="264"/>
        <w:spacing w:after="0"/>
        <w:tabs>
          <w:tab w:leader="none" w:pos="692" w:val="left"/>
        </w:tabs>
        <w:numPr>
          <w:ilvl w:val="1"/>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Whole Shares. </w:t>
      </w:r>
      <w:r>
        <w:rPr>
          <w:rFonts w:ascii="Times New Roman" w:cs="Times New Roman" w:eastAsia="Times New Roman" w:hAnsi="Times New Roman"/>
          <w:sz w:val="18"/>
          <w:szCs w:val="18"/>
          <w:color w:val="auto"/>
        </w:rPr>
        <w:t>Options and SARs may be exercised only with respect to whole shares of Common Stock or their equivalents.</w:t>
      </w:r>
    </w:p>
    <w:p>
      <w:pPr>
        <w:spacing w:after="0" w:line="357" w:lineRule="exact"/>
        <w:rPr>
          <w:rFonts w:ascii="Times New Roman" w:cs="Times New Roman" w:eastAsia="Times New Roman" w:hAnsi="Times New Roman"/>
          <w:sz w:val="18"/>
          <w:szCs w:val="18"/>
          <w:b w:val="1"/>
          <w:bCs w:val="1"/>
          <w:color w:val="auto"/>
        </w:rPr>
      </w:pPr>
    </w:p>
    <w:p>
      <w:pPr>
        <w:ind w:left="412" w:hanging="412"/>
        <w:spacing w:after="0"/>
        <w:tabs>
          <w:tab w:leader="none" w:pos="412"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08" w:lineRule="exact"/>
        <w:rPr>
          <w:rFonts w:ascii="Times New Roman" w:cs="Times New Roman" w:eastAsia="Times New Roman" w:hAnsi="Times New Roman"/>
          <w:sz w:val="18"/>
          <w:szCs w:val="18"/>
          <w:b w:val="1"/>
          <w:bCs w:val="1"/>
          <w:color w:val="auto"/>
        </w:rPr>
      </w:pPr>
    </w:p>
    <w:p>
      <w:pPr>
        <w:jc w:val="both"/>
        <w:ind w:left="-8" w:right="700" w:firstLine="436"/>
        <w:spacing w:after="0" w:line="303" w:lineRule="auto"/>
        <w:tabs>
          <w:tab w:leader="none" w:pos="668" w:val="left"/>
        </w:tabs>
        <w:numPr>
          <w:ilvl w:val="1"/>
          <w:numId w:val="3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Restricted Stock Awards and RSU Awards. </w:t>
      </w:r>
      <w:r>
        <w:rPr>
          <w:rFonts w:ascii="Times New Roman" w:cs="Times New Roman" w:eastAsia="Times New Roman" w:hAnsi="Times New Roman"/>
          <w:sz w:val="16"/>
          <w:szCs w:val="16"/>
          <w:color w:val="auto"/>
        </w:rPr>
        <w:t>Each Restricted Stock Award and RSU Award will have such terms and conditions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38" w:lineRule="exact"/>
        <w:rPr>
          <w:rFonts w:ascii="Times New Roman" w:cs="Times New Roman" w:eastAsia="Times New Roman" w:hAnsi="Times New Roman"/>
          <w:sz w:val="16"/>
          <w:szCs w:val="16"/>
          <w:b w:val="1"/>
          <w:bCs w:val="1"/>
          <w:color w:val="auto"/>
        </w:rPr>
      </w:pPr>
    </w:p>
    <w:p>
      <w:pPr>
        <w:ind w:left="1172" w:hanging="208"/>
        <w:spacing w:after="0"/>
        <w:tabs>
          <w:tab w:leader="none" w:pos="1172" w:val="left"/>
        </w:tabs>
        <w:numPr>
          <w:ilvl w:val="2"/>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215" w:lineRule="exact"/>
        <w:rPr>
          <w:rFonts w:ascii="Times New Roman" w:cs="Times New Roman" w:eastAsia="Times New Roman" w:hAnsi="Times New Roman"/>
          <w:sz w:val="18"/>
          <w:szCs w:val="18"/>
          <w:b w:val="1"/>
          <w:bCs w:val="1"/>
          <w:color w:val="auto"/>
        </w:rPr>
      </w:pPr>
    </w:p>
    <w:p>
      <w:pPr>
        <w:ind w:left="-8" w:right="60" w:firstLine="1400"/>
        <w:spacing w:after="0" w:line="249" w:lineRule="auto"/>
        <w:tabs>
          <w:tab w:leader="none" w:pos="1633" w:val="left"/>
        </w:tabs>
        <w:numPr>
          <w:ilvl w:val="3"/>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86" w:lineRule="exact"/>
        <w:rPr>
          <w:rFonts w:ascii="Times New Roman" w:cs="Times New Roman" w:eastAsia="Times New Roman" w:hAnsi="Times New Roman"/>
          <w:sz w:val="18"/>
          <w:szCs w:val="18"/>
          <w:b w:val="1"/>
          <w:bCs w:val="1"/>
          <w:color w:val="auto"/>
        </w:rPr>
      </w:pPr>
    </w:p>
    <w:p>
      <w:pPr>
        <w:ind w:left="-8" w:firstLine="1400"/>
        <w:spacing w:after="0" w:line="285" w:lineRule="auto"/>
        <w:tabs>
          <w:tab w:leader="none" w:pos="1633" w:val="left"/>
        </w:tabs>
        <w:numPr>
          <w:ilvl w:val="3"/>
          <w:numId w:val="3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12"/>
          </w:cols>
          <w:pgMar w:left="588" w:top="263" w:right="599" w:bottom="1440" w:gutter="0" w:footer="0" w:header="0"/>
        </w:sectPr>
      </w:pPr>
    </w:p>
    <w:bookmarkStart w:id="480" w:name="page481"/>
    <w:bookmarkEnd w:id="480"/>
    <w:p>
      <w:pPr>
        <w:ind w:left="1140" w:hanging="248"/>
        <w:spacing w:after="0"/>
        <w:tabs>
          <w:tab w:leader="none" w:pos="1140" w:val="left"/>
        </w:tabs>
        <w:numPr>
          <w:ilvl w:val="1"/>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8040" cy="36830"/>
                    </a:xfrm>
                    <a:prstGeom prst="rect">
                      <a:avLst/>
                    </a:prstGeom>
                    <a:noFill/>
                  </pic:spPr>
                </pic:pic>
              </a:graphicData>
            </a:graphic>
          </wp:anchor>
        </w:drawing>
        <w:t>Consideration.</w:t>
      </w:r>
    </w:p>
    <w:p>
      <w:pPr>
        <w:spacing w:after="0" w:line="215" w:lineRule="exact"/>
        <w:rPr>
          <w:rFonts w:ascii="Times New Roman" w:cs="Times New Roman" w:eastAsia="Times New Roman" w:hAnsi="Times New Roman"/>
          <w:sz w:val="18"/>
          <w:szCs w:val="18"/>
          <w:b w:val="1"/>
          <w:bCs w:val="1"/>
          <w:color w:val="auto"/>
        </w:rPr>
      </w:pPr>
    </w:p>
    <w:p>
      <w:pPr>
        <w:ind w:left="-80" w:right="40" w:firstLine="1400"/>
        <w:spacing w:after="0" w:line="255" w:lineRule="auto"/>
        <w:tabs>
          <w:tab w:leader="none" w:pos="1560" w:val="left"/>
        </w:tabs>
        <w:numPr>
          <w:ilvl w:val="2"/>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w:t>
      </w:r>
    </w:p>
    <w:p>
      <w:pPr>
        <w:spacing w:after="0" w:line="180" w:lineRule="exact"/>
        <w:rPr>
          <w:rFonts w:ascii="Times New Roman" w:cs="Times New Roman" w:eastAsia="Times New Roman" w:hAnsi="Times New Roman"/>
          <w:sz w:val="18"/>
          <w:szCs w:val="18"/>
          <w:b w:val="1"/>
          <w:bCs w:val="1"/>
          <w:color w:val="auto"/>
        </w:rPr>
      </w:pPr>
    </w:p>
    <w:p>
      <w:pPr>
        <w:ind w:left="-80" w:firstLine="1400"/>
        <w:spacing w:after="0" w:line="248" w:lineRule="auto"/>
        <w:tabs>
          <w:tab w:leader="none" w:pos="1560" w:val="left"/>
        </w:tabs>
        <w:numPr>
          <w:ilvl w:val="2"/>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85" w:lineRule="exact"/>
        <w:rPr>
          <w:rFonts w:ascii="Times New Roman" w:cs="Times New Roman" w:eastAsia="Times New Roman" w:hAnsi="Times New Roman"/>
          <w:sz w:val="18"/>
          <w:szCs w:val="18"/>
          <w:b w:val="1"/>
          <w:bCs w:val="1"/>
          <w:color w:val="auto"/>
        </w:rPr>
      </w:pPr>
    </w:p>
    <w:p>
      <w:pPr>
        <w:ind w:left="-80" w:right="80" w:firstLine="972"/>
        <w:spacing w:after="0" w:line="303" w:lineRule="auto"/>
        <w:tabs>
          <w:tab w:leader="none" w:pos="1190" w:val="left"/>
        </w:tabs>
        <w:numPr>
          <w:ilvl w:val="1"/>
          <w:numId w:val="3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Vesting. </w:t>
      </w:r>
      <w:r>
        <w:rPr>
          <w:rFonts w:ascii="Times New Roman" w:cs="Times New Roman" w:eastAsia="Times New Roman" w:hAnsi="Times New Roman"/>
          <w:sz w:val="16"/>
          <w:szCs w:val="16"/>
          <w:color w:val="auto"/>
        </w:rPr>
        <w:t>The Board may impose such restrictions on or conditions to the vesting of a Restricted Stock Award or RSU Award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43" w:lineRule="exact"/>
        <w:rPr>
          <w:rFonts w:ascii="Times New Roman" w:cs="Times New Roman" w:eastAsia="Times New Roman" w:hAnsi="Times New Roman"/>
          <w:sz w:val="16"/>
          <w:szCs w:val="16"/>
          <w:b w:val="1"/>
          <w:bCs w:val="1"/>
          <w:color w:val="auto"/>
        </w:rPr>
      </w:pPr>
    </w:p>
    <w:p>
      <w:pPr>
        <w:ind w:left="-80" w:right="20" w:firstLine="972"/>
        <w:spacing w:after="0" w:line="247" w:lineRule="auto"/>
        <w:tabs>
          <w:tab w:leader="none" w:pos="1180" w:val="left"/>
        </w:tabs>
        <w:numPr>
          <w:ilvl w:val="1"/>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 between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86" w:lineRule="exact"/>
        <w:rPr>
          <w:rFonts w:ascii="Times New Roman" w:cs="Times New Roman" w:eastAsia="Times New Roman" w:hAnsi="Times New Roman"/>
          <w:sz w:val="18"/>
          <w:szCs w:val="18"/>
          <w:b w:val="1"/>
          <w:bCs w:val="1"/>
          <w:color w:val="auto"/>
        </w:rPr>
      </w:pPr>
    </w:p>
    <w:p>
      <w:pPr>
        <w:ind w:left="-80" w:right="120" w:firstLine="972"/>
        <w:spacing w:after="0" w:line="333" w:lineRule="auto"/>
        <w:tabs>
          <w:tab w:leader="none" w:pos="1132" w:val="left"/>
        </w:tabs>
        <w:numPr>
          <w:ilvl w:val="1"/>
          <w:numId w:val="3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Dividends and Dividend Equivalents. </w:t>
      </w:r>
      <w:r>
        <w:rPr>
          <w:rFonts w:ascii="Times New Roman" w:cs="Times New Roman" w:eastAsia="Times New Roman" w:hAnsi="Times New Roman"/>
          <w:sz w:val="16"/>
          <w:szCs w:val="16"/>
          <w:color w:val="auto"/>
        </w:rPr>
        <w:t>Dividends or dividend equivalents may be paid or credited, as applicable, with respect to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shares of Common Stock subject to a Restricted Stock Award or RSU Award, as determined by the Board and specified in the Award Agreement.</w:t>
      </w:r>
    </w:p>
    <w:p>
      <w:pPr>
        <w:spacing w:after="0" w:line="119" w:lineRule="exact"/>
        <w:rPr>
          <w:rFonts w:ascii="Times New Roman" w:cs="Times New Roman" w:eastAsia="Times New Roman" w:hAnsi="Times New Roman"/>
          <w:sz w:val="16"/>
          <w:szCs w:val="16"/>
          <w:b w:val="1"/>
          <w:bCs w:val="1"/>
          <w:color w:val="auto"/>
        </w:rPr>
      </w:pPr>
    </w:p>
    <w:p>
      <w:pPr>
        <w:jc w:val="both"/>
        <w:ind w:left="-80" w:right="40" w:firstLine="972"/>
        <w:spacing w:after="0" w:line="303" w:lineRule="auto"/>
        <w:tabs>
          <w:tab w:leader="none" w:pos="1180" w:val="left"/>
        </w:tabs>
        <w:numPr>
          <w:ilvl w:val="1"/>
          <w:numId w:val="3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Settlement of RSU Awards</w:t>
      </w:r>
      <w:r>
        <w:rPr>
          <w:rFonts w:ascii="Times New Roman" w:cs="Times New Roman" w:eastAsia="Times New Roman" w:hAnsi="Times New Roman"/>
          <w:sz w:val="16"/>
          <w:szCs w:val="16"/>
          <w:color w:val="auto"/>
        </w:rPr>
        <w:t>. An RSU Award may be settled by the issuance of shares of Common Stock or cash (or any combination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43" w:lineRule="exact"/>
        <w:rPr>
          <w:rFonts w:ascii="Times New Roman" w:cs="Times New Roman" w:eastAsia="Times New Roman" w:hAnsi="Times New Roman"/>
          <w:sz w:val="16"/>
          <w:szCs w:val="16"/>
          <w:b w:val="1"/>
          <w:bCs w:val="1"/>
          <w:color w:val="auto"/>
        </w:rPr>
      </w:pPr>
    </w:p>
    <w:p>
      <w:pPr>
        <w:jc w:val="both"/>
        <w:ind w:left="-80" w:right="40" w:firstLine="436"/>
        <w:spacing w:after="0" w:line="256" w:lineRule="auto"/>
        <w:tabs>
          <w:tab w:leader="none" w:pos="606"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With respect to any Performance Award, the length of any Performance Period, the Performance Goals to be achieved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Performance Period, the other terms and conditions of such Award, and the measure of whether and to what degree such Performance Goals have been attained will be determined by the Board.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660" w:top="263" w:right="659" w:bottom="1440" w:gutter="0" w:footer="0" w:header="0"/>
        </w:sectPr>
      </w:pPr>
    </w:p>
    <w:bookmarkStart w:id="481" w:name="page482"/>
    <w:bookmarkEnd w:id="481"/>
    <w:p>
      <w:pPr>
        <w:ind w:right="300" w:firstLine="436"/>
        <w:spacing w:after="0" w:line="250" w:lineRule="auto"/>
        <w:tabs>
          <w:tab w:leader="none" w:pos="666" w:val="left"/>
        </w:tabs>
        <w:numPr>
          <w:ilvl w:val="1"/>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Other Awards</w:t>
      </w:r>
      <w:r>
        <w:rPr>
          <w:rFonts w:ascii="Times New Roman" w:cs="Times New Roman" w:eastAsia="Times New Roman" w:hAnsi="Times New Roman"/>
          <w:sz w:val="18"/>
          <w:szCs w:val="18"/>
          <w:color w:val="auto"/>
        </w:rPr>
        <w:t>. Other forms of Awards valued in whole or in part by reference to, or otherwise based on, Common Stock,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326"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VENTS</w:t>
      </w:r>
      <w:r>
        <w:rPr>
          <w:rFonts w:ascii="Times New Roman" w:cs="Times New Roman" w:eastAsia="Times New Roman" w:hAnsi="Times New Roman"/>
          <w:sz w:val="18"/>
          <w:szCs w:val="18"/>
          <w:b w:val="1"/>
          <w:bCs w:val="1"/>
          <w:color w:val="auto"/>
        </w:rPr>
        <w:t>.</w:t>
      </w:r>
    </w:p>
    <w:p>
      <w:pPr>
        <w:spacing w:after="0" w:line="108" w:lineRule="exact"/>
        <w:rPr>
          <w:rFonts w:ascii="Times New Roman" w:cs="Times New Roman" w:eastAsia="Times New Roman" w:hAnsi="Times New Roman"/>
          <w:sz w:val="18"/>
          <w:szCs w:val="18"/>
          <w:b w:val="1"/>
          <w:bCs w:val="1"/>
          <w:color w:val="auto"/>
        </w:rPr>
      </w:pPr>
    </w:p>
    <w:p>
      <w:pPr>
        <w:ind w:right="240" w:firstLine="436"/>
        <w:spacing w:after="0" w:line="247" w:lineRule="auto"/>
        <w:tabs>
          <w:tab w:leader="none" w:pos="676" w:val="left"/>
        </w:tabs>
        <w:numPr>
          <w:ilvl w:val="1"/>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shall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86" w:lineRule="exact"/>
        <w:rPr>
          <w:rFonts w:ascii="Times New Roman" w:cs="Times New Roman" w:eastAsia="Times New Roman" w:hAnsi="Times New Roman"/>
          <w:sz w:val="18"/>
          <w:szCs w:val="18"/>
          <w:b w:val="1"/>
          <w:bCs w:val="1"/>
          <w:color w:val="auto"/>
        </w:rPr>
      </w:pPr>
    </w:p>
    <w:p>
      <w:pPr>
        <w:ind w:firstLine="436"/>
        <w:spacing w:after="0" w:line="247" w:lineRule="auto"/>
        <w:tabs>
          <w:tab w:leader="none" w:pos="686" w:val="left"/>
        </w:tabs>
        <w:numPr>
          <w:ilvl w:val="1"/>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Dissolution or Liquidation. </w:t>
      </w:r>
      <w:r>
        <w:rPr>
          <w:rFonts w:ascii="Times New Roman" w:cs="Times New Roman" w:eastAsia="Times New Roman" w:hAnsi="Times New Roman"/>
          <w:sz w:val="18"/>
          <w:szCs w:val="18"/>
          <w:color w:val="auto"/>
        </w:rPr>
        <w:t>Except as otherwise provided in the Award Agreement, in the event of a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89"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1"/>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The following provisions will apply to Awards in the event of a Corporate Transaction, except as set forth in</w:t>
      </w:r>
    </w:p>
    <w:p>
      <w:pPr>
        <w:spacing w:after="0" w:line="2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Section 11, unless otherwise provided in the instrument evidencing the Award or any other written agreement between the Company or any Affiliate and the Participant or unless otherwise expressly provided by the Board at the time of grant of an Award.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00"/>
          </w:cols>
          <w:pgMar w:left="580" w:top="263" w:right="619" w:bottom="1440" w:gutter="0" w:footer="0" w:header="0"/>
        </w:sectPr>
      </w:pPr>
    </w:p>
    <w:bookmarkStart w:id="482" w:name="page483"/>
    <w:bookmarkEnd w:id="482"/>
    <w:p>
      <w:pPr>
        <w:ind w:left="-20" w:right="200" w:firstLine="972"/>
        <w:spacing w:after="0" w:line="247" w:lineRule="auto"/>
        <w:tabs>
          <w:tab w:leader="none" w:pos="1153" w:val="left"/>
        </w:tabs>
        <w:numPr>
          <w:ilvl w:val="0"/>
          <w:numId w:val="3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Awards May Be Assumed. </w:t>
      </w:r>
      <w:r>
        <w:rPr>
          <w:rFonts w:ascii="Times New Roman" w:cs="Times New Roman" w:eastAsia="Times New Roman" w:hAnsi="Times New Roman"/>
          <w:sz w:val="18"/>
          <w:szCs w:val="18"/>
          <w:color w:val="auto"/>
        </w:rPr>
        <w:t>In the event of a Corporate Transaction, any surviving corporation or acquiring corporation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86" w:lineRule="exact"/>
        <w:rPr>
          <w:rFonts w:ascii="Times New Roman" w:cs="Times New Roman" w:eastAsia="Times New Roman" w:hAnsi="Times New Roman"/>
          <w:sz w:val="18"/>
          <w:szCs w:val="18"/>
          <w:b w:val="1"/>
          <w:bCs w:val="1"/>
          <w:color w:val="auto"/>
        </w:rPr>
      </w:pPr>
    </w:p>
    <w:p>
      <w:pPr>
        <w:ind w:left="-20" w:firstLine="972"/>
        <w:spacing w:after="0" w:line="245" w:lineRule="auto"/>
        <w:tabs>
          <w:tab w:leader="none" w:pos="1202" w:val="left"/>
        </w:tabs>
        <w:numPr>
          <w:ilvl w:val="0"/>
          <w:numId w:val="3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Current Participants. </w:t>
      </w:r>
      <w:r>
        <w:rPr>
          <w:rFonts w:ascii="Times New Roman" w:cs="Times New Roman" w:eastAsia="Times New Roman" w:hAnsi="Times New Roman"/>
          <w:sz w:val="18"/>
          <w:szCs w:val="18"/>
          <w:color w:val="auto"/>
        </w:rPr>
        <w:t>In the event of a Corporate Transaction in which the surviving corporation or acquiring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91" w:lineRule="exact"/>
        <w:rPr>
          <w:rFonts w:ascii="Times New Roman" w:cs="Times New Roman" w:eastAsia="Times New Roman" w:hAnsi="Times New Roman"/>
          <w:sz w:val="18"/>
          <w:szCs w:val="18"/>
          <w:b w:val="1"/>
          <w:bCs w:val="1"/>
          <w:color w:val="auto"/>
        </w:rPr>
      </w:pPr>
    </w:p>
    <w:p>
      <w:pPr>
        <w:ind w:left="-20" w:firstLine="972"/>
        <w:spacing w:after="0" w:line="248" w:lineRule="auto"/>
        <w:tabs>
          <w:tab w:leader="none" w:pos="1250" w:val="left"/>
        </w:tabs>
        <w:numPr>
          <w:ilvl w:val="0"/>
          <w:numId w:val="3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 Transaction in which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00"/>
          </w:cols>
          <w:pgMar w:left="600" w:top="263" w:right="599" w:bottom="1440" w:gutter="0" w:footer="0" w:header="0"/>
        </w:sectPr>
      </w:pPr>
    </w:p>
    <w:bookmarkStart w:id="483" w:name="page484"/>
    <w:bookmarkEnd w:id="483"/>
    <w:p>
      <w:pPr>
        <w:ind w:left="-8" w:firstLine="972"/>
        <w:spacing w:after="0" w:line="250" w:lineRule="auto"/>
        <w:tabs>
          <w:tab w:leader="none" w:pos="1253" w:val="left"/>
        </w:tabs>
        <w:numPr>
          <w:ilvl w:val="2"/>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Payment for Awards in Lieu of Exercise. </w:t>
      </w:r>
      <w:r>
        <w:rPr>
          <w:rFonts w:ascii="Times New Roman" w:cs="Times New Roman" w:eastAsia="Times New Roman" w:hAnsi="Times New Roman"/>
          <w:sz w:val="18"/>
          <w:szCs w:val="18"/>
          <w:color w:val="auto"/>
        </w:rPr>
        <w:t>Notwithstanding the foregoing, in the event an Award will terminate if not exercised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82" w:lineRule="exact"/>
        <w:rPr>
          <w:rFonts w:ascii="Times New Roman" w:cs="Times New Roman" w:eastAsia="Times New Roman" w:hAnsi="Times New Roman"/>
          <w:sz w:val="18"/>
          <w:szCs w:val="18"/>
          <w:b w:val="1"/>
          <w:bCs w:val="1"/>
          <w:color w:val="auto"/>
        </w:rPr>
      </w:pPr>
    </w:p>
    <w:p>
      <w:pPr>
        <w:ind w:left="-8" w:firstLine="436"/>
        <w:spacing w:after="0" w:line="252" w:lineRule="auto"/>
        <w:tabs>
          <w:tab w:leader="none" w:pos="678" w:val="left"/>
        </w:tabs>
        <w:numPr>
          <w:ilvl w:val="1"/>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80" w:lineRule="exact"/>
        <w:rPr>
          <w:rFonts w:ascii="Times New Roman" w:cs="Times New Roman" w:eastAsia="Times New Roman" w:hAnsi="Times New Roman"/>
          <w:sz w:val="18"/>
          <w:szCs w:val="18"/>
          <w:b w:val="1"/>
          <w:bCs w:val="1"/>
          <w:color w:val="auto"/>
        </w:rPr>
      </w:pPr>
    </w:p>
    <w:p>
      <w:pPr>
        <w:ind w:left="-8" w:right="60" w:firstLine="436"/>
        <w:spacing w:after="0" w:line="247" w:lineRule="auto"/>
        <w:tabs>
          <w:tab w:leader="none" w:pos="658" w:val="left"/>
        </w:tabs>
        <w:numPr>
          <w:ilvl w:val="1"/>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Restriction on Right to Undertake Transactions. </w:t>
      </w:r>
      <w:r>
        <w:rPr>
          <w:rFonts w:ascii="Times New Roman" w:cs="Times New Roman" w:eastAsia="Times New Roman" w:hAnsi="Times New Roman"/>
          <w:sz w:val="18"/>
          <w:szCs w:val="18"/>
          <w:color w:val="auto"/>
        </w:rPr>
        <w:t>The grant of any Award under the Plan and the issuance of shares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333" w:lineRule="exact"/>
        <w:rPr>
          <w:rFonts w:ascii="Times New Roman" w:cs="Times New Roman" w:eastAsia="Times New Roman" w:hAnsi="Times New Roman"/>
          <w:sz w:val="18"/>
          <w:szCs w:val="18"/>
          <w:b w:val="1"/>
          <w:bCs w:val="1"/>
          <w:color w:val="auto"/>
        </w:rPr>
      </w:pPr>
    </w:p>
    <w:p>
      <w:pPr>
        <w:ind w:left="412" w:hanging="412"/>
        <w:spacing w:after="0"/>
        <w:tabs>
          <w:tab w:leader="none" w:pos="412" w:val="left"/>
        </w:tabs>
        <w:numPr>
          <w:ilvl w:val="0"/>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w:t>
      </w:r>
    </w:p>
    <w:p>
      <w:pPr>
        <w:spacing w:after="0" w:line="108" w:lineRule="exact"/>
        <w:rPr>
          <w:rFonts w:ascii="Times New Roman" w:cs="Times New Roman" w:eastAsia="Times New Roman" w:hAnsi="Times New Roman"/>
          <w:sz w:val="18"/>
          <w:szCs w:val="18"/>
          <w:b w:val="1"/>
          <w:bCs w:val="1"/>
          <w:color w:val="auto"/>
        </w:rPr>
      </w:pPr>
    </w:p>
    <w:p>
      <w:pPr>
        <w:ind w:left="-8" w:right="20" w:firstLine="436"/>
        <w:spacing w:after="0" w:line="270" w:lineRule="auto"/>
        <w:tabs>
          <w:tab w:leader="none" w:pos="668" w:val="left"/>
        </w:tabs>
        <w:numPr>
          <w:ilvl w:val="1"/>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Committees, as provided in subsection (c) below.</w:t>
      </w:r>
    </w:p>
    <w:p>
      <w:pPr>
        <w:spacing w:after="0" w:line="164" w:lineRule="exact"/>
        <w:rPr>
          <w:rFonts w:ascii="Times New Roman" w:cs="Times New Roman" w:eastAsia="Times New Roman" w:hAnsi="Times New Roman"/>
          <w:sz w:val="18"/>
          <w:szCs w:val="18"/>
          <w:b w:val="1"/>
          <w:bCs w:val="1"/>
          <w:color w:val="auto"/>
        </w:rPr>
      </w:pPr>
    </w:p>
    <w:p>
      <w:pPr>
        <w:ind w:left="692" w:hanging="264"/>
        <w:spacing w:after="0"/>
        <w:tabs>
          <w:tab w:leader="none" w:pos="692" w:val="left"/>
        </w:tabs>
        <w:numPr>
          <w:ilvl w:val="1"/>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110" w:lineRule="exact"/>
        <w:rPr>
          <w:rFonts w:ascii="Times New Roman" w:cs="Times New Roman" w:eastAsia="Times New Roman" w:hAnsi="Times New Roman"/>
          <w:sz w:val="18"/>
          <w:szCs w:val="18"/>
          <w:b w:val="1"/>
          <w:bCs w:val="1"/>
          <w:color w:val="auto"/>
        </w:rPr>
      </w:pPr>
    </w:p>
    <w:p>
      <w:pPr>
        <w:ind w:left="-8" w:right="20" w:firstLine="972"/>
        <w:spacing w:after="0" w:line="248" w:lineRule="auto"/>
        <w:tabs>
          <w:tab w:leader="none" w:pos="1165" w:val="left"/>
        </w:tabs>
        <w:numPr>
          <w:ilvl w:val="2"/>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2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72"/>
          </w:cols>
          <w:pgMar w:left="588" w:top="263" w:right="639" w:bottom="1440" w:gutter="0" w:footer="0" w:header="0"/>
        </w:sectPr>
      </w:pPr>
    </w:p>
    <w:bookmarkStart w:id="484" w:name="page485"/>
    <w:bookmarkEnd w:id="484"/>
    <w:p>
      <w:pPr>
        <w:ind w:left="-8" w:right="40" w:firstLine="972"/>
        <w:spacing w:after="0" w:line="255" w:lineRule="auto"/>
        <w:tabs>
          <w:tab w:leader="none" w:pos="1214" w:val="left"/>
        </w:tabs>
        <w:numPr>
          <w:ilvl w:val="1"/>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80" w:lineRule="exact"/>
        <w:rPr>
          <w:rFonts w:ascii="Times New Roman" w:cs="Times New Roman" w:eastAsia="Times New Roman" w:hAnsi="Times New Roman"/>
          <w:sz w:val="18"/>
          <w:szCs w:val="18"/>
          <w:b w:val="1"/>
          <w:bCs w:val="1"/>
          <w:color w:val="auto"/>
        </w:rPr>
      </w:pPr>
    </w:p>
    <w:p>
      <w:pPr>
        <w:ind w:left="1272" w:hanging="308"/>
        <w:spacing w:after="0"/>
        <w:tabs>
          <w:tab w:leader="none" w:pos="1272" w:val="left"/>
        </w:tabs>
        <w:numPr>
          <w:ilvl w:val="1"/>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13" w:lineRule="exact"/>
        <w:rPr>
          <w:rFonts w:ascii="Times New Roman" w:cs="Times New Roman" w:eastAsia="Times New Roman" w:hAnsi="Times New Roman"/>
          <w:sz w:val="18"/>
          <w:szCs w:val="18"/>
          <w:b w:val="1"/>
          <w:bCs w:val="1"/>
          <w:color w:val="auto"/>
        </w:rPr>
      </w:pPr>
    </w:p>
    <w:p>
      <w:pPr>
        <w:ind w:left="-8" w:right="400" w:firstLine="972"/>
        <w:spacing w:after="0" w:line="331" w:lineRule="auto"/>
        <w:tabs>
          <w:tab w:leader="none" w:pos="1253" w:val="left"/>
        </w:tabs>
        <w:numPr>
          <w:ilvl w:val="1"/>
          <w:numId w:val="3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22" w:lineRule="exact"/>
        <w:rPr>
          <w:rFonts w:ascii="Times New Roman" w:cs="Times New Roman" w:eastAsia="Times New Roman" w:hAnsi="Times New Roman"/>
          <w:sz w:val="16"/>
          <w:szCs w:val="16"/>
          <w:b w:val="1"/>
          <w:bCs w:val="1"/>
          <w:color w:val="auto"/>
        </w:rPr>
      </w:pPr>
    </w:p>
    <w:p>
      <w:pPr>
        <w:ind w:left="-8" w:right="40" w:firstLine="972"/>
        <w:spacing w:after="0" w:line="251" w:lineRule="auto"/>
        <w:tabs>
          <w:tab w:leader="none" w:pos="1204" w:val="left"/>
        </w:tabs>
        <w:numPr>
          <w:ilvl w:val="1"/>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84" w:lineRule="exact"/>
        <w:rPr>
          <w:rFonts w:ascii="Times New Roman" w:cs="Times New Roman" w:eastAsia="Times New Roman" w:hAnsi="Times New Roman"/>
          <w:sz w:val="18"/>
          <w:szCs w:val="18"/>
          <w:b w:val="1"/>
          <w:bCs w:val="1"/>
          <w:color w:val="auto"/>
        </w:rPr>
      </w:pPr>
    </w:p>
    <w:p>
      <w:pPr>
        <w:ind w:left="-8" w:right="120" w:firstLine="972"/>
        <w:spacing w:after="0" w:line="267" w:lineRule="auto"/>
        <w:tabs>
          <w:tab w:leader="none" w:pos="1253" w:val="left"/>
        </w:tabs>
        <w:numPr>
          <w:ilvl w:val="1"/>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67" w:lineRule="exact"/>
        <w:rPr>
          <w:rFonts w:ascii="Times New Roman" w:cs="Times New Roman" w:eastAsia="Times New Roman" w:hAnsi="Times New Roman"/>
          <w:sz w:val="18"/>
          <w:szCs w:val="18"/>
          <w:b w:val="1"/>
          <w:bCs w:val="1"/>
          <w:color w:val="auto"/>
        </w:rPr>
      </w:pPr>
    </w:p>
    <w:p>
      <w:pPr>
        <w:ind w:left="-8" w:right="20" w:firstLine="972"/>
        <w:spacing w:after="0" w:line="282" w:lineRule="auto"/>
        <w:tabs>
          <w:tab w:leader="none" w:pos="1301" w:val="left"/>
        </w:tabs>
        <w:numPr>
          <w:ilvl w:val="1"/>
          <w:numId w:val="3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amend the Plan in any respect the Board deems necessary or advisable; provided, however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w:t>
      </w:r>
    </w:p>
    <w:p>
      <w:pPr>
        <w:spacing w:after="0" w:line="1" w:lineRule="exact"/>
        <w:rPr>
          <w:rFonts w:ascii="Times New Roman" w:cs="Times New Roman" w:eastAsia="Times New Roman" w:hAnsi="Times New Roman"/>
          <w:sz w:val="16"/>
          <w:szCs w:val="16"/>
          <w:b w:val="1"/>
          <w:bCs w:val="1"/>
          <w:color w:val="auto"/>
        </w:rPr>
      </w:pPr>
    </w:p>
    <w:p>
      <w:pPr>
        <w:ind w:left="252" w:hanging="252"/>
        <w:spacing w:after="0"/>
        <w:tabs>
          <w:tab w:leader="none" w:pos="252"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 consents in writing.</w:t>
      </w:r>
    </w:p>
    <w:p>
      <w:pPr>
        <w:spacing w:after="0" w:line="195" w:lineRule="exact"/>
        <w:rPr>
          <w:rFonts w:ascii="Times New Roman" w:cs="Times New Roman" w:eastAsia="Times New Roman" w:hAnsi="Times New Roman"/>
          <w:sz w:val="18"/>
          <w:szCs w:val="18"/>
          <w:color w:val="auto"/>
        </w:rPr>
      </w:pPr>
    </w:p>
    <w:p>
      <w:pPr>
        <w:ind w:left="1352" w:hanging="388"/>
        <w:spacing w:after="0"/>
        <w:tabs>
          <w:tab w:leader="none" w:pos="1352" w:val="left"/>
        </w:tabs>
        <w:numPr>
          <w:ilvl w:val="1"/>
          <w:numId w:val="3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213" w:lineRule="exact"/>
        <w:rPr>
          <w:rFonts w:ascii="Times New Roman" w:cs="Times New Roman" w:eastAsia="Times New Roman" w:hAnsi="Times New Roman"/>
          <w:sz w:val="18"/>
          <w:szCs w:val="18"/>
          <w:b w:val="1"/>
          <w:bCs w:val="1"/>
          <w:color w:val="auto"/>
        </w:rPr>
      </w:pPr>
    </w:p>
    <w:p>
      <w:pPr>
        <w:ind w:left="-8" w:firstLine="972"/>
        <w:spacing w:after="0" w:line="293" w:lineRule="auto"/>
        <w:tabs>
          <w:tab w:leader="none" w:pos="1253" w:val="left"/>
        </w:tabs>
        <w:numPr>
          <w:ilvl w:val="1"/>
          <w:numId w:val="3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a Participant’s rights under any Award will not be Materially Impaired by any such amendment unless (1) the Company requests the consent of the affected Participant, and (2) such Participant consents in writing.</w:t>
      </w:r>
    </w:p>
    <w:p>
      <w:pPr>
        <w:spacing w:after="0" w:line="151" w:lineRule="exact"/>
        <w:rPr>
          <w:rFonts w:ascii="Times New Roman" w:cs="Times New Roman" w:eastAsia="Times New Roman" w:hAnsi="Times New Roman"/>
          <w:sz w:val="16"/>
          <w:szCs w:val="16"/>
          <w:b w:val="1"/>
          <w:bCs w:val="1"/>
          <w:color w:val="auto"/>
        </w:rPr>
      </w:pPr>
    </w:p>
    <w:p>
      <w:pPr>
        <w:ind w:left="-8" w:firstLine="972"/>
        <w:spacing w:after="0" w:line="267" w:lineRule="auto"/>
        <w:tabs>
          <w:tab w:leader="none" w:pos="1204" w:val="left"/>
        </w:tabs>
        <w:numPr>
          <w:ilvl w:val="1"/>
          <w:numId w:val="3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69" w:lineRule="exact"/>
        <w:rPr>
          <w:rFonts w:ascii="Times New Roman" w:cs="Times New Roman" w:eastAsia="Times New Roman" w:hAnsi="Times New Roman"/>
          <w:sz w:val="18"/>
          <w:szCs w:val="18"/>
          <w:b w:val="1"/>
          <w:bCs w:val="1"/>
          <w:color w:val="auto"/>
        </w:rPr>
      </w:pPr>
    </w:p>
    <w:p>
      <w:pPr>
        <w:ind w:left="-8" w:right="260" w:firstLine="972"/>
        <w:spacing w:after="0" w:line="251" w:lineRule="auto"/>
        <w:tabs>
          <w:tab w:leader="none" w:pos="1253" w:val="left"/>
        </w:tabs>
        <w:numPr>
          <w:ilvl w:val="1"/>
          <w:numId w:val="3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1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652"/>
          </w:cols>
          <w:pgMar w:left="588" w:top="265" w:right="659" w:bottom="1440" w:gutter="0" w:footer="0" w:header="0"/>
        </w:sectPr>
      </w:pPr>
    </w:p>
    <w:bookmarkStart w:id="485" w:name="page486"/>
    <w:bookmarkEnd w:id="485"/>
    <w:p>
      <w:pPr>
        <w:ind w:right="60" w:firstLine="972"/>
        <w:spacing w:after="0" w:line="288" w:lineRule="auto"/>
        <w:tabs>
          <w:tab w:leader="none" w:pos="1309" w:val="left"/>
        </w:tabs>
        <w:numPr>
          <w:ilvl w:val="2"/>
          <w:numId w:val="3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259" w:lineRule="exact"/>
        <w:rPr>
          <w:rFonts w:ascii="Times New Roman" w:cs="Times New Roman" w:eastAsia="Times New Roman" w:hAnsi="Times New Roman"/>
          <w:sz w:val="16"/>
          <w:szCs w:val="16"/>
          <w:b w:val="1"/>
          <w:bCs w:val="1"/>
          <w:color w:val="auto"/>
        </w:rPr>
      </w:pPr>
    </w:p>
    <w:p>
      <w:pPr>
        <w:ind w:left="680" w:hanging="244"/>
        <w:spacing w:after="0"/>
        <w:tabs>
          <w:tab w:leader="none" w:pos="680" w:val="left"/>
        </w:tabs>
        <w:numPr>
          <w:ilvl w:val="1"/>
          <w:numId w:val="3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108" w:lineRule="exact"/>
        <w:rPr>
          <w:rFonts w:ascii="Times New Roman" w:cs="Times New Roman" w:eastAsia="Times New Roman" w:hAnsi="Times New Roman"/>
          <w:sz w:val="18"/>
          <w:szCs w:val="18"/>
          <w:b w:val="1"/>
          <w:bCs w:val="1"/>
          <w:color w:val="auto"/>
        </w:rPr>
      </w:pPr>
    </w:p>
    <w:p>
      <w:pPr>
        <w:ind w:firstLine="972"/>
        <w:spacing w:after="0" w:line="282" w:lineRule="auto"/>
        <w:tabs>
          <w:tab w:leader="none" w:pos="1173" w:val="left"/>
        </w:tabs>
        <w:numPr>
          <w:ilvl w:val="2"/>
          <w:numId w:val="3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General. </w:t>
      </w:r>
      <w:r>
        <w:rPr>
          <w:rFonts w:ascii="Times New Roman" w:cs="Times New Roman" w:eastAsia="Times New Roman" w:hAnsi="Times New Roman"/>
          <w:sz w:val="16"/>
          <w:szCs w:val="16"/>
          <w:color w:val="auto"/>
        </w:rPr>
        <w:t>The Board may delegate some or all of the administration of the Plan to a Committee or Committees. If administration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56" w:lineRule="exact"/>
        <w:rPr>
          <w:rFonts w:ascii="Times New Roman" w:cs="Times New Roman" w:eastAsia="Times New Roman" w:hAnsi="Times New Roman"/>
          <w:sz w:val="16"/>
          <w:szCs w:val="16"/>
          <w:b w:val="1"/>
          <w:bCs w:val="1"/>
          <w:color w:val="auto"/>
        </w:rPr>
      </w:pPr>
    </w:p>
    <w:p>
      <w:pPr>
        <w:ind w:right="20" w:firstLine="972"/>
        <w:spacing w:after="0" w:line="293" w:lineRule="auto"/>
        <w:tabs>
          <w:tab w:leader="none" w:pos="1222" w:val="left"/>
        </w:tabs>
        <w:numPr>
          <w:ilvl w:val="2"/>
          <w:numId w:val="3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Rule 16b-3 Compliance. </w:t>
      </w:r>
      <w:r>
        <w:rPr>
          <w:rFonts w:ascii="Times New Roman" w:cs="Times New Roman" w:eastAsia="Times New Roman" w:hAnsi="Times New Roman"/>
          <w:sz w:val="16"/>
          <w:szCs w:val="16"/>
          <w:color w:val="auto"/>
        </w:rPr>
        <w:t>To the extent an Award is intended to qualify for the exemption from Section 16(b) of the Exchange Act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51" w:lineRule="exact"/>
        <w:rPr>
          <w:rFonts w:ascii="Times New Roman" w:cs="Times New Roman" w:eastAsia="Times New Roman" w:hAnsi="Times New Roman"/>
          <w:sz w:val="16"/>
          <w:szCs w:val="16"/>
          <w:b w:val="1"/>
          <w:bCs w:val="1"/>
          <w:color w:val="auto"/>
        </w:rPr>
      </w:pPr>
    </w:p>
    <w:p>
      <w:pPr>
        <w:ind w:right="80" w:firstLine="436"/>
        <w:spacing w:after="0" w:line="270" w:lineRule="auto"/>
        <w:tabs>
          <w:tab w:leader="none" w:pos="686" w:val="left"/>
        </w:tabs>
        <w:numPr>
          <w:ilvl w:val="1"/>
          <w:numId w:val="3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 faith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review by any person and will be final, binding and conclusive on all persons.</w:t>
      </w:r>
    </w:p>
    <w:p>
      <w:pPr>
        <w:spacing w:after="0" w:line="164"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1"/>
          <w:numId w:val="3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Delegation to an Officer. </w:t>
      </w:r>
      <w:r>
        <w:rPr>
          <w:rFonts w:ascii="Times New Roman" w:cs="Times New Roman" w:eastAsia="Times New Roman" w:hAnsi="Times New Roman"/>
          <w:sz w:val="16"/>
          <w:szCs w:val="16"/>
          <w:color w:val="auto"/>
        </w:rPr>
        <w:t>The Board or any Committee may delegate to one or more Officers the authority to do one or both of the following</w:t>
      </w:r>
    </w:p>
    <w:p>
      <w:pPr>
        <w:spacing w:after="0" w:line="45" w:lineRule="exact"/>
        <w:rPr>
          <w:rFonts w:ascii="Times New Roman" w:cs="Times New Roman" w:eastAsia="Times New Roman" w:hAnsi="Times New Roman"/>
          <w:sz w:val="16"/>
          <w:szCs w:val="16"/>
          <w:b w:val="1"/>
          <w:bCs w:val="1"/>
          <w:color w:val="auto"/>
        </w:rPr>
      </w:pPr>
    </w:p>
    <w:p>
      <w:pPr>
        <w:ind w:left="220" w:hanging="212"/>
        <w:spacing w:after="0"/>
        <w:tabs>
          <w:tab w:leader="none" w:pos="22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Employees who are not Officers to be recipients of Options and SARs (and, to the extent permitted by Applicable Law, other types of</w:t>
      </w:r>
    </w:p>
    <w:p>
      <w:pPr>
        <w:spacing w:after="0" w:line="3" w:lineRule="exact"/>
        <w:rPr>
          <w:rFonts w:ascii="Times New Roman" w:cs="Times New Roman" w:eastAsia="Times New Roman" w:hAnsi="Times New Roman"/>
          <w:sz w:val="18"/>
          <w:szCs w:val="18"/>
          <w:color w:val="auto"/>
        </w:rPr>
      </w:pPr>
    </w:p>
    <w:p>
      <w:pPr>
        <w:ind w:right="40"/>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80"/>
          </w:cols>
          <w:pgMar w:left="580" w:top="265" w:right="639" w:bottom="1440" w:gutter="0" w:footer="0" w:header="0"/>
        </w:sectPr>
      </w:pPr>
    </w:p>
    <w:bookmarkStart w:id="486" w:name="page487"/>
    <w:bookmarkEnd w:id="486"/>
    <w:p>
      <w:pPr>
        <w:ind w:right="2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323" w:lineRule="exact"/>
        <w:rPr>
          <w:sz w:val="20"/>
          <w:szCs w:val="20"/>
          <w:color w:val="auto"/>
        </w:rPr>
      </w:pPr>
    </w:p>
    <w:p>
      <w:pPr>
        <w:ind w:left="420" w:hanging="412"/>
        <w:spacing w:after="0"/>
        <w:tabs>
          <w:tab w:leader="none" w:pos="420" w:val="left"/>
        </w:tabs>
        <w:numPr>
          <w:ilvl w:val="0"/>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ITHHOLDING</w:t>
      </w:r>
    </w:p>
    <w:p>
      <w:pPr>
        <w:spacing w:after="0" w:line="108" w:lineRule="exact"/>
        <w:rPr>
          <w:rFonts w:ascii="Times New Roman" w:cs="Times New Roman" w:eastAsia="Times New Roman" w:hAnsi="Times New Roman"/>
          <w:sz w:val="18"/>
          <w:szCs w:val="18"/>
          <w:b w:val="1"/>
          <w:bCs w:val="1"/>
          <w:color w:val="auto"/>
        </w:rPr>
      </w:pPr>
    </w:p>
    <w:p>
      <w:pPr>
        <w:ind w:right="20" w:firstLine="436"/>
        <w:spacing w:after="0" w:line="248" w:lineRule="auto"/>
        <w:tabs>
          <w:tab w:leader="none" w:pos="676" w:val="left"/>
        </w:tabs>
        <w:numPr>
          <w:ilvl w:val="1"/>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 Participant authorizes withholding from payroll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7"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1"/>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Satisfaction of Withholding Obligation. </w:t>
      </w:r>
      <w:r>
        <w:rPr>
          <w:rFonts w:ascii="Times New Roman" w:cs="Times New Roman" w:eastAsia="Times New Roman" w:hAnsi="Times New Roman"/>
          <w:sz w:val="18"/>
          <w:szCs w:val="18"/>
          <w:color w:val="auto"/>
        </w:rPr>
        <w:t>To the extent permitted by the terms of an Award Agreement, the Company may, in its sole</w:t>
      </w:r>
    </w:p>
    <w:p>
      <w:pPr>
        <w:spacing w:after="0" w:line="22" w:lineRule="exact"/>
        <w:rPr>
          <w:rFonts w:ascii="Times New Roman" w:cs="Times New Roman" w:eastAsia="Times New Roman" w:hAnsi="Times New Roman"/>
          <w:sz w:val="18"/>
          <w:szCs w:val="18"/>
          <w:b w:val="1"/>
          <w:bCs w:val="1"/>
          <w:color w:val="auto"/>
        </w:rPr>
      </w:pPr>
    </w:p>
    <w:p>
      <w:pPr>
        <w:spacing w:after="0" w:line="24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87" w:lineRule="exact"/>
        <w:rPr>
          <w:rFonts w:ascii="Times New Roman" w:cs="Times New Roman" w:eastAsia="Times New Roman" w:hAnsi="Times New Roman"/>
          <w:sz w:val="18"/>
          <w:szCs w:val="18"/>
          <w:b w:val="1"/>
          <w:bCs w:val="1"/>
          <w:color w:val="auto"/>
        </w:rPr>
      </w:pPr>
    </w:p>
    <w:p>
      <w:pPr>
        <w:ind w:right="40" w:firstLine="436"/>
        <w:spacing w:after="0" w:line="278" w:lineRule="auto"/>
        <w:tabs>
          <w:tab w:leader="none" w:pos="666" w:val="left"/>
        </w:tabs>
        <w:numPr>
          <w:ilvl w:val="1"/>
          <w:numId w:val="3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No Obligation to Notify or Minimize Taxes; No Liability to Claims. </w:t>
      </w:r>
      <w:r>
        <w:rPr>
          <w:rFonts w:ascii="Times New Roman" w:cs="Times New Roman" w:eastAsia="Times New Roman" w:hAnsi="Times New Roman"/>
          <w:sz w:val="16"/>
          <w:szCs w:val="16"/>
          <w:color w:val="auto"/>
        </w:rPr>
        <w:t>Except as required by Applicable Law the Company has no duty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20"/>
          </w:cols>
          <w:pgMar w:left="580" w:top="265" w:right="599" w:bottom="1440" w:gutter="0" w:footer="0" w:header="0"/>
        </w:sectPr>
      </w:pPr>
    </w:p>
    <w:bookmarkStart w:id="487" w:name="page488"/>
    <w:bookmarkEnd w:id="487"/>
    <w:p>
      <w:pPr>
        <w:ind w:left="-8" w:firstLine="436"/>
        <w:spacing w:after="0" w:line="252" w:lineRule="auto"/>
        <w:tabs>
          <w:tab w:leader="none" w:pos="678" w:val="left"/>
        </w:tabs>
        <w:numPr>
          <w:ilvl w:val="1"/>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Withholding Indemnification. </w:t>
      </w:r>
      <w:r>
        <w:rPr>
          <w:rFonts w:ascii="Times New Roman" w:cs="Times New Roman" w:eastAsia="Times New Roman" w:hAnsi="Times New Roman"/>
          <w:sz w:val="18"/>
          <w:szCs w:val="18"/>
          <w:color w:val="auto"/>
        </w:rPr>
        <w:t>As a condition to accepting an Award under the Plan, in the event that the amount of the Company’s and/or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325" w:lineRule="exact"/>
        <w:rPr>
          <w:rFonts w:ascii="Times New Roman" w:cs="Times New Roman" w:eastAsia="Times New Roman" w:hAnsi="Times New Roman"/>
          <w:sz w:val="18"/>
          <w:szCs w:val="18"/>
          <w:b w:val="1"/>
          <w:bCs w:val="1"/>
          <w:color w:val="auto"/>
        </w:rPr>
      </w:pPr>
    </w:p>
    <w:p>
      <w:pPr>
        <w:ind w:left="412" w:hanging="412"/>
        <w:spacing w:after="0"/>
        <w:tabs>
          <w:tab w:leader="none" w:pos="412"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w:t>
      </w:r>
    </w:p>
    <w:p>
      <w:pPr>
        <w:spacing w:after="0" w:line="108" w:lineRule="exact"/>
        <w:rPr>
          <w:rFonts w:ascii="Times New Roman" w:cs="Times New Roman" w:eastAsia="Times New Roman" w:hAnsi="Times New Roman"/>
          <w:sz w:val="18"/>
          <w:szCs w:val="18"/>
          <w:b w:val="1"/>
          <w:bCs w:val="1"/>
          <w:color w:val="auto"/>
        </w:rPr>
      </w:pPr>
    </w:p>
    <w:p>
      <w:pPr>
        <w:ind w:left="-8" w:right="60" w:firstLine="436"/>
        <w:spacing w:after="0" w:line="270" w:lineRule="auto"/>
        <w:tabs>
          <w:tab w:leader="none" w:pos="668" w:val="left"/>
        </w:tabs>
        <w:numPr>
          <w:ilvl w:val="1"/>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 or otherwise.</w:t>
      </w:r>
    </w:p>
    <w:p>
      <w:pPr>
        <w:spacing w:after="0" w:line="164" w:lineRule="exact"/>
        <w:rPr>
          <w:rFonts w:ascii="Times New Roman" w:cs="Times New Roman" w:eastAsia="Times New Roman" w:hAnsi="Times New Roman"/>
          <w:sz w:val="18"/>
          <w:szCs w:val="18"/>
          <w:b w:val="1"/>
          <w:bCs w:val="1"/>
          <w:color w:val="auto"/>
        </w:rPr>
      </w:pPr>
    </w:p>
    <w:p>
      <w:pPr>
        <w:ind w:left="-8" w:right="460" w:firstLine="436"/>
        <w:spacing w:after="0" w:line="270" w:lineRule="auto"/>
        <w:tabs>
          <w:tab w:leader="none" w:pos="678" w:val="left"/>
        </w:tabs>
        <w:numPr>
          <w:ilvl w:val="1"/>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funds of the Company.</w:t>
      </w:r>
    </w:p>
    <w:p>
      <w:pPr>
        <w:spacing w:after="0" w:line="164" w:lineRule="exact"/>
        <w:rPr>
          <w:rFonts w:ascii="Times New Roman" w:cs="Times New Roman" w:eastAsia="Times New Roman" w:hAnsi="Times New Roman"/>
          <w:sz w:val="18"/>
          <w:szCs w:val="18"/>
          <w:b w:val="1"/>
          <w:bCs w:val="1"/>
          <w:color w:val="auto"/>
        </w:rPr>
      </w:pPr>
    </w:p>
    <w:p>
      <w:pPr>
        <w:ind w:left="-8" w:right="40" w:firstLine="436"/>
        <w:spacing w:after="0" w:line="247" w:lineRule="auto"/>
        <w:tabs>
          <w:tab w:leader="none" w:pos="658" w:val="left"/>
        </w:tabs>
        <w:numPr>
          <w:ilvl w:val="1"/>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89" w:lineRule="exact"/>
        <w:rPr>
          <w:rFonts w:ascii="Times New Roman" w:cs="Times New Roman" w:eastAsia="Times New Roman" w:hAnsi="Times New Roman"/>
          <w:sz w:val="18"/>
          <w:szCs w:val="18"/>
          <w:b w:val="1"/>
          <w:bCs w:val="1"/>
          <w:color w:val="auto"/>
        </w:rPr>
      </w:pPr>
    </w:p>
    <w:p>
      <w:pPr>
        <w:ind w:left="-8" w:right="40" w:firstLine="436"/>
        <w:spacing w:after="0" w:line="256" w:lineRule="auto"/>
        <w:tabs>
          <w:tab w:leader="none" w:pos="678" w:val="left"/>
        </w:tabs>
        <w:numPr>
          <w:ilvl w:val="1"/>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77" w:lineRule="exact"/>
        <w:rPr>
          <w:rFonts w:ascii="Times New Roman" w:cs="Times New Roman" w:eastAsia="Times New Roman" w:hAnsi="Times New Roman"/>
          <w:sz w:val="18"/>
          <w:szCs w:val="18"/>
          <w:b w:val="1"/>
          <w:bCs w:val="1"/>
          <w:color w:val="auto"/>
        </w:rPr>
      </w:pPr>
    </w:p>
    <w:p>
      <w:pPr>
        <w:ind w:left="-8" w:firstLine="436"/>
        <w:spacing w:after="0" w:line="247" w:lineRule="auto"/>
        <w:tabs>
          <w:tab w:leader="none" w:pos="658" w:val="left"/>
        </w:tabs>
        <w:numPr>
          <w:ilvl w:val="1"/>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w:t>
      </w:r>
    </w:p>
    <w:p>
      <w:pPr>
        <w:spacing w:after="0" w:line="12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652"/>
          </w:cols>
          <w:pgMar w:left="588" w:top="264" w:right="659" w:bottom="1440" w:gutter="0" w:footer="0" w:header="0"/>
        </w:sectPr>
      </w:pPr>
    </w:p>
    <w:bookmarkStart w:id="488" w:name="page489"/>
    <w:bookmarkEnd w:id="488"/>
    <w:p>
      <w:pPr>
        <w:ind w:right="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82" w:lineRule="exact"/>
        <w:rPr>
          <w:sz w:val="20"/>
          <w:szCs w:val="20"/>
          <w:color w:val="auto"/>
        </w:rPr>
      </w:pPr>
    </w:p>
    <w:p>
      <w:pPr>
        <w:ind w:right="80" w:firstLine="436"/>
        <w:spacing w:after="0" w:line="247" w:lineRule="auto"/>
        <w:tabs>
          <w:tab w:leader="none" w:pos="647" w:val="left"/>
        </w:tabs>
        <w:numPr>
          <w:ilvl w:val="0"/>
          <w:numId w:val="3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9" w:lineRule="exact"/>
        <w:rPr>
          <w:rFonts w:ascii="Times New Roman" w:cs="Times New Roman" w:eastAsia="Times New Roman" w:hAnsi="Times New Roman"/>
          <w:sz w:val="18"/>
          <w:szCs w:val="18"/>
          <w:b w:val="1"/>
          <w:bCs w:val="1"/>
          <w:color w:val="auto"/>
        </w:rPr>
      </w:pPr>
    </w:p>
    <w:p>
      <w:pPr>
        <w:ind w:right="200" w:firstLine="436"/>
        <w:spacing w:after="0" w:line="303" w:lineRule="auto"/>
        <w:tabs>
          <w:tab w:leader="none" w:pos="676" w:val="left"/>
        </w:tabs>
        <w:numPr>
          <w:ilvl w:val="0"/>
          <w:numId w:val="3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Execution of Additional Documents. </w:t>
      </w:r>
      <w:r>
        <w:rPr>
          <w:rFonts w:ascii="Times New Roman" w:cs="Times New Roman" w:eastAsia="Times New Roman" w:hAnsi="Times New Roman"/>
          <w:sz w:val="16"/>
          <w:szCs w:val="16"/>
          <w:color w:val="auto"/>
        </w:rPr>
        <w:t>As a condition to accepting an Award under the Plan, the Participant agrees to execute any additional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43" w:lineRule="exact"/>
        <w:rPr>
          <w:rFonts w:ascii="Times New Roman" w:cs="Times New Roman" w:eastAsia="Times New Roman" w:hAnsi="Times New Roman"/>
          <w:sz w:val="16"/>
          <w:szCs w:val="16"/>
          <w:b w:val="1"/>
          <w:bCs w:val="1"/>
          <w:color w:val="auto"/>
        </w:rPr>
      </w:pPr>
    </w:p>
    <w:p>
      <w:pPr>
        <w:ind w:right="80" w:firstLine="436"/>
        <w:spacing w:after="0" w:line="248" w:lineRule="auto"/>
        <w:tabs>
          <w:tab w:leader="none" w:pos="686" w:val="left"/>
        </w:tabs>
        <w:numPr>
          <w:ilvl w:val="0"/>
          <w:numId w:val="3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and Participation. </w:t>
      </w:r>
      <w:r>
        <w:rPr>
          <w:rFonts w:ascii="Times New Roman" w:cs="Times New Roman" w:eastAsia="Times New Roman" w:hAnsi="Times New Roman"/>
          <w:sz w:val="18"/>
          <w:szCs w:val="18"/>
          <w:color w:val="auto"/>
        </w:rPr>
        <w:t>Any reference herein or in an Award Agreement to a “written” agreement or document will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87" w:lineRule="exact"/>
        <w:rPr>
          <w:rFonts w:ascii="Times New Roman" w:cs="Times New Roman" w:eastAsia="Times New Roman" w:hAnsi="Times New Roman"/>
          <w:sz w:val="18"/>
          <w:szCs w:val="18"/>
          <w:b w:val="1"/>
          <w:bCs w:val="1"/>
          <w:color w:val="auto"/>
        </w:rPr>
      </w:pPr>
    </w:p>
    <w:p>
      <w:pPr>
        <w:ind w:firstLine="436"/>
        <w:spacing w:after="0" w:line="282" w:lineRule="auto"/>
        <w:tabs>
          <w:tab w:leader="none" w:pos="637" w:val="left"/>
        </w:tabs>
        <w:numPr>
          <w:ilvl w:val="0"/>
          <w:numId w:val="3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Clawback/Recovery. </w:t>
      </w:r>
      <w:r>
        <w:rPr>
          <w:rFonts w:ascii="Times New Roman" w:cs="Times New Roman" w:eastAsia="Times New Roman" w:hAnsi="Times New Roman"/>
          <w:sz w:val="16"/>
          <w:szCs w:val="16"/>
          <w:color w:val="auto"/>
        </w:rPr>
        <w:t>All Awards granted under the Plan will be subject to recoupment in accordance with any clawback policy that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00"/>
          </w:cols>
          <w:pgMar w:left="580" w:top="265" w:right="619" w:bottom="1440" w:gutter="0" w:footer="0" w:header="0"/>
        </w:sectPr>
      </w:pPr>
    </w:p>
    <w:bookmarkStart w:id="489" w:name="page490"/>
    <w:bookmarkEnd w:id="489"/>
    <w:p>
      <w:pPr>
        <w:ind w:left="-40" w:firstLine="436"/>
        <w:spacing w:after="0" w:line="252" w:lineRule="auto"/>
        <w:tabs>
          <w:tab w:leader="none" w:pos="607" w:val="left"/>
        </w:tabs>
        <w:numPr>
          <w:ilvl w:val="0"/>
          <w:numId w:val="3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 registered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80" w:lineRule="exact"/>
        <w:rPr>
          <w:rFonts w:ascii="Times New Roman" w:cs="Times New Roman" w:eastAsia="Times New Roman" w:hAnsi="Times New Roman"/>
          <w:sz w:val="18"/>
          <w:szCs w:val="18"/>
          <w:b w:val="1"/>
          <w:bCs w:val="1"/>
          <w:color w:val="auto"/>
        </w:rPr>
      </w:pPr>
    </w:p>
    <w:p>
      <w:pPr>
        <w:ind w:left="-40" w:firstLine="436"/>
        <w:spacing w:after="0" w:line="250" w:lineRule="auto"/>
        <w:tabs>
          <w:tab w:leader="none" w:pos="646" w:val="left"/>
        </w:tabs>
        <w:numPr>
          <w:ilvl w:val="0"/>
          <w:numId w:val="3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82" w:lineRule="exact"/>
        <w:rPr>
          <w:rFonts w:ascii="Times New Roman" w:cs="Times New Roman" w:eastAsia="Times New Roman" w:hAnsi="Times New Roman"/>
          <w:sz w:val="18"/>
          <w:szCs w:val="18"/>
          <w:b w:val="1"/>
          <w:bCs w:val="1"/>
          <w:color w:val="auto"/>
        </w:rPr>
      </w:pPr>
    </w:p>
    <w:p>
      <w:pPr>
        <w:jc w:val="both"/>
        <w:ind w:left="-40" w:right="20" w:firstLine="436"/>
        <w:spacing w:after="0" w:line="252" w:lineRule="auto"/>
        <w:tabs>
          <w:tab w:leader="none" w:pos="597" w:val="left"/>
        </w:tabs>
        <w:numPr>
          <w:ilvl w:val="0"/>
          <w:numId w:val="3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80" w:lineRule="exact"/>
        <w:rPr>
          <w:rFonts w:ascii="Times New Roman" w:cs="Times New Roman" w:eastAsia="Times New Roman" w:hAnsi="Times New Roman"/>
          <w:sz w:val="18"/>
          <w:szCs w:val="18"/>
          <w:b w:val="1"/>
          <w:bCs w:val="1"/>
          <w:color w:val="auto"/>
        </w:rPr>
      </w:pPr>
    </w:p>
    <w:p>
      <w:pPr>
        <w:ind w:left="-40" w:right="60" w:firstLine="436"/>
        <w:spacing w:after="0" w:line="303" w:lineRule="auto"/>
        <w:tabs>
          <w:tab w:leader="none" w:pos="694" w:val="left"/>
        </w:tabs>
        <w:numPr>
          <w:ilvl w:val="0"/>
          <w:numId w:val="3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Deferrals. </w:t>
      </w:r>
      <w:r>
        <w:rPr>
          <w:rFonts w:ascii="Times New Roman" w:cs="Times New Roman" w:eastAsia="Times New Roman" w:hAnsi="Times New Roman"/>
          <w:sz w:val="16"/>
          <w:szCs w:val="16"/>
          <w:color w:val="auto"/>
        </w:rPr>
        <w:t>To the extent permitted by Applicable Law, the Board, in its sole discretion, may determine that the delivery of Common Stock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143" w:lineRule="exact"/>
        <w:rPr>
          <w:rFonts w:ascii="Times New Roman" w:cs="Times New Roman" w:eastAsia="Times New Roman" w:hAnsi="Times New Roman"/>
          <w:sz w:val="16"/>
          <w:szCs w:val="16"/>
          <w:b w:val="1"/>
          <w:bCs w:val="1"/>
          <w:color w:val="auto"/>
        </w:rPr>
      </w:pPr>
    </w:p>
    <w:p>
      <w:pPr>
        <w:ind w:left="-40" w:right="20" w:firstLine="436"/>
        <w:spacing w:after="0" w:line="245" w:lineRule="auto"/>
        <w:tabs>
          <w:tab w:leader="none" w:pos="646" w:val="left"/>
        </w:tabs>
        <w:numPr>
          <w:ilvl w:val="0"/>
          <w:numId w:val="3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 interpreted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640"/>
          </w:cols>
          <w:pgMar w:left="620" w:top="263" w:right="639" w:bottom="1440" w:gutter="0" w:footer="0" w:header="0"/>
        </w:sectPr>
      </w:pPr>
    </w:p>
    <w:bookmarkStart w:id="490" w:name="page491"/>
    <w:bookmarkEnd w:id="490"/>
    <w:p>
      <w:pPr>
        <w:ind w:firstLine="436"/>
        <w:spacing w:after="0" w:line="256" w:lineRule="auto"/>
        <w:tabs>
          <w:tab w:leader="none" w:pos="676" w:val="left"/>
        </w:tabs>
        <w:numPr>
          <w:ilvl w:val="1"/>
          <w:numId w:val="3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w:t>
      </w:r>
      <w:r>
        <w:rPr>
          <w:rFonts w:ascii="Times New Roman" w:cs="Times New Roman" w:eastAsia="Times New Roman" w:hAnsi="Times New Roman"/>
          <w:sz w:val="14"/>
          <w:szCs w:val="14"/>
          <w:b w:val="1"/>
          <w:bCs w:val="1"/>
          <w:color w:val="auto"/>
        </w:rPr>
        <w:t>HOICE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any controversy arising out of or relating to this Plan shall be governed by, and construed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laws of the State of Delaware, without regard to conflict of law principles that would result in any application of any law other than the law of the State of Delaware.</w:t>
      </w:r>
    </w:p>
    <w:p>
      <w:pPr>
        <w:spacing w:after="0" w:line="322"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10" w:lineRule="exact"/>
        <w:rPr>
          <w:sz w:val="20"/>
          <w:szCs w:val="20"/>
          <w:color w:val="auto"/>
        </w:rPr>
      </w:pPr>
    </w:p>
    <w:p>
      <w:pPr>
        <w:ind w:firstLine="428"/>
        <w:spacing w:after="0" w:line="247" w:lineRule="auto"/>
        <w:rPr>
          <w:sz w:val="20"/>
          <w:szCs w:val="20"/>
          <w:color w:val="auto"/>
        </w:rPr>
      </w:pPr>
      <w:r>
        <w:rPr>
          <w:rFonts w:ascii="Times New Roman" w:cs="Times New Roman" w:eastAsia="Times New Roman" w:hAnsi="Times New Roman"/>
          <w:sz w:val="18"/>
          <w:szCs w:val="18"/>
          <w:color w:val="auto"/>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329" w:lineRule="exact"/>
        <w:rPr>
          <w:sz w:val="20"/>
          <w:szCs w:val="20"/>
          <w:color w:val="auto"/>
        </w:rPr>
      </w:pPr>
    </w:p>
    <w:p>
      <w:pPr>
        <w:ind w:left="420" w:hanging="412"/>
        <w:spacing w:after="0"/>
        <w:tabs>
          <w:tab w:leader="none" w:pos="420"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ULES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409A.</w:t>
      </w:r>
    </w:p>
    <w:p>
      <w:pPr>
        <w:spacing w:after="0" w:line="108" w:lineRule="exact"/>
        <w:rPr>
          <w:rFonts w:ascii="Times New Roman" w:cs="Times New Roman" w:eastAsia="Times New Roman" w:hAnsi="Times New Roman"/>
          <w:sz w:val="18"/>
          <w:szCs w:val="18"/>
          <w:b w:val="1"/>
          <w:bCs w:val="1"/>
          <w:color w:val="auto"/>
        </w:rPr>
      </w:pPr>
    </w:p>
    <w:p>
      <w:pPr>
        <w:ind w:firstLine="436"/>
        <w:spacing w:after="0" w:line="333" w:lineRule="auto"/>
        <w:tabs>
          <w:tab w:leader="none" w:pos="676" w:val="left"/>
        </w:tabs>
        <w:numPr>
          <w:ilvl w:val="1"/>
          <w:numId w:val="3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Application. </w:t>
      </w:r>
      <w:r>
        <w:rPr>
          <w:rFonts w:ascii="Times New Roman" w:cs="Times New Roman" w:eastAsia="Times New Roman" w:hAnsi="Times New Roman"/>
          <w:sz w:val="16"/>
          <w:szCs w:val="16"/>
          <w:color w:val="auto"/>
        </w:rPr>
        <w:t>Unless the provisions of this Section of the Plan are expressly superseded by the provisions in the form of Award Agreement,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provisions of this Section shall apply and shall supersede anything to the contrary set forth in the Award Agreement for a Non-Exempt Award.</w:t>
      </w:r>
    </w:p>
    <w:p>
      <w:pPr>
        <w:spacing w:after="0" w:line="119" w:lineRule="exact"/>
        <w:rPr>
          <w:rFonts w:ascii="Times New Roman" w:cs="Times New Roman" w:eastAsia="Times New Roman" w:hAnsi="Times New Roman"/>
          <w:sz w:val="16"/>
          <w:szCs w:val="16"/>
          <w:b w:val="1"/>
          <w:bCs w:val="1"/>
          <w:color w:val="auto"/>
        </w:rPr>
      </w:pPr>
    </w:p>
    <w:p>
      <w:pPr>
        <w:ind w:right="260" w:firstLine="436"/>
        <w:spacing w:after="0" w:line="270" w:lineRule="auto"/>
        <w:tabs>
          <w:tab w:leader="none" w:pos="686" w:val="left"/>
        </w:tabs>
        <w:numPr>
          <w:ilvl w:val="1"/>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Awards Subject to Non-Exempt Severance Arrangements. </w:t>
      </w:r>
      <w:r>
        <w:rPr>
          <w:rFonts w:ascii="Times New Roman" w:cs="Times New Roman" w:eastAsia="Times New Roman" w:hAnsi="Times New Roman"/>
          <w:sz w:val="18"/>
          <w:szCs w:val="18"/>
          <w:color w:val="auto"/>
        </w:rPr>
        <w:t>To the extent a Non-Exempt Award is subject to 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application of a Non-Exempt Severance Arrangement, the following provisions of this subsection (b) apply.</w:t>
      </w:r>
    </w:p>
    <w:p>
      <w:pPr>
        <w:spacing w:after="0" w:line="166" w:lineRule="exact"/>
        <w:rPr>
          <w:rFonts w:ascii="Times New Roman" w:cs="Times New Roman" w:eastAsia="Times New Roman" w:hAnsi="Times New Roman"/>
          <w:sz w:val="18"/>
          <w:szCs w:val="18"/>
          <w:b w:val="1"/>
          <w:bCs w:val="1"/>
          <w:color w:val="auto"/>
        </w:rPr>
      </w:pPr>
    </w:p>
    <w:p>
      <w:pPr>
        <w:ind w:right="40" w:firstLine="972"/>
        <w:spacing w:after="0" w:line="251" w:lineRule="auto"/>
        <w:tabs>
          <w:tab w:leader="none" w:pos="1173" w:val="left"/>
        </w:tabs>
        <w:numPr>
          <w:ilvl w:val="2"/>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14"/>
          <w:szCs w:val="14"/>
          <w:color w:val="auto"/>
        </w:rPr>
        <w:t>st</w:t>
      </w:r>
      <w:r>
        <w:rPr>
          <w:rFonts w:ascii="Times New Roman" w:cs="Times New Roman" w:eastAsia="Times New Roman" w:hAnsi="Times New Roman"/>
          <w:sz w:val="18"/>
          <w:szCs w:val="18"/>
          <w:color w:val="auto"/>
        </w:rPr>
        <w:t xml:space="preserve"> of the calendar year that includes the applicable vesting date, or (ii) the 60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that follows the applicable vesting date.</w:t>
      </w:r>
    </w:p>
    <w:p>
      <w:pPr>
        <w:spacing w:after="0" w:line="184" w:lineRule="exact"/>
        <w:rPr>
          <w:rFonts w:ascii="Times New Roman" w:cs="Times New Roman" w:eastAsia="Times New Roman" w:hAnsi="Times New Roman"/>
          <w:sz w:val="18"/>
          <w:szCs w:val="18"/>
          <w:b w:val="1"/>
          <w:bCs w:val="1"/>
          <w:color w:val="auto"/>
        </w:rPr>
      </w:pPr>
    </w:p>
    <w:p>
      <w:pPr>
        <w:jc w:val="both"/>
        <w:ind w:right="340" w:firstLine="972"/>
        <w:spacing w:after="0" w:line="293" w:lineRule="auto"/>
        <w:tabs>
          <w:tab w:leader="none" w:pos="1222" w:val="left"/>
        </w:tabs>
        <w:numPr>
          <w:ilvl w:val="2"/>
          <w:numId w:val="3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680"/>
          </w:cols>
          <w:pgMar w:left="580" w:top="263" w:right="639" w:bottom="1440" w:gutter="0" w:footer="0" w:header="0"/>
        </w:sectPr>
      </w:pPr>
    </w:p>
    <w:bookmarkStart w:id="491" w:name="page492"/>
    <w:bookmarkEnd w:id="491"/>
    <w:p>
      <w:pPr>
        <w:ind w:left="440" w:right="80"/>
        <w:spacing w:after="0" w:line="29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Arrangement, but in no event later than the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52" w:lineRule="exact"/>
        <w:rPr>
          <w:sz w:val="20"/>
          <w:szCs w:val="20"/>
          <w:color w:val="auto"/>
        </w:rPr>
      </w:pPr>
    </w:p>
    <w:p>
      <w:pPr>
        <w:ind w:right="80" w:firstLine="972"/>
        <w:spacing w:after="0" w:line="247" w:lineRule="auto"/>
        <w:tabs>
          <w:tab w:leader="none" w:pos="1270" w:val="left"/>
        </w:tabs>
        <w:numPr>
          <w:ilvl w:val="2"/>
          <w:numId w:val="3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87"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1"/>
          <w:numId w:val="3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Treatment of Non-Exempt Awards Upon a Corporate Transaction for Employees and Consultants. </w:t>
      </w:r>
      <w:r>
        <w:rPr>
          <w:rFonts w:ascii="Times New Roman" w:cs="Times New Roman" w:eastAsia="Times New Roman" w:hAnsi="Times New Roman"/>
          <w:sz w:val="16"/>
          <w:szCs w:val="16"/>
          <w:color w:val="auto"/>
        </w:rPr>
        <w:t>The provisions of this subsection</w:t>
      </w:r>
    </w:p>
    <w:p>
      <w:pPr>
        <w:spacing w:after="0" w:line="45" w:lineRule="exact"/>
        <w:rPr>
          <w:rFonts w:ascii="Times New Roman" w:cs="Times New Roman" w:eastAsia="Times New Roman" w:hAnsi="Times New Roman"/>
          <w:sz w:val="16"/>
          <w:szCs w:val="16"/>
          <w:b w:val="1"/>
          <w:bCs w:val="1"/>
          <w:color w:val="auto"/>
        </w:rPr>
      </w:pPr>
    </w:p>
    <w:p>
      <w:pPr>
        <w:ind w:right="180" w:firstLine="8"/>
        <w:spacing w:after="0" w:line="245" w:lineRule="auto"/>
        <w:tabs>
          <w:tab w:leader="none" w:pos="238"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86" w:lineRule="exact"/>
        <w:rPr>
          <w:rFonts w:ascii="Times New Roman" w:cs="Times New Roman" w:eastAsia="Times New Roman" w:hAnsi="Times New Roman"/>
          <w:sz w:val="18"/>
          <w:szCs w:val="18"/>
          <w:color w:val="auto"/>
        </w:rPr>
      </w:pPr>
    </w:p>
    <w:p>
      <w:pPr>
        <w:ind w:left="1180" w:hanging="208"/>
        <w:spacing w:after="0"/>
        <w:tabs>
          <w:tab w:leader="none" w:pos="1180" w:val="left"/>
        </w:tabs>
        <w:numPr>
          <w:ilvl w:val="2"/>
          <w:numId w:val="3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Vested Non-Exempt Awards. </w:t>
      </w:r>
      <w:r>
        <w:rPr>
          <w:rFonts w:ascii="Times New Roman" w:cs="Times New Roman" w:eastAsia="Times New Roman" w:hAnsi="Times New Roman"/>
          <w:sz w:val="16"/>
          <w:szCs w:val="16"/>
          <w:color w:val="auto"/>
        </w:rPr>
        <w:t>The following provisions shall apply to any Vested Non-Exempt Award in connection with a Corporate</w:t>
      </w:r>
    </w:p>
    <w:p>
      <w:pPr>
        <w:spacing w:after="0" w:line="45"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Transaction:</w:t>
      </w:r>
    </w:p>
    <w:p>
      <w:pPr>
        <w:spacing w:after="0" w:line="195" w:lineRule="exact"/>
        <w:rPr>
          <w:rFonts w:ascii="Times New Roman" w:cs="Times New Roman" w:eastAsia="Times New Roman" w:hAnsi="Times New Roman"/>
          <w:sz w:val="16"/>
          <w:szCs w:val="16"/>
          <w:b w:val="1"/>
          <w:bCs w:val="1"/>
          <w:color w:val="auto"/>
        </w:rPr>
      </w:pPr>
    </w:p>
    <w:p>
      <w:pPr>
        <w:ind w:firstLine="1400"/>
        <w:spacing w:after="0" w:line="249" w:lineRule="auto"/>
        <w:tabs>
          <w:tab w:leader="none" w:pos="1640" w:val="left"/>
        </w:tabs>
        <w:numPr>
          <w:ilvl w:val="3"/>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86" w:lineRule="exact"/>
        <w:rPr>
          <w:rFonts w:ascii="Times New Roman" w:cs="Times New Roman" w:eastAsia="Times New Roman" w:hAnsi="Times New Roman"/>
          <w:sz w:val="18"/>
          <w:szCs w:val="18"/>
          <w:b w:val="1"/>
          <w:bCs w:val="1"/>
          <w:color w:val="auto"/>
        </w:rPr>
      </w:pPr>
    </w:p>
    <w:p>
      <w:pPr>
        <w:ind w:right="140" w:firstLine="1400"/>
        <w:spacing w:after="0" w:line="248" w:lineRule="auto"/>
        <w:tabs>
          <w:tab w:leader="none" w:pos="1640" w:val="left"/>
        </w:tabs>
        <w:numPr>
          <w:ilvl w:val="3"/>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85" w:lineRule="exact"/>
        <w:rPr>
          <w:sz w:val="20"/>
          <w:szCs w:val="20"/>
          <w:color w:val="auto"/>
        </w:rPr>
      </w:pPr>
    </w:p>
    <w:p>
      <w:pPr>
        <w:ind w:left="440" w:right="800" w:firstLine="407"/>
        <w:spacing w:after="0" w:line="270" w:lineRule="auto"/>
        <w:tabs>
          <w:tab w:leader="none" w:pos="1109"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Unvested Non-Exempt Awards. </w:t>
      </w:r>
      <w:r>
        <w:rPr>
          <w:rFonts w:ascii="Times New Roman" w:cs="Times New Roman" w:eastAsia="Times New Roman" w:hAnsi="Times New Roman"/>
          <w:sz w:val="18"/>
          <w:szCs w:val="18"/>
          <w:color w:val="auto"/>
        </w:rPr>
        <w:t>The following provisions shall apply to any Unvested Non-Exempt Award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pursuant to subsection (e) of this Section.</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00"/>
          </w:cols>
          <w:pgMar w:left="580" w:top="265" w:right="619" w:bottom="1440" w:gutter="0" w:footer="0" w:header="0"/>
        </w:sectPr>
      </w:pPr>
    </w:p>
    <w:bookmarkStart w:id="492" w:name="page493"/>
    <w:bookmarkEnd w:id="492"/>
    <w:p>
      <w:pPr>
        <w:ind w:left="-20" w:right="80" w:firstLine="1400"/>
        <w:spacing w:after="0" w:line="283" w:lineRule="auto"/>
        <w:tabs>
          <w:tab w:leader="none" w:pos="1620" w:val="left"/>
        </w:tabs>
        <w:numPr>
          <w:ilvl w:val="2"/>
          <w:numId w:val="3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61" w:lineRule="exact"/>
        <w:rPr>
          <w:rFonts w:ascii="Times New Roman" w:cs="Times New Roman" w:eastAsia="Times New Roman" w:hAnsi="Times New Roman"/>
          <w:sz w:val="16"/>
          <w:szCs w:val="16"/>
          <w:b w:val="1"/>
          <w:bCs w:val="1"/>
          <w:color w:val="auto"/>
        </w:rPr>
      </w:pPr>
    </w:p>
    <w:p>
      <w:pPr>
        <w:ind w:left="-20" w:right="20" w:firstLine="1400"/>
        <w:spacing w:after="0" w:line="247" w:lineRule="auto"/>
        <w:tabs>
          <w:tab w:leader="none" w:pos="1620" w:val="left"/>
        </w:tabs>
        <w:numPr>
          <w:ilvl w:val="2"/>
          <w:numId w:val="3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86" w:lineRule="exact"/>
        <w:rPr>
          <w:rFonts w:ascii="Times New Roman" w:cs="Times New Roman" w:eastAsia="Times New Roman" w:hAnsi="Times New Roman"/>
          <w:sz w:val="18"/>
          <w:szCs w:val="18"/>
          <w:b w:val="1"/>
          <w:bCs w:val="1"/>
          <w:color w:val="auto"/>
        </w:rPr>
      </w:pPr>
    </w:p>
    <w:p>
      <w:pPr>
        <w:ind w:left="-20" w:right="400" w:firstLine="1400"/>
        <w:spacing w:after="0" w:line="267" w:lineRule="auto"/>
        <w:tabs>
          <w:tab w:leader="none" w:pos="1620" w:val="left"/>
        </w:tabs>
        <w:numPr>
          <w:ilvl w:val="2"/>
          <w:numId w:val="3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167" w:lineRule="exact"/>
        <w:rPr>
          <w:rFonts w:ascii="Times New Roman" w:cs="Times New Roman" w:eastAsia="Times New Roman" w:hAnsi="Times New Roman"/>
          <w:sz w:val="18"/>
          <w:szCs w:val="18"/>
          <w:b w:val="1"/>
          <w:bCs w:val="1"/>
          <w:color w:val="auto"/>
        </w:rPr>
      </w:pPr>
    </w:p>
    <w:p>
      <w:pPr>
        <w:ind w:left="-20" w:right="440" w:firstLine="436"/>
        <w:spacing w:after="0" w:line="256" w:lineRule="auto"/>
        <w:tabs>
          <w:tab w:leader="none" w:pos="666" w:val="left"/>
        </w:tabs>
        <w:numPr>
          <w:ilvl w:val="0"/>
          <w:numId w:val="3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Non-Employee Directors. </w:t>
      </w:r>
      <w:r>
        <w:rPr>
          <w:rFonts w:ascii="Times New Roman" w:cs="Times New Roman" w:eastAsia="Times New Roman" w:hAnsi="Times New Roman"/>
          <w:sz w:val="18"/>
          <w:szCs w:val="18"/>
          <w:color w:val="auto"/>
        </w:rPr>
        <w:t>The following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79" w:lineRule="exact"/>
        <w:rPr>
          <w:rFonts w:ascii="Times New Roman" w:cs="Times New Roman" w:eastAsia="Times New Roman" w:hAnsi="Times New Roman"/>
          <w:sz w:val="18"/>
          <w:szCs w:val="18"/>
          <w:b w:val="1"/>
          <w:bCs w:val="1"/>
          <w:color w:val="auto"/>
        </w:rPr>
      </w:pPr>
    </w:p>
    <w:p>
      <w:pPr>
        <w:ind w:left="-20" w:firstLine="972"/>
        <w:spacing w:after="0" w:line="249" w:lineRule="auto"/>
        <w:tabs>
          <w:tab w:leader="none" w:pos="1153" w:val="left"/>
        </w:tabs>
        <w:numPr>
          <w:ilvl w:val="1"/>
          <w:numId w:val="3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680"/>
          </w:cols>
          <w:pgMar w:left="600" w:top="265" w:right="619" w:bottom="1440" w:gutter="0" w:footer="0" w:header="0"/>
        </w:sectPr>
      </w:pPr>
    </w:p>
    <w:bookmarkStart w:id="493" w:name="page494"/>
    <w:bookmarkEnd w:id="493"/>
    <w:p>
      <w:pPr>
        <w:ind w:left="-20" w:right="20" w:firstLine="972"/>
        <w:spacing w:after="0" w:line="283" w:lineRule="auto"/>
        <w:tabs>
          <w:tab w:leader="none" w:pos="1202" w:val="left"/>
        </w:tabs>
        <w:numPr>
          <w:ilvl w:val="1"/>
          <w:numId w:val="3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61" w:lineRule="exact"/>
        <w:rPr>
          <w:rFonts w:ascii="Times New Roman" w:cs="Times New Roman" w:eastAsia="Times New Roman" w:hAnsi="Times New Roman"/>
          <w:sz w:val="16"/>
          <w:szCs w:val="16"/>
          <w:b w:val="1"/>
          <w:bCs w:val="1"/>
          <w:color w:val="auto"/>
        </w:rPr>
      </w:pPr>
    </w:p>
    <w:p>
      <w:pPr>
        <w:ind w:left="-20" w:right="300" w:firstLine="436"/>
        <w:spacing w:after="0" w:line="267" w:lineRule="auto"/>
        <w:tabs>
          <w:tab w:leader="none" w:pos="646" w:val="left"/>
        </w:tabs>
        <w:numPr>
          <w:ilvl w:val="0"/>
          <w:numId w:val="3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64" w:lineRule="exact"/>
        <w:rPr>
          <w:rFonts w:ascii="Times New Roman" w:cs="Times New Roman" w:eastAsia="Times New Roman" w:hAnsi="Times New Roman"/>
          <w:sz w:val="18"/>
          <w:szCs w:val="18"/>
          <w:b w:val="1"/>
          <w:bCs w:val="1"/>
          <w:color w:val="auto"/>
        </w:rPr>
      </w:pPr>
    </w:p>
    <w:p>
      <w:pPr>
        <w:ind w:left="-20" w:right="360" w:firstLine="972"/>
        <w:spacing w:after="0" w:line="255" w:lineRule="auto"/>
        <w:tabs>
          <w:tab w:leader="none" w:pos="1153" w:val="left"/>
        </w:tabs>
        <w:numPr>
          <w:ilvl w:val="1"/>
          <w:numId w:val="3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80" w:lineRule="exact"/>
        <w:rPr>
          <w:sz w:val="20"/>
          <w:szCs w:val="20"/>
          <w:color w:val="auto"/>
        </w:rPr>
      </w:pPr>
    </w:p>
    <w:p>
      <w:pPr>
        <w:ind w:left="-20" w:right="140" w:firstLine="972"/>
        <w:spacing w:after="0" w:line="267" w:lineRule="auto"/>
        <w:tabs>
          <w:tab w:leader="none" w:pos="1198" w:val="left"/>
        </w:tabs>
        <w:numPr>
          <w:ilvl w:val="0"/>
          <w:numId w:val="3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69" w:lineRule="exact"/>
        <w:rPr>
          <w:rFonts w:ascii="Times New Roman" w:cs="Times New Roman" w:eastAsia="Times New Roman" w:hAnsi="Times New Roman"/>
          <w:sz w:val="18"/>
          <w:szCs w:val="18"/>
          <w:b w:val="1"/>
          <w:bCs w:val="1"/>
          <w:color w:val="auto"/>
        </w:rPr>
      </w:pPr>
    </w:p>
    <w:p>
      <w:pPr>
        <w:ind w:left="-20" w:firstLine="972"/>
        <w:spacing w:after="0" w:line="282" w:lineRule="auto"/>
        <w:tabs>
          <w:tab w:leader="none" w:pos="1250" w:val="left"/>
        </w:tabs>
        <w:numPr>
          <w:ilvl w:val="0"/>
          <w:numId w:val="3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61" w:lineRule="exact"/>
        <w:rPr>
          <w:rFonts w:ascii="Times New Roman" w:cs="Times New Roman" w:eastAsia="Times New Roman" w:hAnsi="Times New Roman"/>
          <w:sz w:val="16"/>
          <w:szCs w:val="16"/>
          <w:b w:val="1"/>
          <w:bCs w:val="1"/>
          <w:color w:val="auto"/>
        </w:rPr>
      </w:pPr>
    </w:p>
    <w:p>
      <w:pPr>
        <w:ind w:left="-20" w:right="60" w:firstLine="972"/>
        <w:spacing w:after="0" w:line="255" w:lineRule="auto"/>
        <w:tabs>
          <w:tab w:leader="none" w:pos="1240" w:val="left"/>
        </w:tabs>
        <w:numPr>
          <w:ilvl w:val="0"/>
          <w:numId w:val="3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680"/>
          </w:cols>
          <w:pgMar w:left="600" w:top="265" w:right="619" w:bottom="1440" w:gutter="0" w:footer="0" w:header="0"/>
        </w:sectPr>
      </w:pPr>
    </w:p>
    <w:bookmarkStart w:id="494" w:name="page495"/>
    <w:bookmarkEnd w:id="494"/>
    <w:p>
      <w:pPr>
        <w:ind w:left="420" w:hanging="412"/>
        <w:spacing w:after="0"/>
        <w:tabs>
          <w:tab w:leader="none" w:pos="420" w:val="left"/>
        </w:tabs>
        <w:numPr>
          <w:ilvl w:val="0"/>
          <w:numId w:val="3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b w:val="1"/>
          <w:bCs w:val="1"/>
          <w:color w:val="auto"/>
        </w:rPr>
        <w:t>.</w:t>
      </w:r>
    </w:p>
    <w:p>
      <w:pPr>
        <w:spacing w:after="0" w:line="110" w:lineRule="exact"/>
        <w:rPr>
          <w:sz w:val="20"/>
          <w:szCs w:val="20"/>
          <w:color w:val="auto"/>
        </w:rPr>
      </w:pPr>
    </w:p>
    <w:p>
      <w:pPr>
        <w:ind w:firstLine="428"/>
        <w:spacing w:after="0" w:line="251"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327" w:lineRule="exact"/>
        <w:rPr>
          <w:sz w:val="20"/>
          <w:szCs w:val="20"/>
          <w:color w:val="auto"/>
        </w:rPr>
      </w:pPr>
    </w:p>
    <w:p>
      <w:pPr>
        <w:ind w:left="420" w:hanging="412"/>
        <w:spacing w:after="0"/>
        <w:tabs>
          <w:tab w:leader="none" w:pos="420" w:val="left"/>
        </w:tabs>
        <w:numPr>
          <w:ilvl w:val="0"/>
          <w:numId w:val="3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Board may suspend or terminate the Plan at any time. No Incentive Stock Options may be granted after the tenth anniversary of the earlier of:</w:t>
      </w:r>
    </w:p>
    <w:p>
      <w:pPr>
        <w:spacing w:after="0" w:line="44" w:lineRule="exact"/>
        <w:rPr>
          <w:sz w:val="20"/>
          <w:szCs w:val="20"/>
          <w:color w:val="auto"/>
        </w:rPr>
      </w:pPr>
    </w:p>
    <w:p>
      <w:pPr>
        <w:ind w:right="120" w:firstLine="8"/>
        <w:spacing w:after="0" w:line="247" w:lineRule="auto"/>
        <w:tabs>
          <w:tab w:leader="none" w:pos="209"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Date, or (ii) the date the Plan is approved by the Company’s stockholders. No Awards may be granted under the Plan while the Plan is suspended or after it is terminated.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680"/>
          </w:cols>
          <w:pgMar w:left="580" w:top="263" w:right="639" w:bottom="1440" w:gutter="0" w:footer="0" w:header="0"/>
        </w:sectPr>
      </w:pPr>
    </w:p>
    <w:bookmarkStart w:id="495" w:name="page496"/>
    <w:bookmarkEnd w:id="495"/>
    <w:p>
      <w:pPr>
        <w:ind w:left="412" w:hanging="412"/>
        <w:spacing w:after="0"/>
        <w:tabs>
          <w:tab w:leader="none" w:pos="412"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110"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104" w:lineRule="exact"/>
        <w:rPr>
          <w:sz w:val="20"/>
          <w:szCs w:val="20"/>
          <w:color w:val="auto"/>
        </w:rPr>
      </w:pPr>
    </w:p>
    <w:p>
      <w:pPr>
        <w:ind w:left="672" w:hanging="244"/>
        <w:spacing w:after="0"/>
        <w:tabs>
          <w:tab w:leader="none" w:pos="672"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 Transaction.</w:t>
      </w:r>
    </w:p>
    <w:p>
      <w:pPr>
        <w:spacing w:after="0" w:line="213" w:lineRule="exact"/>
        <w:rPr>
          <w:rFonts w:ascii="Times New Roman" w:cs="Times New Roman" w:eastAsia="Times New Roman" w:hAnsi="Times New Roman"/>
          <w:sz w:val="18"/>
          <w:szCs w:val="18"/>
          <w:b w:val="1"/>
          <w:bCs w:val="1"/>
          <w:color w:val="auto"/>
        </w:rPr>
      </w:pPr>
    </w:p>
    <w:p>
      <w:pPr>
        <w:ind w:left="692" w:hanging="264"/>
        <w:spacing w:after="0"/>
        <w:tabs>
          <w:tab w:leader="none" w:pos="692"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w:t>
      </w:r>
    </w:p>
    <w:p>
      <w:pPr>
        <w:spacing w:after="0" w:line="213" w:lineRule="exact"/>
        <w:rPr>
          <w:rFonts w:ascii="Times New Roman" w:cs="Times New Roman" w:eastAsia="Times New Roman" w:hAnsi="Times New Roman"/>
          <w:sz w:val="18"/>
          <w:szCs w:val="18"/>
          <w:b w:val="1"/>
          <w:bCs w:val="1"/>
          <w:color w:val="auto"/>
        </w:rPr>
      </w:pPr>
    </w:p>
    <w:p>
      <w:pPr>
        <w:ind w:left="-8" w:right="340" w:firstLine="436"/>
        <w:spacing w:after="0" w:line="258" w:lineRule="auto"/>
        <w:tabs>
          <w:tab w:leader="none" w:pos="659"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72" w:lineRule="exact"/>
        <w:rPr>
          <w:rFonts w:ascii="Times New Roman" w:cs="Times New Roman" w:eastAsia="Times New Roman" w:hAnsi="Times New Roman"/>
          <w:sz w:val="18"/>
          <w:szCs w:val="18"/>
          <w:b w:val="1"/>
          <w:bCs w:val="1"/>
          <w:color w:val="auto"/>
        </w:rPr>
      </w:pPr>
    </w:p>
    <w:p>
      <w:pPr>
        <w:ind w:left="-8" w:firstLine="436"/>
        <w:spacing w:after="0" w:line="250" w:lineRule="auto"/>
        <w:tabs>
          <w:tab w:leader="none" w:pos="678"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82" w:lineRule="exact"/>
        <w:rPr>
          <w:rFonts w:ascii="Times New Roman" w:cs="Times New Roman" w:eastAsia="Times New Roman" w:hAnsi="Times New Roman"/>
          <w:sz w:val="18"/>
          <w:szCs w:val="18"/>
          <w:b w:val="1"/>
          <w:bCs w:val="1"/>
          <w:color w:val="auto"/>
        </w:rPr>
      </w:pPr>
    </w:p>
    <w:p>
      <w:pPr>
        <w:ind w:left="-8" w:right="300" w:firstLine="436"/>
        <w:spacing w:after="0" w:line="272" w:lineRule="auto"/>
        <w:tabs>
          <w:tab w:leader="none" w:pos="659"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an RSU Award, a SAR, a Performance Award or any Other Award).</w:t>
      </w:r>
    </w:p>
    <w:p>
      <w:pPr>
        <w:spacing w:after="0" w:line="161" w:lineRule="exact"/>
        <w:rPr>
          <w:rFonts w:ascii="Times New Roman" w:cs="Times New Roman" w:eastAsia="Times New Roman" w:hAnsi="Times New Roman"/>
          <w:sz w:val="18"/>
          <w:szCs w:val="18"/>
          <w:b w:val="1"/>
          <w:bCs w:val="1"/>
          <w:color w:val="auto"/>
        </w:rPr>
      </w:pPr>
    </w:p>
    <w:p>
      <w:pPr>
        <w:ind w:left="-8" w:right="140" w:firstLine="436"/>
        <w:spacing w:after="0" w:line="305" w:lineRule="auto"/>
        <w:tabs>
          <w:tab w:leader="none" w:pos="639" w:val="left"/>
        </w:tabs>
        <w:numPr>
          <w:ilvl w:val="0"/>
          <w:numId w:val="3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Award Agreement</w:t>
      </w:r>
      <w:r>
        <w:rPr>
          <w:rFonts w:ascii="Times New Roman" w:cs="Times New Roman" w:eastAsia="Times New Roman" w:hAnsi="Times New Roman"/>
          <w:sz w:val="16"/>
          <w:szCs w:val="16"/>
          <w:color w:val="auto"/>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138" w:lineRule="exact"/>
        <w:rPr>
          <w:rFonts w:ascii="Times New Roman" w:cs="Times New Roman" w:eastAsia="Times New Roman" w:hAnsi="Times New Roman"/>
          <w:sz w:val="16"/>
          <w:szCs w:val="16"/>
          <w:b w:val="1"/>
          <w:bCs w:val="1"/>
          <w:color w:val="auto"/>
        </w:rPr>
      </w:pPr>
    </w:p>
    <w:p>
      <w:pPr>
        <w:ind w:left="-8" w:right="20" w:firstLine="436"/>
        <w:spacing w:after="0" w:line="258" w:lineRule="auto"/>
        <w:tabs>
          <w:tab w:leader="none" w:pos="668"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72" w:lineRule="exact"/>
        <w:rPr>
          <w:rFonts w:ascii="Times New Roman" w:cs="Times New Roman" w:eastAsia="Times New Roman" w:hAnsi="Times New Roman"/>
          <w:sz w:val="18"/>
          <w:szCs w:val="18"/>
          <w:b w:val="1"/>
          <w:bCs w:val="1"/>
          <w:color w:val="auto"/>
        </w:rPr>
      </w:pPr>
    </w:p>
    <w:p>
      <w:pPr>
        <w:ind w:left="-8" w:right="140" w:firstLine="436"/>
        <w:spacing w:after="0" w:line="248" w:lineRule="auto"/>
        <w:tabs>
          <w:tab w:leader="none" w:pos="678"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or subject to any Award after the date the Plan is adopted by the Board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2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672"/>
          </w:cols>
          <w:pgMar w:left="588" w:top="263" w:right="639" w:bottom="1440" w:gutter="0" w:footer="0" w:header="0"/>
        </w:sectPr>
      </w:pPr>
    </w:p>
    <w:bookmarkStart w:id="496" w:name="page497"/>
    <w:bookmarkEnd w:id="496"/>
    <w:p>
      <w:pPr>
        <w:ind w:left="-20" w:firstLine="436"/>
        <w:spacing w:after="0" w:line="279" w:lineRule="auto"/>
        <w:tabs>
          <w:tab w:leader="none" w:pos="617" w:val="left"/>
        </w:tabs>
        <w:numPr>
          <w:ilvl w:val="0"/>
          <w:numId w:val="3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b w:val="1"/>
          <w:bCs w:val="1"/>
          <w:i w:val="1"/>
          <w:iCs w:val="1"/>
          <w:color w:val="auto"/>
        </w:rPr>
        <w:t>Cause</w:t>
      </w:r>
      <w:r>
        <w:rPr>
          <w:rFonts w:ascii="Times New Roman" w:cs="Times New Roman" w:eastAsia="Times New Roman" w:hAnsi="Times New Roman"/>
          <w:sz w:val="16"/>
          <w:szCs w:val="16"/>
          <w:color w:val="auto"/>
        </w:rPr>
        <w:t>” has the meaning ascribed to such term in any written agreement between a 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374" w:lineRule="exact"/>
        <w:rPr>
          <w:rFonts w:ascii="Times New Roman" w:cs="Times New Roman" w:eastAsia="Times New Roman" w:hAnsi="Times New Roman"/>
          <w:sz w:val="16"/>
          <w:szCs w:val="16"/>
          <w:b w:val="1"/>
          <w:bCs w:val="1"/>
          <w:color w:val="auto"/>
        </w:rPr>
      </w:pPr>
    </w:p>
    <w:p>
      <w:pPr>
        <w:ind w:left="-20" w:right="100" w:firstLine="436"/>
        <w:spacing w:after="0" w:line="272" w:lineRule="auto"/>
        <w:tabs>
          <w:tab w:leader="none" w:pos="627" w:val="left"/>
        </w:tabs>
        <w:numPr>
          <w:ilvl w:val="0"/>
          <w:numId w:val="3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w:t>
      </w:r>
    </w:p>
    <w:p>
      <w:pPr>
        <w:spacing w:after="0" w:line="59" w:lineRule="exact"/>
        <w:rPr>
          <w:rFonts w:ascii="Times New Roman" w:cs="Times New Roman" w:eastAsia="Times New Roman" w:hAnsi="Times New Roman"/>
          <w:sz w:val="18"/>
          <w:szCs w:val="18"/>
          <w:b w:val="1"/>
          <w:bCs w:val="1"/>
          <w:color w:val="auto"/>
        </w:rPr>
      </w:pPr>
    </w:p>
    <w:p>
      <w:pPr>
        <w:ind w:left="-20" w:right="20" w:firstLine="972"/>
        <w:spacing w:after="0" w:line="280" w:lineRule="auto"/>
        <w:tabs>
          <w:tab w:leader="none" w:pos="1153" w:val="left"/>
        </w:tabs>
        <w:numPr>
          <w:ilvl w:val="1"/>
          <w:numId w:val="3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6"/>
          <w:szCs w:val="16"/>
          <w:i w:val="1"/>
          <w:iCs w:val="1"/>
          <w:color w:val="auto"/>
        </w:rPr>
        <w:t>Subject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Person</w:t>
      </w:r>
      <w:r>
        <w:rPr>
          <w:rFonts w:ascii="Times New Roman" w:cs="Times New Roman" w:eastAsia="Times New Roman" w:hAnsi="Times New Roman"/>
          <w:sz w:val="16"/>
          <w:szCs w:val="16"/>
          <w:color w:val="auto"/>
        </w:rPr>
        <w:t>”) exceeds the designated percentage threshold of the outstanding voting securities as a result of a repurchase or other acquisition of voting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00"/>
          </w:cols>
          <w:pgMar w:left="600" w:top="261" w:right="599" w:bottom="1440" w:gutter="0" w:footer="0" w:header="0"/>
        </w:sectPr>
      </w:pPr>
    </w:p>
    <w:bookmarkStart w:id="497" w:name="page498"/>
    <w:bookmarkEnd w:id="497"/>
    <w:p>
      <w:pPr>
        <w:ind w:right="140" w:firstLine="972"/>
        <w:spacing w:after="0" w:line="248" w:lineRule="auto"/>
        <w:tabs>
          <w:tab w:leader="none" w:pos="1222"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spacing w:after="0" w:line="187" w:lineRule="exact"/>
        <w:rPr>
          <w:rFonts w:ascii="Times New Roman" w:cs="Times New Roman" w:eastAsia="Times New Roman" w:hAnsi="Times New Roman"/>
          <w:sz w:val="18"/>
          <w:szCs w:val="18"/>
          <w:b w:val="1"/>
          <w:bCs w:val="1"/>
          <w:color w:val="auto"/>
        </w:rPr>
      </w:pPr>
    </w:p>
    <w:p>
      <w:pPr>
        <w:ind w:right="100" w:firstLine="972"/>
        <w:spacing w:after="0" w:line="249" w:lineRule="auto"/>
        <w:tabs>
          <w:tab w:leader="none" w:pos="1270"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82" w:lineRule="exact"/>
        <w:rPr>
          <w:rFonts w:ascii="Times New Roman" w:cs="Times New Roman" w:eastAsia="Times New Roman" w:hAnsi="Times New Roman"/>
          <w:sz w:val="18"/>
          <w:szCs w:val="18"/>
          <w:b w:val="1"/>
          <w:bCs w:val="1"/>
          <w:color w:val="auto"/>
        </w:rPr>
      </w:pPr>
    </w:p>
    <w:p>
      <w:pPr>
        <w:ind w:right="100" w:firstLine="972"/>
        <w:spacing w:after="0" w:line="253" w:lineRule="auto"/>
        <w:tabs>
          <w:tab w:leader="none" w:pos="1260"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1" w:lineRule="exact"/>
        <w:rPr>
          <w:sz w:val="20"/>
          <w:szCs w:val="20"/>
          <w:color w:val="auto"/>
        </w:rPr>
      </w:pPr>
    </w:p>
    <w:p>
      <w:pPr>
        <w:ind w:firstLine="428"/>
        <w:spacing w:after="0" w:line="247"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185" w:lineRule="exact"/>
        <w:rPr>
          <w:sz w:val="20"/>
          <w:szCs w:val="20"/>
          <w:color w:val="auto"/>
        </w:rPr>
      </w:pPr>
    </w:p>
    <w:p>
      <w:pPr>
        <w:ind w:left="700" w:hanging="264"/>
        <w:spacing w:after="0"/>
        <w:tabs>
          <w:tab w:leader="none" w:pos="700"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13" w:lineRule="exact"/>
        <w:rPr>
          <w:rFonts w:ascii="Times New Roman" w:cs="Times New Roman" w:eastAsia="Times New Roman" w:hAnsi="Times New Roman"/>
          <w:sz w:val="18"/>
          <w:szCs w:val="18"/>
          <w:b w:val="1"/>
          <w:bCs w:val="1"/>
          <w:color w:val="auto"/>
        </w:rPr>
      </w:pPr>
    </w:p>
    <w:p>
      <w:pPr>
        <w:ind w:left="640" w:hanging="204"/>
        <w:spacing w:after="0"/>
        <w:tabs>
          <w:tab w:leader="none" w:pos="640"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Combined Common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means the common stock of the Company of all classes.</w:t>
      </w:r>
    </w:p>
    <w:p>
      <w:pPr>
        <w:spacing w:after="0" w:line="213" w:lineRule="exact"/>
        <w:rPr>
          <w:rFonts w:ascii="Times New Roman" w:cs="Times New Roman" w:eastAsia="Times New Roman" w:hAnsi="Times New Roman"/>
          <w:sz w:val="18"/>
          <w:szCs w:val="18"/>
          <w:b w:val="1"/>
          <w:bCs w:val="1"/>
          <w:color w:val="auto"/>
        </w:rPr>
      </w:pPr>
    </w:p>
    <w:p>
      <w:pPr>
        <w:ind w:right="100" w:firstLine="436"/>
        <w:spacing w:after="0" w:line="272" w:lineRule="auto"/>
        <w:tabs>
          <w:tab w:leader="none" w:pos="734"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one or more Directors to whom authority has been delegated by the Board or Compensation Committee in accordance with the Plan.</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660"/>
          </w:cols>
          <w:pgMar w:left="580" w:top="265" w:right="659" w:bottom="1440" w:gutter="0" w:footer="0" w:header="0"/>
        </w:sectPr>
      </w:pPr>
    </w:p>
    <w:bookmarkStart w:id="498" w:name="page499"/>
    <w:bookmarkEnd w:id="498"/>
    <w:p>
      <w:pPr>
        <w:ind w:left="700" w:hanging="264"/>
        <w:spacing w:after="0"/>
        <w:tabs>
          <w:tab w:leader="none" w:pos="70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Class A common stock of the Company.</w:t>
      </w:r>
    </w:p>
    <w:p>
      <w:pPr>
        <w:spacing w:after="0" w:line="213"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Tempus Labs, Inc., a Delaware corporation.</w:t>
      </w:r>
    </w:p>
    <w:p>
      <w:pPr>
        <w:spacing w:after="0" w:line="213"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13" w:lineRule="exact"/>
        <w:rPr>
          <w:rFonts w:ascii="Times New Roman" w:cs="Times New Roman" w:eastAsia="Times New Roman" w:hAnsi="Times New Roman"/>
          <w:sz w:val="18"/>
          <w:szCs w:val="18"/>
          <w:b w:val="1"/>
          <w:bCs w:val="1"/>
          <w:color w:val="auto"/>
        </w:rPr>
      </w:pPr>
    </w:p>
    <w:p>
      <w:pPr>
        <w:ind w:right="60" w:firstLine="436"/>
        <w:spacing w:after="0" w:line="250" w:lineRule="auto"/>
        <w:tabs>
          <w:tab w:leader="none" w:pos="686"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45" w:lineRule="auto"/>
        <w:tabs>
          <w:tab w:leader="none" w:pos="666"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91" w:lineRule="exact"/>
        <w:rPr>
          <w:rFonts w:ascii="Times New Roman" w:cs="Times New Roman" w:eastAsia="Times New Roman" w:hAnsi="Times New Roman"/>
          <w:sz w:val="18"/>
          <w:szCs w:val="18"/>
          <w:b w:val="1"/>
          <w:bCs w:val="1"/>
          <w:color w:val="auto"/>
        </w:rPr>
      </w:pPr>
    </w:p>
    <w:p>
      <w:pPr>
        <w:ind w:right="440" w:firstLine="436"/>
        <w:spacing w:after="0" w:line="272" w:lineRule="auto"/>
        <w:tabs>
          <w:tab w:leader="none" w:pos="657"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59" w:lineRule="exact"/>
        <w:rPr>
          <w:rFonts w:ascii="Times New Roman" w:cs="Times New Roman" w:eastAsia="Times New Roman" w:hAnsi="Times New Roman"/>
          <w:sz w:val="18"/>
          <w:szCs w:val="18"/>
          <w:b w:val="1"/>
          <w:bCs w:val="1"/>
          <w:color w:val="auto"/>
        </w:rPr>
      </w:pPr>
    </w:p>
    <w:p>
      <w:pPr>
        <w:ind w:left="1180" w:hanging="208"/>
        <w:spacing w:after="0"/>
        <w:tabs>
          <w:tab w:leader="none" w:pos="1180" w:val="left"/>
        </w:tabs>
        <w:numPr>
          <w:ilvl w:val="1"/>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w:t>
      </w:r>
    </w:p>
    <w:p>
      <w:pPr>
        <w:spacing w:after="0" w:line="20"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w:t>
      </w:r>
    </w:p>
    <w:p>
      <w:pPr>
        <w:spacing w:after="0" w:line="195"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20"/>
          </w:cols>
          <w:pgMar w:left="580" w:top="261" w:right="599" w:bottom="1440" w:gutter="0" w:footer="0" w:header="0"/>
        </w:sectPr>
      </w:pPr>
    </w:p>
    <w:bookmarkStart w:id="499" w:name="page500"/>
    <w:bookmarkEnd w:id="499"/>
    <w:p>
      <w:pPr>
        <w:ind w:left="1280" w:hanging="308"/>
        <w:spacing w:after="0"/>
        <w:tabs>
          <w:tab w:leader="none" w:pos="128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 merger, consolidation or similar transaction following which the Company is not the surviving corporation; or</w:t>
      </w:r>
    </w:p>
    <w:p>
      <w:pPr>
        <w:spacing w:after="0" w:line="213" w:lineRule="exact"/>
        <w:rPr>
          <w:rFonts w:ascii="Times New Roman" w:cs="Times New Roman" w:eastAsia="Times New Roman" w:hAnsi="Times New Roman"/>
          <w:sz w:val="18"/>
          <w:szCs w:val="18"/>
          <w:b w:val="1"/>
          <w:bCs w:val="1"/>
          <w:color w:val="auto"/>
        </w:rPr>
      </w:pPr>
    </w:p>
    <w:p>
      <w:pPr>
        <w:ind w:right="240" w:firstLine="972"/>
        <w:spacing w:after="0" w:line="255" w:lineRule="auto"/>
        <w:tabs>
          <w:tab w:leader="none" w:pos="126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0" w:lineRule="exact"/>
        <w:rPr>
          <w:sz w:val="20"/>
          <w:szCs w:val="20"/>
          <w:color w:val="auto"/>
        </w:rPr>
      </w:pPr>
    </w:p>
    <w:p>
      <w:pPr>
        <w:ind w:firstLine="428"/>
        <w:spacing w:after="0" w:line="247"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185" w:lineRule="exact"/>
        <w:rPr>
          <w:sz w:val="20"/>
          <w:szCs w:val="20"/>
          <w:color w:val="auto"/>
        </w:rPr>
      </w:pPr>
    </w:p>
    <w:p>
      <w:pPr>
        <w:ind w:left="660" w:hanging="224"/>
        <w:spacing w:after="0"/>
        <w:tabs>
          <w:tab w:leader="none" w:pos="660" w:val="left"/>
        </w:tabs>
        <w:numPr>
          <w:ilvl w:val="0"/>
          <w:numId w:val="3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13"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3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213" w:lineRule="exact"/>
        <w:rPr>
          <w:rFonts w:ascii="Times New Roman" w:cs="Times New Roman" w:eastAsia="Times New Roman" w:hAnsi="Times New Roman"/>
          <w:sz w:val="18"/>
          <w:szCs w:val="18"/>
          <w:b w:val="1"/>
          <w:bCs w:val="1"/>
          <w:color w:val="auto"/>
        </w:rPr>
      </w:pPr>
    </w:p>
    <w:p>
      <w:pPr>
        <w:jc w:val="both"/>
        <w:ind w:right="380" w:firstLine="436"/>
        <w:spacing w:after="0" w:line="253" w:lineRule="auto"/>
        <w:tabs>
          <w:tab w:leader="none" w:pos="676" w:val="left"/>
        </w:tabs>
        <w:numPr>
          <w:ilvl w:val="0"/>
          <w:numId w:val="3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77" w:lineRule="exact"/>
        <w:rPr>
          <w:rFonts w:ascii="Times New Roman" w:cs="Times New Roman" w:eastAsia="Times New Roman" w:hAnsi="Times New Roman"/>
          <w:sz w:val="18"/>
          <w:szCs w:val="18"/>
          <w:b w:val="1"/>
          <w:bCs w:val="1"/>
          <w:color w:val="auto"/>
        </w:rPr>
      </w:pPr>
    </w:p>
    <w:p>
      <w:pPr>
        <w:ind w:left="720" w:hanging="284"/>
        <w:spacing w:after="0"/>
        <w:tabs>
          <w:tab w:leader="none" w:pos="720" w:val="left"/>
        </w:tabs>
        <w:numPr>
          <w:ilvl w:val="0"/>
          <w:numId w:val="3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immediately prior to the IPO Date, provided that this Plan is approved by the Company’s stockholders prior to the</w:t>
      </w:r>
    </w:p>
    <w:p>
      <w:pPr>
        <w:spacing w:after="0" w:line="2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IPO Date.</w:t>
      </w:r>
    </w:p>
    <w:p>
      <w:pPr>
        <w:spacing w:after="0" w:line="191" w:lineRule="exact"/>
        <w:rPr>
          <w:rFonts w:ascii="Times New Roman" w:cs="Times New Roman" w:eastAsia="Times New Roman" w:hAnsi="Times New Roman"/>
          <w:sz w:val="18"/>
          <w:szCs w:val="18"/>
          <w:b w:val="1"/>
          <w:bCs w:val="1"/>
          <w:color w:val="auto"/>
        </w:rPr>
      </w:pPr>
    </w:p>
    <w:p>
      <w:pPr>
        <w:ind w:right="160" w:firstLine="436"/>
        <w:spacing w:after="0" w:line="272" w:lineRule="auto"/>
        <w:tabs>
          <w:tab w:leader="none" w:pos="676" w:val="left"/>
        </w:tabs>
        <w:numPr>
          <w:ilvl w:val="0"/>
          <w:numId w:val="3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61"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3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213"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3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13" w:lineRule="exact"/>
        <w:rPr>
          <w:sz w:val="20"/>
          <w:szCs w:val="20"/>
          <w:color w:val="auto"/>
        </w:rPr>
      </w:pPr>
    </w:p>
    <w:p>
      <w:pPr>
        <w:ind w:left="780" w:hanging="344"/>
        <w:spacing w:after="0"/>
        <w:tabs>
          <w:tab w:leader="none" w:pos="780"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51" w:lineRule="exact"/>
        <w:rPr>
          <w:rFonts w:ascii="Times New Roman" w:cs="Times New Roman" w:eastAsia="Times New Roman" w:hAnsi="Times New Roman"/>
          <w:sz w:val="18"/>
          <w:szCs w:val="18"/>
          <w:b w:val="1"/>
          <w:bCs w:val="1"/>
          <w:color w:val="auto"/>
        </w:rPr>
      </w:pPr>
    </w:p>
    <w:p>
      <w:pPr>
        <w:ind w:left="52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27</w:t>
      </w:r>
    </w:p>
    <w:p>
      <w:pPr>
        <w:sectPr>
          <w:pgSz w:w="11900" w:h="16838" w:orient="portrait"/>
          <w:cols w:equalWidth="0" w:num="1">
            <w:col w:w="10720"/>
          </w:cols>
          <w:pgMar w:left="580" w:top="265" w:right="599" w:bottom="1440" w:gutter="0" w:footer="0" w:header="0"/>
        </w:sectPr>
      </w:pPr>
    </w:p>
    <w:bookmarkStart w:id="500" w:name="page501"/>
    <w:bookmarkEnd w:id="500"/>
    <w:p>
      <w:pPr>
        <w:ind w:left="-60" w:firstLine="436"/>
        <w:spacing w:after="0" w:line="247" w:lineRule="auto"/>
        <w:tabs>
          <w:tab w:leader="none" w:pos="723" w:val="left"/>
        </w:tabs>
        <w:numPr>
          <w:ilvl w:val="0"/>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6" w:lineRule="exact"/>
        <w:rPr>
          <w:rFonts w:ascii="Times New Roman" w:cs="Times New Roman" w:eastAsia="Times New Roman" w:hAnsi="Times New Roman"/>
          <w:sz w:val="18"/>
          <w:szCs w:val="18"/>
          <w:b w:val="1"/>
          <w:bCs w:val="1"/>
          <w:color w:val="auto"/>
        </w:rPr>
      </w:pPr>
    </w:p>
    <w:p>
      <w:pPr>
        <w:ind w:left="-60" w:right="120" w:firstLine="436"/>
        <w:spacing w:after="0" w:line="272" w:lineRule="auto"/>
        <w:tabs>
          <w:tab w:leader="none" w:pos="684" w:val="left"/>
        </w:tabs>
        <w:numPr>
          <w:ilvl w:val="0"/>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59" w:lineRule="exact"/>
        <w:rPr>
          <w:rFonts w:ascii="Times New Roman" w:cs="Times New Roman" w:eastAsia="Times New Roman" w:hAnsi="Times New Roman"/>
          <w:sz w:val="18"/>
          <w:szCs w:val="18"/>
          <w:b w:val="1"/>
          <w:bCs w:val="1"/>
          <w:color w:val="auto"/>
        </w:rPr>
      </w:pPr>
    </w:p>
    <w:p>
      <w:pPr>
        <w:ind w:left="-60" w:firstLine="972"/>
        <w:spacing w:after="0" w:line="255" w:lineRule="auto"/>
        <w:tabs>
          <w:tab w:leader="none" w:pos="1113" w:val="left"/>
        </w:tabs>
        <w:numPr>
          <w:ilvl w:val="1"/>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80" w:lineRule="exact"/>
        <w:rPr>
          <w:rFonts w:ascii="Times New Roman" w:cs="Times New Roman" w:eastAsia="Times New Roman" w:hAnsi="Times New Roman"/>
          <w:sz w:val="18"/>
          <w:szCs w:val="18"/>
          <w:b w:val="1"/>
          <w:bCs w:val="1"/>
          <w:color w:val="auto"/>
        </w:rPr>
      </w:pPr>
    </w:p>
    <w:p>
      <w:pPr>
        <w:ind w:left="-60" w:right="260" w:firstLine="972"/>
        <w:spacing w:after="0" w:line="267" w:lineRule="auto"/>
        <w:tabs>
          <w:tab w:leader="none" w:pos="1162" w:val="left"/>
        </w:tabs>
        <w:numPr>
          <w:ilvl w:val="1"/>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169" w:lineRule="exact"/>
        <w:rPr>
          <w:rFonts w:ascii="Times New Roman" w:cs="Times New Roman" w:eastAsia="Times New Roman" w:hAnsi="Times New Roman"/>
          <w:sz w:val="18"/>
          <w:szCs w:val="18"/>
          <w:b w:val="1"/>
          <w:bCs w:val="1"/>
          <w:color w:val="auto"/>
        </w:rPr>
      </w:pPr>
    </w:p>
    <w:p>
      <w:pPr>
        <w:ind w:left="-60" w:right="560" w:firstLine="972"/>
        <w:spacing w:after="0" w:line="267" w:lineRule="auto"/>
        <w:tabs>
          <w:tab w:leader="none" w:pos="1210" w:val="left"/>
        </w:tabs>
        <w:numPr>
          <w:ilvl w:val="1"/>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65" w:lineRule="exact"/>
        <w:rPr>
          <w:rFonts w:ascii="Times New Roman" w:cs="Times New Roman" w:eastAsia="Times New Roman" w:hAnsi="Times New Roman"/>
          <w:sz w:val="18"/>
          <w:szCs w:val="18"/>
          <w:b w:val="1"/>
          <w:bCs w:val="1"/>
          <w:color w:val="auto"/>
        </w:rPr>
      </w:pPr>
    </w:p>
    <w:p>
      <w:pPr>
        <w:ind w:left="-60" w:right="120" w:firstLine="436"/>
        <w:spacing w:after="0" w:line="249" w:lineRule="auto"/>
        <w:tabs>
          <w:tab w:leader="none" w:pos="723" w:val="left"/>
        </w:tabs>
        <w:numPr>
          <w:ilvl w:val="0"/>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181" w:lineRule="exact"/>
        <w:rPr>
          <w:rFonts w:ascii="Times New Roman" w:cs="Times New Roman" w:eastAsia="Times New Roman" w:hAnsi="Times New Roman"/>
          <w:sz w:val="18"/>
          <w:szCs w:val="18"/>
          <w:b w:val="1"/>
          <w:bCs w:val="1"/>
          <w:color w:val="auto"/>
        </w:rPr>
      </w:pPr>
    </w:p>
    <w:p>
      <w:pPr>
        <w:jc w:val="both"/>
        <w:ind w:left="-60" w:right="200" w:firstLine="436"/>
        <w:spacing w:after="0" w:line="258" w:lineRule="auto"/>
        <w:tabs>
          <w:tab w:leader="none" w:pos="684" w:val="left"/>
        </w:tabs>
        <w:numPr>
          <w:ilvl w:val="0"/>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600"/>
          </w:cols>
          <w:pgMar w:left="640" w:top="261" w:right="659" w:bottom="1440" w:gutter="0" w:footer="0" w:header="0"/>
        </w:sectPr>
      </w:pPr>
    </w:p>
    <w:bookmarkStart w:id="501" w:name="page502"/>
    <w:bookmarkEnd w:id="501"/>
    <w:p>
      <w:pPr>
        <w:ind w:left="-8" w:firstLine="436"/>
        <w:spacing w:after="0" w:line="272" w:lineRule="auto"/>
        <w:tabs>
          <w:tab w:leader="none" w:pos="697" w:val="left"/>
        </w:tabs>
        <w:numPr>
          <w:ilvl w:val="1"/>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8040" cy="3683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161" w:lineRule="exact"/>
        <w:rPr>
          <w:rFonts w:ascii="Times New Roman" w:cs="Times New Roman" w:eastAsia="Times New Roman" w:hAnsi="Times New Roman"/>
          <w:sz w:val="18"/>
          <w:szCs w:val="18"/>
          <w:b w:val="1"/>
          <w:bCs w:val="1"/>
          <w:color w:val="auto"/>
        </w:rPr>
      </w:pPr>
    </w:p>
    <w:p>
      <w:pPr>
        <w:ind w:left="-8" w:right="120" w:firstLine="436"/>
        <w:spacing w:after="0" w:line="272" w:lineRule="auto"/>
        <w:tabs>
          <w:tab w:leader="none" w:pos="756" w:val="left"/>
        </w:tabs>
        <w:numPr>
          <w:ilvl w:val="1"/>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61" w:lineRule="exact"/>
        <w:rPr>
          <w:rFonts w:ascii="Times New Roman" w:cs="Times New Roman" w:eastAsia="Times New Roman" w:hAnsi="Times New Roman"/>
          <w:sz w:val="18"/>
          <w:szCs w:val="18"/>
          <w:b w:val="1"/>
          <w:bCs w:val="1"/>
          <w:color w:val="auto"/>
        </w:rPr>
      </w:pPr>
    </w:p>
    <w:p>
      <w:pPr>
        <w:ind w:left="-8" w:right="140" w:firstLine="436"/>
        <w:spacing w:after="0" w:line="282" w:lineRule="auto"/>
        <w:tabs>
          <w:tab w:leader="none" w:pos="775" w:val="left"/>
        </w:tabs>
        <w:numPr>
          <w:ilvl w:val="1"/>
          <w:numId w:val="3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Materially Impair</w:t>
      </w:r>
      <w:r>
        <w:rPr>
          <w:rFonts w:ascii="Times New Roman" w:cs="Times New Roman" w:eastAsia="Times New Roman" w:hAnsi="Times New Roman"/>
          <w:sz w:val="16"/>
          <w:szCs w:val="16"/>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61" w:lineRule="exact"/>
        <w:rPr>
          <w:rFonts w:ascii="Times New Roman" w:cs="Times New Roman" w:eastAsia="Times New Roman" w:hAnsi="Times New Roman"/>
          <w:sz w:val="16"/>
          <w:szCs w:val="16"/>
          <w:b w:val="1"/>
          <w:bCs w:val="1"/>
          <w:color w:val="auto"/>
        </w:rPr>
      </w:pPr>
    </w:p>
    <w:p>
      <w:pPr>
        <w:ind w:left="-8" w:right="160" w:firstLine="436"/>
        <w:spacing w:after="0" w:line="279" w:lineRule="auto"/>
        <w:tabs>
          <w:tab w:leader="none" w:pos="678" w:val="left"/>
        </w:tabs>
        <w:numPr>
          <w:ilvl w:val="1"/>
          <w:numId w:val="3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Non-Employee Director</w:t>
      </w:r>
      <w:r>
        <w:rPr>
          <w:rFonts w:ascii="Times New Roman" w:cs="Times New Roman" w:eastAsia="Times New Roman" w:hAnsi="Times New Roman"/>
          <w:sz w:val="16"/>
          <w:szCs w:val="16"/>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6"/>
          <w:szCs w:val="16"/>
          <w:b w:val="1"/>
          <w:bCs w:val="1"/>
          <w:i w:val="1"/>
          <w:iCs w:val="1"/>
          <w:color w:val="auto"/>
        </w:rPr>
        <w:t>Regulation S-K</w:t>
      </w:r>
      <w:r>
        <w:rPr>
          <w:rFonts w:ascii="Times New Roman" w:cs="Times New Roman" w:eastAsia="Times New Roman" w:hAnsi="Times New Roman"/>
          <w:sz w:val="16"/>
          <w:szCs w:val="16"/>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2" w:lineRule="exact"/>
        <w:rPr>
          <w:rFonts w:ascii="Times New Roman" w:cs="Times New Roman" w:eastAsia="Times New Roman" w:hAnsi="Times New Roman"/>
          <w:sz w:val="16"/>
          <w:szCs w:val="16"/>
          <w:b w:val="1"/>
          <w:bCs w:val="1"/>
          <w:color w:val="auto"/>
        </w:rPr>
      </w:pPr>
    </w:p>
    <w:p>
      <w:pPr>
        <w:ind w:left="252" w:hanging="252"/>
        <w:spacing w:after="0"/>
        <w:tabs>
          <w:tab w:leader="none" w:pos="252"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considered a “non-employee director” for purposes of Rule 16b-3.</w:t>
      </w:r>
    </w:p>
    <w:p>
      <w:pPr>
        <w:spacing w:after="0" w:line="191" w:lineRule="exact"/>
        <w:rPr>
          <w:rFonts w:ascii="Times New Roman" w:cs="Times New Roman" w:eastAsia="Times New Roman" w:hAnsi="Times New Roman"/>
          <w:sz w:val="18"/>
          <w:szCs w:val="18"/>
          <w:color w:val="auto"/>
        </w:rPr>
      </w:pPr>
    </w:p>
    <w:p>
      <w:pPr>
        <w:ind w:left="-8" w:right="160" w:firstLine="436"/>
        <w:spacing w:after="0" w:line="258" w:lineRule="auto"/>
        <w:tabs>
          <w:tab w:leader="none" w:pos="697" w:val="left"/>
        </w:tabs>
        <w:numPr>
          <w:ilvl w:val="1"/>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Award</w:t>
      </w:r>
      <w:r>
        <w:rPr>
          <w:rFonts w:ascii="Times New Roman" w:cs="Times New Roman" w:eastAsia="Times New Roman" w:hAnsi="Times New Roman"/>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spacing w:after="0" w:line="172" w:lineRule="exact"/>
        <w:rPr>
          <w:rFonts w:ascii="Times New Roman" w:cs="Times New Roman" w:eastAsia="Times New Roman" w:hAnsi="Times New Roman"/>
          <w:sz w:val="18"/>
          <w:szCs w:val="18"/>
          <w:b w:val="1"/>
          <w:bCs w:val="1"/>
          <w:color w:val="auto"/>
        </w:rPr>
      </w:pPr>
    </w:p>
    <w:p>
      <w:pPr>
        <w:ind w:left="-8" w:right="580" w:firstLine="436"/>
        <w:spacing w:after="0" w:line="272" w:lineRule="auto"/>
        <w:tabs>
          <w:tab w:leader="none" w:pos="775" w:val="left"/>
        </w:tabs>
        <w:numPr>
          <w:ilvl w:val="1"/>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Director Award</w:t>
      </w:r>
      <w:r>
        <w:rPr>
          <w:rFonts w:ascii="Times New Roman" w:cs="Times New Roman" w:eastAsia="Times New Roman" w:hAnsi="Times New Roman"/>
          <w:sz w:val="18"/>
          <w:szCs w:val="18"/>
          <w:color w:val="auto"/>
        </w:rPr>
        <w:t>” means a Non-Exempt Award granted to a Participant who was a Director but not an Employee on the applicable grant date.</w:t>
      </w:r>
    </w:p>
    <w:p>
      <w:pPr>
        <w:spacing w:after="0" w:line="161" w:lineRule="exact"/>
        <w:rPr>
          <w:rFonts w:ascii="Times New Roman" w:cs="Times New Roman" w:eastAsia="Times New Roman" w:hAnsi="Times New Roman"/>
          <w:sz w:val="18"/>
          <w:szCs w:val="18"/>
          <w:b w:val="1"/>
          <w:bCs w:val="1"/>
          <w:color w:val="auto"/>
        </w:rPr>
      </w:pPr>
    </w:p>
    <w:p>
      <w:pPr>
        <w:ind w:left="-8" w:right="80" w:firstLine="436"/>
        <w:spacing w:after="0" w:line="250" w:lineRule="auto"/>
        <w:tabs>
          <w:tab w:leader="none" w:pos="678" w:val="left"/>
        </w:tabs>
        <w:numPr>
          <w:ilvl w:val="1"/>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Severance Arrangement</w:t>
      </w:r>
      <w:r>
        <w:rPr>
          <w:rFonts w:ascii="Times New Roman" w:cs="Times New Roman" w:eastAsia="Times New Roman" w:hAnsi="Times New Roman"/>
          <w:sz w:val="18"/>
          <w:szCs w:val="18"/>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and such severance benefit does not satisfy the requirements for an exemption from application of Section 409A provided under Treasury Regulations Section 1.409A-1(b)(4), 1.409A-1(b)(9) or otherwise.</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712"/>
          </w:cols>
          <w:pgMar w:left="588" w:top="261" w:right="599" w:bottom="1440" w:gutter="0" w:footer="0" w:header="0"/>
        </w:sectPr>
      </w:pPr>
    </w:p>
    <w:bookmarkStart w:id="502" w:name="page503"/>
    <w:bookmarkEnd w:id="502"/>
    <w:p>
      <w:pPr>
        <w:ind w:left="880" w:hanging="444"/>
        <w:spacing w:after="0"/>
        <w:tabs>
          <w:tab w:leader="none" w:pos="880"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w:t>
      </w:r>
    </w:p>
    <w:p>
      <w:pPr>
        <w:spacing w:after="0" w:line="2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Option.</w:t>
      </w:r>
    </w:p>
    <w:p>
      <w:pPr>
        <w:spacing w:after="0" w:line="191" w:lineRule="exact"/>
        <w:rPr>
          <w:rFonts w:ascii="Times New Roman" w:cs="Times New Roman" w:eastAsia="Times New Roman" w:hAnsi="Times New Roman"/>
          <w:sz w:val="18"/>
          <w:szCs w:val="18"/>
          <w:b w:val="1"/>
          <w:bCs w:val="1"/>
          <w:color w:val="auto"/>
        </w:rPr>
      </w:pPr>
    </w:p>
    <w:p>
      <w:pPr>
        <w:ind w:left="800" w:hanging="364"/>
        <w:spacing w:after="0"/>
        <w:tabs>
          <w:tab w:leader="none" w:pos="800"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13" w:lineRule="exact"/>
        <w:rPr>
          <w:rFonts w:ascii="Times New Roman" w:cs="Times New Roman" w:eastAsia="Times New Roman" w:hAnsi="Times New Roman"/>
          <w:sz w:val="18"/>
          <w:szCs w:val="18"/>
          <w:b w:val="1"/>
          <w:bCs w:val="1"/>
          <w:color w:val="auto"/>
        </w:rPr>
      </w:pPr>
    </w:p>
    <w:p>
      <w:pPr>
        <w:ind w:left="780" w:hanging="344"/>
        <w:spacing w:after="0"/>
        <w:tabs>
          <w:tab w:leader="none" w:pos="780"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w:t>
      </w:r>
    </w:p>
    <w:p>
      <w:pPr>
        <w:spacing w:after="0" w:line="2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Plan.</w:t>
      </w:r>
    </w:p>
    <w:p>
      <w:pPr>
        <w:spacing w:after="0" w:line="191" w:lineRule="exact"/>
        <w:rPr>
          <w:rFonts w:ascii="Times New Roman" w:cs="Times New Roman" w:eastAsia="Times New Roman" w:hAnsi="Times New Roman"/>
          <w:sz w:val="18"/>
          <w:szCs w:val="18"/>
          <w:b w:val="1"/>
          <w:bCs w:val="1"/>
          <w:color w:val="auto"/>
        </w:rPr>
      </w:pPr>
    </w:p>
    <w:p>
      <w:pPr>
        <w:ind w:right="240" w:firstLine="436"/>
        <w:spacing w:after="0" w:line="253" w:lineRule="auto"/>
        <w:tabs>
          <w:tab w:leader="none" w:pos="783"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177" w:lineRule="exact"/>
        <w:rPr>
          <w:rFonts w:ascii="Times New Roman" w:cs="Times New Roman" w:eastAsia="Times New Roman" w:hAnsi="Times New Roman"/>
          <w:sz w:val="18"/>
          <w:szCs w:val="18"/>
          <w:b w:val="1"/>
          <w:bCs w:val="1"/>
          <w:color w:val="auto"/>
        </w:rPr>
      </w:pPr>
    </w:p>
    <w:p>
      <w:pPr>
        <w:ind w:right="680" w:firstLine="436"/>
        <w:spacing w:after="0" w:line="272" w:lineRule="auto"/>
        <w:tabs>
          <w:tab w:leader="none" w:pos="783"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61" w:lineRule="exact"/>
        <w:rPr>
          <w:rFonts w:ascii="Times New Roman" w:cs="Times New Roman" w:eastAsia="Times New Roman" w:hAnsi="Times New Roman"/>
          <w:sz w:val="18"/>
          <w:szCs w:val="18"/>
          <w:b w:val="1"/>
          <w:bCs w:val="1"/>
          <w:color w:val="auto"/>
        </w:rPr>
      </w:pPr>
    </w:p>
    <w:p>
      <w:pPr>
        <w:ind w:right="60" w:firstLine="436"/>
        <w:spacing w:after="0" w:line="258" w:lineRule="auto"/>
        <w:tabs>
          <w:tab w:leader="none" w:pos="744"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spacing w:after="0" w:line="172" w:lineRule="exact"/>
        <w:rPr>
          <w:rFonts w:ascii="Times New Roman" w:cs="Times New Roman" w:eastAsia="Times New Roman" w:hAnsi="Times New Roman"/>
          <w:sz w:val="18"/>
          <w:szCs w:val="18"/>
          <w:b w:val="1"/>
          <w:bCs w:val="1"/>
          <w:color w:val="auto"/>
        </w:rPr>
      </w:pPr>
    </w:p>
    <w:p>
      <w:pPr>
        <w:ind w:right="300" w:firstLine="436"/>
        <w:spacing w:after="0" w:line="336" w:lineRule="auto"/>
        <w:tabs>
          <w:tab w:leader="none" w:pos="725" w:val="left"/>
        </w:tabs>
        <w:numPr>
          <w:ilvl w:val="0"/>
          <w:numId w:val="3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Other Award Agreement</w:t>
      </w:r>
      <w:r>
        <w:rPr>
          <w:rFonts w:ascii="Times New Roman" w:cs="Times New Roman" w:eastAsia="Times New Roman" w:hAnsi="Times New Roman"/>
          <w:sz w:val="16"/>
          <w:szCs w:val="16"/>
          <w:color w:val="auto"/>
        </w:rPr>
        <w:t>” means a written or electronic agreement between the Company and a holder of an Other Award evidencing the terms and conditions of an Other Award grant. Each Other Award Agreement will be subject to the terms and conditions of the Plan.</w:t>
      </w:r>
    </w:p>
    <w:p>
      <w:pPr>
        <w:spacing w:after="0" w:line="115" w:lineRule="exact"/>
        <w:rPr>
          <w:rFonts w:ascii="Times New Roman" w:cs="Times New Roman" w:eastAsia="Times New Roman" w:hAnsi="Times New Roman"/>
          <w:sz w:val="16"/>
          <w:szCs w:val="16"/>
          <w:b w:val="1"/>
          <w:bCs w:val="1"/>
          <w:color w:val="auto"/>
        </w:rPr>
      </w:pPr>
    </w:p>
    <w:p>
      <w:pPr>
        <w:jc w:val="both"/>
        <w:ind w:firstLine="436"/>
        <w:spacing w:after="0" w:line="258" w:lineRule="auto"/>
        <w:tabs>
          <w:tab w:leader="none" w:pos="705"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2" w:lineRule="exact"/>
        <w:rPr>
          <w:rFonts w:ascii="Times New Roman" w:cs="Times New Roman" w:eastAsia="Times New Roman" w:hAnsi="Times New Roman"/>
          <w:sz w:val="18"/>
          <w:szCs w:val="18"/>
          <w:b w:val="1"/>
          <w:bCs w:val="1"/>
          <w:color w:val="auto"/>
        </w:rPr>
      </w:pPr>
    </w:p>
    <w:p>
      <w:pPr>
        <w:ind w:right="360" w:firstLine="436"/>
        <w:spacing w:after="0" w:line="272" w:lineRule="auto"/>
        <w:tabs>
          <w:tab w:leader="none" w:pos="783"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161" w:lineRule="exact"/>
        <w:rPr>
          <w:rFonts w:ascii="Times New Roman" w:cs="Times New Roman" w:eastAsia="Times New Roman" w:hAnsi="Times New Roman"/>
          <w:sz w:val="18"/>
          <w:szCs w:val="18"/>
          <w:b w:val="1"/>
          <w:bCs w:val="1"/>
          <w:color w:val="auto"/>
        </w:rPr>
      </w:pPr>
    </w:p>
    <w:p>
      <w:pPr>
        <w:ind w:right="120" w:firstLine="436"/>
        <w:spacing w:after="0" w:line="289" w:lineRule="auto"/>
        <w:tabs>
          <w:tab w:leader="none" w:pos="764" w:val="left"/>
        </w:tabs>
        <w:numPr>
          <w:ilvl w:val="0"/>
          <w:numId w:val="3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Performance Award</w:t>
      </w:r>
      <w:r>
        <w:rPr>
          <w:rFonts w:ascii="Times New Roman" w:cs="Times New Roman" w:eastAsia="Times New Roman" w:hAnsi="Times New Roman"/>
          <w:sz w:val="16"/>
          <w:szCs w:val="16"/>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20"/>
          </w:cols>
          <w:pgMar w:left="580" w:top="261" w:right="599" w:bottom="1440" w:gutter="0" w:footer="0" w:header="0"/>
        </w:sectPr>
      </w:pPr>
    </w:p>
    <w:bookmarkStart w:id="503" w:name="page504"/>
    <w:bookmarkEnd w:id="503"/>
    <w:p>
      <w:pPr>
        <w:ind w:left="-8" w:firstLine="436"/>
        <w:spacing w:after="0" w:line="245" w:lineRule="auto"/>
        <w:tabs>
          <w:tab w:leader="none" w:pos="834" w:val="left"/>
        </w:tabs>
        <w:numPr>
          <w:ilvl w:val="1"/>
          <w:numId w:val="3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190" w:lineRule="exact"/>
        <w:rPr>
          <w:rFonts w:ascii="Times New Roman" w:cs="Times New Roman" w:eastAsia="Times New Roman" w:hAnsi="Times New Roman"/>
          <w:sz w:val="18"/>
          <w:szCs w:val="18"/>
          <w:b w:val="1"/>
          <w:bCs w:val="1"/>
          <w:color w:val="auto"/>
        </w:rPr>
      </w:pPr>
    </w:p>
    <w:p>
      <w:pPr>
        <w:ind w:left="-8" w:right="60" w:firstLine="436"/>
        <w:spacing w:after="0" w:line="276" w:lineRule="auto"/>
        <w:tabs>
          <w:tab w:leader="none" w:pos="756" w:val="left"/>
        </w:tabs>
        <w:numPr>
          <w:ilvl w:val="1"/>
          <w:numId w:val="3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Performance Goals</w:t>
      </w:r>
      <w:r>
        <w:rPr>
          <w:rFonts w:ascii="Times New Roman" w:cs="Times New Roman" w:eastAsia="Times New Roman" w:hAnsi="Times New Roman"/>
          <w:sz w:val="16"/>
          <w:szCs w:val="16"/>
          <w:color w:val="auto"/>
        </w:rPr>
        <w:t>”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w:t>
      </w:r>
    </w:p>
    <w:p>
      <w:pPr>
        <w:spacing w:after="0" w:line="6" w:lineRule="exact"/>
        <w:rPr>
          <w:rFonts w:ascii="Times New Roman" w:cs="Times New Roman" w:eastAsia="Times New Roman" w:hAnsi="Times New Roman"/>
          <w:sz w:val="16"/>
          <w:szCs w:val="16"/>
          <w:b w:val="1"/>
          <w:bCs w:val="1"/>
          <w:color w:val="auto"/>
        </w:rPr>
      </w:pPr>
    </w:p>
    <w:p>
      <w:pPr>
        <w:ind w:left="-8" w:right="520" w:firstLine="8"/>
        <w:spacing w:after="0" w:line="247" w:lineRule="auto"/>
        <w:tabs>
          <w:tab w:leader="none" w:pos="2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effect of any change in the outstanding shares of common stock of the Company by reason of any stock dividend or split, stock repurchase, reorganization, recapitalization, merger, consolidation, spin-off,</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692"/>
          </w:cols>
          <w:pgMar w:left="588" w:top="261" w:right="619" w:bottom="1440" w:gutter="0" w:footer="0" w:header="0"/>
        </w:sectPr>
      </w:pPr>
    </w:p>
    <w:bookmarkStart w:id="504" w:name="page505"/>
    <w:bookmarkEnd w:id="50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combination or exchange of shares or other similar corporate change, or any distributions to common stockholders other than regular cash dividends;</w:t>
      </w:r>
    </w:p>
    <w:p>
      <w:pPr>
        <w:spacing w:after="0" w:line="44" w:lineRule="exact"/>
        <w:rPr>
          <w:sz w:val="20"/>
          <w:szCs w:val="20"/>
          <w:color w:val="auto"/>
        </w:rPr>
      </w:pPr>
    </w:p>
    <w:p>
      <w:pPr>
        <w:ind w:right="20" w:firstLine="8"/>
        <w:spacing w:after="0" w:line="244" w:lineRule="auto"/>
        <w:tabs>
          <w:tab w:leader="none" w:pos="248"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85" w:lineRule="exact"/>
        <w:rPr>
          <w:rFonts w:ascii="Times New Roman" w:cs="Times New Roman" w:eastAsia="Times New Roman" w:hAnsi="Times New Roman"/>
          <w:sz w:val="18"/>
          <w:szCs w:val="18"/>
          <w:color w:val="auto"/>
        </w:rPr>
      </w:pPr>
    </w:p>
    <w:p>
      <w:pPr>
        <w:ind w:right="100" w:firstLine="436"/>
        <w:spacing w:after="0" w:line="258" w:lineRule="auto"/>
        <w:tabs>
          <w:tab w:leader="none" w:pos="764" w:val="left"/>
        </w:tabs>
        <w:numPr>
          <w:ilvl w:val="1"/>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72" w:lineRule="exact"/>
        <w:rPr>
          <w:rFonts w:ascii="Times New Roman" w:cs="Times New Roman" w:eastAsia="Times New Roman" w:hAnsi="Times New Roman"/>
          <w:sz w:val="18"/>
          <w:szCs w:val="18"/>
          <w:b w:val="1"/>
          <w:bCs w:val="1"/>
          <w:color w:val="auto"/>
        </w:rPr>
      </w:pPr>
    </w:p>
    <w:p>
      <w:pPr>
        <w:ind w:left="760" w:hanging="324"/>
        <w:spacing w:after="0"/>
        <w:tabs>
          <w:tab w:leader="none" w:pos="760" w:val="left"/>
        </w:tabs>
        <w:numPr>
          <w:ilvl w:val="1"/>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Tempus Labs, Inc. 2022 Equity Incentive Plan, as amended from time to time.</w:t>
      </w:r>
    </w:p>
    <w:p>
      <w:pPr>
        <w:spacing w:after="0" w:line="213" w:lineRule="exact"/>
        <w:rPr>
          <w:sz w:val="20"/>
          <w:szCs w:val="20"/>
          <w:color w:val="auto"/>
        </w:rPr>
      </w:pPr>
    </w:p>
    <w:p>
      <w:pPr>
        <w:ind w:right="100" w:firstLine="436"/>
        <w:spacing w:after="0" w:line="272" w:lineRule="auto"/>
        <w:tabs>
          <w:tab w:leader="none" w:pos="851"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161" w:lineRule="exact"/>
        <w:rPr>
          <w:rFonts w:ascii="Times New Roman" w:cs="Times New Roman" w:eastAsia="Times New Roman" w:hAnsi="Times New Roman"/>
          <w:sz w:val="18"/>
          <w:szCs w:val="18"/>
          <w:b w:val="1"/>
          <w:bCs w:val="1"/>
          <w:color w:val="auto"/>
        </w:rPr>
      </w:pPr>
    </w:p>
    <w:p>
      <w:pPr>
        <w:ind w:right="40" w:firstLine="436"/>
        <w:spacing w:after="0" w:line="272" w:lineRule="auto"/>
        <w:tabs>
          <w:tab w:leader="none" w:pos="880"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161" w:lineRule="exact"/>
        <w:rPr>
          <w:rFonts w:ascii="Times New Roman" w:cs="Times New Roman" w:eastAsia="Times New Roman" w:hAnsi="Times New Roman"/>
          <w:sz w:val="18"/>
          <w:szCs w:val="18"/>
          <w:b w:val="1"/>
          <w:bCs w:val="1"/>
          <w:color w:val="auto"/>
        </w:rPr>
      </w:pPr>
    </w:p>
    <w:p>
      <w:pPr>
        <w:ind w:left="820" w:hanging="384"/>
        <w:spacing w:after="0"/>
        <w:tabs>
          <w:tab w:leader="none" w:pos="820"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Third Amended and Restated Tempus Labs, Inc. 2015 Stock Plan.</w:t>
      </w:r>
    </w:p>
    <w:p>
      <w:pPr>
        <w:spacing w:after="0" w:line="213" w:lineRule="exact"/>
        <w:rPr>
          <w:rFonts w:ascii="Times New Roman" w:cs="Times New Roman" w:eastAsia="Times New Roman" w:hAnsi="Times New Roman"/>
          <w:sz w:val="18"/>
          <w:szCs w:val="18"/>
          <w:b w:val="1"/>
          <w:bCs w:val="1"/>
          <w:color w:val="auto"/>
        </w:rPr>
      </w:pPr>
    </w:p>
    <w:p>
      <w:pPr>
        <w:ind w:right="80" w:firstLine="436"/>
        <w:spacing w:after="0" w:line="272" w:lineRule="auto"/>
        <w:tabs>
          <w:tab w:leader="none" w:pos="880"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 Section 5(a).</w:t>
      </w:r>
    </w:p>
    <w:p>
      <w:pPr>
        <w:spacing w:after="0" w:line="161" w:lineRule="exact"/>
        <w:rPr>
          <w:rFonts w:ascii="Times New Roman" w:cs="Times New Roman" w:eastAsia="Times New Roman" w:hAnsi="Times New Roman"/>
          <w:sz w:val="18"/>
          <w:szCs w:val="18"/>
          <w:b w:val="1"/>
          <w:bCs w:val="1"/>
          <w:color w:val="auto"/>
        </w:rPr>
      </w:pPr>
    </w:p>
    <w:p>
      <w:pPr>
        <w:ind w:firstLine="436"/>
        <w:spacing w:after="0" w:line="250" w:lineRule="auto"/>
        <w:tabs>
          <w:tab w:leader="none" w:pos="821"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680"/>
          </w:cols>
          <w:pgMar w:left="580" w:top="265" w:right="639" w:bottom="1440" w:gutter="0" w:footer="0" w:header="0"/>
        </w:sectPr>
      </w:pPr>
    </w:p>
    <w:bookmarkStart w:id="505" w:name="page506"/>
    <w:bookmarkEnd w:id="505"/>
    <w:p>
      <w:pPr>
        <w:ind w:left="780" w:hanging="344"/>
        <w:spacing w:after="0"/>
        <w:tabs>
          <w:tab w:leader="none" w:pos="78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means shares subject to outstanding stock awards granted under the Prior Plan and that following the Effective</w:t>
      </w:r>
    </w:p>
    <w:p>
      <w:pPr>
        <w:spacing w:after="0" w:line="2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87" w:lineRule="exact"/>
        <w:rPr>
          <w:sz w:val="20"/>
          <w:szCs w:val="20"/>
          <w:color w:val="auto"/>
        </w:rPr>
      </w:pPr>
    </w:p>
    <w:p>
      <w:pPr>
        <w:ind w:right="120" w:firstLine="436"/>
        <w:spacing w:after="0" w:line="272" w:lineRule="auto"/>
        <w:tabs>
          <w:tab w:leader="none" w:pos="851"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161" w:lineRule="exact"/>
        <w:rPr>
          <w:rFonts w:ascii="Times New Roman" w:cs="Times New Roman" w:eastAsia="Times New Roman" w:hAnsi="Times New Roman"/>
          <w:sz w:val="18"/>
          <w:szCs w:val="18"/>
          <w:b w:val="1"/>
          <w:bCs w:val="1"/>
          <w:color w:val="auto"/>
        </w:rPr>
      </w:pPr>
    </w:p>
    <w:p>
      <w:pPr>
        <w:ind w:right="140" w:firstLine="436"/>
        <w:spacing w:after="0" w:line="253" w:lineRule="auto"/>
        <w:tabs>
          <w:tab w:leader="none" w:pos="880"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spacing w:after="0" w:line="177" w:lineRule="exact"/>
        <w:rPr>
          <w:rFonts w:ascii="Times New Roman" w:cs="Times New Roman" w:eastAsia="Times New Roman" w:hAnsi="Times New Roman"/>
          <w:sz w:val="18"/>
          <w:szCs w:val="18"/>
          <w:b w:val="1"/>
          <w:bCs w:val="1"/>
          <w:color w:val="auto"/>
        </w:rPr>
      </w:pPr>
    </w:p>
    <w:p>
      <w:pPr>
        <w:ind w:left="740" w:hanging="304"/>
        <w:spacing w:after="0"/>
        <w:tabs>
          <w:tab w:leader="none" w:pos="740"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13" w:lineRule="exact"/>
        <w:rPr>
          <w:rFonts w:ascii="Times New Roman" w:cs="Times New Roman" w:eastAsia="Times New Roman" w:hAnsi="Times New Roman"/>
          <w:sz w:val="18"/>
          <w:szCs w:val="18"/>
          <w:b w:val="1"/>
          <w:bCs w:val="1"/>
          <w:color w:val="auto"/>
        </w:rPr>
      </w:pPr>
    </w:p>
    <w:p>
      <w:pPr>
        <w:ind w:left="780" w:hanging="344"/>
        <w:spacing w:after="0"/>
        <w:tabs>
          <w:tab w:leader="none" w:pos="780"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213" w:lineRule="exact"/>
        <w:rPr>
          <w:rFonts w:ascii="Times New Roman" w:cs="Times New Roman" w:eastAsia="Times New Roman" w:hAnsi="Times New Roman"/>
          <w:sz w:val="18"/>
          <w:szCs w:val="18"/>
          <w:b w:val="1"/>
          <w:bCs w:val="1"/>
          <w:color w:val="auto"/>
        </w:rPr>
      </w:pPr>
    </w:p>
    <w:p>
      <w:pPr>
        <w:ind w:left="880" w:hanging="444"/>
        <w:spacing w:after="0"/>
        <w:tabs>
          <w:tab w:leader="none" w:pos="880"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213" w:lineRule="exact"/>
        <w:rPr>
          <w:rFonts w:ascii="Times New Roman" w:cs="Times New Roman" w:eastAsia="Times New Roman" w:hAnsi="Times New Roman"/>
          <w:sz w:val="18"/>
          <w:szCs w:val="18"/>
          <w:b w:val="1"/>
          <w:bCs w:val="1"/>
          <w:color w:val="auto"/>
        </w:rPr>
      </w:pPr>
    </w:p>
    <w:p>
      <w:pPr>
        <w:jc w:val="both"/>
        <w:ind w:firstLine="436"/>
        <w:spacing w:after="0" w:line="258" w:lineRule="auto"/>
        <w:tabs>
          <w:tab w:leader="none" w:pos="734"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72" w:lineRule="exact"/>
        <w:rPr>
          <w:rFonts w:ascii="Times New Roman" w:cs="Times New Roman" w:eastAsia="Times New Roman" w:hAnsi="Times New Roman"/>
          <w:sz w:val="18"/>
          <w:szCs w:val="18"/>
          <w:b w:val="1"/>
          <w:bCs w:val="1"/>
          <w:color w:val="auto"/>
        </w:rPr>
      </w:pPr>
    </w:p>
    <w:p>
      <w:pPr>
        <w:ind w:left="1040" w:hanging="604"/>
        <w:spacing w:after="0"/>
        <w:tabs>
          <w:tab w:leader="none" w:pos="1040"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13" w:lineRule="exact"/>
        <w:rPr>
          <w:rFonts w:ascii="Times New Roman" w:cs="Times New Roman" w:eastAsia="Times New Roman" w:hAnsi="Times New Roman"/>
          <w:sz w:val="18"/>
          <w:szCs w:val="18"/>
          <w:b w:val="1"/>
          <w:bCs w:val="1"/>
          <w:color w:val="auto"/>
        </w:rPr>
      </w:pPr>
    </w:p>
    <w:p>
      <w:pPr>
        <w:ind w:left="880" w:hanging="444"/>
        <w:spacing w:after="0"/>
        <w:tabs>
          <w:tab w:leader="none" w:pos="880"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213" w:lineRule="exact"/>
        <w:rPr>
          <w:rFonts w:ascii="Times New Roman" w:cs="Times New Roman" w:eastAsia="Times New Roman" w:hAnsi="Times New Roman"/>
          <w:sz w:val="18"/>
          <w:szCs w:val="18"/>
          <w:b w:val="1"/>
          <w:bCs w:val="1"/>
          <w:color w:val="auto"/>
        </w:rPr>
      </w:pPr>
    </w:p>
    <w:p>
      <w:pPr>
        <w:ind w:right="60" w:firstLine="436"/>
        <w:spacing w:after="0" w:line="272" w:lineRule="auto"/>
        <w:tabs>
          <w:tab w:leader="none" w:pos="851"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161" w:lineRule="exact"/>
        <w:rPr>
          <w:rFonts w:ascii="Times New Roman" w:cs="Times New Roman" w:eastAsia="Times New Roman" w:hAnsi="Times New Roman"/>
          <w:sz w:val="18"/>
          <w:szCs w:val="18"/>
          <w:b w:val="1"/>
          <w:bCs w:val="1"/>
          <w:color w:val="auto"/>
        </w:rPr>
      </w:pPr>
    </w:p>
    <w:p>
      <w:pPr>
        <w:ind w:right="120" w:firstLine="436"/>
        <w:spacing w:after="0" w:line="253" w:lineRule="auto"/>
        <w:tabs>
          <w:tab w:leader="none" w:pos="880"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700"/>
          </w:cols>
          <w:pgMar w:left="580" w:top="261" w:right="619" w:bottom="1440" w:gutter="0" w:footer="0" w:header="0"/>
        </w:sectPr>
      </w:pPr>
    </w:p>
    <w:bookmarkStart w:id="506" w:name="page507"/>
    <w:bookmarkEnd w:id="506"/>
    <w:p>
      <w:pPr>
        <w:ind w:left="-20" w:right="240" w:firstLine="436"/>
        <w:spacing w:after="0" w:line="250" w:lineRule="auto"/>
        <w:tabs>
          <w:tab w:leader="none" w:pos="860" w:val="left"/>
        </w:tabs>
        <w:numPr>
          <w:ilvl w:val="0"/>
          <w:numId w:val="3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82" w:lineRule="exact"/>
        <w:rPr>
          <w:rFonts w:ascii="Times New Roman" w:cs="Times New Roman" w:eastAsia="Times New Roman" w:hAnsi="Times New Roman"/>
          <w:sz w:val="18"/>
          <w:szCs w:val="18"/>
          <w:b w:val="1"/>
          <w:bCs w:val="1"/>
          <w:color w:val="auto"/>
        </w:rPr>
      </w:pPr>
    </w:p>
    <w:p>
      <w:pPr>
        <w:ind w:left="-20" w:right="60" w:firstLine="436"/>
        <w:spacing w:after="0" w:line="272" w:lineRule="auto"/>
        <w:tabs>
          <w:tab w:leader="none" w:pos="801" w:val="left"/>
        </w:tabs>
        <w:numPr>
          <w:ilvl w:val="0"/>
          <w:numId w:val="3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61" w:lineRule="exact"/>
        <w:rPr>
          <w:rFonts w:ascii="Times New Roman" w:cs="Times New Roman" w:eastAsia="Times New Roman" w:hAnsi="Times New Roman"/>
          <w:sz w:val="18"/>
          <w:szCs w:val="18"/>
          <w:b w:val="1"/>
          <w:bCs w:val="1"/>
          <w:color w:val="auto"/>
        </w:rPr>
      </w:pPr>
    </w:p>
    <w:p>
      <w:pPr>
        <w:ind w:left="-20" w:right="140" w:firstLine="436"/>
        <w:spacing w:after="0" w:line="272" w:lineRule="auto"/>
        <w:tabs>
          <w:tab w:leader="none" w:pos="773" w:val="left"/>
        </w:tabs>
        <w:numPr>
          <w:ilvl w:val="0"/>
          <w:numId w:val="3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61" w:lineRule="exact"/>
        <w:rPr>
          <w:rFonts w:ascii="Times New Roman" w:cs="Times New Roman" w:eastAsia="Times New Roman" w:hAnsi="Times New Roman"/>
          <w:sz w:val="18"/>
          <w:szCs w:val="18"/>
          <w:b w:val="1"/>
          <w:bCs w:val="1"/>
          <w:color w:val="auto"/>
        </w:rPr>
      </w:pPr>
    </w:p>
    <w:p>
      <w:pPr>
        <w:ind w:left="-20" w:right="80" w:firstLine="436"/>
        <w:spacing w:after="0" w:line="272" w:lineRule="auto"/>
        <w:tabs>
          <w:tab w:leader="none" w:pos="743" w:val="left"/>
        </w:tabs>
        <w:numPr>
          <w:ilvl w:val="0"/>
          <w:numId w:val="3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Non-Exempt Award</w:t>
      </w:r>
      <w:r>
        <w:rPr>
          <w:rFonts w:ascii="Times New Roman" w:cs="Times New Roman" w:eastAsia="Times New Roman" w:hAnsi="Times New Roman"/>
          <w:sz w:val="18"/>
          <w:szCs w:val="18"/>
          <w:color w:val="auto"/>
        </w:rPr>
        <w:t>” means the portion of any Non-Exempt Award that had not vested in accordance with its terms upon or prior to the date of any Corporate Transaction.</w:t>
      </w:r>
    </w:p>
    <w:p>
      <w:pPr>
        <w:spacing w:after="0" w:line="161" w:lineRule="exact"/>
        <w:rPr>
          <w:rFonts w:ascii="Times New Roman" w:cs="Times New Roman" w:eastAsia="Times New Roman" w:hAnsi="Times New Roman"/>
          <w:sz w:val="18"/>
          <w:szCs w:val="18"/>
          <w:b w:val="1"/>
          <w:bCs w:val="1"/>
          <w:color w:val="auto"/>
        </w:rPr>
      </w:pPr>
    </w:p>
    <w:p>
      <w:pPr>
        <w:ind w:left="-20" w:firstLine="436"/>
        <w:spacing w:after="0" w:line="272" w:lineRule="auto"/>
        <w:tabs>
          <w:tab w:leader="none" w:pos="860" w:val="left"/>
        </w:tabs>
        <w:numPr>
          <w:ilvl w:val="0"/>
          <w:numId w:val="3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Non-Exempt Award</w:t>
      </w:r>
      <w:r>
        <w:rPr>
          <w:rFonts w:ascii="Times New Roman" w:cs="Times New Roman" w:eastAsia="Times New Roman" w:hAnsi="Times New Roman"/>
          <w:sz w:val="18"/>
          <w:szCs w:val="18"/>
          <w:color w:val="auto"/>
        </w:rPr>
        <w:t>” means the portion of any Non-Exempt Award that had vested in accordance with its terms upon or prior to the date of a Corporate Transaction.</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00"/>
          </w:cols>
          <w:pgMar w:left="600" w:top="261" w:right="599" w:bottom="1440" w:gutter="0" w:footer="0" w:header="0"/>
        </w:sectPr>
      </w:pPr>
    </w:p>
    <w:bookmarkStart w:id="507" w:name="page508"/>
    <w:bookmarkEnd w:id="507"/>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91"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Tempus Labs, Inc.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pursuant to its 2022 Equity Incentive Plan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has granted to you (“</w:t>
      </w:r>
      <w:r>
        <w:rPr>
          <w:rFonts w:ascii="Times New Roman" w:cs="Times New Roman" w:eastAsia="Times New Roman" w:hAnsi="Times New Roman"/>
          <w:sz w:val="16"/>
          <w:szCs w:val="16"/>
          <w:b w:val="1"/>
          <w:bCs w:val="1"/>
          <w:i w:val="1"/>
          <w:iCs w:val="1"/>
          <w:color w:val="auto"/>
        </w:rPr>
        <w:t>Optionholder”)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 option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purchase the number of shares of the Common Stock on the terms set forth below (the “</w:t>
      </w:r>
      <w:r>
        <w:rPr>
          <w:rFonts w:ascii="Times New Roman" w:cs="Times New Roman" w:eastAsia="Times New Roman" w:hAnsi="Times New Roman"/>
          <w:sz w:val="16"/>
          <w:szCs w:val="16"/>
          <w:b w:val="1"/>
          <w:bCs w:val="1"/>
          <w:i w:val="1"/>
          <w:iCs w:val="1"/>
          <w:color w:val="auto"/>
        </w:rPr>
        <w:t>Option</w:t>
      </w:r>
      <w:r>
        <w:rPr>
          <w:rFonts w:ascii="Times New Roman" w:cs="Times New Roman" w:eastAsia="Times New Roman" w:hAnsi="Times New Roman"/>
          <w:sz w:val="16"/>
          <w:szCs w:val="16"/>
          <w:color w:val="auto"/>
        </w:rPr>
        <w:t>”). Your Option is subject to all of the terms and conditions as set forth herein and in the Plan, and the Stock Option Agreement and the Notice of Exercise, all of which are available by logging into</w:t>
      </w:r>
    </w:p>
    <w:p>
      <w:pPr>
        <w:spacing w:after="0" w:line="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your [ ] brokerage account and which are incorporated herein in their entirety. Capitalized terms not explicitly defined herein but defined in the Plan or the Stock Option Agreement shall have the meanings set forth in the Plan or the Stock Option Agreement,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-161290</wp:posOffset>
            </wp:positionV>
            <wp:extent cx="44450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444500" cy="8255"/>
                    </a:xfrm>
                    <a:prstGeom prst="rect">
                      <a:avLst/>
                    </a:prstGeom>
                    <a:noFill/>
                  </pic:spPr>
                </pic:pic>
              </a:graphicData>
            </a:graphic>
          </wp:anchor>
        </w:drawing>
      </w:r>
    </w:p>
    <w:p>
      <w:pPr>
        <w:spacing w:after="0" w:line="1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Optionholder:</w:t>
      </w:r>
    </w:p>
    <w:p>
      <w:pPr>
        <w:spacing w:after="0" w:line="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-130175</wp:posOffset>
            </wp:positionV>
            <wp:extent cx="245110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451100" cy="8255"/>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-121920</wp:posOffset>
            </wp:positionV>
            <wp:extent cx="245110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451100" cy="8255"/>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8"/>
          <w:szCs w:val="18"/>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-121920</wp:posOffset>
            </wp:positionV>
            <wp:extent cx="245110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451100" cy="8255"/>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-121920</wp:posOffset>
            </wp:positionV>
            <wp:extent cx="245110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451100" cy="8255"/>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-121920</wp:posOffset>
            </wp:positionV>
            <wp:extent cx="245110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451100" cy="8255"/>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19050</wp:posOffset>
            </wp:positionV>
            <wp:extent cx="245110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451100" cy="825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-121920</wp:posOffset>
            </wp:positionV>
            <wp:extent cx="245110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451100" cy="8255"/>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 of Grant:</w:t>
            </w:r>
          </w:p>
        </w:tc>
        <w:tc>
          <w:tcPr>
            <w:tcW w:w="50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Incentive Stock Option</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 OR [Nonstatutory Stock Option]</w:t>
            </w:r>
          </w:p>
        </w:tc>
        <w:tc>
          <w:tcPr>
            <w:tcW w:w="3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and</w:t>
            </w:r>
          </w:p>
        </w:tc>
        <w:tc>
          <w:tcPr>
            <w:tcW w:w="878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w w:val="96"/>
              </w:rPr>
              <w:t>Subject to the Optionholder’s Continuous Service through each applicable vesting date, the Option will vest as follows:</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8780" w:type="dxa"/>
            <w:vAlign w:val="bottom"/>
            <w:gridSpan w:val="4"/>
            <w:vMerge w:val="restart"/>
          </w:tcPr>
          <w:p>
            <w:pPr>
              <w:ind w:left="4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87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Optionholder Acknowledgements: </w:t>
            </w:r>
            <w:r>
              <w:rPr>
                <w:rFonts w:ascii="Times New Roman" w:cs="Times New Roman" w:eastAsia="Times New Roman" w:hAnsi="Times New Roman"/>
                <w:sz w:val="18"/>
                <w:szCs w:val="18"/>
                <w:color w:val="auto"/>
              </w:rPr>
              <w:t>By your electronic acceptance of the Option via your [</w:t>
            </w:r>
          </w:p>
        </w:tc>
        <w:tc>
          <w:tcPr>
            <w:tcW w:w="3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brokerage account, you understand and agree</w:t>
            </w:r>
          </w:p>
        </w:tc>
        <w:tc>
          <w:tcPr>
            <w:tcW w:w="0" w:type="dxa"/>
            <w:vAlign w:val="bottom"/>
          </w:tcPr>
          <w:p>
            <w:pPr>
              <w:spacing w:after="0"/>
              <w:rPr>
                <w:sz w:val="1"/>
                <w:szCs w:val="1"/>
                <w:color w:val="auto"/>
              </w:rPr>
            </w:pP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that:</w:t>
            </w:r>
          </w:p>
        </w:tc>
        <w:tc>
          <w:tcPr>
            <w:tcW w:w="46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960" w:right="100" w:hanging="427"/>
        <w:spacing w:after="0" w:line="251" w:lineRule="auto"/>
        <w:tabs>
          <w:tab w:leader="none" w:pos="96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governed by this Stock Option Grant Notice, and the provisions of the Plan and the Stock Option Agreement and the Notice of Exercise, all of which are made a part of this document. Unless otherwise provided in the Plan, this Grant Notice and the Stock Option Agreement (together, the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90" w:lineRule="exact"/>
        <w:rPr>
          <w:rFonts w:ascii="Times New Roman" w:cs="Times New Roman" w:eastAsia="Times New Roman" w:hAnsi="Times New Roman"/>
          <w:sz w:val="18"/>
          <w:szCs w:val="18"/>
          <w:color w:val="auto"/>
        </w:rPr>
      </w:pPr>
    </w:p>
    <w:p>
      <w:pPr>
        <w:ind w:left="960" w:right="200" w:hanging="427"/>
        <w:spacing w:after="0" w:line="256" w:lineRule="auto"/>
        <w:tabs>
          <w:tab w:leader="none" w:pos="96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Option is an Incentive Stock Option, it (plus other outstanding Incentive Stock Options granted to you) cannot be first </w:t>
      </w:r>
      <w:r>
        <w:rPr>
          <w:rFonts w:ascii="Times New Roman" w:cs="Times New Roman" w:eastAsia="Times New Roman" w:hAnsi="Times New Roman"/>
          <w:sz w:val="18"/>
          <w:szCs w:val="18"/>
          <w:i w:val="1"/>
          <w:iCs w:val="1"/>
          <w:color w:val="auto"/>
        </w:rPr>
        <w:t>exercisable</w:t>
      </w:r>
      <w:r>
        <w:rPr>
          <w:rFonts w:ascii="Times New Roman" w:cs="Times New Roman" w:eastAsia="Times New Roman" w:hAnsi="Times New Roman"/>
          <w:sz w:val="18"/>
          <w:szCs w:val="18"/>
          <w:color w:val="auto"/>
        </w:rPr>
        <w:t xml:space="preserve"> for more than $100,000 in value (measured by exercise price) in any calendar year. Any excess over $100,000 is a Nonstatutory Stock Option.]</w:t>
      </w:r>
    </w:p>
    <w:p>
      <w:pPr>
        <w:spacing w:after="0" w:line="88" w:lineRule="exact"/>
        <w:rPr>
          <w:sz w:val="20"/>
          <w:szCs w:val="20"/>
          <w:color w:val="auto"/>
        </w:rPr>
      </w:pPr>
    </w:p>
    <w:p>
      <w:pPr>
        <w:ind w:left="540"/>
        <w:spacing w:after="0"/>
        <w:tabs>
          <w:tab w:leader="none" w:pos="940" w:val="left"/>
          <w:tab w:leader="none" w:pos="8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Copies of the Plan, the Stock Option Agreement and Prospectus for the Plan are available via your [</w:t>
      </w:r>
      <w:r>
        <w:rPr>
          <w:sz w:val="20"/>
          <w:szCs w:val="20"/>
          <w:color w:val="auto"/>
        </w:rPr>
        <w:tab/>
      </w:r>
      <w:r>
        <w:rPr>
          <w:rFonts w:ascii="Times New Roman" w:cs="Times New Roman" w:eastAsia="Times New Roman" w:hAnsi="Times New Roman"/>
          <w:sz w:val="16"/>
          <w:szCs w:val="16"/>
          <w:color w:val="auto"/>
        </w:rPr>
        <w:t>] brokerage account and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-10795</wp:posOffset>
            </wp:positionV>
            <wp:extent cx="44450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444500" cy="8255"/>
                    </a:xfrm>
                    <a:prstGeom prst="rect">
                      <a:avLst/>
                    </a:prstGeom>
                    <a:noFill/>
                  </pic:spPr>
                </pic:pic>
              </a:graphicData>
            </a:graphic>
          </wp:anchor>
        </w:drawing>
      </w:r>
    </w:p>
    <w:p>
      <w:pPr>
        <w:spacing w:after="0" w:line="1" w:lineRule="exact"/>
        <w:rPr>
          <w:sz w:val="20"/>
          <w:szCs w:val="20"/>
          <w:color w:val="auto"/>
        </w:rPr>
      </w:pPr>
    </w:p>
    <w:p>
      <w:pPr>
        <w:ind w:left="960" w:right="200"/>
        <w:spacing w:after="0" w:line="245" w:lineRule="auto"/>
        <w:rPr>
          <w:sz w:val="20"/>
          <w:szCs w:val="20"/>
          <w:color w:val="auto"/>
        </w:rPr>
      </w:pPr>
      <w:r>
        <w:rPr>
          <w:rFonts w:ascii="Times New Roman" w:cs="Times New Roman" w:eastAsia="Times New Roman" w:hAnsi="Times New Roman"/>
          <w:sz w:val="18"/>
          <w:szCs w:val="18"/>
          <w:color w:val="auto"/>
        </w:rPr>
        <w:t>be viewed and printed by you. You consent to receive this Grant Notice, the Plan, the Stock Option Agreement, the Prospectus and any other Plan-related documents by electronic delivery and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5057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pacing w:after="0" w:line="379" w:lineRule="exact"/>
        <w:rPr>
          <w:sz w:val="20"/>
          <w:szCs w:val="20"/>
          <w:color w:val="auto"/>
        </w:rPr>
      </w:pPr>
    </w:p>
    <w:p>
      <w:pPr>
        <w:ind w:left="420" w:right="40" w:hanging="412"/>
        <w:spacing w:after="0" w:line="267" w:lineRule="auto"/>
        <w:tabs>
          <w:tab w:leader="none" w:pos="420" w:val="left"/>
        </w:tabs>
        <w:numPr>
          <w:ilvl w:val="0"/>
          <w:numId w:val="39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If this is an Incentive Stock Option, it (plus other outstanding Incentive Stock Options) cannot be first exercisable for more than $100,000 in value (measured by exercise price) in any calendar year. Any excess over $100,000 is a Nonstatutory Stock Option.</w:t>
      </w:r>
    </w:p>
    <w:p>
      <w:pPr>
        <w:sectPr>
          <w:pgSz w:w="11900" w:h="16838" w:orient="portrait"/>
          <w:cols w:equalWidth="0" w:num="1">
            <w:col w:w="10720"/>
          </w:cols>
          <w:pgMar w:left="580" w:top="119" w:right="599" w:bottom="1440" w:gutter="0" w:footer="0" w:header="0"/>
        </w:sectPr>
      </w:pPr>
    </w:p>
    <w:bookmarkStart w:id="508" w:name="page509"/>
    <w:bookmarkEnd w:id="508"/>
    <w:p>
      <w:pPr>
        <w:jc w:val="both"/>
        <w:ind w:left="427" w:right="20" w:hanging="427"/>
        <w:spacing w:after="0" w:line="255" w:lineRule="auto"/>
        <w:tabs>
          <w:tab w:leader="none" w:pos="427"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88" w:lineRule="exact"/>
        <w:rPr>
          <w:rFonts w:ascii="Times New Roman" w:cs="Times New Roman" w:eastAsia="Times New Roman" w:hAnsi="Times New Roman"/>
          <w:sz w:val="18"/>
          <w:szCs w:val="18"/>
          <w:color w:val="auto"/>
        </w:rPr>
      </w:pPr>
    </w:p>
    <w:p>
      <w:pPr>
        <w:ind w:left="427" w:hanging="427"/>
        <w:spacing w:after="0" w:line="293" w:lineRule="auto"/>
        <w:tabs>
          <w:tab w:leader="none" w:pos="427"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ectPr>
          <w:pgSz w:w="11900" w:h="16838" w:orient="portrait"/>
          <w:cols w:equalWidth="0" w:num="1">
            <w:col w:w="10107"/>
          </w:cols>
          <w:pgMar w:left="1113" w:top="265" w:right="679" w:bottom="1440" w:gutter="0" w:footer="0" w:header="0"/>
        </w:sectPr>
      </w:pPr>
    </w:p>
    <w:bookmarkStart w:id="509" w:name="page510"/>
    <w:bookmarkEnd w:id="50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019"/>
          </w:cols>
          <w:pgMar w:left="1440" w:top="263" w:right="1440" w:bottom="1440" w:gutter="0" w:footer="0" w:header="0"/>
        </w:sectPr>
      </w:pPr>
    </w:p>
    <w:bookmarkStart w:id="510" w:name="page511"/>
    <w:bookmarkEnd w:id="510"/>
    <w:p>
      <w:pPr>
        <w:ind w:left="4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11"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As reflected by your Stock Option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Tempus Labs,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option under its 2022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a number of shares of Common Stock at the exercise price indicated in your Grant Notice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general terms and conditions applicable to your Option are as follows:</w:t>
      </w:r>
    </w:p>
    <w:p>
      <w:pPr>
        <w:spacing w:after="0" w:line="211" w:lineRule="exact"/>
        <w:rPr>
          <w:sz w:val="20"/>
          <w:szCs w:val="20"/>
          <w:color w:val="auto"/>
        </w:rPr>
      </w:pPr>
    </w:p>
    <w:p>
      <w:pPr>
        <w:ind w:left="620" w:hanging="184"/>
        <w:spacing w:after="0"/>
        <w:tabs>
          <w:tab w:leader="none" w:pos="620" w:val="left"/>
        </w:tabs>
        <w:numPr>
          <w:ilvl w:val="0"/>
          <w:numId w:val="3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subject to all the provisions of the Plan, including but not limited to the provisions in:</w:t>
      </w:r>
    </w:p>
    <w:p>
      <w:pPr>
        <w:spacing w:after="0" w:line="215"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3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regarding the impact of a Capitalization Adjustment, dissolution, liquidation, or Corporate Transaction on your Option;</w:t>
      </w:r>
    </w:p>
    <w:p>
      <w:pPr>
        <w:spacing w:after="0" w:line="213"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3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Section 9(e) regarding the Company’s retained rights to terminate your Continuous Service notwithstanding the grant of the Option;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95" w:lineRule="exact"/>
        <w:rPr>
          <w:sz w:val="20"/>
          <w:szCs w:val="20"/>
          <w:color w:val="auto"/>
        </w:rPr>
      </w:pPr>
    </w:p>
    <w:p>
      <w:pPr>
        <w:ind w:left="1200" w:hanging="228"/>
        <w:spacing w:after="0"/>
        <w:tabs>
          <w:tab w:leader="none" w:pos="1200" w:val="left"/>
        </w:tabs>
        <w:numPr>
          <w:ilvl w:val="0"/>
          <w:numId w:val="3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regarding the tax consequences of your Option.</w:t>
      </w:r>
    </w:p>
    <w:p>
      <w:pPr>
        <w:spacing w:after="0" w:line="213" w:lineRule="exact"/>
        <w:rPr>
          <w:sz w:val="20"/>
          <w:szCs w:val="20"/>
          <w:color w:val="auto"/>
        </w:rPr>
      </w:pPr>
    </w:p>
    <w:p>
      <w:pPr>
        <w:ind w:right="140"/>
        <w:spacing w:after="0" w:line="331" w:lineRule="auto"/>
        <w:rPr>
          <w:sz w:val="20"/>
          <w:szCs w:val="20"/>
          <w:color w:val="auto"/>
        </w:rPr>
      </w:pPr>
      <w:r>
        <w:rPr>
          <w:rFonts w:ascii="Times New Roman" w:cs="Times New Roman" w:eastAsia="Times New Roman" w:hAnsi="Times New Roman"/>
          <w:sz w:val="16"/>
          <w:szCs w:val="16"/>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21" w:lineRule="exact"/>
        <w:rPr>
          <w:sz w:val="20"/>
          <w:szCs w:val="20"/>
          <w:color w:val="auto"/>
        </w:rPr>
      </w:pPr>
    </w:p>
    <w:p>
      <w:pPr>
        <w:ind w:right="80" w:firstLine="436"/>
        <w:spacing w:after="0" w:line="270" w:lineRule="auto"/>
        <w:tabs>
          <w:tab w:leader="none" w:pos="603" w:val="left"/>
        </w:tabs>
        <w:numPr>
          <w:ilvl w:val="0"/>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will vest as provided in your Grant Notice, subject to the provisions contained herein and the terms of the Plan. 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cease upon the termination of your Continuous Service.</w:t>
      </w:r>
    </w:p>
    <w:p>
      <w:pPr>
        <w:spacing w:after="0" w:line="164"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215" w:lineRule="exact"/>
        <w:rPr>
          <w:rFonts w:ascii="Times New Roman" w:cs="Times New Roman" w:eastAsia="Times New Roman" w:hAnsi="Times New Roman"/>
          <w:sz w:val="18"/>
          <w:szCs w:val="18"/>
          <w:b w:val="1"/>
          <w:bCs w:val="1"/>
          <w:color w:val="auto"/>
        </w:rPr>
      </w:pPr>
    </w:p>
    <w:p>
      <w:pPr>
        <w:ind w:right="220" w:firstLine="972"/>
        <w:spacing w:after="0" w:line="251" w:lineRule="auto"/>
        <w:tabs>
          <w:tab w:leader="none" w:pos="1212" w:val="left"/>
        </w:tabs>
        <w:numPr>
          <w:ilvl w:val="1"/>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ectPr>
          <w:pgSz w:w="11900" w:h="16838" w:orient="portrait"/>
          <w:cols w:equalWidth="0" w:num="1">
            <w:col w:w="10720"/>
          </w:cols>
          <w:pgMar w:left="580" w:top="263" w:right="599" w:bottom="1440" w:gutter="0" w:footer="0" w:header="0"/>
        </w:sectPr>
      </w:pPr>
    </w:p>
    <w:bookmarkStart w:id="511" w:name="page512"/>
    <w:bookmarkEnd w:id="511"/>
    <w:p>
      <w:pPr>
        <w:ind w:left="1220" w:hanging="248"/>
        <w:spacing w:after="0"/>
        <w:tabs>
          <w:tab w:leader="none" w:pos="1220" w:val="left"/>
        </w:tabs>
        <w:numPr>
          <w:ilvl w:val="1"/>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8040" cy="36830"/>
                    </a:xfrm>
                    <a:prstGeom prst="rect">
                      <a:avLst/>
                    </a:prstGeom>
                    <a:noFill/>
                  </pic:spPr>
                </pic:pic>
              </a:graphicData>
            </a:graphic>
          </wp:anchor>
        </w:drawing>
        <w:t>To the extent permitted by Applicable Law, you may pay your Option exercise price as follows:</w:t>
      </w:r>
    </w:p>
    <w:p>
      <w:pPr>
        <w:spacing w:after="0" w:line="213" w:lineRule="exact"/>
        <w:rPr>
          <w:rFonts w:ascii="Times New Roman" w:cs="Times New Roman" w:eastAsia="Times New Roman" w:hAnsi="Times New Roman"/>
          <w:sz w:val="18"/>
          <w:szCs w:val="18"/>
          <w:b w:val="1"/>
          <w:bCs w:val="1"/>
          <w:color w:val="auto"/>
        </w:rPr>
      </w:pPr>
    </w:p>
    <w:p>
      <w:pPr>
        <w:ind w:left="1600" w:hanging="200"/>
        <w:spacing w:after="0"/>
        <w:tabs>
          <w:tab w:leader="none" w:pos="1600" w:val="left"/>
        </w:tabs>
        <w:numPr>
          <w:ilvl w:val="2"/>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check, bank draft or money order;</w:t>
      </w:r>
    </w:p>
    <w:p>
      <w:pPr>
        <w:spacing w:after="0" w:line="213" w:lineRule="exact"/>
        <w:rPr>
          <w:rFonts w:ascii="Times New Roman" w:cs="Times New Roman" w:eastAsia="Times New Roman" w:hAnsi="Times New Roman"/>
          <w:sz w:val="18"/>
          <w:szCs w:val="18"/>
          <w:b w:val="1"/>
          <w:bCs w:val="1"/>
          <w:color w:val="auto"/>
        </w:rPr>
      </w:pPr>
    </w:p>
    <w:p>
      <w:pPr>
        <w:ind w:right="580" w:firstLine="1400"/>
        <w:spacing w:after="0" w:line="267" w:lineRule="auto"/>
        <w:tabs>
          <w:tab w:leader="none" w:pos="1650" w:val="left"/>
        </w:tabs>
        <w:numPr>
          <w:ilvl w:val="2"/>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as further described in Section 4(c)(ii) of the Plan if at the time of exercise the Common Stock is publicly traded;</w:t>
      </w:r>
    </w:p>
    <w:p>
      <w:pPr>
        <w:spacing w:after="0" w:line="169" w:lineRule="exact"/>
        <w:rPr>
          <w:rFonts w:ascii="Times New Roman" w:cs="Times New Roman" w:eastAsia="Times New Roman" w:hAnsi="Times New Roman"/>
          <w:sz w:val="18"/>
          <w:szCs w:val="18"/>
          <w:b w:val="1"/>
          <w:bCs w:val="1"/>
          <w:color w:val="auto"/>
        </w:rPr>
      </w:pPr>
    </w:p>
    <w:p>
      <w:pPr>
        <w:ind w:right="360" w:firstLine="1400"/>
        <w:spacing w:after="0" w:line="267" w:lineRule="auto"/>
        <w:tabs>
          <w:tab w:leader="none" w:pos="1699" w:val="left"/>
        </w:tabs>
        <w:numPr>
          <w:ilvl w:val="2"/>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by delivery of previously owned shares of Common Stock as further described in Section 4(c)(iii) of the Plan; or</w:t>
      </w:r>
    </w:p>
    <w:p>
      <w:pPr>
        <w:spacing w:after="0" w:line="169" w:lineRule="exact"/>
        <w:rPr>
          <w:rFonts w:ascii="Times New Roman" w:cs="Times New Roman" w:eastAsia="Times New Roman" w:hAnsi="Times New Roman"/>
          <w:sz w:val="18"/>
          <w:szCs w:val="18"/>
          <w:b w:val="1"/>
          <w:bCs w:val="1"/>
          <w:color w:val="auto"/>
        </w:rPr>
      </w:pPr>
    </w:p>
    <w:p>
      <w:pPr>
        <w:ind w:right="200" w:firstLine="1400"/>
        <w:spacing w:after="0" w:line="267" w:lineRule="auto"/>
        <w:tabs>
          <w:tab w:leader="none" w:pos="1689" w:val="left"/>
        </w:tabs>
        <w:numPr>
          <w:ilvl w:val="2"/>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if the Option is a Nonstatutory Stock Option, by a “net exercise” arrangement as further described in Section 4(c)(iv) of the Plan.</w:t>
      </w:r>
    </w:p>
    <w:p>
      <w:pPr>
        <w:spacing w:after="0" w:line="169" w:lineRule="exact"/>
        <w:rPr>
          <w:rFonts w:ascii="Times New Roman" w:cs="Times New Roman" w:eastAsia="Times New Roman" w:hAnsi="Times New Roman"/>
          <w:sz w:val="18"/>
          <w:szCs w:val="18"/>
          <w:b w:val="1"/>
          <w:bCs w:val="1"/>
          <w:color w:val="auto"/>
        </w:rPr>
      </w:pPr>
    </w:p>
    <w:p>
      <w:pPr>
        <w:ind w:firstLine="972"/>
        <w:spacing w:after="0" w:line="245" w:lineRule="auto"/>
        <w:tabs>
          <w:tab w:leader="none" w:pos="1202" w:val="left"/>
        </w:tabs>
        <w:numPr>
          <w:ilvl w:val="1"/>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accepting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provided, however, that nothing contained in this Section 3(c)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3(c). The underwriters of the Company’s stock are intended third party beneficiaries of this Section 3(c) and will have the right, power and authority to enforce the provisions hereof as though they were a party hereto.</w:t>
      </w:r>
    </w:p>
    <w:p>
      <w:pPr>
        <w:spacing w:after="0" w:line="194" w:lineRule="exact"/>
        <w:rPr>
          <w:rFonts w:ascii="Times New Roman" w:cs="Times New Roman" w:eastAsia="Times New Roman" w:hAnsi="Times New Roman"/>
          <w:sz w:val="18"/>
          <w:szCs w:val="18"/>
          <w:b w:val="1"/>
          <w:bCs w:val="1"/>
          <w:color w:val="auto"/>
        </w:rPr>
      </w:pPr>
    </w:p>
    <w:p>
      <w:pPr>
        <w:ind w:right="100" w:firstLine="436"/>
        <w:spacing w:after="0" w:line="270" w:lineRule="auto"/>
        <w:tabs>
          <w:tab w:leader="none" w:pos="603" w:val="left"/>
        </w:tabs>
        <w:numPr>
          <w:ilvl w:val="0"/>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not exercise your Option before the commencement of its term or after its term expires. The term of your Option commences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Date of Grant and expires upon the earliest of the following:</w:t>
      </w:r>
    </w:p>
    <w:p>
      <w:pPr>
        <w:spacing w:after="0" w:line="166"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termination of your Continuous Service for Cause;</w:t>
      </w:r>
    </w:p>
    <w:p>
      <w:pPr>
        <w:spacing w:after="0" w:line="213"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after the termination of your Continuous Service for any reason other than Cause, Disability or death;</w:t>
      </w:r>
    </w:p>
    <w:p>
      <w:pPr>
        <w:spacing w:after="0" w:line="213" w:lineRule="exact"/>
        <w:rPr>
          <w:rFonts w:ascii="Times New Roman" w:cs="Times New Roman" w:eastAsia="Times New Roman" w:hAnsi="Times New Roman"/>
          <w:sz w:val="18"/>
          <w:szCs w:val="18"/>
          <w:b w:val="1"/>
          <w:bCs w:val="1"/>
          <w:color w:val="auto"/>
        </w:rPr>
      </w:pPr>
    </w:p>
    <w:p>
      <w:pPr>
        <w:ind w:left="1200" w:hanging="228"/>
        <w:spacing w:after="0"/>
        <w:tabs>
          <w:tab w:leader="none" w:pos="1200" w:val="left"/>
        </w:tabs>
        <w:numPr>
          <w:ilvl w:val="1"/>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after the termination of your Continuous Service due to your Disability;</w:t>
      </w:r>
    </w:p>
    <w:p>
      <w:pPr>
        <w:spacing w:after="0" w:line="213"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after your death if you die during your Continuous Service;</w:t>
      </w:r>
    </w:p>
    <w:p>
      <w:pPr>
        <w:spacing w:after="0" w:line="213" w:lineRule="exact"/>
        <w:rPr>
          <w:rFonts w:ascii="Times New Roman" w:cs="Times New Roman" w:eastAsia="Times New Roman" w:hAnsi="Times New Roman"/>
          <w:sz w:val="18"/>
          <w:szCs w:val="18"/>
          <w:b w:val="1"/>
          <w:bCs w:val="1"/>
          <w:color w:val="auto"/>
        </w:rPr>
      </w:pPr>
    </w:p>
    <w:p>
      <w:pPr>
        <w:ind w:left="1200" w:hanging="228"/>
        <w:spacing w:after="0"/>
        <w:tabs>
          <w:tab w:leader="none" w:pos="1200" w:val="left"/>
        </w:tabs>
        <w:numPr>
          <w:ilvl w:val="1"/>
          <w:numId w:val="4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immediately upon a Corporate Transaction if the Board has determined that the Option will terminate in connection with a Corporate</w:t>
      </w:r>
    </w:p>
    <w:p>
      <w:pPr>
        <w:spacing w:after="0" w:line="43"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Transaction,</w:t>
      </w:r>
    </w:p>
    <w:p>
      <w:pPr>
        <w:sectPr>
          <w:pgSz w:w="11900" w:h="16838" w:orient="portrait"/>
          <w:cols w:equalWidth="0" w:num="1">
            <w:col w:w="10680"/>
          </w:cols>
          <w:pgMar w:left="580" w:top="264" w:right="639" w:bottom="1440" w:gutter="0" w:footer="0" w:header="0"/>
        </w:sectPr>
      </w:pPr>
    </w:p>
    <w:bookmarkStart w:id="512" w:name="page513"/>
    <w:bookmarkEnd w:id="512"/>
    <w:p>
      <w:pPr>
        <w:ind w:left="1200" w:hanging="228"/>
        <w:spacing w:after="0"/>
        <w:tabs>
          <w:tab w:leader="none" w:pos="1200"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Expiration Date indicated in your Grant Notice; or</w:t>
      </w:r>
    </w:p>
    <w:p>
      <w:pPr>
        <w:spacing w:after="0" w:line="213"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day before the 10th anniversary of the Date of Grant.</w:t>
      </w:r>
    </w:p>
    <w:p>
      <w:pPr>
        <w:spacing w:after="0" w:line="213" w:lineRule="exact"/>
        <w:rPr>
          <w:sz w:val="20"/>
          <w:szCs w:val="20"/>
          <w:color w:val="auto"/>
        </w:rPr>
      </w:pPr>
    </w:p>
    <w:p>
      <w:pPr>
        <w:ind w:right="20" w:firstLine="428"/>
        <w:spacing w:after="0" w:line="251" w:lineRule="auto"/>
        <w:rPr>
          <w:sz w:val="20"/>
          <w:szCs w:val="20"/>
          <w:color w:val="auto"/>
        </w:rPr>
      </w:pPr>
      <w:r>
        <w:rPr>
          <w:rFonts w:ascii="Times New Roman" w:cs="Times New Roman" w:eastAsia="Times New Roman" w:hAnsi="Times New Roman"/>
          <w:sz w:val="18"/>
          <w:szCs w:val="18"/>
          <w:color w:val="auto"/>
        </w:rPr>
        <w:t>Notwithstanding the foregoing, if you die during the period provided in Section 4(b) or 4(c) above, the term of your Option shall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184" w:lineRule="exact"/>
        <w:rPr>
          <w:sz w:val="20"/>
          <w:szCs w:val="20"/>
          <w:color w:val="auto"/>
        </w:rPr>
      </w:pPr>
    </w:p>
    <w:p>
      <w:pPr>
        <w:ind w:right="20" w:firstLine="428"/>
        <w:spacing w:after="0" w:line="249" w:lineRule="auto"/>
        <w:rPr>
          <w:sz w:val="20"/>
          <w:szCs w:val="20"/>
          <w:color w:val="auto"/>
        </w:rPr>
      </w:pPr>
      <w:r>
        <w:rPr>
          <w:rFonts w:ascii="Times New Roman" w:cs="Times New Roman" w:eastAsia="Times New Roman" w:hAnsi="Times New Roman"/>
          <w:sz w:val="18"/>
          <w:szCs w:val="18"/>
          <w:color w:val="auto"/>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spacing w:after="0" w:line="185" w:lineRule="exact"/>
        <w:rPr>
          <w:sz w:val="20"/>
          <w:szCs w:val="20"/>
          <w:color w:val="auto"/>
        </w:rPr>
      </w:pPr>
    </w:p>
    <w:p>
      <w:pPr>
        <w:ind w:right="160" w:firstLine="436"/>
        <w:spacing w:after="0" w:line="246" w:lineRule="auto"/>
        <w:tabs>
          <w:tab w:leader="none" w:pos="603" w:val="left"/>
        </w:tabs>
        <w:numPr>
          <w:ilvl w:val="0"/>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further provided in Section 8 of the Plan: (a) you may not exercise your Option unless the applicable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189" w:lineRule="exact"/>
        <w:rPr>
          <w:rFonts w:ascii="Times New Roman" w:cs="Times New Roman" w:eastAsia="Times New Roman" w:hAnsi="Times New Roman"/>
          <w:sz w:val="18"/>
          <w:szCs w:val="18"/>
          <w:b w:val="1"/>
          <w:bCs w:val="1"/>
          <w:color w:val="auto"/>
        </w:rPr>
      </w:pPr>
    </w:p>
    <w:p>
      <w:pPr>
        <w:ind w:firstLine="436"/>
        <w:spacing w:after="0" w:line="303" w:lineRule="auto"/>
        <w:tabs>
          <w:tab w:leader="none" w:pos="603" w:val="left"/>
        </w:tabs>
        <w:numPr>
          <w:ilvl w:val="0"/>
          <w:numId w:val="4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6"/>
          <w:szCs w:val="16"/>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6"/>
          <w:szCs w:val="16"/>
          <w:b w:val="1"/>
          <w:bCs w:val="1"/>
          <w:color w:val="auto"/>
        </w:rPr>
        <w:t xml:space="preserve"> D</w:t>
      </w:r>
      <w:r>
        <w:rPr>
          <w:rFonts w:ascii="Times New Roman" w:cs="Times New Roman" w:eastAsia="Times New Roman" w:hAnsi="Times New Roman"/>
          <w:sz w:val="13"/>
          <w:szCs w:val="13"/>
          <w:b w:val="1"/>
          <w:bCs w:val="1"/>
          <w:color w:val="auto"/>
        </w:rPr>
        <w:t>ISPOSITION</w:t>
      </w:r>
      <w:r>
        <w:rPr>
          <w:rFonts w:ascii="Times New Roman" w:cs="Times New Roman" w:eastAsia="Times New Roman" w:hAnsi="Times New Roman"/>
          <w:sz w:val="16"/>
          <w:szCs w:val="16"/>
          <w:b w:val="1"/>
          <w:bCs w:val="1"/>
          <w:color w:val="auto"/>
        </w:rPr>
        <w:t xml:space="preserve"> R</w:t>
      </w:r>
      <w:r>
        <w:rPr>
          <w:rFonts w:ascii="Times New Roman" w:cs="Times New Roman" w:eastAsia="Times New Roman" w:hAnsi="Times New Roman"/>
          <w:sz w:val="13"/>
          <w:szCs w:val="13"/>
          <w:b w:val="1"/>
          <w:bCs w:val="1"/>
          <w:color w:val="auto"/>
        </w:rPr>
        <w:t>EQUIREMENT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If your Option is an Incentive Stock Option, you must notify the Company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writing 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w:t>
      </w:r>
    </w:p>
    <w:p>
      <w:pPr>
        <w:spacing w:after="0" w:line="143" w:lineRule="exact"/>
        <w:rPr>
          <w:rFonts w:ascii="Times New Roman" w:cs="Times New Roman" w:eastAsia="Times New Roman" w:hAnsi="Times New Roman"/>
          <w:sz w:val="16"/>
          <w:szCs w:val="16"/>
          <w:b w:val="1"/>
          <w:bCs w:val="1"/>
          <w:color w:val="auto"/>
        </w:rPr>
      </w:pPr>
    </w:p>
    <w:p>
      <w:pPr>
        <w:ind w:right="680" w:firstLine="436"/>
        <w:spacing w:after="0" w:line="270" w:lineRule="auto"/>
        <w:tabs>
          <w:tab w:leader="none" w:pos="603" w:val="left"/>
        </w:tabs>
        <w:numPr>
          <w:ilvl w:val="0"/>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Section 4(e) of the Plan, your Option is not transferable, except by will or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of descent and distribution, and is exercisable during your life only by you.</w:t>
      </w:r>
    </w:p>
    <w:p>
      <w:pPr>
        <w:sectPr>
          <w:pgSz w:w="11900" w:h="16838" w:orient="portrait"/>
          <w:cols w:equalWidth="0" w:num="1">
            <w:col w:w="10720"/>
          </w:cols>
          <w:pgMar w:left="580" w:top="265" w:right="599" w:bottom="1440" w:gutter="0" w:footer="0" w:header="0"/>
        </w:sectPr>
      </w:pPr>
    </w:p>
    <w:bookmarkStart w:id="513" w:name="page514"/>
    <w:bookmarkEnd w:id="513"/>
    <w:p>
      <w:pPr>
        <w:ind w:left="-436" w:right="20" w:firstLine="436"/>
        <w:spacing w:after="0" w:line="256" w:lineRule="auto"/>
        <w:tabs>
          <w:tab w:leader="none" w:pos="167" w:val="left"/>
        </w:tabs>
        <w:numPr>
          <w:ilvl w:val="0"/>
          <w:numId w:val="4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subject to the terms of any agreement governing a Corporate Transaction involving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a provision for the appointment of a stockholder representative that is authorized to act on your behalf with respect to any escrow, indemnities and any contingent consideration.</w:t>
      </w:r>
    </w:p>
    <w:p>
      <w:pPr>
        <w:spacing w:after="0" w:line="177" w:lineRule="exact"/>
        <w:rPr>
          <w:rFonts w:ascii="Times New Roman" w:cs="Times New Roman" w:eastAsia="Times New Roman" w:hAnsi="Times New Roman"/>
          <w:sz w:val="18"/>
          <w:szCs w:val="18"/>
          <w:b w:val="1"/>
          <w:bCs w:val="1"/>
          <w:color w:val="auto"/>
        </w:rPr>
      </w:pPr>
    </w:p>
    <w:p>
      <w:pPr>
        <w:ind w:left="-436" w:firstLine="436"/>
        <w:spacing w:after="0" w:line="282" w:lineRule="auto"/>
        <w:tabs>
          <w:tab w:leader="none" w:pos="167" w:val="left"/>
        </w:tabs>
        <w:numPr>
          <w:ilvl w:val="0"/>
          <w:numId w:val="4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6"/>
          <w:szCs w:val="16"/>
          <w:b w:val="1"/>
          <w:bCs w:val="1"/>
          <w:color w:val="auto"/>
        </w:rPr>
        <w:t xml:space="preserve"> L</w:t>
      </w:r>
      <w:r>
        <w:rPr>
          <w:rFonts w:ascii="Times New Roman" w:cs="Times New Roman" w:eastAsia="Times New Roman" w:hAnsi="Times New Roman"/>
          <w:sz w:val="13"/>
          <w:szCs w:val="13"/>
          <w:b w:val="1"/>
          <w:bCs w:val="1"/>
          <w:color w:val="auto"/>
        </w:rPr>
        <w:t>IABILITY FOR</w:t>
      </w:r>
      <w:r>
        <w:rPr>
          <w:rFonts w:ascii="Times New Roman" w:cs="Times New Roman" w:eastAsia="Times New Roman" w:hAnsi="Times New Roman"/>
          <w:sz w:val="16"/>
          <w:szCs w:val="16"/>
          <w:b w:val="1"/>
          <w:bCs w:val="1"/>
          <w:color w:val="auto"/>
        </w:rPr>
        <w:t xml:space="preserve"> T</w:t>
      </w:r>
      <w:r>
        <w:rPr>
          <w:rFonts w:ascii="Times New Roman" w:cs="Times New Roman" w:eastAsia="Times New Roman" w:hAnsi="Times New Roman"/>
          <w:sz w:val="13"/>
          <w:szCs w:val="13"/>
          <w:b w:val="1"/>
          <w:bCs w:val="1"/>
          <w:color w:val="auto"/>
        </w:rPr>
        <w:t>AXES</w:t>
      </w:r>
      <w:r>
        <w:rPr>
          <w:rFonts w:ascii="Times New Roman" w:cs="Times New Roman" w:eastAsia="Times New Roman" w:hAnsi="Times New Roman"/>
          <w:sz w:val="16"/>
          <w:szCs w:val="16"/>
          <w:color w:val="auto"/>
        </w:rPr>
        <w:t>. As a condition to accepting the Option, you hereby (a) agree to not make any claim against the Company, 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161" w:lineRule="exact"/>
        <w:rPr>
          <w:rFonts w:ascii="Times New Roman" w:cs="Times New Roman" w:eastAsia="Times New Roman" w:hAnsi="Times New Roman"/>
          <w:sz w:val="16"/>
          <w:szCs w:val="16"/>
          <w:b w:val="1"/>
          <w:bCs w:val="1"/>
          <w:color w:val="auto"/>
        </w:rPr>
      </w:pPr>
    </w:p>
    <w:p>
      <w:pPr>
        <w:jc w:val="both"/>
        <w:ind w:left="-436" w:right="40" w:firstLine="436"/>
        <w:spacing w:after="0" w:line="252" w:lineRule="auto"/>
        <w:tabs>
          <w:tab w:leader="none" w:pos="255" w:val="left"/>
        </w:tabs>
        <w:numPr>
          <w:ilvl w:val="0"/>
          <w:numId w:val="4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color w:val="auto"/>
        </w:rPr>
        <w:t>. If any part of this Option Agreement or the Plan is declared by any court or governmental authority to be unlawful or invalid,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80" w:lineRule="exact"/>
        <w:rPr>
          <w:rFonts w:ascii="Times New Roman" w:cs="Times New Roman" w:eastAsia="Times New Roman" w:hAnsi="Times New Roman"/>
          <w:sz w:val="18"/>
          <w:szCs w:val="18"/>
          <w:b w:val="1"/>
          <w:bCs w:val="1"/>
          <w:color w:val="auto"/>
        </w:rPr>
      </w:pPr>
    </w:p>
    <w:p>
      <w:pPr>
        <w:ind w:left="-436" w:right="100" w:firstLine="436"/>
        <w:spacing w:after="0" w:line="333" w:lineRule="auto"/>
        <w:tabs>
          <w:tab w:leader="none" w:pos="245" w:val="left"/>
        </w:tabs>
        <w:numPr>
          <w:ilvl w:val="0"/>
          <w:numId w:val="4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6"/>
          <w:szCs w:val="16"/>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You hereby acknowledge receipt of or the right to receive a document providing the information required by Rule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428(b)(1) promulgated under the Securities Act, which includes the Prospectus. In addition, you acknowledge receipt of the Company’s Trading Policy.</w:t>
      </w:r>
    </w:p>
    <w:p>
      <w:pPr>
        <w:spacing w:after="0" w:line="119" w:lineRule="exact"/>
        <w:rPr>
          <w:rFonts w:ascii="Times New Roman" w:cs="Times New Roman" w:eastAsia="Times New Roman" w:hAnsi="Times New Roman"/>
          <w:sz w:val="16"/>
          <w:szCs w:val="16"/>
          <w:b w:val="1"/>
          <w:bCs w:val="1"/>
          <w:color w:val="auto"/>
        </w:rPr>
      </w:pPr>
    </w:p>
    <w:p>
      <w:pPr>
        <w:ind w:left="-436" w:right="200" w:firstLine="436"/>
        <w:spacing w:after="0" w:line="270" w:lineRule="auto"/>
        <w:tabs>
          <w:tab w:leader="none" w:pos="255" w:val="left"/>
        </w:tabs>
        <w:numPr>
          <w:ilvl w:val="0"/>
          <w:numId w:val="4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4"/>
          <w:szCs w:val="14"/>
          <w:b w:val="1"/>
          <w:bCs w:val="1"/>
          <w:color w:val="auto"/>
        </w:rPr>
        <w:t>UESTIONS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have questions regarding these or any other terms and conditions applicable to your Option, including a summary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federal income tax consequences please see the Prospectus.</w:t>
      </w:r>
    </w:p>
    <w:p>
      <w:pPr>
        <w:spacing w:after="0" w:line="164" w:lineRule="exact"/>
        <w:rPr>
          <w:rFonts w:ascii="Times New Roman" w:cs="Times New Roman" w:eastAsia="Times New Roman" w:hAnsi="Times New Roman"/>
          <w:sz w:val="18"/>
          <w:szCs w:val="18"/>
          <w:b w:val="1"/>
          <w:bCs w:val="1"/>
          <w:color w:val="auto"/>
        </w:rPr>
      </w:pPr>
    </w:p>
    <w:p>
      <w:pPr>
        <w:ind w:left="4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   *   *</w:t>
      </w:r>
    </w:p>
    <w:p>
      <w:pPr>
        <w:sectPr>
          <w:pgSz w:w="11900" w:h="16838" w:orient="portrait"/>
          <w:cols w:equalWidth="0" w:num="1">
            <w:col w:w="10284"/>
          </w:cols>
          <w:pgMar w:left="1016" w:top="263" w:right="599" w:bottom="1440" w:gutter="0" w:footer="0" w:header="0"/>
        </w:sectPr>
      </w:pPr>
    </w:p>
    <w:bookmarkStart w:id="514" w:name="page515"/>
    <w:bookmarkEnd w:id="5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ectPr>
          <w:pgSz w:w="11900" w:h="16838" w:orient="portrait"/>
          <w:cols w:equalWidth="0" w:num="1">
            <w:col w:w="9019"/>
          </w:cols>
          <w:pgMar w:left="1440" w:top="263" w:right="1440" w:bottom="1440" w:gutter="0" w:footer="0" w:header="0"/>
        </w:sectPr>
      </w:pPr>
    </w:p>
    <w:bookmarkStart w:id="515" w:name="page516"/>
    <w:bookmarkEnd w:id="5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p>
    <w:p>
      <w:pPr>
        <w:sectPr>
          <w:pgSz w:w="11900" w:h="16838" w:orient="portrait"/>
          <w:cols w:equalWidth="0" w:num="1">
            <w:col w:w="9019"/>
          </w:cols>
          <w:pgMar w:left="1440" w:top="263" w:right="1440" w:bottom="1440" w:gutter="0" w:footer="0" w:header="0"/>
        </w:sectPr>
      </w:pPr>
    </w:p>
    <w:bookmarkStart w:id="516" w:name="page517"/>
    <w:bookmarkEnd w:id="516"/>
    <w:p>
      <w:pPr>
        <w:ind w:left="4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NOTICE OF EXERCISE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Labs,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 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90"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-10795</wp:posOffset>
            </wp:positionV>
            <wp:extent cx="66675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66750" cy="8255"/>
                    </a:xfrm>
                    <a:prstGeom prst="rect">
                      <a:avLst/>
                    </a:prstGeom>
                    <a:noFill/>
                  </pic:spPr>
                </pic:pic>
              </a:graphicData>
            </a:graphic>
          </wp:anchor>
        </w:drawing>
      </w:r>
    </w:p>
    <w:p>
      <w:pPr>
        <w:spacing w:after="0" w:line="189"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This constitutes notice to Tempus Labs,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I elect to purchase the below number of shares of Common Stock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by exercising my Option for the price set forth below. Capitalized terms not explicitly defined in this Notice of Exercise but defined in the Grant Notice, Option Agreement or 2022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shall have the meanings set forth in the Grant Notice, Option Agreement or Plan, as applicable. Use of certain payment methods is subject to Company and/or Committee consent and certain additional requirements set forth in the Option Agreement and the Plan.</w:t>
      </w:r>
    </w:p>
    <w:p>
      <w:pPr>
        <w:sectPr>
          <w:pgSz w:w="11900" w:h="16838" w:orient="portrait"/>
          <w:cols w:equalWidth="0" w:num="1">
            <w:col w:w="10680"/>
          </w:cols>
          <w:pgMar w:left="580" w:top="263" w:right="639" w:bottom="1440" w:gutter="0" w:footer="0" w:header="0"/>
        </w:sect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Type of option (check one):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Incentive </w:t>
      </w:r>
      <w:r>
        <w:rPr>
          <w:rFonts w:ascii="MS PGothic" w:cs="MS PGothic" w:eastAsia="MS PGothic" w:hAnsi="MS PGothic"/>
          <w:sz w:val="18"/>
          <w:szCs w:val="18"/>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Nonstatutory </w:t>
      </w:r>
      <w:r>
        <w:rPr>
          <w:rFonts w:ascii="MS PGothic" w:cs="MS PGothic" w:eastAsia="MS PGothic" w:hAnsi="MS PGothic"/>
          <w:sz w:val="16"/>
          <w:szCs w:val="16"/>
          <w:color w:val="auto"/>
        </w:rPr>
        <w:t>☐</w:t>
      </w:r>
    </w:p>
    <w:p>
      <w:pPr>
        <w:spacing w:after="0" w:line="484" w:lineRule="exact"/>
        <w:rPr>
          <w:sz w:val="20"/>
          <w:szCs w:val="20"/>
          <w:color w:val="auto"/>
        </w:rPr>
      </w:pPr>
    </w:p>
    <w:p>
      <w:pPr>
        <w:sectPr>
          <w:pgSz w:w="11900" w:h="16838" w:orient="portrait"/>
          <w:cols w:equalWidth="0" w:num="3">
            <w:col w:w="6140" w:space="720"/>
            <w:col w:w="1980" w:space="720"/>
            <w:col w:w="1120"/>
          </w:cols>
          <w:pgMar w:left="580" w:top="263"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Number of Shares as</w:t>
      </w:r>
    </w:p>
    <w:p>
      <w:pPr>
        <w:spacing w:after="0" w:line="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to which Option is</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exercised:</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130" w:lineRule="exact"/>
        <w:rPr>
          <w:sz w:val="20"/>
          <w:szCs w:val="20"/>
          <w:color w:val="auto"/>
        </w:rPr>
      </w:pPr>
    </w:p>
    <w:p>
      <w:pPr>
        <w:sectPr>
          <w:pgSz w:w="11900" w:h="16838" w:orient="portrait"/>
          <w:cols w:equalWidth="0" w:num="2">
            <w:col w:w="6140" w:space="720"/>
            <w:col w:w="3820"/>
          </w:cols>
          <w:pgMar w:left="580" w:top="263"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Certificates to be</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issued in name of:</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Cash, check, bank draft or money order delivered herewith:</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Value of ________ Shares delivered herewith:</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Regulation T Program (cashless exercise)</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Value of _______ Shares pursuant to net exercise: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ectPr>
          <w:pgSz w:w="11900" w:h="16838" w:orient="portrait"/>
          <w:cols w:equalWidth="0" w:num="2">
            <w:col w:w="6140" w:space="720"/>
            <w:col w:w="3820"/>
          </w:cols>
          <w:pgMar w:left="580" w:top="263" w:right="639" w:bottom="1440" w:gutter="0" w:footer="0" w:header="0"/>
          <w:type w:val="continuous"/>
        </w:sectPr>
      </w:pPr>
    </w:p>
    <w:bookmarkStart w:id="517" w:name="page518"/>
    <w:bookmarkEnd w:id="517"/>
    <w:p>
      <w:pPr>
        <w:ind w:right="100" w:firstLine="428"/>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By this exercise, I agree (i) to provide such additional documents as you may require pursuant to the terms of the Plan, (ii) to satisfy the tax withholding obligations, if any, relating to the exercise of this Option as set forth in the Option Agreement, and (iii) if this exercise relates to an incentive stock option, to notify you in writing within 15 days after the date of any disposition of any of the Shares issued upon exercise of this Option that occurs within two years after the Date of Grant or within one year after such Shares are issued upon exercise of this Option.</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I further agree that I will not sell, dispose of, transfer, make any short sale of, grant any option for the purchase of, or enter into any hedging or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similar transaction with the same economic effect as a sale with respect to any shares of Common Stock or other securities of the Company that I hold,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 period of 180 days following the effective date of a registration statement of the Company filed under the Securities Act or such longer period 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or the Company will request to facilitate compliance with FINRA Rule 2241 or any successor or similar rules or regulation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Lock-Up Period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nothing contained in this paragraph will prevent the exercise of a repurchase option, if any, in favor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during the Lock-Up Period. I further agree to execute and deliver such other agreements as may be reasonably requested by the Company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that are consistent with the foregoing or that are necessary to give further effect thereto. I further agree that in order to enforce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covenant, the Company may impose stop-transfer instructions with respect to shares of Common Stock that I hold until the end of such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I also agree that any transferee of any shares of Common Stock (or other securities) of the Company that I hold will be bound by this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paragraph. The underwriters of the Company’s stock are intended third party beneficiaries of this paragraph and will have the right, power and authority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enforce the provisions hereof as though they were a party hereto.</w:t>
      </w:r>
    </w:p>
    <w:p>
      <w:pPr>
        <w:spacing w:after="0" w:line="22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4090035</wp:posOffset>
            </wp:positionH>
            <wp:positionV relativeFrom="paragraph">
              <wp:posOffset>280670</wp:posOffset>
            </wp:positionV>
            <wp:extent cx="271780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ectPr>
          <w:pgSz w:w="11900" w:h="16838" w:orient="portrait"/>
          <w:cols w:equalWidth="0" w:num="1">
            <w:col w:w="10660"/>
          </w:cols>
          <w:pgMar w:left="580" w:top="265" w:right="659" w:bottom="1440" w:gutter="0" w:footer="0" w:header="0"/>
        </w:sectPr>
      </w:pPr>
    </w:p>
    <w:bookmarkStart w:id="518" w:name="page519"/>
    <w:bookmarkEnd w:id="518"/>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Labs,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awarded to you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number of restricted stock units specified and on the terms set forth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in consideration of your services (the “</w:t>
      </w:r>
      <w:r>
        <w:rPr>
          <w:rFonts w:ascii="Times New Roman" w:cs="Times New Roman" w:eastAsia="Times New Roman" w:hAnsi="Times New Roman"/>
          <w:sz w:val="16"/>
          <w:szCs w:val="16"/>
          <w:b w:val="1"/>
          <w:bCs w:val="1"/>
          <w:i w:val="1"/>
          <w:iCs w:val="1"/>
          <w:color w:val="auto"/>
        </w:rPr>
        <w:t>RSU Award</w:t>
      </w:r>
      <w:r>
        <w:rPr>
          <w:rFonts w:ascii="Times New Roman" w:cs="Times New Roman" w:eastAsia="Times New Roman" w:hAnsi="Times New Roman"/>
          <w:sz w:val="16"/>
          <w:szCs w:val="16"/>
          <w:color w:val="auto"/>
        </w:rPr>
        <w:t>”). Your RSU Award is subject to all of the terms and conditions as set forth herein and in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2022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Award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which are available by logging into your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 brokerage account and which are incorporated herein in their entirety. Capitalized terms not explicitly defined herein but defined in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or the Agreement shall have the meanings set forth in the Plan or the Agreement.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-10795</wp:posOffset>
            </wp:positionV>
            <wp:extent cx="15830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58305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-22225</wp:posOffset>
            </wp:positionV>
            <wp:extent cx="15830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5830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-22225</wp:posOffset>
            </wp:positionV>
            <wp:extent cx="15830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5830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-22225</wp:posOffset>
            </wp:positionV>
            <wp:extent cx="15830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583055" cy="8255"/>
                    </a:xfrm>
                    <a:prstGeom prst="rect">
                      <a:avLst/>
                    </a:prstGeom>
                    <a:noFill/>
                  </pic:spPr>
                </pic:pic>
              </a:graphicData>
            </a:graphic>
          </wp:anchor>
        </w:drawing>
      </w:r>
    </w:p>
    <w:p>
      <w:pPr>
        <w:spacing w:after="0" w:line="200"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6"/>
          <w:szCs w:val="16"/>
          <w:color w:val="auto"/>
        </w:rPr>
        <w:t>Subject to the Participant’s Continuous Service through each applicable</w:t>
      </w:r>
    </w:p>
    <w:p>
      <w:pPr>
        <w:spacing w:after="0" w:line="2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vesting date, the RSU Award will vest as follows:</w:t>
      </w:r>
    </w:p>
    <w:p>
      <w:pPr>
        <w:spacing w:after="0" w:line="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88" w:lineRule="exact"/>
        <w:rPr>
          <w:sz w:val="20"/>
          <w:szCs w:val="20"/>
          <w:color w:val="auto"/>
        </w:rPr>
      </w:pPr>
    </w:p>
    <w:p>
      <w:pPr>
        <w:ind w:left="1660" w:right="3980" w:hanging="1653"/>
        <w:spacing w:after="0" w:line="267" w:lineRule="auto"/>
        <w:tabs>
          <w:tab w:leader="none" w:pos="1640" w:val="left"/>
        </w:tabs>
        <w:rPr>
          <w:sz w:val="20"/>
          <w:szCs w:val="20"/>
          <w:color w:val="auto"/>
        </w:rPr>
      </w:pPr>
      <w:r>
        <w:rPr>
          <w:rFonts w:ascii="Times New Roman" w:cs="Times New Roman" w:eastAsia="Times New Roman" w:hAnsi="Times New Roman"/>
          <w:sz w:val="18"/>
          <w:szCs w:val="18"/>
          <w:b w:val="1"/>
          <w:bCs w:val="1"/>
          <w:color w:val="auto"/>
        </w:rPr>
        <w:t>Issuance Schedule:</w:t>
      </w:r>
      <w:r>
        <w:rPr>
          <w:sz w:val="20"/>
          <w:szCs w:val="20"/>
          <w:color w:val="auto"/>
        </w:rPr>
        <w:tab/>
      </w:r>
      <w:r>
        <w:rPr>
          <w:rFonts w:ascii="Times New Roman" w:cs="Times New Roman" w:eastAsia="Times New Roman" w:hAnsi="Times New Roman"/>
          <w:sz w:val="18"/>
          <w:szCs w:val="18"/>
          <w:color w:val="auto"/>
        </w:rPr>
        <w:t>One share of Common Stock will be issued for each restricted stock unit which vests at the time set forth in Section 6 of the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Participant Acknowledgements: </w:t>
      </w:r>
      <w:r>
        <w:rPr>
          <w:rFonts w:ascii="Times New Roman" w:cs="Times New Roman" w:eastAsia="Times New Roman" w:hAnsi="Times New Roman"/>
          <w:sz w:val="16"/>
          <w:szCs w:val="16"/>
          <w:color w:val="auto"/>
        </w:rPr>
        <w:t>By your electronic acceptance of the RSU Award via your [_________] brokerage account, you understand and agree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ind w:left="960" w:right="40" w:hanging="427"/>
        <w:spacing w:after="0" w:line="253" w:lineRule="auto"/>
        <w:tabs>
          <w:tab w:leader="none" w:pos="96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 Award is governed by this RSU Award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89" w:lineRule="exact"/>
        <w:rPr>
          <w:rFonts w:ascii="Times New Roman" w:cs="Times New Roman" w:eastAsia="Times New Roman" w:hAnsi="Times New Roman"/>
          <w:sz w:val="18"/>
          <w:szCs w:val="18"/>
          <w:color w:val="auto"/>
        </w:rPr>
      </w:pPr>
    </w:p>
    <w:p>
      <w:pPr>
        <w:ind w:left="960" w:right="180" w:hanging="427"/>
        <w:spacing w:after="0" w:line="251" w:lineRule="auto"/>
        <w:tabs>
          <w:tab w:leader="none" w:pos="96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Plan, the Agreement and Prospectus for the Plan are available via your [________] brokerage account and may be viewed and printed by you. You consent to receive this Grant Notice, the Plan, the Agreement, the Prospectus and any other Plan-related documents by electronic delivery and to participate in the Plan through an on-line or electronic system established and maintained by the Company or another third party designated by the Company.</w:t>
      </w:r>
    </w:p>
    <w:p>
      <w:pPr>
        <w:spacing w:after="0" w:line="92" w:lineRule="exact"/>
        <w:rPr>
          <w:rFonts w:ascii="Times New Roman" w:cs="Times New Roman" w:eastAsia="Times New Roman" w:hAnsi="Times New Roman"/>
          <w:sz w:val="18"/>
          <w:szCs w:val="18"/>
          <w:color w:val="auto"/>
        </w:rPr>
      </w:pPr>
    </w:p>
    <w:p>
      <w:pPr>
        <w:ind w:left="960" w:right="80" w:hanging="427"/>
        <w:spacing w:after="0" w:line="331" w:lineRule="auto"/>
        <w:tabs>
          <w:tab w:leader="none" w:pos="960" w:val="left"/>
        </w:tabs>
        <w:numPr>
          <w:ilvl w:val="0"/>
          <w:numId w:val="4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30" w:lineRule="exact"/>
        <w:rPr>
          <w:rFonts w:ascii="Times New Roman" w:cs="Times New Roman" w:eastAsia="Times New Roman" w:hAnsi="Times New Roman"/>
          <w:sz w:val="16"/>
          <w:szCs w:val="16"/>
          <w:color w:val="auto"/>
        </w:rPr>
      </w:pPr>
    </w:p>
    <w:p>
      <w:pPr>
        <w:jc w:val="both"/>
        <w:ind w:left="960" w:right="40" w:hanging="427"/>
        <w:spacing w:after="0" w:line="293" w:lineRule="auto"/>
        <w:tabs>
          <w:tab w:leader="none" w:pos="960" w:val="left"/>
        </w:tabs>
        <w:numPr>
          <w:ilvl w:val="0"/>
          <w:numId w:val="4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ectPr>
          <w:pgSz w:w="11900" w:h="16838" w:orient="portrait"/>
          <w:cols w:equalWidth="0" w:num="1">
            <w:col w:w="10720"/>
          </w:cols>
          <w:pgMar w:left="580" w:top="119" w:right="599" w:bottom="1440" w:gutter="0" w:footer="0" w:header="0"/>
        </w:sectPr>
      </w:pPr>
    </w:p>
    <w:bookmarkStart w:id="519" w:name="page520"/>
    <w:bookmarkEnd w:id="519"/>
    <w:p>
      <w:pPr>
        <w:ind w:left="4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w:t>
      </w:r>
    </w:p>
    <w:p>
      <w:pPr>
        <w:spacing w:after="0" w:line="211"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As reflected by your Restricted Stock Unit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Tempus Labs,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 RSU Award under its 2022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number of restricted stock units as indicated in your Grant Notice (the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The terms of your RSU Award as specified in this Award Agreement for your RSU Award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Grant Notice constitute your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Defined terms not explicitly defined in this Agreement but defined in the Grant Notice or the Plan shall have the same definitions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Grant Notice or Plan, as applicable.</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general terms applicable to your RSU Award are as follows:</w:t>
      </w:r>
    </w:p>
    <w:p>
      <w:pPr>
        <w:spacing w:after="0" w:line="106" w:lineRule="exact"/>
        <w:rPr>
          <w:sz w:val="20"/>
          <w:szCs w:val="20"/>
          <w:color w:val="auto"/>
        </w:rPr>
      </w:pPr>
    </w:p>
    <w:p>
      <w:pPr>
        <w:ind w:left="620" w:hanging="184"/>
        <w:spacing w:after="0"/>
        <w:tabs>
          <w:tab w:leader="none" w:pos="620" w:val="left"/>
        </w:tabs>
        <w:numPr>
          <w:ilvl w:val="0"/>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RSU Award is subject to all the provisions of the Plan, including but not limited to the provisions in:</w:t>
      </w:r>
    </w:p>
    <w:p>
      <w:pPr>
        <w:spacing w:after="0" w:line="110"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4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Section 6 of the Plan regarding the impact of a Capitalization Adjustment, dissolution, liquidation, or Corporate Transaction on your</w:t>
      </w:r>
    </w:p>
    <w:p>
      <w:pPr>
        <w:spacing w:after="0" w:line="43"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RSU Award;</w:t>
      </w:r>
    </w:p>
    <w:p>
      <w:pPr>
        <w:spacing w:after="0" w:line="195" w:lineRule="exact"/>
        <w:rPr>
          <w:rFonts w:ascii="Times New Roman" w:cs="Times New Roman" w:eastAsia="Times New Roman" w:hAnsi="Times New Roman"/>
          <w:sz w:val="16"/>
          <w:szCs w:val="16"/>
          <w:b w:val="1"/>
          <w:bCs w:val="1"/>
          <w:color w:val="auto"/>
        </w:rPr>
      </w:pPr>
    </w:p>
    <w:p>
      <w:pPr>
        <w:ind w:left="1220" w:hanging="248"/>
        <w:spacing w:after="0"/>
        <w:tabs>
          <w:tab w:leader="none" w:pos="1220" w:val="left"/>
        </w:tabs>
        <w:numPr>
          <w:ilvl w:val="1"/>
          <w:numId w:val="4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Section 9(e) of the Plan regarding the Company’s retained rights to terminate your Continuous Service notwithstanding the grant of the</w:t>
      </w:r>
    </w:p>
    <w:p>
      <w:pPr>
        <w:spacing w:after="0" w:line="43"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RSU Award; and</w:t>
      </w:r>
    </w:p>
    <w:p>
      <w:pPr>
        <w:spacing w:after="0" w:line="195" w:lineRule="exact"/>
        <w:rPr>
          <w:rFonts w:ascii="Times New Roman" w:cs="Times New Roman" w:eastAsia="Times New Roman" w:hAnsi="Times New Roman"/>
          <w:sz w:val="16"/>
          <w:szCs w:val="16"/>
          <w:b w:val="1"/>
          <w:bCs w:val="1"/>
          <w:color w:val="auto"/>
        </w:rPr>
      </w:pPr>
    </w:p>
    <w:p>
      <w:pPr>
        <w:ind w:left="1200" w:hanging="228"/>
        <w:spacing w:after="0"/>
        <w:tabs>
          <w:tab w:leader="none" w:pos="1200" w:val="left"/>
        </w:tabs>
        <w:numPr>
          <w:ilvl w:val="1"/>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of the Plan regarding the tax consequences of your RSU Award.</w:t>
      </w:r>
    </w:p>
    <w:p>
      <w:pPr>
        <w:spacing w:after="0" w:line="21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78" w:lineRule="exact"/>
        <w:rPr>
          <w:sz w:val="20"/>
          <w:szCs w:val="20"/>
          <w:color w:val="auto"/>
        </w:rPr>
      </w:pPr>
    </w:p>
    <w:p>
      <w:pPr>
        <w:ind w:right="140" w:firstLine="436"/>
        <w:spacing w:after="0" w:line="248" w:lineRule="auto"/>
        <w:tabs>
          <w:tab w:leader="none" w:pos="603" w:val="left"/>
        </w:tabs>
        <w:numPr>
          <w:ilvl w:val="0"/>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RANT OF THE</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RSU Award represents your right to be issued on a future date the number of shares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is equal to the number of restricted stock units indicated in the Grant Notice as modified to reflect any Capitalization Adjustment and subject to your satisfaction of the vesting conditions set forth therein (the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Any additional Restricted Stock Units that become subject to the RSU Award pursuant to Capitalization Adjustments as set forth in the Plan and the provisions of Section 4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87" w:lineRule="exact"/>
        <w:rPr>
          <w:rFonts w:ascii="Times New Roman" w:cs="Times New Roman" w:eastAsia="Times New Roman" w:hAnsi="Times New Roman"/>
          <w:sz w:val="18"/>
          <w:szCs w:val="18"/>
          <w:b w:val="1"/>
          <w:bCs w:val="1"/>
          <w:color w:val="auto"/>
        </w:rPr>
      </w:pPr>
    </w:p>
    <w:p>
      <w:pPr>
        <w:ind w:right="220" w:firstLine="436"/>
        <w:spacing w:after="0" w:line="270" w:lineRule="auto"/>
        <w:tabs>
          <w:tab w:leader="none" w:pos="603" w:val="left"/>
        </w:tabs>
        <w:numPr>
          <w:ilvl w:val="0"/>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Restricted Stock Units will vest, if at all, in accordance with the vesting schedule provided in the Grant Notice,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contained herein and the terms of the Plan. Vesting will cease upon the termination of your Continuous Service.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263" w:right="599" w:bottom="1440" w:gutter="0" w:footer="0" w:header="0"/>
        </w:sectPr>
      </w:pPr>
    </w:p>
    <w:bookmarkStart w:id="520" w:name="page521"/>
    <w:bookmarkEnd w:id="520"/>
    <w:p>
      <w:pPr>
        <w:ind w:firstLine="436"/>
        <w:spacing w:after="0" w:line="247" w:lineRule="auto"/>
        <w:tabs>
          <w:tab w:leader="none" w:pos="603" w:val="left"/>
        </w:tabs>
        <w:numPr>
          <w:ilvl w:val="0"/>
          <w:numId w:val="4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8040" cy="36830"/>
                    </a:xfrm>
                    <a:prstGeom prst="rect">
                      <a:avLst/>
                    </a:prstGeom>
                    <a:noFill/>
                  </pic:spPr>
                </pic:pic>
              </a:graphicData>
            </a:graphic>
          </wp:anchor>
        </w:drawing>
        <w:t>D</w:t>
      </w:r>
      <w:r>
        <w:rPr>
          <w:rFonts w:ascii="Times New Roman" w:cs="Times New Roman" w:eastAsia="Times New Roman" w:hAnsi="Times New Roman"/>
          <w:sz w:val="14"/>
          <w:szCs w:val="14"/>
          <w:b w:val="1"/>
          <w:bCs w:val="1"/>
          <w:color w:val="auto"/>
        </w:rPr>
        <w:t>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become entitled to receive payments equal to any cash dividends and other distributions paid with respect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number of shares of Common Stock to be issued in respect of the Restricted Stock Units covered by your RSU Award. Any such dividends or distributions shall be subject to the same forfeiture restrictions as apply to the Restricted Stock Units and shall be paid at the same time that the corresponding shares are issued in respect of your vested Restricted Stock Units, provided, however that to the extent any such dividends or distributions are paid in shares of Common Stock, then you will automatically be granted a corresponding number of additional Restricted Stock Units subject to the RSU Award (the “</w:t>
      </w:r>
      <w:r>
        <w:rPr>
          <w:rFonts w:ascii="Times New Roman" w:cs="Times New Roman" w:eastAsia="Times New Roman" w:hAnsi="Times New Roman"/>
          <w:sz w:val="18"/>
          <w:szCs w:val="18"/>
          <w:b w:val="1"/>
          <w:bCs w:val="1"/>
          <w:i w:val="1"/>
          <w:iCs w:val="1"/>
          <w:color w:val="auto"/>
        </w:rPr>
        <w:t>Dividend Units</w:t>
      </w:r>
      <w:r>
        <w:rPr>
          <w:rFonts w:ascii="Times New Roman" w:cs="Times New Roman" w:eastAsia="Times New Roman" w:hAnsi="Times New Roman"/>
          <w:sz w:val="18"/>
          <w:szCs w:val="18"/>
          <w:color w:val="auto"/>
        </w:rPr>
        <w:t>”), and further provided that such Dividend Units shall be subject to the same forfeiture restrictions and restrictions on transferability, and same timing requirements for issuance of shares, as apply to the Restricted Stock Units subject to the RSU Award with respect to which the Dividend Units relate.</w:t>
      </w:r>
    </w:p>
    <w:p>
      <w:pPr>
        <w:spacing w:after="0" w:line="186" w:lineRule="exact"/>
        <w:rPr>
          <w:rFonts w:ascii="Times New Roman" w:cs="Times New Roman" w:eastAsia="Times New Roman" w:hAnsi="Times New Roman"/>
          <w:sz w:val="18"/>
          <w:szCs w:val="18"/>
          <w:b w:val="1"/>
          <w:bCs w:val="1"/>
          <w:color w:val="auto"/>
        </w:rPr>
      </w:pPr>
    </w:p>
    <w:p>
      <w:pPr>
        <w:ind w:right="260" w:firstLine="436"/>
        <w:spacing w:after="0" w:line="283" w:lineRule="auto"/>
        <w:tabs>
          <w:tab w:leader="none" w:pos="603" w:val="left"/>
        </w:tabs>
        <w:numPr>
          <w:ilvl w:val="0"/>
          <w:numId w:val="4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16"/>
          <w:szCs w:val="16"/>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further provided in Section 8 of the Plan, you hereby authorize withholding from payroll and any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amounts payable to you, and otherwise agree to make adequate provision for, any sums required to satisfy the federal, state, local and foreign tax withholding obligations, if any, which arise in connection with your RSU Award (the “</w:t>
      </w:r>
      <w:r>
        <w:rPr>
          <w:rFonts w:ascii="Times New Roman" w:cs="Times New Roman" w:eastAsia="Times New Roman" w:hAnsi="Times New Roman"/>
          <w:sz w:val="16"/>
          <w:szCs w:val="16"/>
          <w:b w:val="1"/>
          <w:bCs w:val="1"/>
          <w:i w:val="1"/>
          <w:iCs w:val="1"/>
          <w:color w:val="auto"/>
        </w:rPr>
        <w:t>Withholding Obligation</w:t>
      </w:r>
      <w:r>
        <w:rPr>
          <w:rFonts w:ascii="Times New Roman" w:cs="Times New Roman" w:eastAsia="Times New Roman" w:hAnsi="Times New Roman"/>
          <w:sz w:val="16"/>
          <w:szCs w:val="16"/>
          <w:color w:val="auto"/>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61" w:lineRule="exact"/>
        <w:rPr>
          <w:rFonts w:ascii="Times New Roman" w:cs="Times New Roman" w:eastAsia="Times New Roman" w:hAnsi="Times New Roman"/>
          <w:sz w:val="16"/>
          <w:szCs w:val="16"/>
          <w:b w:val="1"/>
          <w:bCs w:val="1"/>
          <w:color w:val="auto"/>
        </w:rPr>
      </w:pPr>
    </w:p>
    <w:p>
      <w:pPr>
        <w:ind w:left="620" w:hanging="184"/>
        <w:spacing w:after="0"/>
        <w:tabs>
          <w:tab w:leader="none" w:pos="620" w:val="left"/>
        </w:tabs>
        <w:numPr>
          <w:ilvl w:val="0"/>
          <w:numId w:val="4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SSUANCE</w:t>
      </w:r>
      <w:r>
        <w:rPr>
          <w:rFonts w:ascii="Times New Roman" w:cs="Times New Roman" w:eastAsia="Times New Roman" w:hAnsi="Times New Roman"/>
          <w:sz w:val="18"/>
          <w:szCs w:val="18"/>
          <w:b w:val="1"/>
          <w:bCs w:val="1"/>
          <w:color w:val="auto"/>
        </w:rPr>
        <w:t>.</w:t>
      </w:r>
    </w:p>
    <w:p>
      <w:pPr>
        <w:spacing w:after="0" w:line="215" w:lineRule="exact"/>
        <w:rPr>
          <w:rFonts w:ascii="Times New Roman" w:cs="Times New Roman" w:eastAsia="Times New Roman" w:hAnsi="Times New Roman"/>
          <w:sz w:val="18"/>
          <w:szCs w:val="18"/>
          <w:b w:val="1"/>
          <w:bCs w:val="1"/>
          <w:color w:val="auto"/>
        </w:rPr>
      </w:pPr>
    </w:p>
    <w:p>
      <w:pPr>
        <w:ind w:firstLine="972"/>
        <w:spacing w:after="0" w:line="249" w:lineRule="auto"/>
        <w:tabs>
          <w:tab w:leader="none" w:pos="1212" w:val="left"/>
        </w:tabs>
        <w:numPr>
          <w:ilvl w:val="1"/>
          <w:numId w:val="4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(subject to any adjustment under Section 4 above, and subject to any different provisions in the Grant Notice) that vests on the applicable vesting date(s) or on a later date as determined by the Company but in no event later than the Issuance Deadline (as defined below).</w:t>
      </w:r>
    </w:p>
    <w:p>
      <w:pPr>
        <w:spacing w:after="0" w:line="186" w:lineRule="exact"/>
        <w:rPr>
          <w:rFonts w:ascii="Times New Roman" w:cs="Times New Roman" w:eastAsia="Times New Roman" w:hAnsi="Times New Roman"/>
          <w:sz w:val="18"/>
          <w:szCs w:val="18"/>
          <w:b w:val="1"/>
          <w:bCs w:val="1"/>
          <w:color w:val="auto"/>
        </w:rPr>
      </w:pPr>
    </w:p>
    <w:p>
      <w:pPr>
        <w:ind w:right="60" w:firstLine="972"/>
        <w:spacing w:after="0" w:line="267" w:lineRule="auto"/>
        <w:tabs>
          <w:tab w:leader="none" w:pos="1222" w:val="left"/>
        </w:tabs>
        <w:numPr>
          <w:ilvl w:val="1"/>
          <w:numId w:val="4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the following provisions shall apply to the extent applicable at a vesting date when shares of Common Stock are registered under the Securities Act, unless otherwise determined by the Company. If:</w:t>
      </w:r>
    </w:p>
    <w:p>
      <w:pPr>
        <w:spacing w:after="0" w:line="64" w:lineRule="exact"/>
        <w:rPr>
          <w:rFonts w:ascii="Times New Roman" w:cs="Times New Roman" w:eastAsia="Times New Roman" w:hAnsi="Times New Roman"/>
          <w:sz w:val="18"/>
          <w:szCs w:val="18"/>
          <w:b w:val="1"/>
          <w:bCs w:val="1"/>
          <w:color w:val="auto"/>
        </w:rPr>
      </w:pPr>
    </w:p>
    <w:p>
      <w:pPr>
        <w:ind w:right="20" w:firstLine="1400"/>
        <w:spacing w:after="0" w:line="249" w:lineRule="auto"/>
        <w:tabs>
          <w:tab w:leader="none" w:pos="1602" w:val="left"/>
        </w:tabs>
        <w:numPr>
          <w:ilvl w:val="2"/>
          <w:numId w:val="4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applicable vest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Arrangement</w:t>
      </w:r>
      <w:r>
        <w:rPr>
          <w:rFonts w:ascii="Times New Roman" w:cs="Times New Roman" w:eastAsia="Times New Roman" w:hAnsi="Times New Roman"/>
          <w:sz w:val="18"/>
          <w:szCs w:val="18"/>
          <w:color w:val="auto"/>
        </w:rPr>
        <w:t>”) or under such other policy expressly approved by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20"/>
          </w:cols>
          <w:pgMar w:left="580" w:top="263" w:right="599" w:bottom="1440" w:gutter="0" w:footer="0" w:header="0"/>
        </w:sectPr>
      </w:pPr>
    </w:p>
    <w:bookmarkStart w:id="521" w:name="page522"/>
    <w:bookmarkEnd w:id="521"/>
    <w:p>
      <w:pPr>
        <w:jc w:val="both"/>
        <w:ind w:right="160" w:firstLine="1400"/>
        <w:spacing w:after="0" w:line="251" w:lineRule="auto"/>
        <w:tabs>
          <w:tab w:leader="none" w:pos="1650" w:val="left"/>
        </w:tabs>
        <w:numPr>
          <w:ilvl w:val="0"/>
          <w:numId w:val="4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either (1) a Withholding Obligation does not apply, or (2) the Company decides, prior to the applicable vest date, (A) not to satisfy the Withholding Obligation by withholding shares of Common Stock from the shares otherwise due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184"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the shares that would otherwise be issued to you on the applicable vest date will not be delivered on such applicable vest date and will instead be delivered on the first business day when you are not prohibited from selling shares of the Company’s Common Stock in the open public market or on such other date determined by the Company, but in no event later than the Issuance Deadline.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Issuance Deadline</w:t>
      </w:r>
      <w:r>
        <w:rPr>
          <w:rFonts w:ascii="Times New Roman" w:cs="Times New Roman" w:eastAsia="Times New Roman" w:hAnsi="Times New Roman"/>
          <w:sz w:val="18"/>
          <w:szCs w:val="18"/>
          <w:color w:val="auto"/>
        </w:rPr>
        <w:t>” means (a) December 31 of the calendar year in which the applicable vest date occurs (that is, the last day of your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taxable year in which the applicable vest date occurs), or (b) </w:t>
      </w:r>
      <w:r>
        <w:rPr>
          <w:rFonts w:ascii="Times New Roman" w:cs="Times New Roman" w:eastAsia="Times New Roman" w:hAnsi="Times New Roman"/>
          <w:sz w:val="18"/>
          <w:szCs w:val="18"/>
          <w:u w:val="single" w:color="auto"/>
          <w:color w:val="auto"/>
        </w:rPr>
        <w:t>if and only if</w:t>
      </w:r>
      <w:r>
        <w:rPr>
          <w:rFonts w:ascii="Times New Roman" w:cs="Times New Roman" w:eastAsia="Times New Roman" w:hAnsi="Times New Roman"/>
          <w:sz w:val="18"/>
          <w:szCs w:val="18"/>
          <w:color w:val="auto"/>
        </w:rPr>
        <w:t xml:space="preserve"> permitted in a manner that complies with Treasury Regulations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1.409A-1(b)(4), no later than the date that is the 15th day of the third calendar month of the applicable year following the year in which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Common Stock issuable as a result of the applicable vest date under this Award are no longer subject to a “substantial risk of forfeiture” within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meaning of Treasury Regulations Section 1.409A-1(d).</w:t>
      </w:r>
    </w:p>
    <w:p>
      <w:pPr>
        <w:spacing w:after="0" w:line="195" w:lineRule="exact"/>
        <w:rPr>
          <w:sz w:val="20"/>
          <w:szCs w:val="20"/>
          <w:color w:val="auto"/>
        </w:rPr>
      </w:pPr>
    </w:p>
    <w:p>
      <w:pPr>
        <w:ind w:left="1200" w:hanging="228"/>
        <w:spacing w:after="0"/>
        <w:tabs>
          <w:tab w:leader="none" w:pos="1200" w:val="left"/>
        </w:tabs>
        <w:numPr>
          <w:ilvl w:val="1"/>
          <w:numId w:val="4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the RSU Award is a Non-Exempt RSU Award, the provisions of Section 11 of the Plan shall apply.</w:t>
      </w:r>
    </w:p>
    <w:p>
      <w:pPr>
        <w:spacing w:after="0" w:line="211" w:lineRule="exact"/>
        <w:rPr>
          <w:rFonts w:ascii="Times New Roman" w:cs="Times New Roman" w:eastAsia="Times New Roman" w:hAnsi="Times New Roman"/>
          <w:sz w:val="18"/>
          <w:szCs w:val="18"/>
          <w:b w:val="1"/>
          <w:bCs w:val="1"/>
          <w:color w:val="auto"/>
        </w:rPr>
      </w:pPr>
    </w:p>
    <w:p>
      <w:pPr>
        <w:ind w:firstLine="436"/>
        <w:spacing w:after="0" w:line="280" w:lineRule="auto"/>
        <w:tabs>
          <w:tab w:leader="none" w:pos="603" w:val="left"/>
        </w:tabs>
        <w:numPr>
          <w:ilvl w:val="0"/>
          <w:numId w:val="4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w:t>
      </w:r>
      <w:r>
        <w:rPr>
          <w:rFonts w:ascii="Times New Roman" w:cs="Times New Roman" w:eastAsia="Times New Roman" w:hAnsi="Times New Roman"/>
          <w:sz w:val="13"/>
          <w:szCs w:val="13"/>
          <w:b w:val="1"/>
          <w:bCs w:val="1"/>
          <w:color w:val="auto"/>
        </w:rPr>
        <w:t>OCK</w:t>
      </w:r>
      <w:r>
        <w:rPr>
          <w:rFonts w:ascii="Times New Roman" w:cs="Times New Roman" w:eastAsia="Times New Roman" w:hAnsi="Times New Roman"/>
          <w:sz w:val="16"/>
          <w:szCs w:val="16"/>
          <w:b w:val="1"/>
          <w:bCs w:val="1"/>
          <w:color w:val="auto"/>
        </w:rPr>
        <w:t>-U</w:t>
      </w:r>
      <w:r>
        <w:rPr>
          <w:rFonts w:ascii="Times New Roman" w:cs="Times New Roman" w:eastAsia="Times New Roman" w:hAnsi="Times New Roman"/>
          <w:sz w:val="13"/>
          <w:szCs w:val="13"/>
          <w:b w:val="1"/>
          <w:bCs w:val="1"/>
          <w:color w:val="auto"/>
        </w:rPr>
        <w:t>P</w:t>
      </w:r>
      <w:r>
        <w:rPr>
          <w:rFonts w:ascii="Times New Roman" w:cs="Times New Roman" w:eastAsia="Times New Roman" w:hAnsi="Times New Roman"/>
          <w:sz w:val="16"/>
          <w:szCs w:val="16"/>
          <w:b w:val="1"/>
          <w:bCs w:val="1"/>
          <w:color w:val="auto"/>
        </w:rPr>
        <w:t xml:space="preserve"> P</w:t>
      </w:r>
      <w:r>
        <w:rPr>
          <w:rFonts w:ascii="Times New Roman" w:cs="Times New Roman" w:eastAsia="Times New Roman" w:hAnsi="Times New Roman"/>
          <w:sz w:val="13"/>
          <w:szCs w:val="13"/>
          <w:b w:val="1"/>
          <w:bCs w:val="1"/>
          <w:color w:val="auto"/>
        </w:rPr>
        <w:t>ERIOD</w:t>
      </w:r>
      <w:r>
        <w:rPr>
          <w:rFonts w:ascii="Times New Roman" w:cs="Times New Roman" w:eastAsia="Times New Roman" w:hAnsi="Times New Roman"/>
          <w:sz w:val="16"/>
          <w:szCs w:val="16"/>
          <w:color w:val="auto"/>
        </w:rPr>
        <w:t>. By accepting your RSU Award, you agree that you will not sell, dispose of, transfer, make any short sale of, grant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16"/>
          <w:szCs w:val="16"/>
          <w:b w:val="1"/>
          <w:bCs w:val="1"/>
          <w:i w:val="1"/>
          <w:iCs w:val="1"/>
          <w:color w:val="auto"/>
        </w:rPr>
        <w:t>Lock-Up Period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nothing contained in this Section 7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7. The underwriters of the Company’s stock are intended third party beneficiaries of this Section 7 and will have the right, power and authority to enforce the provisions hereof as though they were a party hereto.</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580" w:top="265" w:right="619" w:bottom="1440" w:gutter="0" w:footer="0" w:header="0"/>
        </w:sectPr>
      </w:pPr>
    </w:p>
    <w:bookmarkStart w:id="522" w:name="page523"/>
    <w:bookmarkEnd w:id="522"/>
    <w:p>
      <w:pPr>
        <w:ind w:left="-8" w:right="60" w:firstLine="436"/>
        <w:spacing w:after="0" w:line="270" w:lineRule="auto"/>
        <w:tabs>
          <w:tab w:leader="none" w:pos="595" w:val="left"/>
        </w:tabs>
        <w:numPr>
          <w:ilvl w:val="1"/>
          <w:numId w:val="4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8040" cy="36830"/>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the Plan, your RSU Award is not transferable, except by will or by the applicable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descent and distribution.</w:t>
      </w:r>
    </w:p>
    <w:p>
      <w:pPr>
        <w:spacing w:after="0" w:line="164" w:lineRule="exact"/>
        <w:rPr>
          <w:rFonts w:ascii="Times New Roman" w:cs="Times New Roman" w:eastAsia="Times New Roman" w:hAnsi="Times New Roman"/>
          <w:sz w:val="18"/>
          <w:szCs w:val="18"/>
          <w:b w:val="1"/>
          <w:bCs w:val="1"/>
          <w:color w:val="auto"/>
        </w:rPr>
      </w:pPr>
    </w:p>
    <w:p>
      <w:pPr>
        <w:ind w:left="-8" w:right="340" w:firstLine="436"/>
        <w:spacing w:after="0" w:line="256" w:lineRule="auto"/>
        <w:tabs>
          <w:tab w:leader="none" w:pos="595" w:val="left"/>
        </w:tabs>
        <w:numPr>
          <w:ilvl w:val="1"/>
          <w:numId w:val="4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RSU Award is subject to the terms of any agreement governing a Corporate Transaction involving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77" w:lineRule="exact"/>
        <w:rPr>
          <w:rFonts w:ascii="Times New Roman" w:cs="Times New Roman" w:eastAsia="Times New Roman" w:hAnsi="Times New Roman"/>
          <w:sz w:val="18"/>
          <w:szCs w:val="18"/>
          <w:b w:val="1"/>
          <w:bCs w:val="1"/>
          <w:color w:val="auto"/>
        </w:rPr>
      </w:pPr>
    </w:p>
    <w:p>
      <w:pPr>
        <w:ind w:left="-8" w:firstLine="436"/>
        <w:spacing w:after="0" w:line="255" w:lineRule="auto"/>
        <w:tabs>
          <w:tab w:leader="none" w:pos="683" w:val="left"/>
        </w:tabs>
        <w:numPr>
          <w:ilvl w:val="1"/>
          <w:numId w:val="4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IABILITY FOR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AXES</w:t>
      </w:r>
      <w:r>
        <w:rPr>
          <w:rFonts w:ascii="Times New Roman" w:cs="Times New Roman" w:eastAsia="Times New Roman" w:hAnsi="Times New Roman"/>
          <w:sz w:val="18"/>
          <w:szCs w:val="18"/>
          <w:color w:val="auto"/>
        </w:rPr>
        <w:t>. As a condition to accepting the RSU Award, you hereby (a) agree to not make any claim against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its Officers, Directors, Employees or Affiliates related to tax liabilities arising from the RSU Award or other Company compensation and</w:t>
      </w:r>
    </w:p>
    <w:p>
      <w:pPr>
        <w:ind w:left="-8" w:right="160" w:firstLine="8"/>
        <w:spacing w:after="0" w:line="247" w:lineRule="auto"/>
        <w:tabs>
          <w:tab w:leader="none" w:pos="24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 that you were advised to consult with your own personal tax, financial and other legal advisors regarding the tax consequences of the RSU Award and have either done so or knowingly and voluntarily declined to do so.</w:t>
      </w:r>
    </w:p>
    <w:p>
      <w:pPr>
        <w:spacing w:after="0" w:line="184" w:lineRule="exact"/>
        <w:rPr>
          <w:rFonts w:ascii="Times New Roman" w:cs="Times New Roman" w:eastAsia="Times New Roman" w:hAnsi="Times New Roman"/>
          <w:sz w:val="18"/>
          <w:szCs w:val="18"/>
          <w:color w:val="auto"/>
        </w:rPr>
      </w:pPr>
    </w:p>
    <w:p>
      <w:pPr>
        <w:ind w:left="-8" w:right="20" w:firstLine="436"/>
        <w:spacing w:after="0" w:line="252" w:lineRule="auto"/>
        <w:tabs>
          <w:tab w:leader="none" w:pos="673" w:val="left"/>
        </w:tabs>
        <w:numPr>
          <w:ilvl w:val="1"/>
          <w:numId w:val="4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color w:val="auto"/>
        </w:rPr>
        <w:t>. If any part of this Agreement or the Plan is declared by any court or governmental authority to be unlawful or invalid,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80" w:lineRule="exact"/>
        <w:rPr>
          <w:rFonts w:ascii="Times New Roman" w:cs="Times New Roman" w:eastAsia="Times New Roman" w:hAnsi="Times New Roman"/>
          <w:sz w:val="18"/>
          <w:szCs w:val="18"/>
          <w:b w:val="1"/>
          <w:bCs w:val="1"/>
          <w:color w:val="auto"/>
        </w:rPr>
      </w:pPr>
    </w:p>
    <w:p>
      <w:pPr>
        <w:ind w:left="-8" w:right="80" w:firstLine="436"/>
        <w:spacing w:after="0" w:line="333" w:lineRule="auto"/>
        <w:tabs>
          <w:tab w:leader="none" w:pos="683" w:val="left"/>
        </w:tabs>
        <w:numPr>
          <w:ilvl w:val="1"/>
          <w:numId w:val="4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6"/>
          <w:szCs w:val="16"/>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You hereby acknowledge receipt of or the right to receive a document providing the information required by Rule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428(b)(1) promulgated under the Securities Act, which includes the Prospectus. In addition, you acknowledge receipt of the Company’s Trading Policy.</w:t>
      </w:r>
    </w:p>
    <w:p>
      <w:pPr>
        <w:spacing w:after="0" w:line="119" w:lineRule="exact"/>
        <w:rPr>
          <w:rFonts w:ascii="Times New Roman" w:cs="Times New Roman" w:eastAsia="Times New Roman" w:hAnsi="Times New Roman"/>
          <w:sz w:val="16"/>
          <w:szCs w:val="16"/>
          <w:b w:val="1"/>
          <w:bCs w:val="1"/>
          <w:color w:val="auto"/>
        </w:rPr>
      </w:pPr>
    </w:p>
    <w:p>
      <w:pPr>
        <w:ind w:left="-8" w:right="100" w:firstLine="436"/>
        <w:spacing w:after="0" w:line="270" w:lineRule="auto"/>
        <w:tabs>
          <w:tab w:leader="none" w:pos="683" w:val="left"/>
        </w:tabs>
        <w:numPr>
          <w:ilvl w:val="1"/>
          <w:numId w:val="4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4"/>
          <w:szCs w:val="14"/>
          <w:b w:val="1"/>
          <w:bCs w:val="1"/>
          <w:color w:val="auto"/>
        </w:rPr>
        <w:t>UESTIONS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have questions regarding these or any other terms and conditions applicable to your RSU Award, including a summary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applicable federal income tax consequences please see the Prospectus.</w:t>
      </w:r>
    </w:p>
    <w:p>
      <w:pPr>
        <w:spacing w:after="0" w:line="10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92"/>
          </w:cols>
          <w:pgMar w:left="588" w:top="262" w:right="619" w:bottom="1440" w:gutter="0" w:footer="0" w:header="0"/>
        </w:sectPr>
      </w:pPr>
    </w:p>
    <w:bookmarkStart w:id="523" w:name="page524"/>
    <w:bookmarkEnd w:id="52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dated as of _________________, 20__ and is between Tempus Labs, Inc., a Delaware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______________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ECITALS</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Indemnitee’s service to the Company substantially benefits the Company.</w:t>
      </w:r>
    </w:p>
    <w:p>
      <w:pPr>
        <w:spacing w:after="0" w:line="108" w:lineRule="exact"/>
        <w:rPr>
          <w:sz w:val="20"/>
          <w:szCs w:val="20"/>
          <w:color w:val="auto"/>
        </w:rPr>
      </w:pPr>
    </w:p>
    <w:p>
      <w:pPr>
        <w:ind w:right="28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Individuals are reluctant to serve as directors or officers of corporations or in certain other capacities unless they are provided with adequate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protection through insurance or indemnification against the risks of claims and actions against them arising out of such service.</w:t>
      </w:r>
    </w:p>
    <w:p>
      <w:pPr>
        <w:spacing w:after="0" w:line="59" w:lineRule="exact"/>
        <w:rPr>
          <w:sz w:val="20"/>
          <w:szCs w:val="20"/>
          <w:color w:val="auto"/>
        </w:rPr>
      </w:pPr>
    </w:p>
    <w:p>
      <w:pPr>
        <w:ind w:right="340" w:firstLine="428"/>
        <w:spacing w:after="0" w:line="333" w:lineRule="auto"/>
        <w:rPr>
          <w:sz w:val="20"/>
          <w:szCs w:val="20"/>
          <w:color w:val="auto"/>
        </w:rPr>
      </w:pPr>
      <w:r>
        <w:rPr>
          <w:rFonts w:ascii="Times New Roman" w:cs="Times New Roman" w:eastAsia="Times New Roman" w:hAnsi="Times New Roman"/>
          <w:sz w:val="16"/>
          <w:szCs w:val="16"/>
          <w:b w:val="1"/>
          <w:bCs w:val="1"/>
          <w:color w:val="auto"/>
        </w:rPr>
        <w:t xml:space="preserve">C. </w:t>
      </w:r>
      <w:r>
        <w:rPr>
          <w:rFonts w:ascii="Times New Roman" w:cs="Times New Roman" w:eastAsia="Times New Roman" w:hAnsi="Times New Roman"/>
          <w:sz w:val="16"/>
          <w:szCs w:val="16"/>
          <w:color w:val="auto"/>
        </w:rPr>
        <w:t>Indemnitee does not regard the protection currently provided by applicable law, the Company’s governing documents and any insurance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adequate under the present circumstances, and Indemnitee may not be willing to serve as a director or officer without additional protection.</w:t>
      </w:r>
    </w:p>
    <w:p>
      <w:pPr>
        <w:spacing w:after="0" w:line="15" w:lineRule="exact"/>
        <w:rPr>
          <w:sz w:val="20"/>
          <w:szCs w:val="20"/>
          <w:color w:val="auto"/>
        </w:rPr>
      </w:pPr>
    </w:p>
    <w:p>
      <w:pPr>
        <w:ind w:right="46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In order to induce Indemnitee to continue to provide services to the Company, it is reasonable, prudent and necessary for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contractually obligate itself to indemnify, and to advance expenses on behalf of, Indemnitee as permitted by applicable law.</w:t>
      </w:r>
    </w:p>
    <w:p>
      <w:pPr>
        <w:spacing w:after="0" w:line="59" w:lineRule="exact"/>
        <w:rPr>
          <w:sz w:val="20"/>
          <w:szCs w:val="20"/>
          <w:color w:val="auto"/>
        </w:rPr>
      </w:pPr>
    </w:p>
    <w:p>
      <w:pPr>
        <w:ind w:right="6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This Agreement is a supplement to and in furtherance of the indemnification provided in the Company’s certificate of incorporation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and any resolutions adopted pursuant thereto, and this Agreement shall not be deemed a substitute therefor, nor shall this Agreement be deemed to limit, diminish or abrogate any rights of Indemnitee thereunder.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parties agree as follows:</w:t>
      </w:r>
    </w:p>
    <w:p>
      <w:pPr>
        <w:spacing w:after="0" w:line="106" w:lineRule="exact"/>
        <w:rPr>
          <w:sz w:val="20"/>
          <w:szCs w:val="20"/>
          <w:color w:val="auto"/>
        </w:rPr>
      </w:pPr>
    </w:p>
    <w:p>
      <w:pPr>
        <w:ind w:left="620" w:hanging="184"/>
        <w:spacing w:after="0"/>
        <w:tabs>
          <w:tab w:leader="none" w:pos="620" w:val="left"/>
        </w:tabs>
        <w:numPr>
          <w:ilvl w:val="0"/>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106" w:lineRule="exact"/>
        <w:rPr>
          <w:rFonts w:ascii="Times New Roman" w:cs="Times New Roman" w:eastAsia="Times New Roman" w:hAnsi="Times New Roman"/>
          <w:sz w:val="18"/>
          <w:szCs w:val="18"/>
          <w:b w:val="1"/>
          <w:bCs w:val="1"/>
          <w:color w:val="auto"/>
        </w:rPr>
      </w:pPr>
    </w:p>
    <w:p>
      <w:pPr>
        <w:ind w:right="40" w:firstLine="972"/>
        <w:spacing w:after="0" w:line="250" w:lineRule="auto"/>
        <w:tabs>
          <w:tab w:leader="none" w:pos="1212" w:val="left"/>
        </w:tabs>
        <w:numPr>
          <w:ilvl w:val="1"/>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shall have the meaning given to such term in Rule 13d-3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provided, however, that “Beneficial Owner” shall exclude any Person otherwise becoming a Beneficial Owner solely by reason of (i) the stockholders of the Company approving a merger of the Company with another Person, or entering into tender or support agreements relating thereto, provided such merger was approved by the Company’s board of directors, or (ii) the Company’s board of directors approving a sale of securities by the Company to such Person.</w:t>
      </w:r>
    </w:p>
    <w:p>
      <w:pPr>
        <w:spacing w:after="0" w:line="77"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w:t>
      </w:r>
    </w:p>
    <w:p>
      <w:pPr>
        <w:spacing w:after="0" w:line="2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events:</w:t>
      </w:r>
    </w:p>
    <w:p>
      <w:pPr>
        <w:spacing w:after="0" w:line="88" w:lineRule="exact"/>
        <w:rPr>
          <w:rFonts w:ascii="Times New Roman" w:cs="Times New Roman" w:eastAsia="Times New Roman" w:hAnsi="Times New Roman"/>
          <w:sz w:val="18"/>
          <w:szCs w:val="18"/>
          <w:b w:val="1"/>
          <w:bCs w:val="1"/>
          <w:color w:val="auto"/>
        </w:rPr>
      </w:pPr>
    </w:p>
    <w:p>
      <w:pPr>
        <w:ind w:right="460" w:firstLine="1400"/>
        <w:spacing w:after="0" w:line="333" w:lineRule="auto"/>
        <w:tabs>
          <w:tab w:leader="none" w:pos="1601" w:val="left"/>
        </w:tabs>
        <w:numPr>
          <w:ilvl w:val="2"/>
          <w:numId w:val="4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 xml:space="preserve">Acquisition of Stock by Third Party. </w:t>
      </w:r>
      <w:r>
        <w:rPr>
          <w:rFonts w:ascii="Times New Roman" w:cs="Times New Roman" w:eastAsia="Times New Roman" w:hAnsi="Times New Roman"/>
          <w:sz w:val="16"/>
          <w:szCs w:val="16"/>
          <w:color w:val="auto"/>
        </w:rPr>
        <w:t>Any Person (as defined below) becomes the Beneficial Owner, directly or indirectly,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securities of the Company representing 50% or more of the combined voting power of the Company’s then outstanding securities;</w:t>
      </w:r>
    </w:p>
    <w:p>
      <w:pPr>
        <w:sectPr>
          <w:pgSz w:w="11900" w:h="16838" w:orient="portrait"/>
          <w:cols w:equalWidth="0" w:num="1">
            <w:col w:w="10720"/>
          </w:cols>
          <w:pgMar w:left="580" w:top="118" w:right="599" w:bottom="1440" w:gutter="0" w:footer="0" w:header="0"/>
        </w:sectPr>
      </w:pPr>
    </w:p>
    <w:bookmarkStart w:id="524" w:name="page525"/>
    <w:bookmarkEnd w:id="524"/>
    <w:p>
      <w:pPr>
        <w:ind w:left="-20" w:right="120" w:firstLine="1400"/>
        <w:spacing w:after="0" w:line="247" w:lineRule="auto"/>
        <w:tabs>
          <w:tab w:leader="none" w:pos="1630" w:val="left"/>
        </w:tabs>
        <w:numPr>
          <w:ilvl w:val="1"/>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Change in Board Composition. </w:t>
      </w:r>
      <w:r>
        <w:rPr>
          <w:rFonts w:ascii="Times New Roman" w:cs="Times New Roman" w:eastAsia="Times New Roman" w:hAnsi="Times New Roman"/>
          <w:sz w:val="18"/>
          <w:szCs w:val="18"/>
          <w:color w:val="auto"/>
        </w:rPr>
        <w:t>During any period of two consecutive years (not including any period prior to the execution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individuals who at the beginning of such period constituted the Company’s board of directors and any Approved Directors cease for any reason to constitute at least a majority of the members of the Company’s board of directors. “</w:t>
      </w:r>
      <w:r>
        <w:rPr>
          <w:rFonts w:ascii="Times New Roman" w:cs="Times New Roman" w:eastAsia="Times New Roman" w:hAnsi="Times New Roman"/>
          <w:sz w:val="18"/>
          <w:szCs w:val="18"/>
          <w:b w:val="1"/>
          <w:bCs w:val="1"/>
          <w:i w:val="1"/>
          <w:iCs w:val="1"/>
          <w:color w:val="auto"/>
        </w:rPr>
        <w:t>Approved Directors</w:t>
      </w:r>
      <w:r>
        <w:rPr>
          <w:rFonts w:ascii="Times New Roman" w:cs="Times New Roman" w:eastAsia="Times New Roman" w:hAnsi="Times New Roman"/>
          <w:sz w:val="18"/>
          <w:szCs w:val="18"/>
          <w:color w:val="auto"/>
        </w:rPr>
        <w:t>” means new directors (other than a director designated by a person who has entered into an agreement with the Company to effect a transaction described in Sections 1(b)(i), 1(b)(iii) or 1(b)(iv)) whose election or nomination by the board of directors (or, if applicable, by the Company’s stockholders) was approved by a vote of at least two thirds of the directors then still in office who either were directors at the beginning of such two-year period or whose election or nomination for election was previously so approved;</w:t>
      </w:r>
    </w:p>
    <w:p>
      <w:pPr>
        <w:spacing w:after="0" w:line="84" w:lineRule="exact"/>
        <w:rPr>
          <w:rFonts w:ascii="Times New Roman" w:cs="Times New Roman" w:eastAsia="Times New Roman" w:hAnsi="Times New Roman"/>
          <w:sz w:val="18"/>
          <w:szCs w:val="18"/>
          <w:b w:val="1"/>
          <w:bCs w:val="1"/>
          <w:color w:val="auto"/>
        </w:rPr>
      </w:pPr>
    </w:p>
    <w:p>
      <w:pPr>
        <w:ind w:left="-20" w:right="20" w:firstLine="1400"/>
        <w:spacing w:after="0" w:line="250" w:lineRule="auto"/>
        <w:tabs>
          <w:tab w:leader="none" w:pos="1679" w:val="left"/>
        </w:tabs>
        <w:numPr>
          <w:ilvl w:val="1"/>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The effective date of a merger or consolidation of the Company with any other entity, other than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or consolidation that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 majority of the board of directors or other governing body of such surviving entity; or</w:t>
      </w:r>
    </w:p>
    <w:p>
      <w:pPr>
        <w:spacing w:after="0" w:line="77" w:lineRule="exact"/>
        <w:rPr>
          <w:rFonts w:ascii="Times New Roman" w:cs="Times New Roman" w:eastAsia="Times New Roman" w:hAnsi="Times New Roman"/>
          <w:sz w:val="18"/>
          <w:szCs w:val="18"/>
          <w:b w:val="1"/>
          <w:bCs w:val="1"/>
          <w:color w:val="auto"/>
        </w:rPr>
      </w:pPr>
    </w:p>
    <w:p>
      <w:pPr>
        <w:ind w:left="-20" w:right="160" w:firstLine="1400"/>
        <w:spacing w:after="0" w:line="270" w:lineRule="auto"/>
        <w:tabs>
          <w:tab w:leader="none" w:pos="1669" w:val="left"/>
        </w:tabs>
        <w:numPr>
          <w:ilvl w:val="1"/>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The approval by the Company’s board of directors of a complete liquidation or the dissolution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agreement for the sale, lease or disposition by the Company of all or substantially all of the Company’s assets; or</w:t>
      </w:r>
    </w:p>
    <w:p>
      <w:pPr>
        <w:spacing w:after="0" w:line="59" w:lineRule="exact"/>
        <w:rPr>
          <w:rFonts w:ascii="Times New Roman" w:cs="Times New Roman" w:eastAsia="Times New Roman" w:hAnsi="Times New Roman"/>
          <w:sz w:val="18"/>
          <w:szCs w:val="18"/>
          <w:b w:val="1"/>
          <w:bCs w:val="1"/>
          <w:color w:val="auto"/>
        </w:rPr>
      </w:pPr>
    </w:p>
    <w:p>
      <w:pPr>
        <w:ind w:left="-20" w:right="80" w:firstLine="1400"/>
        <w:spacing w:after="0" w:line="252" w:lineRule="auto"/>
        <w:tabs>
          <w:tab w:leader="none" w:pos="1620" w:val="left"/>
        </w:tabs>
        <w:numPr>
          <w:ilvl w:val="1"/>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Other Events. </w:t>
      </w:r>
      <w:r>
        <w:rPr>
          <w:rFonts w:ascii="Times New Roman" w:cs="Times New Roman" w:eastAsia="Times New Roman" w:hAnsi="Times New Roman"/>
          <w:sz w:val="18"/>
          <w:szCs w:val="18"/>
          <w:color w:val="auto"/>
        </w:rPr>
        <w:t>Any other event of a nature that would be required to be reported in response to Item 6(e) of Schedule 14A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Regulation 14A (or in response to any similar item on any similar schedule or form) promulgated under the Exchange Act, whether or not the Company is then subject to such reporting requirement,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the completion of the Company’s initial public offering shall not be considered a Change in Control.</w:t>
      </w:r>
    </w:p>
    <w:p>
      <w:pPr>
        <w:spacing w:after="0" w:line="73" w:lineRule="exact"/>
        <w:rPr>
          <w:rFonts w:ascii="Times New Roman" w:cs="Times New Roman" w:eastAsia="Times New Roman" w:hAnsi="Times New Roman"/>
          <w:sz w:val="18"/>
          <w:szCs w:val="18"/>
          <w:b w:val="1"/>
          <w:bCs w:val="1"/>
          <w:color w:val="auto"/>
        </w:rPr>
      </w:pPr>
    </w:p>
    <w:p>
      <w:pPr>
        <w:ind w:left="-20" w:right="540" w:firstLine="972"/>
        <w:spacing w:after="0" w:line="272" w:lineRule="auto"/>
        <w:tabs>
          <w:tab w:leader="none" w:pos="1182"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Status</w:t>
      </w:r>
      <w:r>
        <w:rPr>
          <w:rFonts w:ascii="Times New Roman" w:cs="Times New Roman" w:eastAsia="Times New Roman" w:hAnsi="Times New Roman"/>
          <w:sz w:val="18"/>
          <w:szCs w:val="18"/>
          <w:color w:val="auto"/>
        </w:rPr>
        <w:t>” describes the status of a person who is or was a director, trustee, general partner, managing member, officer, employee, agent or fiduciary of the Company or any other Enterprise.</w:t>
      </w:r>
    </w:p>
    <w:p>
      <w:pPr>
        <w:spacing w:after="0" w:line="55" w:lineRule="exact"/>
        <w:rPr>
          <w:rFonts w:ascii="Times New Roman" w:cs="Times New Roman" w:eastAsia="Times New Roman" w:hAnsi="Times New Roman"/>
          <w:sz w:val="18"/>
          <w:szCs w:val="18"/>
          <w:b w:val="1"/>
          <w:bCs w:val="1"/>
          <w:color w:val="auto"/>
        </w:rPr>
      </w:pPr>
    </w:p>
    <w:p>
      <w:pPr>
        <w:ind w:left="1200" w:hanging="248"/>
        <w:spacing w:after="0"/>
        <w:tabs>
          <w:tab w:leader="none" w:pos="1200"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108" w:lineRule="exact"/>
        <w:rPr>
          <w:rFonts w:ascii="Times New Roman" w:cs="Times New Roman" w:eastAsia="Times New Roman" w:hAnsi="Times New Roman"/>
          <w:sz w:val="18"/>
          <w:szCs w:val="18"/>
          <w:b w:val="1"/>
          <w:bCs w:val="1"/>
          <w:color w:val="auto"/>
        </w:rPr>
      </w:pPr>
    </w:p>
    <w:p>
      <w:pPr>
        <w:ind w:left="-20" w:right="560" w:firstLine="972"/>
        <w:spacing w:after="0" w:line="272" w:lineRule="auto"/>
        <w:tabs>
          <w:tab w:leader="none" w:pos="1182"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means a director of the Company who is not and was not a party to the Proceeding in respect of which indemnification is sought by Indemnitee.</w:t>
      </w:r>
    </w:p>
    <w:p>
      <w:pPr>
        <w:spacing w:after="0" w:line="55" w:lineRule="exact"/>
        <w:rPr>
          <w:rFonts w:ascii="Times New Roman" w:cs="Times New Roman" w:eastAsia="Times New Roman" w:hAnsi="Times New Roman"/>
          <w:sz w:val="18"/>
          <w:szCs w:val="18"/>
          <w:b w:val="1"/>
          <w:bCs w:val="1"/>
          <w:color w:val="auto"/>
        </w:rPr>
      </w:pPr>
    </w:p>
    <w:p>
      <w:pPr>
        <w:ind w:left="-20" w:right="340" w:firstLine="972"/>
        <w:spacing w:after="0" w:line="258" w:lineRule="auto"/>
        <w:tabs>
          <w:tab w:leader="none" w:pos="1163"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67" w:lineRule="exact"/>
        <w:rPr>
          <w:rFonts w:ascii="Times New Roman" w:cs="Times New Roman" w:eastAsia="Times New Roman" w:hAnsi="Times New Roman"/>
          <w:sz w:val="18"/>
          <w:szCs w:val="18"/>
          <w:b w:val="1"/>
          <w:bCs w:val="1"/>
          <w:color w:val="auto"/>
        </w:rPr>
      </w:pPr>
    </w:p>
    <w:p>
      <w:pPr>
        <w:ind w:left="-20" w:firstLine="972"/>
        <w:spacing w:after="0" w:line="247" w:lineRule="auto"/>
        <w:tabs>
          <w:tab w:leader="none" w:pos="1192"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include all reasonable and actually incurred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 as bond or other appeal bond or their equivalent, and (ii) for purposes of Section 10(d), Expenses incurred by Indemnitee in connection with the interpretation, enforcement or defense of Indemnitee’s rights under this Agreement or under any directors’ and officers’ liability insurance policies maintained by the Company. Expenses, however, shall not include amounts paid in settlement by Indemnitee or the amount of judgments or fines against Indemnitee.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00"/>
          </w:cols>
          <w:pgMar w:left="600" w:top="263" w:right="599" w:bottom="1440" w:gutter="0" w:footer="0" w:header="0"/>
        </w:sectPr>
      </w:pPr>
    </w:p>
    <w:bookmarkStart w:id="525" w:name="page526"/>
    <w:bookmarkEnd w:id="525"/>
    <w:p>
      <w:pPr>
        <w:ind w:left="-40" w:right="20" w:firstLine="972"/>
        <w:spacing w:after="0" w:line="286" w:lineRule="auto"/>
        <w:tabs>
          <w:tab w:leader="none" w:pos="1182" w:val="left"/>
        </w:tabs>
        <w:numPr>
          <w:ilvl w:val="0"/>
          <w:numId w:val="4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b w:val="1"/>
          <w:bCs w:val="1"/>
          <w:i w:val="1"/>
          <w:iCs w:val="1"/>
          <w:color w:val="auto"/>
        </w:rPr>
        <w:t>Independent Counsel</w:t>
      </w:r>
      <w:r>
        <w:rPr>
          <w:rFonts w:ascii="Times New Roman" w:cs="Times New Roman" w:eastAsia="Times New Roman" w:hAnsi="Times New Roman"/>
          <w:sz w:val="16"/>
          <w:szCs w:val="16"/>
          <w:color w:val="auto"/>
        </w:rPr>
        <w:t>” means a law firm, or a partner or member of a law firm, that is experienced in matters of corporation law and neither presently is, nor in the past five years has been, retained to represent (i) the Company, any Enterprise or Indemnitee in any matter material to any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49" w:lineRule="exact"/>
        <w:rPr>
          <w:rFonts w:ascii="Times New Roman" w:cs="Times New Roman" w:eastAsia="Times New Roman" w:hAnsi="Times New Roman"/>
          <w:sz w:val="16"/>
          <w:szCs w:val="16"/>
          <w:b w:val="1"/>
          <w:bCs w:val="1"/>
          <w:color w:val="auto"/>
        </w:rPr>
      </w:pPr>
    </w:p>
    <w:p>
      <w:pPr>
        <w:ind w:left="-40" w:right="100" w:firstLine="972"/>
        <w:spacing w:after="0" w:line="305" w:lineRule="auto"/>
        <w:tabs>
          <w:tab w:leader="none" w:pos="1133" w:val="left"/>
        </w:tabs>
        <w:numPr>
          <w:ilvl w:val="0"/>
          <w:numId w:val="4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Person</w:t>
      </w:r>
      <w:r>
        <w:rPr>
          <w:rFonts w:ascii="Times New Roman" w:cs="Times New Roman" w:eastAsia="Times New Roman" w:hAnsi="Times New Roman"/>
          <w:sz w:val="16"/>
          <w:szCs w:val="16"/>
          <w:color w:val="auto"/>
        </w:rPr>
        <w:t xml:space="preserve">” shall have the meaning set forth in Sections 13(d) and 14(d) of the Exchange Act;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Person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33" w:lineRule="exact"/>
        <w:rPr>
          <w:rFonts w:ascii="Times New Roman" w:cs="Times New Roman" w:eastAsia="Times New Roman" w:hAnsi="Times New Roman"/>
          <w:sz w:val="16"/>
          <w:szCs w:val="16"/>
          <w:b w:val="1"/>
          <w:bCs w:val="1"/>
          <w:color w:val="auto"/>
        </w:rPr>
      </w:pPr>
    </w:p>
    <w:p>
      <w:pPr>
        <w:ind w:left="-40" w:right="20" w:firstLine="972"/>
        <w:spacing w:after="0" w:line="247" w:lineRule="auto"/>
        <w:tabs>
          <w:tab w:leader="none" w:pos="1143" w:val="left"/>
        </w:tabs>
        <w:numPr>
          <w:ilvl w:val="0"/>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whether formal or informal,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78" w:lineRule="exact"/>
        <w:rPr>
          <w:rFonts w:ascii="Times New Roman" w:cs="Times New Roman" w:eastAsia="Times New Roman" w:hAnsi="Times New Roman"/>
          <w:sz w:val="18"/>
          <w:szCs w:val="18"/>
          <w:b w:val="1"/>
          <w:bCs w:val="1"/>
          <w:color w:val="auto"/>
        </w:rPr>
      </w:pPr>
    </w:p>
    <w:p>
      <w:pPr>
        <w:ind w:left="-40" w:right="60" w:firstLine="972"/>
        <w:spacing w:after="0" w:line="253" w:lineRule="auto"/>
        <w:tabs>
          <w:tab w:leader="none" w:pos="1182" w:val="left"/>
        </w:tabs>
        <w:numPr>
          <w:ilvl w:val="0"/>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 the fullest extent permitted by applicable law</w:t>
      </w:r>
      <w:r>
        <w:rPr>
          <w:rFonts w:ascii="Times New Roman" w:cs="Times New Roman" w:eastAsia="Times New Roman" w:hAnsi="Times New Roman"/>
          <w:sz w:val="18"/>
          <w:szCs w:val="18"/>
          <w:color w:val="auto"/>
        </w:rPr>
        <w:t>” means to the fullest extent permitted by all applicable laws, including without limitation: (i) the fullest extent permitted by DGCL as of the date of this Agreement and (ii) the fullest extent authorized or permitted by any amendments to or replacements of the DGCL adopted after the date of this Agreement that increase the extent to which a corporation may indemnify its officers and directors.</w:t>
      </w:r>
    </w:p>
    <w:p>
      <w:pPr>
        <w:spacing w:after="0" w:line="72" w:lineRule="exact"/>
        <w:rPr>
          <w:rFonts w:ascii="Times New Roman" w:cs="Times New Roman" w:eastAsia="Times New Roman" w:hAnsi="Times New Roman"/>
          <w:sz w:val="18"/>
          <w:szCs w:val="18"/>
          <w:b w:val="1"/>
          <w:bCs w:val="1"/>
          <w:color w:val="auto"/>
        </w:rPr>
      </w:pPr>
    </w:p>
    <w:p>
      <w:pPr>
        <w:ind w:left="-40" w:firstLine="972"/>
        <w:spacing w:after="0" w:line="249" w:lineRule="auto"/>
        <w:tabs>
          <w:tab w:leader="none" w:pos="1133" w:val="left"/>
        </w:tabs>
        <w:numPr>
          <w:ilvl w:val="0"/>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any Proceeding relating to an employee benefit plan: 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taxes assessed on a person with respect to any employee benefit plan; references to “</w:t>
      </w:r>
      <w:r>
        <w:rPr>
          <w:rFonts w:ascii="Times New Roman" w:cs="Times New Roman" w:eastAsia="Times New Roman" w:hAnsi="Times New Roman"/>
          <w:sz w:val="18"/>
          <w:szCs w:val="18"/>
          <w:b w:val="1"/>
          <w:bCs w:val="1"/>
          <w:i w:val="1"/>
          <w:iCs w:val="1"/>
          <w:color w:val="auto"/>
        </w:rPr>
        <w:t>serving at the request of the Company</w:t>
      </w:r>
      <w:r>
        <w:rPr>
          <w:rFonts w:ascii="Times New Roman" w:cs="Times New Roman" w:eastAsia="Times New Roman" w:hAnsi="Times New Roman"/>
          <w:sz w:val="18"/>
          <w:szCs w:val="18"/>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Times New Roman" w:cs="Times New Roman" w:eastAsia="Times New Roman" w:hAnsi="Times New Roman"/>
          <w:sz w:val="18"/>
          <w:szCs w:val="18"/>
          <w:b w:val="1"/>
          <w:bCs w:val="1"/>
          <w:i w:val="1"/>
          <w:iCs w:val="1"/>
          <w:color w:val="auto"/>
        </w:rPr>
        <w:t>not opposed to the best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interests of the Company</w:t>
      </w:r>
      <w:r>
        <w:rPr>
          <w:rFonts w:ascii="Times New Roman" w:cs="Times New Roman" w:eastAsia="Times New Roman" w:hAnsi="Times New Roman"/>
          <w:sz w:val="18"/>
          <w:szCs w:val="18"/>
          <w:color w:val="auto"/>
        </w:rPr>
        <w:t>” as referred to in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60"/>
          </w:cols>
          <w:pgMar w:left="620" w:top="261" w:right="619" w:bottom="1440" w:gutter="0" w:footer="0" w:header="0"/>
        </w:sectPr>
      </w:pPr>
    </w:p>
    <w:bookmarkStart w:id="526" w:name="page527"/>
    <w:bookmarkEnd w:id="526"/>
    <w:p>
      <w:pPr>
        <w:ind w:left="-20" w:right="40" w:firstLine="436"/>
        <w:spacing w:after="0" w:line="247" w:lineRule="auto"/>
        <w:tabs>
          <w:tab w:leader="none" w:pos="583"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Indemnity in Third-Party Proceedings</w:t>
      </w:r>
      <w:r>
        <w:rPr>
          <w:rFonts w:ascii="Times New Roman" w:cs="Times New Roman" w:eastAsia="Times New Roman" w:hAnsi="Times New Roman"/>
          <w:sz w:val="18"/>
          <w:szCs w:val="18"/>
          <w:color w:val="auto"/>
        </w:rPr>
        <w:t>. The Company shall indemnify Indemnitee in accordance with the provisions of this Section 2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is, or is threatened to be made, a party to or witness or other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with respect to any criminal action or proceeding, had no reasonable cause to believe that his or her conduct was unlawful.</w:t>
      </w:r>
    </w:p>
    <w:p>
      <w:pPr>
        <w:spacing w:after="0" w:line="84" w:lineRule="exact"/>
        <w:rPr>
          <w:rFonts w:ascii="Times New Roman" w:cs="Times New Roman" w:eastAsia="Times New Roman" w:hAnsi="Times New Roman"/>
          <w:sz w:val="18"/>
          <w:szCs w:val="18"/>
          <w:b w:val="1"/>
          <w:bCs w:val="1"/>
          <w:color w:val="auto"/>
        </w:rPr>
      </w:pPr>
    </w:p>
    <w:p>
      <w:pPr>
        <w:ind w:left="-20" w:firstLine="436"/>
        <w:spacing w:after="0" w:line="246" w:lineRule="auto"/>
        <w:tabs>
          <w:tab w:leader="none" w:pos="583"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The Company shall indemnify Indemnitee in accordance with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Section 3 if Indemnitee is, or is threatened to be made, a party to or a witness or other participant in any Proceeding by or in the right of the Company to procure a judgment in its favor. Pursuant to this Section 3, Indemnitee shall be indemnified to the fullest extent permitted by applicable law against all Expenses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 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83" w:lineRule="exact"/>
        <w:rPr>
          <w:rFonts w:ascii="Times New Roman" w:cs="Times New Roman" w:eastAsia="Times New Roman" w:hAnsi="Times New Roman"/>
          <w:sz w:val="18"/>
          <w:szCs w:val="18"/>
          <w:b w:val="1"/>
          <w:bCs w:val="1"/>
          <w:color w:val="auto"/>
        </w:rPr>
      </w:pPr>
    </w:p>
    <w:p>
      <w:pPr>
        <w:ind w:left="-20" w:right="180" w:firstLine="436"/>
        <w:spacing w:after="0" w:line="248" w:lineRule="auto"/>
        <w:tabs>
          <w:tab w:leader="none" w:pos="583"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 of this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where indemnification is not available under Section 2 or 3, as the case may be, to the fullest extent permitted by law and to the extent that Indemnitee is a party to, and is successful (on the merits or otherwise) in defense of, any Proceeding or any claim, issue or matter therein, the Company shall indemnify Indemnitee against all Expenses incurred by Indemnitee or on Indemnitee’s behalf in connection therewith. For purposes of this Section 4, the termination of any claim, issue or matter in such a Proceeding by dismissal, with or without prejudice, shall be deemed to be a successful result as to such claim, issue or matter.</w:t>
      </w:r>
    </w:p>
    <w:p>
      <w:pPr>
        <w:spacing w:after="0" w:line="82" w:lineRule="exact"/>
        <w:rPr>
          <w:rFonts w:ascii="Times New Roman" w:cs="Times New Roman" w:eastAsia="Times New Roman" w:hAnsi="Times New Roman"/>
          <w:sz w:val="18"/>
          <w:szCs w:val="18"/>
          <w:b w:val="1"/>
          <w:bCs w:val="1"/>
          <w:color w:val="auto"/>
        </w:rPr>
      </w:pPr>
    </w:p>
    <w:p>
      <w:pPr>
        <w:ind w:left="-20" w:right="700" w:firstLine="436"/>
        <w:spacing w:after="0" w:line="270" w:lineRule="auto"/>
        <w:tabs>
          <w:tab w:leader="none" w:pos="583"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the Company shall not be obligated under this Agreement to make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indemnity in connection with any Proceeding (or any part of any Proceeding):</w:t>
      </w:r>
    </w:p>
    <w:p>
      <w:pPr>
        <w:spacing w:after="0" w:line="61" w:lineRule="exact"/>
        <w:rPr>
          <w:rFonts w:ascii="Times New Roman" w:cs="Times New Roman" w:eastAsia="Times New Roman" w:hAnsi="Times New Roman"/>
          <w:sz w:val="18"/>
          <w:szCs w:val="18"/>
          <w:b w:val="1"/>
          <w:bCs w:val="1"/>
          <w:color w:val="auto"/>
        </w:rPr>
      </w:pPr>
    </w:p>
    <w:p>
      <w:pPr>
        <w:ind w:left="-20" w:right="40" w:firstLine="972"/>
        <w:spacing w:after="0" w:line="267" w:lineRule="auto"/>
        <w:tabs>
          <w:tab w:leader="none" w:pos="1192" w:val="left"/>
        </w:tabs>
        <w:numPr>
          <w:ilvl w:val="1"/>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which payment has actually been made to or on behalf of Indemnitee under any statute, insurance policy, indemnity provision, vote or otherwise, except with respect to any excess beyond the amount paid;</w:t>
      </w:r>
    </w:p>
    <w:p>
      <w:pPr>
        <w:spacing w:after="0" w:line="64" w:lineRule="exact"/>
        <w:rPr>
          <w:rFonts w:ascii="Times New Roman" w:cs="Times New Roman" w:eastAsia="Times New Roman" w:hAnsi="Times New Roman"/>
          <w:sz w:val="18"/>
          <w:szCs w:val="18"/>
          <w:b w:val="1"/>
          <w:bCs w:val="1"/>
          <w:color w:val="auto"/>
        </w:rPr>
      </w:pPr>
    </w:p>
    <w:p>
      <w:pPr>
        <w:ind w:left="-20" w:right="220" w:firstLine="972"/>
        <w:spacing w:after="0" w:line="267" w:lineRule="auto"/>
        <w:tabs>
          <w:tab w:leader="none" w:pos="1202" w:val="left"/>
        </w:tabs>
        <w:numPr>
          <w:ilvl w:val="1"/>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an accounting or disgorgement of profits pursuant to Section 16(b) of the Exchange Act, or similar provisions of federal, state or local statutory law or common law, if Indemnitee is held liable therefor (including pursuant to any settlement arrangements);</w:t>
      </w:r>
    </w:p>
    <w:p>
      <w:pPr>
        <w:spacing w:after="0" w:line="64" w:lineRule="exact"/>
        <w:rPr>
          <w:rFonts w:ascii="Times New Roman" w:cs="Times New Roman" w:eastAsia="Times New Roman" w:hAnsi="Times New Roman"/>
          <w:sz w:val="18"/>
          <w:szCs w:val="18"/>
          <w:b w:val="1"/>
          <w:bCs w:val="1"/>
          <w:color w:val="auto"/>
        </w:rPr>
      </w:pPr>
    </w:p>
    <w:p>
      <w:pPr>
        <w:ind w:left="-20" w:right="120" w:firstLine="972"/>
        <w:spacing w:after="0" w:line="249" w:lineRule="auto"/>
        <w:tabs>
          <w:tab w:leader="none" w:pos="1182" w:val="left"/>
        </w:tabs>
        <w:numPr>
          <w:ilvl w:val="1"/>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or the payment to the Company of profits arising from the purchase and sale by Indemnitee of securities in violation of Section 306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Sarbanes-Oxley Act), if Indemnitee is held liable therefor (including pursuant to any settlement arrangements);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80"/>
          </w:cols>
          <w:pgMar w:left="600" w:top="263" w:right="619" w:bottom="1440" w:gutter="0" w:footer="0" w:header="0"/>
        </w:sectPr>
      </w:pPr>
    </w:p>
    <w:bookmarkStart w:id="527" w:name="page528"/>
    <w:bookmarkEnd w:id="527"/>
    <w:p>
      <w:pPr>
        <w:ind w:left="-20" w:firstLine="972"/>
        <w:spacing w:after="0" w:line="247" w:lineRule="auto"/>
        <w:tabs>
          <w:tab w:leader="none" w:pos="1202" w:val="left"/>
        </w:tabs>
        <w:numPr>
          <w:ilvl w:val="1"/>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10(d) or (iv) otherwise required by applicable law; provided, for the avoidance of doubt, Indemnitee shall not be deemed for purposes of this paragraph, to have initiated any Proceeding (or any part of a Proceeding) by reason of (i) having asserted any affirmative defenses in connection with a claim not initiated by Indemnitee or (ii) having made any counterclaim (whether permissive or mandatory) in connection with any claim not initiated by Indemnitee; or</w:t>
      </w:r>
    </w:p>
    <w:p>
      <w:pPr>
        <w:spacing w:after="0" w:line="84" w:lineRule="exact"/>
        <w:rPr>
          <w:rFonts w:ascii="Times New Roman" w:cs="Times New Roman" w:eastAsia="Times New Roman" w:hAnsi="Times New Roman"/>
          <w:sz w:val="18"/>
          <w:szCs w:val="18"/>
          <w:b w:val="1"/>
          <w:bCs w:val="1"/>
          <w:color w:val="auto"/>
        </w:rPr>
      </w:pPr>
    </w:p>
    <w:p>
      <w:pPr>
        <w:ind w:left="1180" w:hanging="228"/>
        <w:spacing w:after="0"/>
        <w:tabs>
          <w:tab w:leader="none" w:pos="1180" w:val="left"/>
        </w:tabs>
        <w:numPr>
          <w:ilvl w:val="1"/>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prohibited by the DGCL or other applicable law.</w:t>
      </w:r>
    </w:p>
    <w:p>
      <w:pPr>
        <w:spacing w:after="0" w:line="106" w:lineRule="exact"/>
        <w:rPr>
          <w:rFonts w:ascii="Times New Roman" w:cs="Times New Roman" w:eastAsia="Times New Roman" w:hAnsi="Times New Roman"/>
          <w:sz w:val="18"/>
          <w:szCs w:val="18"/>
          <w:b w:val="1"/>
          <w:bCs w:val="1"/>
          <w:color w:val="auto"/>
        </w:rPr>
      </w:pPr>
    </w:p>
    <w:p>
      <w:pPr>
        <w:ind w:left="-20" w:right="40" w:firstLine="436"/>
        <w:spacing w:after="0" w:line="246" w:lineRule="auto"/>
        <w:tabs>
          <w:tab w:leader="none" w:pos="583" w:val="left"/>
        </w:tabs>
        <w:numPr>
          <w:ilvl w:val="0"/>
          <w:numId w:val="4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Advances of Expenses</w:t>
      </w:r>
      <w:r>
        <w:rPr>
          <w:rFonts w:ascii="Times New Roman" w:cs="Times New Roman" w:eastAsia="Times New Roman" w:hAnsi="Times New Roman"/>
          <w:sz w:val="18"/>
          <w:szCs w:val="18"/>
          <w:color w:val="auto"/>
        </w:rPr>
        <w:t>. The Company shall advance the Expenses incurred by Indemnitee in connection with any Proceeding prior to its final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disposition, and such advancement shall be made as soon as reasonably practicable, but in any event no later than 30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with respect to advances of expenses made pursuant to Section 10(c), in which case Indemnitee makes the undertaking provided in Section 10(c). This Section 6 shall not apply to the extent advancement is prohibited by law and shall not apply to any Proceeding (or any part of any Proceeding) for which indemnity is not permitted under this Agreement, but shall apply to any Proceeding (or any part of any Proceeding) referenced in Section 5(b) or 5(c) prior to a determination that Indemnitee is not entitled to be indemnified by the Company.</w:t>
      </w:r>
    </w:p>
    <w:p>
      <w:pPr>
        <w:spacing w:after="0" w:line="81" w:lineRule="exact"/>
        <w:rPr>
          <w:rFonts w:ascii="Times New Roman" w:cs="Times New Roman" w:eastAsia="Times New Roman" w:hAnsi="Times New Roman"/>
          <w:sz w:val="18"/>
          <w:szCs w:val="18"/>
          <w:b w:val="1"/>
          <w:bCs w:val="1"/>
          <w:color w:val="auto"/>
        </w:rPr>
      </w:pPr>
    </w:p>
    <w:p>
      <w:pPr>
        <w:ind w:left="600" w:hanging="184"/>
        <w:spacing w:after="0"/>
        <w:tabs>
          <w:tab w:leader="none" w:pos="600" w:val="left"/>
        </w:tabs>
        <w:numPr>
          <w:ilvl w:val="0"/>
          <w:numId w:val="4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 for Notification and Defense of Claim</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b w:val="1"/>
          <w:bCs w:val="1"/>
          <w:color w:val="auto"/>
        </w:rPr>
      </w:pPr>
    </w:p>
    <w:p>
      <w:pPr>
        <w:ind w:left="-20" w:right="40" w:firstLine="972"/>
        <w:spacing w:after="0" w:line="248" w:lineRule="auto"/>
        <w:tabs>
          <w:tab w:leader="none" w:pos="1192" w:val="left"/>
        </w:tabs>
        <w:numPr>
          <w:ilvl w:val="1"/>
          <w:numId w:val="4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that it may have to Indemnitee hereunder or otherwise than under this Agreement, and any delay in so notifying the Company shall not constitute a waiver by Indemnitee of any rights, except to the extent that such failure or delay materially prejudices the Company.</w:t>
      </w:r>
    </w:p>
    <w:p>
      <w:pPr>
        <w:spacing w:after="0" w:line="82" w:lineRule="exact"/>
        <w:rPr>
          <w:rFonts w:ascii="Times New Roman" w:cs="Times New Roman" w:eastAsia="Times New Roman" w:hAnsi="Times New Roman"/>
          <w:sz w:val="18"/>
          <w:szCs w:val="18"/>
          <w:b w:val="1"/>
          <w:bCs w:val="1"/>
          <w:color w:val="auto"/>
        </w:rPr>
      </w:pPr>
    </w:p>
    <w:p>
      <w:pPr>
        <w:ind w:left="-20" w:right="120" w:firstLine="972"/>
        <w:spacing w:after="0" w:line="293" w:lineRule="auto"/>
        <w:tabs>
          <w:tab w:leader="none" w:pos="1202" w:val="left"/>
        </w:tabs>
        <w:numPr>
          <w:ilvl w:val="1"/>
          <w:numId w:val="4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at the time of the receipt of a notice of a Proceeding pursuant to the terms hereof, the Company has directors’ and officers’ liability insurance in effect that may be applicable to the Proceeding, the Company shall give prompt notice of the commencement of the Proceeding to the insurers in accordance with the procedures set forth in the applicable policies. The Company shall thereafter take all commercially reasonable action to cause such insurers to pay, on behalf of Indemnitee, all amounts payable as a result of such Proceeding in accordance with the terms of such policies.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00"/>
          </w:cols>
          <w:pgMar w:left="600" w:top="265" w:right="599" w:bottom="1440" w:gutter="0" w:footer="0" w:header="0"/>
        </w:sectPr>
      </w:pPr>
    </w:p>
    <w:bookmarkStart w:id="528" w:name="page529"/>
    <w:bookmarkEnd w:id="528"/>
    <w:p>
      <w:pPr>
        <w:ind w:right="40" w:firstLine="972"/>
        <w:spacing w:after="0" w:line="245" w:lineRule="auto"/>
        <w:tabs>
          <w:tab w:leader="none" w:pos="1202" w:val="left"/>
        </w:tabs>
        <w:numPr>
          <w:ilvl w:val="1"/>
          <w:numId w:val="4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the event the Company may be obligated to make any indemnity in connection with a Proceeding, the Company shall be entitled to assume the defense of such Proceeding with counsel approved by Indemnitee, which approval shall not be unreasonably withheld, conditioned or delayed,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separate counsel to the extent (i) the employment of separate counsel by Indemnitee is authorized by the Company, (ii) counsel for the Company shall have reasonably concluded that there is a conflict of interest between the Company and Indemnitee in the conduct of any such defense such that Indemnitee needs to be separately represented, (iii) the Company is not financially or legally able to perform its indemnification obligations, or (iv) the Company shall not have retained, or shall not continue to retain, counsel to defend such Proceeding.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90"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4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Indemnitee shall give the Company such information and cooperation in connection with the Proceeding as may be reasonably</w:t>
      </w:r>
    </w:p>
    <w:p>
      <w:pPr>
        <w:spacing w:after="0" w:line="20"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appropriate.</w:t>
      </w:r>
    </w:p>
    <w:p>
      <w:pPr>
        <w:spacing w:after="0" w:line="90" w:lineRule="exact"/>
        <w:rPr>
          <w:rFonts w:ascii="Times New Roman" w:cs="Times New Roman" w:eastAsia="Times New Roman" w:hAnsi="Times New Roman"/>
          <w:sz w:val="18"/>
          <w:szCs w:val="18"/>
          <w:b w:val="1"/>
          <w:bCs w:val="1"/>
          <w:color w:val="auto"/>
        </w:rPr>
      </w:pPr>
    </w:p>
    <w:p>
      <w:pPr>
        <w:ind w:right="80" w:firstLine="972"/>
        <w:spacing w:after="0" w:line="249" w:lineRule="auto"/>
        <w:tabs>
          <w:tab w:leader="none" w:pos="1202" w:val="left"/>
        </w:tabs>
        <w:numPr>
          <w:ilvl w:val="1"/>
          <w:numId w:val="4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be liable to indemnify Indemnitee for any settlement of any Proceeding (or any part thereof) effected without the Company’s prior written consent, which shall not be unreasonably withheld, conditioned or delayed. 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 settlement to which the Company has given its prior written consent, such settlement shall be treated as a success on the merits in the settled action, suit or proceeding.</w:t>
      </w:r>
    </w:p>
    <w:p>
      <w:pPr>
        <w:spacing w:after="0" w:line="81" w:lineRule="exact"/>
        <w:rPr>
          <w:rFonts w:ascii="Times New Roman" w:cs="Times New Roman" w:eastAsia="Times New Roman" w:hAnsi="Times New Roman"/>
          <w:sz w:val="18"/>
          <w:szCs w:val="18"/>
          <w:b w:val="1"/>
          <w:bCs w:val="1"/>
          <w:color w:val="auto"/>
        </w:rPr>
      </w:pPr>
    </w:p>
    <w:p>
      <w:pPr>
        <w:ind w:right="140" w:firstLine="972"/>
        <w:spacing w:after="0" w:line="267" w:lineRule="auto"/>
        <w:tabs>
          <w:tab w:leader="none" w:pos="1183" w:val="left"/>
        </w:tabs>
        <w:numPr>
          <w:ilvl w:val="1"/>
          <w:numId w:val="4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settle any Proceeding (or any part thereof) in a manner that imposes any penalty or liability on Indemnitee not paid by the Company without Indemnitee’s prior written consent, which shall not be unreasonably withheld, conditioned or delayed.</w:t>
      </w:r>
    </w:p>
    <w:p>
      <w:pPr>
        <w:spacing w:after="0" w:line="62"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4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 upon Application for Indemnification</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b w:val="1"/>
          <w:bCs w:val="1"/>
          <w:color w:val="auto"/>
        </w:rPr>
      </w:pPr>
    </w:p>
    <w:p>
      <w:pPr>
        <w:ind w:right="520" w:firstLine="972"/>
        <w:spacing w:after="0" w:line="251" w:lineRule="auto"/>
        <w:tabs>
          <w:tab w:leader="none" w:pos="1212" w:val="left"/>
        </w:tabs>
        <w:numPr>
          <w:ilvl w:val="1"/>
          <w:numId w:val="4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Any delay in providing the request will not relieve the Company from its obligations under this Agreement, except to the extent such failure is prejudicial.</w:t>
      </w:r>
    </w:p>
    <w:p>
      <w:pPr>
        <w:spacing w:after="0" w:line="79" w:lineRule="exact"/>
        <w:rPr>
          <w:rFonts w:ascii="Times New Roman" w:cs="Times New Roman" w:eastAsia="Times New Roman" w:hAnsi="Times New Roman"/>
          <w:sz w:val="18"/>
          <w:szCs w:val="18"/>
          <w:b w:val="1"/>
          <w:bCs w:val="1"/>
          <w:color w:val="auto"/>
        </w:rPr>
      </w:pPr>
    </w:p>
    <w:p>
      <w:pPr>
        <w:ind w:firstLine="972"/>
        <w:spacing w:after="0" w:line="246" w:lineRule="auto"/>
        <w:tabs>
          <w:tab w:leader="none" w:pos="1222" w:val="left"/>
        </w:tabs>
        <w:numPr>
          <w:ilvl w:val="1"/>
          <w:numId w:val="4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written request by Indemnitee for indemnification pursuant to Section 8(a), a determination with respect to Indemnitee’s entitlement thereto shall be made as follows, provided that a Change in Control shall not have occurred: (i) by a majority vote of the Disinterested Directors, even though less than a quorum of the Company’s board of directors; (ii) by a committee of Disinterested Directors designated by a majority vote of the Disinterested Directors, even though less than a quorum of the Company’s board of directors; (iii) if there are no such Disinterested Directors or, if a majority of Disinterested Directors so direct, by Independent Counsel in a written opinion to the Company’s board of directors, a copy of which shall be delivered to Indemnitee; or (iv) if so directed by the Company’s board of directors, by the stockholders of the Company. If a Change in Control shall have occurred, a determination with respect to Indemnitee’s entitlement to indemnification shall be made by Independent Counsel in a written opinion to the Company’s board of directors, a copy of which shall be delivered to Indemnitee.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00"/>
          </w:cols>
          <w:pgMar w:left="580" w:top="265" w:right="619" w:bottom="1440" w:gutter="0" w:footer="0" w:header="0"/>
        </w:sectPr>
      </w:pPr>
    </w:p>
    <w:bookmarkStart w:id="529" w:name="page530"/>
    <w:bookmarkEnd w:id="529"/>
    <w:p>
      <w:pPr>
        <w:ind w:right="5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actually and reasonably incurred by Indemnitee in so cooperating with the person, persons or entity making such determination shall be borne by the Company, to the extent permitted by applicable law.</w:t>
      </w:r>
    </w:p>
    <w:p>
      <w:pPr>
        <w:spacing w:after="0" w:line="79" w:lineRule="exact"/>
        <w:rPr>
          <w:sz w:val="20"/>
          <w:szCs w:val="20"/>
          <w:color w:val="auto"/>
        </w:rPr>
      </w:pPr>
    </w:p>
    <w:p>
      <w:pPr>
        <w:ind w:firstLine="972"/>
        <w:spacing w:after="0" w:line="244" w:lineRule="auto"/>
        <w:tabs>
          <w:tab w:leader="none" w:pos="1202" w:val="left"/>
        </w:tabs>
        <w:numPr>
          <w:ilvl w:val="1"/>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8(b), the Independent Counsel shall be selected as provided in this Section 8(c).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1,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8(a) and (ii) the final disposition of the Proceeding, the parties have not agreed upon an Independent Counsel, either the Company or Indemnitee may petition a court of competent jurisdiction for resolution of any objection that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8(b). Upon the due commencement of any judicial proceeding or arbitration pursuant to Section 10(a), the Independent Counsel shall be discharged and relieved of any further responsibility in such capacity (subject to the applicable standards of professional conduct then prevailing).</w:t>
      </w:r>
    </w:p>
    <w:p>
      <w:pPr>
        <w:spacing w:after="0" w:line="97" w:lineRule="exact"/>
        <w:rPr>
          <w:rFonts w:ascii="Times New Roman" w:cs="Times New Roman" w:eastAsia="Times New Roman" w:hAnsi="Times New Roman"/>
          <w:sz w:val="18"/>
          <w:szCs w:val="18"/>
          <w:b w:val="1"/>
          <w:bCs w:val="1"/>
          <w:color w:val="auto"/>
        </w:rPr>
      </w:pPr>
    </w:p>
    <w:p>
      <w:pPr>
        <w:ind w:right="80" w:firstLine="972"/>
        <w:spacing w:after="0" w:line="267" w:lineRule="auto"/>
        <w:tabs>
          <w:tab w:leader="none" w:pos="1222" w:val="left"/>
        </w:tabs>
        <w:numPr>
          <w:ilvl w:val="1"/>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pay the reasonable fees and expenses of any Independent Counsel and to fully indemnify such counsel against any and all Expenses, claims, liabilities and damages arising out of or relating to this Agreement or its engagement pursuant hereto.</w:t>
      </w:r>
    </w:p>
    <w:p>
      <w:pPr>
        <w:spacing w:after="0" w:line="62"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4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b w:val="1"/>
          <w:bCs w:val="1"/>
          <w:color w:val="auto"/>
        </w:rPr>
      </w:pPr>
    </w:p>
    <w:p>
      <w:pPr>
        <w:ind w:right="300" w:firstLine="972"/>
        <w:spacing w:after="0" w:line="302" w:lineRule="auto"/>
        <w:tabs>
          <w:tab w:leader="none" w:pos="1212" w:val="left"/>
        </w:tabs>
        <w:numPr>
          <w:ilvl w:val="1"/>
          <w:numId w:val="4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making a determination with respect to entitlement to indemnification hereunder, the person, persons or entity making such determination shall, to the fullest extent not prohibited by law, presume that Indemnitee is entitled to indemnification under this Agreement, and the Company shall, to the fullest extent not prohibited by law, have the burden of proof to overcome that presumption by clear and convincing evidence.</w:t>
      </w:r>
    </w:p>
    <w:p>
      <w:pPr>
        <w:spacing w:after="0" w:line="40" w:lineRule="exact"/>
        <w:rPr>
          <w:rFonts w:ascii="Times New Roman" w:cs="Times New Roman" w:eastAsia="Times New Roman" w:hAnsi="Times New Roman"/>
          <w:sz w:val="16"/>
          <w:szCs w:val="16"/>
          <w:b w:val="1"/>
          <w:bCs w:val="1"/>
          <w:color w:val="auto"/>
        </w:rPr>
      </w:pPr>
    </w:p>
    <w:p>
      <w:pPr>
        <w:ind w:right="20" w:firstLine="972"/>
        <w:spacing w:after="0" w:line="249" w:lineRule="auto"/>
        <w:tabs>
          <w:tab w:leader="none" w:pos="1222" w:val="left"/>
        </w:tabs>
        <w:numPr>
          <w:ilvl w:val="1"/>
          <w:numId w:val="4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termination of any Proceeding or of any claim, issue or matter therein, by judgment, order, settlement or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that he or she reasonably believed to be in or not opposed to the best interests of the Company or, with respect to any criminal Proceeding, that Indemnitee had reasonable cause to believe that his or her conduct was unlawful.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580" w:top="265" w:right="599" w:bottom="1440" w:gutter="0" w:footer="0" w:header="0"/>
        </w:sectPr>
      </w:pPr>
    </w:p>
    <w:bookmarkStart w:id="530" w:name="page531"/>
    <w:bookmarkEnd w:id="530"/>
    <w:p>
      <w:pPr>
        <w:ind w:right="20" w:firstLine="972"/>
        <w:spacing w:after="0" w:line="247" w:lineRule="auto"/>
        <w:tabs>
          <w:tab w:leader="none" w:pos="1202" w:val="left"/>
        </w:tabs>
        <w:numPr>
          <w:ilvl w:val="1"/>
          <w:numId w:val="4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For purposes of any determination of good faith, Indemnitee shall be deemed to have acted in good faith to the extent Indemnitee relied in good faith on (i) the records or books of account of the Enterprise, including financial statements, (ii) information supplied to Indemnitee by the officers of the Enterprise in the course of their duties, (iii) the advice of legal counsel for the Enterprise or its board of directors or counsel selected by any committee of the board of directors or (iv) information or records given or reports made to the Enterprise by an independent certified public accountant, an appraiser, investment banker or other expert selected with reasonable care by the Enterprise or its board of directors or any committee of the board of directors. The provisions of this Section 9(c) shall not be deemed to be exclusive or to limit in any way the other circumstances in which Indemnitee may be deemed to have met the applicable standard of conduct set forth in this Agreement.</w:t>
      </w:r>
    </w:p>
    <w:p>
      <w:pPr>
        <w:spacing w:after="0" w:line="84" w:lineRule="exact"/>
        <w:rPr>
          <w:rFonts w:ascii="Times New Roman" w:cs="Times New Roman" w:eastAsia="Times New Roman" w:hAnsi="Times New Roman"/>
          <w:sz w:val="18"/>
          <w:szCs w:val="18"/>
          <w:b w:val="1"/>
          <w:bCs w:val="1"/>
          <w:color w:val="auto"/>
        </w:rPr>
      </w:pPr>
    </w:p>
    <w:p>
      <w:pPr>
        <w:ind w:right="120" w:firstLine="972"/>
        <w:spacing w:after="0" w:line="267" w:lineRule="auto"/>
        <w:tabs>
          <w:tab w:leader="none" w:pos="1222" w:val="left"/>
        </w:tabs>
        <w:numPr>
          <w:ilvl w:val="1"/>
          <w:numId w:val="4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62"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4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b w:val="1"/>
          <w:bCs w:val="1"/>
          <w:color w:val="auto"/>
        </w:rPr>
      </w:pPr>
    </w:p>
    <w:p>
      <w:pPr>
        <w:ind w:firstLine="972"/>
        <w:spacing w:after="0" w:line="245" w:lineRule="auto"/>
        <w:tabs>
          <w:tab w:leader="none" w:pos="1212" w:val="left"/>
        </w:tabs>
        <w:numPr>
          <w:ilvl w:val="1"/>
          <w:numId w:val="4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Section 10(e), in the event that (i) a determination is made pursuant to Section 9 that Indemnitee is not entitled to indemnification under this Agreement, (ii) advancement of Expenses is not timely made pursuant to Section 6 or 10(d), (iii) no determination of entitlement to indemnification shall have been made pursuant to Section 8 within 30 days after the later of the receipt by the Company of the request for indemnification or the final disposition of the Proceeding, (iv) payment of indemnification pursuant to this Agreement is not made (A) within ten days after a determination has been made that Indemnitee is entitled to indemnification or (B) with respect to indemnification pursuant to Sections 4, 5 and 10(d), within 30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Alternatively, Indemnitee, at his or her option, may seek an award in arbitration with respect to his or her entitlement to such indemnification or advancement of Expenses, to be conducted by a single arbitrator pursuant to the Commercial Arbitration Rules of the American Arbitration Association. Indemnitee shall commence such proceeding seeking an adjudication or an award in arbitration within 12 months following the date on which Indemnitee first has the right to commence such proceeding pursuant to this Section 10(a);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foregoing clause shall not apply in respect of a proceeding brought by Indemnitee to enforce his or her rights under Section 4. The Company shall not oppose Indemnitee’s right to seek any such adjudication or award in arbitration in accordance with this Agreement.</w:t>
      </w:r>
    </w:p>
    <w:p>
      <w:pPr>
        <w:spacing w:after="0" w:line="86" w:lineRule="exact"/>
        <w:rPr>
          <w:rFonts w:ascii="Times New Roman" w:cs="Times New Roman" w:eastAsia="Times New Roman" w:hAnsi="Times New Roman"/>
          <w:sz w:val="18"/>
          <w:szCs w:val="18"/>
          <w:b w:val="1"/>
          <w:bCs w:val="1"/>
          <w:color w:val="auto"/>
        </w:rPr>
      </w:pPr>
    </w:p>
    <w:p>
      <w:pPr>
        <w:ind w:right="20" w:firstLine="972"/>
        <w:spacing w:after="0" w:line="246" w:lineRule="auto"/>
        <w:tabs>
          <w:tab w:leader="none" w:pos="1222" w:val="left"/>
        </w:tabs>
        <w:numPr>
          <w:ilvl w:val="1"/>
          <w:numId w:val="4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create a presumption that Indemnitee has or has not met the applicable standard of conduct. In the event that a determination shall have been made pursuant to Section 8 that Indemnitee is not entitled to indemnification, any judicial proceeding or arbitration commenced pursuant to this Section 10 shall be conducted in all respects as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trial, or arbitration, on the merits, and Indemnitee shall not be prejudiced by reason of that adverse determination. In any judicial proceeding or arbitration commenced pursuant to this Section 10, the Company shall, to the fullest extent not prohibited by law, have the burden of proving Indemnitee is not entitled to indemnification or advancement of Expenses, as the case may be, and the burden of proof shall be by clear and convincing evidence.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20"/>
          </w:cols>
          <w:pgMar w:left="580" w:top="264" w:right="599" w:bottom="1440" w:gutter="0" w:footer="0" w:header="0"/>
        </w:sectPr>
      </w:pPr>
    </w:p>
    <w:bookmarkStart w:id="531" w:name="page532"/>
    <w:bookmarkEnd w:id="531"/>
    <w:p>
      <w:pPr>
        <w:ind w:left="-20" w:firstLine="972"/>
        <w:spacing w:after="0" w:line="247" w:lineRule="auto"/>
        <w:tabs>
          <w:tab w:leader="none" w:pos="1182" w:val="left"/>
        </w:tabs>
        <w:numPr>
          <w:ilvl w:val="1"/>
          <w:numId w:val="4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To the fullest extent not prohibited by law, the Company shall be precluded from asserting in any judicial proceeding or arbitration commenced pursuant to this Section 10 that the procedures and presumptions of this Agreement are not valid, binding and enforceable and shall stipulate in any such court or before any such arbitrator that the Company is bound by all the provisions of this Agreement. If a determination shall have been made pursuant to Section 10 that Indemnitee is entitled to indemnification, the Company shall be bound by such determination in any judicial proceeding or arbitration commenced pursuant to this Section 10, absent (i) a misstatement by Indemnitee of a material fact, or an omission of a material fact necessary to make Indemnitee’s statements not materially misleading, in connection with the request for indemnification, or (ii) a prohibition of such indemnification under applicable law.</w:t>
      </w:r>
    </w:p>
    <w:p>
      <w:pPr>
        <w:spacing w:after="0" w:line="84" w:lineRule="exact"/>
        <w:rPr>
          <w:rFonts w:ascii="Times New Roman" w:cs="Times New Roman" w:eastAsia="Times New Roman" w:hAnsi="Times New Roman"/>
          <w:sz w:val="18"/>
          <w:szCs w:val="18"/>
          <w:b w:val="1"/>
          <w:bCs w:val="1"/>
          <w:color w:val="auto"/>
        </w:rPr>
      </w:pPr>
    </w:p>
    <w:p>
      <w:pPr>
        <w:ind w:left="-20" w:firstLine="972"/>
        <w:spacing w:after="0" w:line="248" w:lineRule="auto"/>
        <w:tabs>
          <w:tab w:leader="none" w:pos="1202" w:val="left"/>
        </w:tabs>
        <w:numPr>
          <w:ilvl w:val="1"/>
          <w:numId w:val="4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not prohibited by law, the Company shall indemnify Indemnitee against all Expenses incurred by Indemnitee in connection with any action for indemnification or advancement of Expenses from the Company under this Agreement, any other agreement, the Company’s certificate of incorporation or bylaws or under any directors’ and officers’ liability insurance policies maintained by the Company to the extent Indemnitee is successful in such action, and, if requested by Indemnitee, shall (as soon as reasonably practicable, but in any event no later than 30 days, after receipt by the Company of a written request therefor) advance such Expenses to Indemnitee, subject to the provisions of Section 6. Indemnitee hereby undertakes to repay such advances to the extent the Indemnitee is ultimately unsuccessful in such action or arbitration.</w:t>
      </w:r>
    </w:p>
    <w:p>
      <w:pPr>
        <w:spacing w:after="0" w:line="82" w:lineRule="exact"/>
        <w:rPr>
          <w:rFonts w:ascii="Times New Roman" w:cs="Times New Roman" w:eastAsia="Times New Roman" w:hAnsi="Times New Roman"/>
          <w:sz w:val="18"/>
          <w:szCs w:val="18"/>
          <w:b w:val="1"/>
          <w:bCs w:val="1"/>
          <w:color w:val="auto"/>
        </w:rPr>
      </w:pPr>
    </w:p>
    <w:p>
      <w:pPr>
        <w:ind w:left="-20" w:right="120" w:firstLine="972"/>
        <w:spacing w:after="0" w:line="267" w:lineRule="auto"/>
        <w:tabs>
          <w:tab w:leader="none" w:pos="1182" w:val="left"/>
        </w:tabs>
        <w:numPr>
          <w:ilvl w:val="1"/>
          <w:numId w:val="4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this Agreement to the contrary, no determination as to entitlement to indemnification shall be required to be made prior to the final disposition of the Proceeding.</w:t>
      </w:r>
    </w:p>
    <w:p>
      <w:pPr>
        <w:spacing w:after="0" w:line="62" w:lineRule="exact"/>
        <w:rPr>
          <w:rFonts w:ascii="Times New Roman" w:cs="Times New Roman" w:eastAsia="Times New Roman" w:hAnsi="Times New Roman"/>
          <w:sz w:val="18"/>
          <w:szCs w:val="18"/>
          <w:b w:val="1"/>
          <w:bCs w:val="1"/>
          <w:color w:val="auto"/>
        </w:rPr>
      </w:pPr>
    </w:p>
    <w:p>
      <w:pPr>
        <w:ind w:left="-20" w:right="200" w:firstLine="436"/>
        <w:spacing w:after="0" w:line="285" w:lineRule="auto"/>
        <w:tabs>
          <w:tab w:leader="none" w:pos="661" w:val="left"/>
        </w:tabs>
        <w:numPr>
          <w:ilvl w:val="0"/>
          <w:numId w:val="4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Contribution</w:t>
      </w:r>
      <w:r>
        <w:rPr>
          <w:rFonts w:ascii="Times New Roman" w:cs="Times New Roman" w:eastAsia="Times New Roman" w:hAnsi="Times New Roman"/>
          <w:sz w:val="16"/>
          <w:szCs w:val="16"/>
          <w:color w:val="auto"/>
        </w:rPr>
        <w:t>. To the fullest extent permissible under applicable law, if the indemnification provided for in this Agreement is unavailable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54" w:lineRule="exact"/>
        <w:rPr>
          <w:rFonts w:ascii="Times New Roman" w:cs="Times New Roman" w:eastAsia="Times New Roman" w:hAnsi="Times New Roman"/>
          <w:sz w:val="16"/>
          <w:szCs w:val="16"/>
          <w:b w:val="1"/>
          <w:bCs w:val="1"/>
          <w:color w:val="auto"/>
        </w:rPr>
      </w:pPr>
    </w:p>
    <w:p>
      <w:pPr>
        <w:ind w:left="-20" w:right="80" w:firstLine="436"/>
        <w:spacing w:after="0" w:line="281" w:lineRule="auto"/>
        <w:tabs>
          <w:tab w:leader="none" w:pos="671" w:val="left"/>
        </w:tabs>
        <w:numPr>
          <w:ilvl w:val="0"/>
          <w:numId w:val="4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Non-exclusivity</w:t>
      </w:r>
      <w:r>
        <w:rPr>
          <w:rFonts w:ascii="Times New Roman" w:cs="Times New Roman" w:eastAsia="Times New Roman" w:hAnsi="Times New Roman"/>
          <w:sz w:val="16"/>
          <w:szCs w:val="16"/>
          <w:color w:val="auto"/>
        </w:rPr>
        <w:t>. The rights of indemnification and to receive advancement of Expenses as provided by this Agreement shall not be deemed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80"/>
          </w:cols>
          <w:pgMar w:left="600" w:top="265" w:right="619" w:bottom="1440" w:gutter="0" w:footer="0" w:header="0"/>
        </w:sectPr>
      </w:pPr>
    </w:p>
    <w:bookmarkStart w:id="532" w:name="page533"/>
    <w:bookmarkEnd w:id="532"/>
    <w:p>
      <w:pPr>
        <w:ind w:left="-20" w:firstLine="436"/>
        <w:spacing w:after="0" w:line="278" w:lineRule="auto"/>
        <w:tabs>
          <w:tab w:leader="none" w:pos="671" w:val="left"/>
        </w:tabs>
        <w:numPr>
          <w:ilvl w:val="0"/>
          <w:numId w:val="4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Primary Responsibility</w:t>
      </w:r>
      <w:r>
        <w:rPr>
          <w:rFonts w:ascii="Times New Roman" w:cs="Times New Roman" w:eastAsia="Times New Roman" w:hAnsi="Times New Roman"/>
          <w:sz w:val="16"/>
          <w:szCs w:val="16"/>
          <w:color w:val="auto"/>
        </w:rPr>
        <w:t>. The Company acknowledges that to the extent Indemnitee is serving as a director on the Company’s board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directors at the request or direction of a private equity or venture capital fund or other entity and/or certain of its affiliates (collectively, the “</w:t>
      </w:r>
      <w:r>
        <w:rPr>
          <w:rFonts w:ascii="Times New Roman" w:cs="Times New Roman" w:eastAsia="Times New Roman" w:hAnsi="Times New Roman"/>
          <w:sz w:val="16"/>
          <w:szCs w:val="16"/>
          <w:b w:val="1"/>
          <w:bCs w:val="1"/>
          <w:i w:val="1"/>
          <w:iCs w:val="1"/>
          <w:color w:val="auto"/>
        </w:rPr>
        <w:t>Secondary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Indemnitors</w:t>
      </w:r>
      <w:r>
        <w:rPr>
          <w:rFonts w:ascii="Times New Roman" w:cs="Times New Roman" w:eastAsia="Times New Roman" w:hAnsi="Times New Roman"/>
          <w:sz w:val="16"/>
          <w:szCs w:val="16"/>
          <w:color w:val="auto"/>
        </w:rPr>
        <w:t>”), Indemnitee may have certain rights to indemnification and advancement of expenses provided by such Secondary Indemnitors.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Section 13.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Section 13.</w:t>
      </w:r>
    </w:p>
    <w:p>
      <w:pPr>
        <w:spacing w:after="0" w:line="275" w:lineRule="exact"/>
        <w:rPr>
          <w:rFonts w:ascii="Times New Roman" w:cs="Times New Roman" w:eastAsia="Times New Roman" w:hAnsi="Times New Roman"/>
          <w:sz w:val="16"/>
          <w:szCs w:val="16"/>
          <w:b w:val="1"/>
          <w:bCs w:val="1"/>
          <w:color w:val="auto"/>
        </w:rPr>
      </w:pPr>
    </w:p>
    <w:p>
      <w:pPr>
        <w:ind w:left="-20" w:right="80" w:firstLine="436"/>
        <w:spacing w:after="0" w:line="256" w:lineRule="auto"/>
        <w:tabs>
          <w:tab w:leader="none" w:pos="671"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Duplication of Payments</w:t>
      </w:r>
      <w:r>
        <w:rPr>
          <w:rFonts w:ascii="Times New Roman" w:cs="Times New Roman" w:eastAsia="Times New Roman" w:hAnsi="Times New Roman"/>
          <w:sz w:val="18"/>
          <w:szCs w:val="18"/>
          <w:color w:val="auto"/>
        </w:rPr>
        <w:t>. Subject to Section 13, the Company shall not be liable under this Agreement to make any payment of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indemnifiable hereunder (or for which advancement is provided hereunder) if and to the extent that Indemnitee has otherwise actually received payment for such amounts under any insurance policy, contract, agreement or otherwise.</w:t>
      </w:r>
    </w:p>
    <w:p>
      <w:pPr>
        <w:spacing w:after="0" w:line="72" w:lineRule="exact"/>
        <w:rPr>
          <w:rFonts w:ascii="Times New Roman" w:cs="Times New Roman" w:eastAsia="Times New Roman" w:hAnsi="Times New Roman"/>
          <w:sz w:val="18"/>
          <w:szCs w:val="18"/>
          <w:b w:val="1"/>
          <w:bCs w:val="1"/>
          <w:color w:val="auto"/>
        </w:rPr>
      </w:pPr>
    </w:p>
    <w:p>
      <w:pPr>
        <w:ind w:left="-20" w:right="40" w:firstLine="436"/>
        <w:spacing w:after="0" w:line="256" w:lineRule="auto"/>
        <w:tabs>
          <w:tab w:leader="none" w:pos="671"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To the extent that the Company maintains an insurance policy or policies providing liability insurance for directors, trustees,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spacing w:after="0" w:line="72" w:lineRule="exact"/>
        <w:rPr>
          <w:rFonts w:ascii="Times New Roman" w:cs="Times New Roman" w:eastAsia="Times New Roman" w:hAnsi="Times New Roman"/>
          <w:sz w:val="18"/>
          <w:szCs w:val="18"/>
          <w:b w:val="1"/>
          <w:bCs w:val="1"/>
          <w:color w:val="auto"/>
        </w:rPr>
      </w:pPr>
    </w:p>
    <w:p>
      <w:pPr>
        <w:ind w:left="-20" w:right="20" w:firstLine="436"/>
        <w:spacing w:after="0" w:line="256" w:lineRule="auto"/>
        <w:tabs>
          <w:tab w:leader="none" w:pos="671"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Subrogation</w:t>
      </w:r>
      <w:r>
        <w:rPr>
          <w:rFonts w:ascii="Times New Roman" w:cs="Times New Roman" w:eastAsia="Times New Roman" w:hAnsi="Times New Roman"/>
          <w:sz w:val="18"/>
          <w:szCs w:val="18"/>
          <w:color w:val="auto"/>
        </w:rPr>
        <w:t>. Subject to Section 13, in the event of any payment under this Agreement, the Company shall be subrogated to the extent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72" w:lineRule="exact"/>
        <w:rPr>
          <w:rFonts w:ascii="Times New Roman" w:cs="Times New Roman" w:eastAsia="Times New Roman" w:hAnsi="Times New Roman"/>
          <w:sz w:val="18"/>
          <w:szCs w:val="18"/>
          <w:b w:val="1"/>
          <w:bCs w:val="1"/>
          <w:color w:val="auto"/>
        </w:rPr>
      </w:pPr>
    </w:p>
    <w:p>
      <w:pPr>
        <w:ind w:left="-20" w:right="60" w:firstLine="436"/>
        <w:spacing w:after="0" w:line="246" w:lineRule="auto"/>
        <w:tabs>
          <w:tab w:leader="none" w:pos="671"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agrees to serve as a director or officer of the Company or, at the request of the Company, as a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80"/>
          </w:cols>
          <w:pgMar w:left="600" w:top="263" w:right="619" w:bottom="1440" w:gutter="0" w:footer="0" w:header="0"/>
        </w:sectPr>
      </w:pPr>
    </w:p>
    <w:bookmarkStart w:id="533" w:name="page534"/>
    <w:bookmarkEnd w:id="533"/>
    <w:p>
      <w:pPr>
        <w:ind w:left="-60" w:right="60" w:firstLine="436"/>
        <w:spacing w:after="0" w:line="250" w:lineRule="auto"/>
        <w:tabs>
          <w:tab w:leader="none" w:pos="631" w:val="left"/>
        </w:tabs>
        <w:numPr>
          <w:ilvl w:val="0"/>
          <w:numId w:val="4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Duration</w:t>
      </w:r>
      <w:r>
        <w:rPr>
          <w:rFonts w:ascii="Times New Roman" w:cs="Times New Roman" w:eastAsia="Times New Roman" w:hAnsi="Times New Roman"/>
          <w:sz w:val="18"/>
          <w:szCs w:val="18"/>
          <w:color w:val="auto"/>
        </w:rPr>
        <w:t>. This Agreement shall continue until and terminate upon the later of (a) ten years after the date that Indemnitee shall have ceased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10 relating thereto.</w:t>
      </w:r>
    </w:p>
    <w:p>
      <w:pPr>
        <w:spacing w:after="0" w:line="77" w:lineRule="exact"/>
        <w:rPr>
          <w:rFonts w:ascii="Times New Roman" w:cs="Times New Roman" w:eastAsia="Times New Roman" w:hAnsi="Times New Roman"/>
          <w:sz w:val="18"/>
          <w:szCs w:val="18"/>
          <w:b w:val="1"/>
          <w:bCs w:val="1"/>
          <w:color w:val="auto"/>
        </w:rPr>
      </w:pPr>
    </w:p>
    <w:p>
      <w:pPr>
        <w:ind w:left="-60" w:firstLine="436"/>
        <w:spacing w:after="0" w:line="248" w:lineRule="auto"/>
        <w:tabs>
          <w:tab w:leader="none" w:pos="631" w:val="left"/>
        </w:tabs>
        <w:numPr>
          <w:ilvl w:val="0"/>
          <w:numId w:val="4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This Agreement shall be binding upon the Company and its successors and assigns, including any direct or indirect successor,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merger, consolidation or otherwise, to all or substantially all of the business or assets of the Company, and shall inure to the benefit of Indemnitee and Indemnitee’s heirs, executors and administrators. Further, the Company shall require and cause any successor (whether direct or indirect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spacing w:after="0" w:line="82" w:lineRule="exact"/>
        <w:rPr>
          <w:rFonts w:ascii="Times New Roman" w:cs="Times New Roman" w:eastAsia="Times New Roman" w:hAnsi="Times New Roman"/>
          <w:sz w:val="18"/>
          <w:szCs w:val="18"/>
          <w:b w:val="1"/>
          <w:bCs w:val="1"/>
          <w:color w:val="auto"/>
        </w:rPr>
      </w:pPr>
    </w:p>
    <w:p>
      <w:pPr>
        <w:ind w:left="-60" w:right="100" w:firstLine="436"/>
        <w:spacing w:after="0" w:line="246" w:lineRule="auto"/>
        <w:tabs>
          <w:tab w:leader="none" w:pos="631" w:val="left"/>
        </w:tabs>
        <w:numPr>
          <w:ilvl w:val="0"/>
          <w:numId w:val="4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Nothing in this Agreement is intended to require or shall be construed as requiring the Company to do or fail to do any act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83" w:lineRule="exact"/>
        <w:rPr>
          <w:rFonts w:ascii="Times New Roman" w:cs="Times New Roman" w:eastAsia="Times New Roman" w:hAnsi="Times New Roman"/>
          <w:sz w:val="18"/>
          <w:szCs w:val="18"/>
          <w:b w:val="1"/>
          <w:bCs w:val="1"/>
          <w:color w:val="auto"/>
        </w:rPr>
      </w:pPr>
    </w:p>
    <w:p>
      <w:pPr>
        <w:ind w:left="-60" w:right="40" w:firstLine="436"/>
        <w:spacing w:after="0" w:line="256" w:lineRule="auto"/>
        <w:tabs>
          <w:tab w:leader="none" w:pos="631" w:val="left"/>
        </w:tabs>
        <w:numPr>
          <w:ilvl w:val="0"/>
          <w:numId w:val="4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w:t>
      </w:r>
      <w:r>
        <w:rPr>
          <w:rFonts w:ascii="Times New Roman" w:cs="Times New Roman" w:eastAsia="Times New Roman" w:hAnsi="Times New Roman"/>
          <w:sz w:val="18"/>
          <w:szCs w:val="18"/>
          <w:color w:val="auto"/>
        </w:rPr>
        <w:t>. The Company expressly confirms and agrees that it has entered into this Agreement and assumed the obligations imposed on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in order to induce Indemnitee to serve as a director or officer of the Company, and the Company acknowledges that Indemnitee is relying upon this Agreement in serving as a director or officer of the Company.</w:t>
      </w:r>
    </w:p>
    <w:p>
      <w:pPr>
        <w:spacing w:after="0" w:line="72" w:lineRule="exact"/>
        <w:rPr>
          <w:rFonts w:ascii="Times New Roman" w:cs="Times New Roman" w:eastAsia="Times New Roman" w:hAnsi="Times New Roman"/>
          <w:sz w:val="18"/>
          <w:szCs w:val="18"/>
          <w:b w:val="1"/>
          <w:bCs w:val="1"/>
          <w:color w:val="auto"/>
        </w:rPr>
      </w:pPr>
    </w:p>
    <w:p>
      <w:pPr>
        <w:ind w:left="-60" w:right="140" w:firstLine="436"/>
        <w:spacing w:after="0" w:line="252" w:lineRule="auto"/>
        <w:tabs>
          <w:tab w:leader="none" w:pos="631" w:val="left"/>
        </w:tabs>
        <w:numPr>
          <w:ilvl w:val="0"/>
          <w:numId w:val="4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constitutes the entire agreement between the parties hereto with respect to the subject matter hereof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supersedes all prior agreements and understandings, oral, written and implied, between the parties hereto with respect to the subject matter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this Agreement is a supplement to and in furtherance of the Company’s certificate of incorporation and bylaws and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w:t>
      </w:r>
    </w:p>
    <w:p>
      <w:pPr>
        <w:spacing w:after="0" w:line="75" w:lineRule="exact"/>
        <w:rPr>
          <w:rFonts w:ascii="Times New Roman" w:cs="Times New Roman" w:eastAsia="Times New Roman" w:hAnsi="Times New Roman"/>
          <w:sz w:val="18"/>
          <w:szCs w:val="18"/>
          <w:b w:val="1"/>
          <w:bCs w:val="1"/>
          <w:color w:val="auto"/>
        </w:rPr>
      </w:pPr>
    </w:p>
    <w:p>
      <w:pPr>
        <w:ind w:left="-60" w:right="120" w:firstLine="436"/>
        <w:spacing w:after="0" w:line="250" w:lineRule="auto"/>
        <w:tabs>
          <w:tab w:leader="none" w:pos="631" w:val="left"/>
        </w:tabs>
        <w:numPr>
          <w:ilvl w:val="0"/>
          <w:numId w:val="4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to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20"/>
          </w:cols>
          <w:pgMar w:left="640" w:top="263" w:right="639" w:bottom="1440" w:gutter="0" w:footer="0" w:header="0"/>
        </w:sectPr>
      </w:pPr>
    </w:p>
    <w:bookmarkStart w:id="534" w:name="page535"/>
    <w:bookmarkEnd w:id="534"/>
    <w:p>
      <w:pPr>
        <w:ind w:right="600" w:firstLine="436"/>
        <w:spacing w:after="0" w:line="333" w:lineRule="auto"/>
        <w:tabs>
          <w:tab w:leader="none" w:pos="691" w:val="left"/>
        </w:tabs>
        <w:numPr>
          <w:ilvl w:val="0"/>
          <w:numId w:val="4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Notices</w:t>
      </w:r>
      <w:r>
        <w:rPr>
          <w:rFonts w:ascii="Times New Roman" w:cs="Times New Roman" w:eastAsia="Times New Roman" w:hAnsi="Times New Roman"/>
          <w:sz w:val="16"/>
          <w:szCs w:val="16"/>
          <w:color w:val="auto"/>
        </w:rPr>
        <w:t>. All notices and other communications required or permitted hereunder shall be in writing and shall be mailed by registered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certified mail, postage prepaid, sent by facsimile or electronic mail or otherwise delivered by hand, messenger or courier service addressed:</w:t>
      </w:r>
    </w:p>
    <w:p>
      <w:pPr>
        <w:spacing w:after="0" w:line="16" w:lineRule="exact"/>
        <w:rPr>
          <w:rFonts w:ascii="Times New Roman" w:cs="Times New Roman" w:eastAsia="Times New Roman" w:hAnsi="Times New Roman"/>
          <w:sz w:val="16"/>
          <w:szCs w:val="16"/>
          <w:b w:val="1"/>
          <w:bCs w:val="1"/>
          <w:color w:val="auto"/>
        </w:rPr>
      </w:pPr>
    </w:p>
    <w:p>
      <w:pPr>
        <w:ind w:right="780" w:firstLine="972"/>
        <w:spacing w:after="0" w:line="267" w:lineRule="auto"/>
        <w:tabs>
          <w:tab w:leader="none" w:pos="1212" w:val="left"/>
        </w:tabs>
        <w:numPr>
          <w:ilvl w:val="1"/>
          <w:numId w:val="4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to Indemnitee, to Indemnitee’s address, facsimile number or electronic mail address as shown on the signature page of this Agreement or in the Company’s records, as may be updated in accordance with the provisions hereof; or</w:t>
      </w:r>
    </w:p>
    <w:p>
      <w:pPr>
        <w:spacing w:after="0" w:line="64" w:lineRule="exact"/>
        <w:rPr>
          <w:rFonts w:ascii="Times New Roman" w:cs="Times New Roman" w:eastAsia="Times New Roman" w:hAnsi="Times New Roman"/>
          <w:sz w:val="18"/>
          <w:szCs w:val="18"/>
          <w:b w:val="1"/>
          <w:bCs w:val="1"/>
          <w:color w:val="auto"/>
        </w:rPr>
      </w:pPr>
    </w:p>
    <w:p>
      <w:pPr>
        <w:ind w:firstLine="972"/>
        <w:spacing w:after="0" w:line="267" w:lineRule="auto"/>
        <w:tabs>
          <w:tab w:leader="none" w:pos="1222" w:val="left"/>
        </w:tabs>
        <w:numPr>
          <w:ilvl w:val="1"/>
          <w:numId w:val="4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to the Company, to Tempus Labs, Inc., 600 West Chicago Avenue, Suite 510, Chicago, Illinois 60654, Attention: General Counsel, or at such other current address as the Company shall have furnished to Indemnitee.</w:t>
      </w:r>
    </w:p>
    <w:p>
      <w:pPr>
        <w:spacing w:after="0" w:line="170" w:lineRule="exact"/>
        <w:rPr>
          <w:sz w:val="20"/>
          <w:szCs w:val="20"/>
          <w:color w:val="auto"/>
        </w:rPr>
      </w:pPr>
    </w:p>
    <w:p>
      <w:pPr>
        <w:ind w:right="100" w:firstLine="428"/>
        <w:spacing w:after="0" w:line="247" w:lineRule="auto"/>
        <w:rPr>
          <w:sz w:val="20"/>
          <w:szCs w:val="20"/>
          <w:color w:val="auto"/>
        </w:rPr>
      </w:pPr>
      <w:r>
        <w:rPr>
          <w:rFonts w:ascii="Times New Roman" w:cs="Times New Roman" w:eastAsia="Times New Roman" w:hAnsi="Times New Roman"/>
          <w:sz w:val="18"/>
          <w:szCs w:val="18"/>
          <w:color w:val="auto"/>
        </w:rPr>
        <w:t xml:space="preserve">Each such notice or other communication shall for all purposes of this Agreement be treated as effective or having been given (i) if delivered by hand, messenger or courier service, when delivered (or if sent </w:t>
      </w:r>
      <w:r>
        <w:rPr>
          <w:rFonts w:ascii="Times New Roman" w:cs="Times New Roman" w:eastAsia="Times New Roman" w:hAnsi="Times New Roman"/>
          <w:sz w:val="18"/>
          <w:szCs w:val="18"/>
          <w:i w:val="1"/>
          <w:iCs w:val="1"/>
          <w:color w:val="auto"/>
        </w:rPr>
        <w:t>via</w:t>
      </w:r>
      <w:r>
        <w:rPr>
          <w:rFonts w:ascii="Times New Roman" w:cs="Times New Roman" w:eastAsia="Times New Roman" w:hAnsi="Times New Roman"/>
          <w:sz w:val="18"/>
          <w:szCs w:val="18"/>
          <w:color w:val="auto"/>
        </w:rPr>
        <w:t xml:space="preserve"> a nationally-recognized overnight courier service, freight prepaid, specifying next-business-day delivery, one business day after deposit with the courier), or (ii) if sent via mail, at the earlier of its receipt or five days after the same has been deposited in a regularly-maintained receptacle for the deposit of the United States mail, addressed and mailed as aforesaid, or (iii) if sent via facsimile, upon confirmation of facsimile transfer or, if sent via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82" w:lineRule="exact"/>
        <w:rPr>
          <w:sz w:val="20"/>
          <w:szCs w:val="20"/>
          <w:color w:val="auto"/>
        </w:rPr>
      </w:pPr>
    </w:p>
    <w:p>
      <w:pPr>
        <w:ind w:right="60" w:firstLine="436"/>
        <w:spacing w:after="0" w:line="246" w:lineRule="auto"/>
        <w:tabs>
          <w:tab w:leader="none" w:pos="691" w:val="left"/>
        </w:tabs>
        <w:numPr>
          <w:ilvl w:val="0"/>
          <w:numId w:val="4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shall be governed by, and construed and enforced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Delaware, without regard to its conflict of laws rules. Except with respect to any arbitration commenced by Indemnitee pursuant to Section 10(a),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The Corporation Trust Company, Wilmington, Delaware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spacing w:after="0" w:line="81" w:lineRule="exact"/>
        <w:rPr>
          <w:rFonts w:ascii="Times New Roman" w:cs="Times New Roman" w:eastAsia="Times New Roman" w:hAnsi="Times New Roman"/>
          <w:sz w:val="18"/>
          <w:szCs w:val="18"/>
          <w:b w:val="1"/>
          <w:bCs w:val="1"/>
          <w:color w:val="auto"/>
        </w:rPr>
      </w:pPr>
    </w:p>
    <w:p>
      <w:pPr>
        <w:ind w:right="40" w:firstLine="436"/>
        <w:spacing w:after="0" w:line="293" w:lineRule="auto"/>
        <w:tabs>
          <w:tab w:leader="none" w:pos="691" w:val="left"/>
        </w:tabs>
        <w:numPr>
          <w:ilvl w:val="0"/>
          <w:numId w:val="4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Counterparts</w:t>
      </w:r>
      <w:r>
        <w:rPr>
          <w:rFonts w:ascii="Times New Roman" w:cs="Times New Roman" w:eastAsia="Times New Roman" w:hAnsi="Times New Roman"/>
          <w:sz w:val="16"/>
          <w:szCs w:val="16"/>
          <w:color w:val="auto"/>
        </w:rPr>
        <w:t>. This Agreement may be executed in two or more counterparts, each of which shall for all purposes be deemed to be an original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20"/>
          </w:cols>
          <w:pgMar w:left="580" w:top="263" w:right="599" w:bottom="1440" w:gutter="0" w:footer="0" w:header="0"/>
        </w:sectPr>
      </w:pPr>
    </w:p>
    <w:bookmarkStart w:id="535" w:name="page536"/>
    <w:bookmarkEnd w:id="535"/>
    <w:p>
      <w:pPr>
        <w:ind w:left="-240" w:firstLine="436"/>
        <w:spacing w:after="0" w:line="270" w:lineRule="auto"/>
        <w:tabs>
          <w:tab w:leader="none" w:pos="451" w:val="left"/>
        </w:tabs>
        <w:numPr>
          <w:ilvl w:val="0"/>
          <w:numId w:val="4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Captions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or to affect the construction thereof.</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240"/>
          </w:cols>
          <w:pgMar w:left="820" w:top="263" w:right="839" w:bottom="1440" w:gutter="0" w:footer="0" w:header="0"/>
        </w:sectPr>
      </w:pPr>
    </w:p>
    <w:bookmarkStart w:id="536" w:name="page537"/>
    <w:bookmarkEnd w:id="5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parties are signing this Indemnification Agreement as of the date stated in the introductory sentence.</w:t>
      </w:r>
    </w:p>
    <w:p>
      <w:pPr>
        <w:spacing w:after="0" w:line="23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13335</wp:posOffset>
            </wp:positionV>
            <wp:extent cx="225107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13335</wp:posOffset>
            </wp:positionV>
            <wp:extent cx="225107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13335</wp:posOffset>
            </wp:positionV>
            <wp:extent cx="225107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251075" cy="825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297180</wp:posOffset>
            </wp:positionV>
            <wp:extent cx="271780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INDEMNITEE NAME</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13335</wp:posOffset>
            </wp:positionV>
            <wp:extent cx="225107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251075"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163830</wp:posOffset>
            </wp:positionV>
            <wp:extent cx="225107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39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439"/>
          </w:cols>
          <w:pgMar w:left="1020" w:top="265" w:right="1440" w:bottom="1440" w:gutter="0" w:footer="0" w:header="0"/>
        </w:sectPr>
      </w:pPr>
    </w:p>
    <w:bookmarkStart w:id="537" w:name="page538"/>
    <w:bookmarkEnd w:id="537"/>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11" w:lineRule="exact"/>
        <w:rPr>
          <w:sz w:val="20"/>
          <w:szCs w:val="20"/>
          <w:color w:val="auto"/>
        </w:rPr>
      </w:pPr>
    </w:p>
    <w:p>
      <w:pPr>
        <w:ind w:right="100" w:firstLine="428"/>
        <w:spacing w:after="0" w:line="27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dated as of January 1, 2022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by and between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RIC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EFKOFSKY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right="14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desires to employ Executive as Chief Executive Officer and provide Executive with certain compensation and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return for Executive’s services, and Executive agrees to be employed by the Company in such capacity and to receive the compensation and benefits on the terms and conditions set forth herein; and</w:t>
      </w:r>
    </w:p>
    <w:p>
      <w:pPr>
        <w:spacing w:after="0" w:line="176" w:lineRule="exact"/>
        <w:rPr>
          <w:sz w:val="20"/>
          <w:szCs w:val="20"/>
          <w:color w:val="auto"/>
        </w:rPr>
      </w:pPr>
    </w:p>
    <w:p>
      <w:pPr>
        <w:ind w:right="300" w:firstLine="428"/>
        <w:spacing w:after="0" w:line="25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and Executive desire to enter into this Employment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become effective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Executive’s signature below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in order to memorialize the terms and conditions of Executive’s employment by the Company upon and following the Effective Date.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mutual promises and covenants contained herein, the parties agree to the following:</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 Employment by the Company</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60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1.1 Position</w:t>
      </w:r>
      <w:r>
        <w:rPr>
          <w:rFonts w:ascii="Times New Roman" w:cs="Times New Roman" w:eastAsia="Times New Roman" w:hAnsi="Times New Roman"/>
          <w:sz w:val="18"/>
          <w:szCs w:val="18"/>
          <w:color w:val="auto"/>
        </w:rPr>
        <w:t>. Subject to the terms set forth herein, the Company agrees to employ Executive in the position of Chairman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and Executive hereby accepts such continued employment on the terms and conditions set forth in this Agreement.</w:t>
      </w:r>
    </w:p>
    <w:p>
      <w:pPr>
        <w:spacing w:after="0" w:line="162" w:lineRule="exact"/>
        <w:rPr>
          <w:sz w:val="20"/>
          <w:szCs w:val="20"/>
          <w:color w:val="auto"/>
        </w:rPr>
      </w:pPr>
    </w:p>
    <w:p>
      <w:pPr>
        <w:ind w:right="60" w:firstLine="964"/>
        <w:spacing w:after="0" w:line="250" w:lineRule="auto"/>
        <w:rPr>
          <w:sz w:val="20"/>
          <w:szCs w:val="20"/>
          <w:color w:val="auto"/>
        </w:rPr>
      </w:pPr>
      <w:r>
        <w:rPr>
          <w:rFonts w:ascii="Times New Roman" w:cs="Times New Roman" w:eastAsia="Times New Roman" w:hAnsi="Times New Roman"/>
          <w:sz w:val="18"/>
          <w:szCs w:val="18"/>
          <w:b w:val="1"/>
          <w:bCs w:val="1"/>
          <w:color w:val="auto"/>
        </w:rPr>
        <w:t>1.2 Duties</w:t>
      </w:r>
      <w:r>
        <w:rPr>
          <w:rFonts w:ascii="Times New Roman" w:cs="Times New Roman" w:eastAsia="Times New Roman" w:hAnsi="Times New Roman"/>
          <w:sz w:val="18"/>
          <w:szCs w:val="18"/>
          <w:color w:val="auto"/>
        </w:rPr>
        <w:t>. As Chief Executive Officer, Executive will report to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individual(s) as assigned, performing such duties as are normally associated with Executive’s position and such duties as are assigned to Executive from time to time, subject to the oversight and direction of the Board. During the term of Executive’s employment with the Company, and except as noted in Section 4, Executive will work on a full-time basis for the Company and will devote Executive’s best efforts and substantially all of Executive’s business time and attention to the business of the Company.</w:t>
      </w:r>
    </w:p>
    <w:p>
      <w:pPr>
        <w:spacing w:after="0" w:line="184"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1.3 Company Policies and Benefits</w:t>
      </w:r>
      <w:r>
        <w:rPr>
          <w:rFonts w:ascii="Times New Roman" w:cs="Times New Roman" w:eastAsia="Times New Roman" w:hAnsi="Times New Roman"/>
          <w:sz w:val="18"/>
          <w:szCs w:val="18"/>
          <w:color w:val="auto"/>
        </w:rPr>
        <w:t>. The employment relationship between the parties shall also be subject to the Company’s personnel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and procedures as they may be interpreted, adopted, revised or deleted from time to time in the Company’s sole discretion. Executive will be eligible to participate on the same basis as similarly 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 Compensation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66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2.1 Salary</w:t>
      </w:r>
      <w:r>
        <w:rPr>
          <w:rFonts w:ascii="Times New Roman" w:cs="Times New Roman" w:eastAsia="Times New Roman" w:hAnsi="Times New Roman"/>
          <w:sz w:val="18"/>
          <w:szCs w:val="18"/>
          <w:color w:val="auto"/>
        </w:rPr>
        <w:t>. Executive shall receive for Executive’s services to be rendered under this Agreement an initial base salary of</w:t>
      </w:r>
      <w:r>
        <w:rPr>
          <w:rFonts w:ascii="Times New Roman" w:cs="Times New Roman" w:eastAsia="Times New Roman" w:hAnsi="Times New Roman"/>
          <w:sz w:val="18"/>
          <w:szCs w:val="18"/>
          <w:b w:val="1"/>
          <w:bCs w:val="1"/>
          <w:color w:val="auto"/>
        </w:rPr>
        <w:t xml:space="preserve"> $0 </w:t>
      </w:r>
      <w:r>
        <w:rPr>
          <w:rFonts w:ascii="Times New Roman" w:cs="Times New Roman" w:eastAsia="Times New Roman" w:hAnsi="Times New Roman"/>
          <w:sz w:val="18"/>
          <w:szCs w:val="18"/>
          <w:color w:val="auto"/>
        </w:rPr>
        <w:t>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annualized basis, subject to review and adjustment by the Company in its sole discretion, payable subject to standard federal and state payroll withholding requirements in accordance with the Company’s standard payroll practices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118" w:right="599" w:bottom="1440" w:gutter="0" w:footer="0" w:header="0"/>
        </w:sectPr>
      </w:pPr>
    </w:p>
    <w:bookmarkStart w:id="538" w:name="page539"/>
    <w:bookmarkEnd w:id="538"/>
    <w:p>
      <w:pPr>
        <w:ind w:right="2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2.2 Equity Incentive Plan. </w:t>
      </w:r>
      <w:r>
        <w:rPr>
          <w:rFonts w:ascii="Times New Roman" w:cs="Times New Roman" w:eastAsia="Times New Roman" w:hAnsi="Times New Roman"/>
          <w:sz w:val="18"/>
          <w:szCs w:val="18"/>
          <w:color w:val="auto"/>
        </w:rPr>
        <w:t>During the term of Executive’s employment with the Company, Executive will be eligible to participate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then-current equity incentive plan as may be in effect from time to time, subject to the terms of the associated plan documents and as determined by the Board in its sole discretion from time to time. The Company reserves the right to modify or terminate its incentive programs at any time in its sole discretion.</w:t>
      </w:r>
    </w:p>
    <w:p>
      <w:pPr>
        <w:spacing w:after="0" w:line="181" w:lineRule="exact"/>
        <w:rPr>
          <w:sz w:val="20"/>
          <w:szCs w:val="20"/>
          <w:color w:val="auto"/>
        </w:rPr>
      </w:pPr>
    </w:p>
    <w:p>
      <w:pPr>
        <w:ind w:firstLine="964"/>
        <w:spacing w:after="0" w:line="281" w:lineRule="auto"/>
        <w:rPr>
          <w:sz w:val="20"/>
          <w:szCs w:val="20"/>
          <w:color w:val="auto"/>
        </w:rPr>
      </w:pPr>
      <w:r>
        <w:rPr>
          <w:rFonts w:ascii="Times New Roman" w:cs="Times New Roman" w:eastAsia="Times New Roman" w:hAnsi="Times New Roman"/>
          <w:sz w:val="16"/>
          <w:szCs w:val="16"/>
          <w:b w:val="1"/>
          <w:bCs w:val="1"/>
          <w:color w:val="auto"/>
        </w:rPr>
        <w:t>2.3 Expense Reimbursement</w:t>
      </w:r>
      <w:r>
        <w:rPr>
          <w:rFonts w:ascii="Times New Roman" w:cs="Times New Roman" w:eastAsia="Times New Roman" w:hAnsi="Times New Roman"/>
          <w:sz w:val="16"/>
          <w:szCs w:val="16"/>
          <w:color w:val="auto"/>
        </w:rPr>
        <w:t>. The Company will reimburse Executive for reasonable business expenses in accordance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Company’s standard expense reimbursement policy, as the same may be modified by the Company from time to time. The Company shall reimburse Executive for all customary and appropriate business-related expenses actually incurred and documented in accordance with Company policy, as in effect from time to time. For so long as Executive holds the title of Chairman and/or Chief Executive Officer, Executive shall be entitled, at the Company’s expense (a) to employ an Administrative Assistant and a personal security officer, and (b) to be appropriately reimbursed for any private aviation expenses that are incurred for legitimate business travel. For the avoidance of doubt, to the extent that any reimbursements payable to Executive are subject to the provisions of Section 409A of the Code: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62" w:lineRule="exact"/>
        <w:rPr>
          <w:sz w:val="20"/>
          <w:szCs w:val="20"/>
          <w:color w:val="auto"/>
        </w:rPr>
      </w:pPr>
    </w:p>
    <w:p>
      <w:pPr>
        <w:jc w:val="both"/>
        <w:ind w:right="40" w:firstLine="436"/>
        <w:spacing w:after="0" w:line="293" w:lineRule="auto"/>
        <w:tabs>
          <w:tab w:leader="none" w:pos="603" w:val="left"/>
        </w:tabs>
        <w:numPr>
          <w:ilvl w:val="0"/>
          <w:numId w:val="4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Confidentiality, Intellectual Property, and Protective Covenants Agreement. </w:t>
      </w:r>
      <w:r>
        <w:rPr>
          <w:rFonts w:ascii="Times New Roman" w:cs="Times New Roman" w:eastAsia="Times New Roman" w:hAnsi="Times New Roman"/>
          <w:sz w:val="16"/>
          <w:szCs w:val="16"/>
          <w:color w:val="auto"/>
        </w:rPr>
        <w:t>As a condition of continued employment, Executive agreed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execute and abide by a Confidentiality, Intellectual Property, and Protective Covenants Agreement (“</w:t>
      </w:r>
      <w:r>
        <w:rPr>
          <w:rFonts w:ascii="Times New Roman" w:cs="Times New Roman" w:eastAsia="Times New Roman" w:hAnsi="Times New Roman"/>
          <w:sz w:val="16"/>
          <w:szCs w:val="16"/>
          <w:b w:val="1"/>
          <w:bCs w:val="1"/>
          <w:i w:val="1"/>
          <w:iCs w:val="1"/>
          <w:color w:val="auto"/>
        </w:rPr>
        <w:t>Proprietary Information Agreement</w:t>
      </w:r>
      <w:r>
        <w:rPr>
          <w:rFonts w:ascii="Times New Roman" w:cs="Times New Roman" w:eastAsia="Times New Roman" w:hAnsi="Times New Roman"/>
          <w:sz w:val="16"/>
          <w:szCs w:val="16"/>
          <w:color w:val="auto"/>
        </w:rPr>
        <w:t>”), which may be amended by the parties from time to time without regard to this Agreement. The Proprietary Information Agreement contains provisions that are intended by the parties to survive and do survive termination of this Agreement, and such terms are hereby incorporated by reference.</w:t>
      </w:r>
    </w:p>
    <w:p>
      <w:pPr>
        <w:spacing w:after="0" w:line="151" w:lineRule="exact"/>
        <w:rPr>
          <w:rFonts w:ascii="Times New Roman" w:cs="Times New Roman" w:eastAsia="Times New Roman" w:hAnsi="Times New Roman"/>
          <w:sz w:val="16"/>
          <w:szCs w:val="16"/>
          <w:b w:val="1"/>
          <w:bCs w:val="1"/>
          <w:color w:val="auto"/>
        </w:rPr>
      </w:pPr>
    </w:p>
    <w:p>
      <w:pPr>
        <w:ind w:right="460" w:firstLine="436"/>
        <w:spacing w:after="0" w:line="252" w:lineRule="auto"/>
        <w:tabs>
          <w:tab w:leader="none" w:pos="603" w:val="left"/>
        </w:tabs>
        <w:numPr>
          <w:ilvl w:val="0"/>
          <w:numId w:val="4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Outside Activities During Employment</w:t>
      </w:r>
      <w:r>
        <w:rPr>
          <w:rFonts w:ascii="Times New Roman" w:cs="Times New Roman" w:eastAsia="Times New Roman" w:hAnsi="Times New Roman"/>
          <w:sz w:val="18"/>
          <w:szCs w:val="18"/>
          <w:color w:val="auto"/>
        </w:rPr>
        <w:t>. The parties acknowledge and agree that Executive is also a co-founder and serves as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of the board of Pathos AI, Inc., an AI-enabled drug development company that has entered into an agreement with the Company, is the managing partner and co-founder of Lightbank LLC, a private venture capital firm specializing in investments in technology companies that has invested in the Company, and is a member of the board of directors of Groupon, Inc., which Executive co-founded.</w:t>
      </w:r>
    </w:p>
    <w:p>
      <w:pPr>
        <w:spacing w:after="0" w:line="180" w:lineRule="exact"/>
        <w:rPr>
          <w:rFonts w:ascii="Times New Roman" w:cs="Times New Roman" w:eastAsia="Times New Roman" w:hAnsi="Times New Roman"/>
          <w:sz w:val="18"/>
          <w:szCs w:val="18"/>
          <w:b w:val="1"/>
          <w:bCs w:val="1"/>
          <w:color w:val="auto"/>
        </w:rPr>
      </w:pPr>
    </w:p>
    <w:p>
      <w:pPr>
        <w:ind w:right="20" w:firstLine="436"/>
        <w:spacing w:after="0" w:line="252" w:lineRule="auto"/>
        <w:tabs>
          <w:tab w:leader="none" w:pos="603" w:val="left"/>
        </w:tabs>
        <w:numPr>
          <w:ilvl w:val="0"/>
          <w:numId w:val="4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Conflict with Existing Obligations</w:t>
      </w:r>
      <w:r>
        <w:rPr>
          <w:rFonts w:ascii="Times New Roman" w:cs="Times New Roman" w:eastAsia="Times New Roman" w:hAnsi="Times New Roman"/>
          <w:sz w:val="18"/>
          <w:szCs w:val="18"/>
          <w:color w:val="auto"/>
        </w:rPr>
        <w:t>. Executive represents that Executive’s performance of all the terms of this Agreement does not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00"/>
          </w:cols>
          <w:pgMar w:left="580" w:top="263" w:right="619" w:bottom="1440" w:gutter="0" w:footer="0" w:header="0"/>
        </w:sectPr>
      </w:pPr>
    </w:p>
    <w:bookmarkStart w:id="539" w:name="page540"/>
    <w:bookmarkEnd w:id="539"/>
    <w:p>
      <w:pPr>
        <w:ind w:left="-8" w:firstLine="436"/>
        <w:spacing w:after="0" w:line="303" w:lineRule="auto"/>
        <w:tabs>
          <w:tab w:leader="none" w:pos="595" w:val="left"/>
        </w:tabs>
        <w:numPr>
          <w:ilvl w:val="0"/>
          <w:numId w:val="4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Termination of Employment</w:t>
      </w:r>
      <w:r>
        <w:rPr>
          <w:rFonts w:ascii="Times New Roman" w:cs="Times New Roman" w:eastAsia="Times New Roman" w:hAnsi="Times New Roman"/>
          <w:sz w:val="16"/>
          <w:szCs w:val="16"/>
          <w:color w:val="auto"/>
        </w:rPr>
        <w:t>. The parties acknowledge that Executive’s employment relationship with the Company is at-will, meaning either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or Executive may terminate Executive’s employment at any time, with or without cause or advance notice. The provisions in this Section govern the amount of compensation, if any, to be provided to Executive upon termination of employment and do not alter this at-will status.</w:t>
      </w:r>
    </w:p>
    <w:p>
      <w:pPr>
        <w:spacing w:after="0" w:line="143"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6.1 Termination without Cause or for Good Reason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8" w:right="200" w:firstLine="1400"/>
        <w:spacing w:after="0" w:line="252" w:lineRule="auto"/>
        <w:tabs>
          <w:tab w:leader="none" w:pos="1623"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without “Cause” (as defined in </w:t>
      </w:r>
      <w:r>
        <w:rPr>
          <w:rFonts w:ascii="Times New Roman" w:cs="Times New Roman" w:eastAsia="Times New Roman" w:hAnsi="Times New Roman"/>
          <w:sz w:val="18"/>
          <w:szCs w:val="18"/>
          <w:b w:val="1"/>
          <w:bCs w:val="1"/>
          <w:color w:val="auto"/>
        </w:rPr>
        <w:t>Section 6.3(b)</w:t>
      </w:r>
      <w:r>
        <w:rPr>
          <w:rFonts w:ascii="Times New Roman" w:cs="Times New Roman" w:eastAsia="Times New Roman" w:hAnsi="Times New Roman"/>
          <w:sz w:val="18"/>
          <w:szCs w:val="18"/>
          <w:color w:val="auto"/>
        </w:rPr>
        <w:t xml:space="preserve"> below)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of this Agreement. A termination pursuant to </w:t>
      </w:r>
      <w:r>
        <w:rPr>
          <w:rFonts w:ascii="Times New Roman" w:cs="Times New Roman" w:eastAsia="Times New Roman" w:hAnsi="Times New Roman"/>
          <w:sz w:val="18"/>
          <w:szCs w:val="18"/>
          <w:b w:val="1"/>
          <w:bCs w:val="1"/>
          <w:color w:val="auto"/>
        </w:rPr>
        <w:t>Section 6.5</w:t>
      </w:r>
      <w:r>
        <w:rPr>
          <w:rFonts w:ascii="Times New Roman" w:cs="Times New Roman" w:eastAsia="Times New Roman" w:hAnsi="Times New Roman"/>
          <w:sz w:val="18"/>
          <w:szCs w:val="18"/>
          <w:color w:val="auto"/>
        </w:rPr>
        <w:t xml:space="preserve"> below is not a termination without “Cause” for purposes of receiving the benefits described in </w:t>
      </w:r>
      <w:r>
        <w:rPr>
          <w:rFonts w:ascii="Times New Roman" w:cs="Times New Roman" w:eastAsia="Times New Roman" w:hAnsi="Times New Roman"/>
          <w:sz w:val="18"/>
          <w:szCs w:val="18"/>
          <w:b w:val="1"/>
          <w:bCs w:val="1"/>
          <w:color w:val="auto"/>
        </w:rPr>
        <w:t xml:space="preserve">Sections 6.1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6.2</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8" w:firstLine="1400"/>
        <w:spacing w:after="0" w:line="251" w:lineRule="auto"/>
        <w:tabs>
          <w:tab w:leader="none" w:pos="1633"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Executive’s employment at any time without Cause or Executive terminates Executive’s employment with the Company for Good Reason and provided that such termination constitutes a “separation from service” (as defined under Treasury Regulation Section 1.409A-1(h), without regard to any alternative definition thereunder,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then Executive shall be entitled to receive the Accrued Obligations (defined below).</w:t>
      </w:r>
    </w:p>
    <w:p>
      <w:pPr>
        <w:spacing w:after="0" w:line="180" w:lineRule="exact"/>
        <w:rPr>
          <w:rFonts w:ascii="Times New Roman" w:cs="Times New Roman" w:eastAsia="Times New Roman" w:hAnsi="Times New Roman"/>
          <w:sz w:val="18"/>
          <w:szCs w:val="18"/>
          <w:color w:val="auto"/>
        </w:rPr>
      </w:pPr>
    </w:p>
    <w:p>
      <w:pPr>
        <w:ind w:left="-8" w:right="20" w:firstLine="1400"/>
        <w:spacing w:after="0" w:line="305" w:lineRule="auto"/>
        <w:tabs>
          <w:tab w:leader="none" w:pos="1623" w:val="left"/>
        </w:tabs>
        <w:numPr>
          <w:ilvl w:val="1"/>
          <w:numId w:val="4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w:t>
      </w:r>
      <w:r>
        <w:rPr>
          <w:rFonts w:ascii="Times New Roman" w:cs="Times New Roman" w:eastAsia="Times New Roman" w:hAnsi="Times New Roman"/>
          <w:sz w:val="16"/>
          <w:szCs w:val="16"/>
          <w:b w:val="1"/>
          <w:bCs w:val="1"/>
          <w:i w:val="1"/>
          <w:iCs w:val="1"/>
          <w:color w:val="auto"/>
        </w:rPr>
        <w:t>Accrued Obligations</w:t>
      </w:r>
      <w:r>
        <w:rPr>
          <w:rFonts w:ascii="Times New Roman" w:cs="Times New Roman" w:eastAsia="Times New Roman" w:hAnsi="Times New Roman"/>
          <w:sz w:val="16"/>
          <w:szCs w:val="16"/>
          <w:color w:val="auto"/>
        </w:rPr>
        <w:t>” are (i) any unreimbursed business expenses incurred by Executive payable in accordance with the Company’s standard expense reimbursement policies, and (ii) benefits owed to Executive under any qualified retirement plan or health and welfare benefit plan in which Executive was a participant in accordance with applicable law and the provisions of such plan.</w:t>
      </w:r>
    </w:p>
    <w:p>
      <w:pPr>
        <w:spacing w:after="0" w:line="140" w:lineRule="exact"/>
        <w:rPr>
          <w:rFonts w:ascii="Times New Roman" w:cs="Times New Roman" w:eastAsia="Times New Roman" w:hAnsi="Times New Roman"/>
          <w:sz w:val="16"/>
          <w:szCs w:val="16"/>
          <w:color w:val="auto"/>
        </w:rPr>
      </w:pPr>
    </w:p>
    <w:p>
      <w:pPr>
        <w:ind w:left="-8" w:right="160" w:firstLine="1400"/>
        <w:spacing w:after="0" w:line="270" w:lineRule="auto"/>
        <w:tabs>
          <w:tab w:leader="none" w:pos="1633"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Severance Benefits provided to Executive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are in lieu of, and not in addition to, any benefits to which Executive may otherwise be entitled under any Company severance plan, policy or program.</w:t>
      </w:r>
    </w:p>
    <w:p>
      <w:pPr>
        <w:spacing w:after="0" w:line="166" w:lineRule="exact"/>
        <w:rPr>
          <w:rFonts w:ascii="Times New Roman" w:cs="Times New Roman" w:eastAsia="Times New Roman" w:hAnsi="Times New Roman"/>
          <w:sz w:val="18"/>
          <w:szCs w:val="18"/>
          <w:color w:val="auto"/>
        </w:rPr>
      </w:pPr>
    </w:p>
    <w:p>
      <w:pPr>
        <w:jc w:val="both"/>
        <w:ind w:left="-8" w:right="20" w:firstLine="1400"/>
        <w:spacing w:after="0" w:line="255" w:lineRule="auto"/>
        <w:tabs>
          <w:tab w:leader="none" w:pos="1623"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damages caused by the termination of Executive’s employment without Cause would be difficult to ascertain; therefore, the Severance Benefits for which Executive is eligible pursuant to </w:t>
      </w:r>
      <w:r>
        <w:rPr>
          <w:rFonts w:ascii="Times New Roman" w:cs="Times New Roman" w:eastAsia="Times New Roman" w:hAnsi="Times New Roman"/>
          <w:sz w:val="18"/>
          <w:szCs w:val="18"/>
          <w:b w:val="1"/>
          <w:bCs w:val="1"/>
          <w:color w:val="auto"/>
        </w:rPr>
        <w:t>Section 6.1(b)</w:t>
      </w:r>
      <w:r>
        <w:rPr>
          <w:rFonts w:ascii="Times New Roman" w:cs="Times New Roman" w:eastAsia="Times New Roman" w:hAnsi="Times New Roman"/>
          <w:sz w:val="18"/>
          <w:szCs w:val="18"/>
          <w:color w:val="auto"/>
        </w:rPr>
        <w:t xml:space="preserve"> above in exchange for the Release is agreed to by the parties as liquidated damages, to serve as full compensation, and not a penalty.</w:t>
      </w:r>
    </w:p>
    <w:p>
      <w:pPr>
        <w:spacing w:after="0" w:line="176" w:lineRule="exact"/>
        <w:rPr>
          <w:rFonts w:ascii="Times New Roman" w:cs="Times New Roman" w:eastAsia="Times New Roman" w:hAnsi="Times New Roman"/>
          <w:sz w:val="18"/>
          <w:szCs w:val="18"/>
          <w:color w:val="auto"/>
        </w:rPr>
      </w:pPr>
    </w:p>
    <w:p>
      <w:pPr>
        <w:ind w:left="-8" w:right="20" w:firstLine="1400"/>
        <w:spacing w:after="0" w:line="281" w:lineRule="auto"/>
        <w:tabs>
          <w:tab w:leader="none" w:pos="1604" w:val="left"/>
        </w:tabs>
        <w:numPr>
          <w:ilvl w:val="1"/>
          <w:numId w:val="4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w:t>
      </w:r>
      <w:r>
        <w:rPr>
          <w:rFonts w:ascii="Times New Roman" w:cs="Times New Roman" w:eastAsia="Times New Roman" w:hAnsi="Times New Roman"/>
          <w:sz w:val="16"/>
          <w:szCs w:val="16"/>
          <w:b w:val="1"/>
          <w:bCs w:val="1"/>
          <w:i w:val="1"/>
          <w:iCs w:val="1"/>
          <w:color w:val="auto"/>
        </w:rPr>
        <w:t>Good Reason</w:t>
      </w:r>
      <w:r>
        <w:rPr>
          <w:rFonts w:ascii="Times New Roman" w:cs="Times New Roman" w:eastAsia="Times New Roman" w:hAnsi="Times New Roman"/>
          <w:sz w:val="16"/>
          <w:szCs w:val="16"/>
          <w:color w:val="auto"/>
        </w:rPr>
        <w:t xml:space="preserve">” shall mean the occurrence of any of the following events without Executive’s consent: (i) a material reduction in Executive’s Base Salary of at least 25%; (ii) a material breach of this Agreement by the Company; or (iii) a material reduction in the Executive’s duties, authority and responsibilities relative to the Executive’s duties, authority, and responsibilities in effect immediately prior to such reduction;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any such termination by Executive shall only be deemed for Good Reason pursuant to this definition if:</w:t>
      </w:r>
    </w:p>
    <w:p>
      <w:pPr>
        <w:ind w:left="-8" w:right="120" w:firstLine="8"/>
        <w:spacing w:after="0" w:line="244" w:lineRule="auto"/>
        <w:tabs>
          <w:tab w:leader="none" w:pos="24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gives the Company written notice of his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w:t>
      </w:r>
      <w:r>
        <w:rPr>
          <w:rFonts w:ascii="Times New Roman" w:cs="Times New Roman" w:eastAsia="Times New Roman" w:hAnsi="Times New Roman"/>
          <w:sz w:val="18"/>
          <w:szCs w:val="18"/>
          <w:b w:val="1"/>
          <w:bCs w:val="1"/>
          <w:i w:val="1"/>
          <w:iCs w:val="1"/>
          <w:color w:val="auto"/>
        </w:rPr>
        <w:t>Cure Period</w:t>
      </w:r>
      <w:r>
        <w:rPr>
          <w:rFonts w:ascii="Times New Roman" w:cs="Times New Roman" w:eastAsia="Times New Roman" w:hAnsi="Times New Roman"/>
          <w:sz w:val="18"/>
          <w:szCs w:val="18"/>
          <w:color w:val="auto"/>
        </w:rPr>
        <w:t>”); and (3) Executive voluntarily terminates Executive’s employment within thirty (30) days following the end of the Cure Period.</w:t>
      </w:r>
    </w:p>
    <w:p>
      <w:pPr>
        <w:spacing w:after="0" w:line="125"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52"/>
          </w:cols>
          <w:pgMar w:left="588" w:top="263" w:right="659" w:bottom="1440" w:gutter="0" w:footer="0" w:header="0"/>
        </w:sectPr>
      </w:pPr>
    </w:p>
    <w:bookmarkStart w:id="540" w:name="page541"/>
    <w:bookmarkEnd w:id="540"/>
    <w:p>
      <w:pPr>
        <w:ind w:left="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6.2 Effect upon a Change in Control</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20" w:right="120" w:firstLine="1400"/>
        <w:spacing w:after="0" w:line="267" w:lineRule="auto"/>
        <w:tabs>
          <w:tab w:leader="none" w:pos="1611"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effects a Change of Control (as defined in the Company’s Amended and Restated 2015 Stock Plan, as such plan may be amended from time to time (the “</w:t>
      </w:r>
      <w:r>
        <w:rPr>
          <w:rFonts w:ascii="Times New Roman" w:cs="Times New Roman" w:eastAsia="Times New Roman" w:hAnsi="Times New Roman"/>
          <w:sz w:val="18"/>
          <w:szCs w:val="18"/>
          <w:b w:val="1"/>
          <w:bCs w:val="1"/>
          <w:i w:val="1"/>
          <w:iCs w:val="1"/>
          <w:color w:val="auto"/>
        </w:rPr>
        <w:t>2015 Plan</w:t>
      </w:r>
      <w:r>
        <w:rPr>
          <w:rFonts w:ascii="Times New Roman" w:cs="Times New Roman" w:eastAsia="Times New Roman" w:hAnsi="Times New Roman"/>
          <w:sz w:val="18"/>
          <w:szCs w:val="18"/>
          <w:color w:val="auto"/>
        </w:rPr>
        <w:t>”)), the Company will provide the following “</w:t>
      </w:r>
      <w:r>
        <w:rPr>
          <w:rFonts w:ascii="Times New Roman" w:cs="Times New Roman" w:eastAsia="Times New Roman" w:hAnsi="Times New Roman"/>
          <w:sz w:val="18"/>
          <w:szCs w:val="18"/>
          <w:b w:val="1"/>
          <w:bCs w:val="1"/>
          <w:i w:val="1"/>
          <w:iCs w:val="1"/>
          <w:color w:val="auto"/>
        </w:rPr>
        <w:t>Change in Control Severance Benefits</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20" w:firstLine="1936"/>
        <w:spacing w:after="0" w:line="249" w:lineRule="auto"/>
        <w:tabs>
          <w:tab w:leader="none" w:pos="2117"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equity awards held by Executive that were issued pursuant to the Company’s 2015 Plan or any successor plan and that remain outstanding and are unvested as of the date of such termination will immediately vest in full. For the avoidance of doubt, if such termination occurs prior to the effective date of a Change in Control, any such equity awards will remain outstanding following the date of such termination as necessary to give effect to the potential vesting acceleration set forth in this </w:t>
      </w:r>
      <w:r>
        <w:rPr>
          <w:rFonts w:ascii="Times New Roman" w:cs="Times New Roman" w:eastAsia="Times New Roman" w:hAnsi="Times New Roman"/>
          <w:sz w:val="18"/>
          <w:szCs w:val="18"/>
          <w:b w:val="1"/>
          <w:bCs w:val="1"/>
          <w:color w:val="auto"/>
        </w:rPr>
        <w:t>Section 6.2(a)(iv)</w:t>
      </w:r>
      <w:r>
        <w:rPr>
          <w:rFonts w:ascii="Times New Roman" w:cs="Times New Roman" w:eastAsia="Times New Roman" w:hAnsi="Times New Roman"/>
          <w:sz w:val="18"/>
          <w:szCs w:val="18"/>
          <w:color w:val="auto"/>
        </w:rPr>
        <w:t>, which would occur contingent upon the consummation of a Change in Control.</w:t>
      </w:r>
    </w:p>
    <w:p>
      <w:pPr>
        <w:spacing w:after="0" w:line="18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6.3 Termination by the Company for Cause.</w:t>
      </w:r>
    </w:p>
    <w:p>
      <w:pPr>
        <w:spacing w:after="0" w:line="215" w:lineRule="exact"/>
        <w:rPr>
          <w:sz w:val="20"/>
          <w:szCs w:val="20"/>
          <w:color w:val="auto"/>
        </w:rPr>
      </w:pPr>
    </w:p>
    <w:p>
      <w:pPr>
        <w:ind w:left="-20" w:firstLine="1400"/>
        <w:spacing w:after="0" w:line="251" w:lineRule="auto"/>
        <w:tabs>
          <w:tab w:leader="none" w:pos="1611"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for Cause by giving notice as described in</w:t>
      </w:r>
      <w:r>
        <w:rPr>
          <w:rFonts w:ascii="Times New Roman" w:cs="Times New Roman" w:eastAsia="Times New Roman" w:hAnsi="Times New Roman"/>
          <w:sz w:val="18"/>
          <w:szCs w:val="18"/>
          <w:b w:val="1"/>
          <w:bCs w:val="1"/>
          <w:color w:val="auto"/>
        </w:rPr>
        <w:t xml:space="preserve"> Section 7.1 </w:t>
      </w:r>
      <w:r>
        <w:rPr>
          <w:rFonts w:ascii="Times New Roman" w:cs="Times New Roman" w:eastAsia="Times New Roman" w:hAnsi="Times New Roman"/>
          <w:sz w:val="18"/>
          <w:szCs w:val="18"/>
          <w:color w:val="auto"/>
        </w:rPr>
        <w:t>of this Agreement. In the event Executive’s employment is terminated at any time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0" w:lineRule="exact"/>
        <w:rPr>
          <w:rFonts w:ascii="Times New Roman" w:cs="Times New Roman" w:eastAsia="Times New Roman" w:hAnsi="Times New Roman"/>
          <w:sz w:val="18"/>
          <w:szCs w:val="18"/>
          <w:color w:val="auto"/>
        </w:rPr>
      </w:pPr>
    </w:p>
    <w:p>
      <w:pPr>
        <w:ind w:left="-20" w:right="100" w:firstLine="1400"/>
        <w:spacing w:after="0" w:line="289" w:lineRule="auto"/>
        <w:tabs>
          <w:tab w:leader="none" w:pos="1620" w:val="left"/>
        </w:tabs>
        <w:numPr>
          <w:ilvl w:val="0"/>
          <w:numId w:val="4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“Cause” </w:t>
      </w:r>
      <w:r>
        <w:rPr>
          <w:rFonts w:ascii="Times New Roman" w:cs="Times New Roman" w:eastAsia="Times New Roman" w:hAnsi="Times New Roman"/>
          <w:sz w:val="16"/>
          <w:szCs w:val="16"/>
          <w:color w:val="auto"/>
        </w:rPr>
        <w:t>for termination shall mean that the Company has determined in its sole discretion that Executive has engaged in any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following: (i) any act constituting dishonesty, fraud, falsification of any documents or records, or immoral or disreputable conduct; (iii) any conduct which constitutes a felony or other criminal act involving corruption, misappropriation, or moral turpitude, or otherwise impairs your ability to perform your duties with the Company, under applicable law; (iv) material violation of any Company policy or any act of misconduct (including if Executive acts in a manner expected to have a material detrimental effect on the Company’s reputation or business); (v) breach of fiduciary duty.</w:t>
      </w:r>
    </w:p>
    <w:p>
      <w:pPr>
        <w:spacing w:after="0" w:line="15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6.4 Resignation by Executive</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20" w:right="240" w:firstLine="1400"/>
        <w:spacing w:after="0" w:line="270" w:lineRule="auto"/>
        <w:tabs>
          <w:tab w:leader="none" w:pos="1611"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may resign from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auto"/>
        </w:rPr>
      </w:pPr>
    </w:p>
    <w:p>
      <w:pPr>
        <w:ind w:left="-20" w:right="60" w:firstLine="1400"/>
        <w:spacing w:after="0" w:line="251" w:lineRule="auto"/>
        <w:tabs>
          <w:tab w:leader="none" w:pos="162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Executive resigns from Executive’s employment (as both Chairman and Chief Executive Officer) with the Company for any reason other than Good Reason in accordance with </w:t>
      </w:r>
      <w:r>
        <w:rPr>
          <w:rFonts w:ascii="Times New Roman" w:cs="Times New Roman" w:eastAsia="Times New Roman" w:hAnsi="Times New Roman"/>
          <w:sz w:val="18"/>
          <w:szCs w:val="18"/>
          <w:b w:val="1"/>
          <w:bCs w:val="1"/>
          <w:color w:val="auto"/>
        </w:rPr>
        <w:t>Sections 6.1 or 6.2</w:t>
      </w:r>
      <w:r>
        <w:rPr>
          <w:rFonts w:ascii="Times New Roman" w:cs="Times New Roman" w:eastAsia="Times New Roman" w:hAnsi="Times New Roman"/>
          <w:sz w:val="18"/>
          <w:szCs w:val="18"/>
          <w:color w:val="auto"/>
        </w:rPr>
        <w:t>,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00"/>
          </w:cols>
          <w:pgMar w:left="600" w:top="263" w:right="599" w:bottom="1440" w:gutter="0" w:footer="0" w:header="0"/>
        </w:sectPr>
      </w:pPr>
    </w:p>
    <w:bookmarkStart w:id="541" w:name="page542"/>
    <w:bookmarkEnd w:id="541"/>
    <w:p>
      <w:pPr>
        <w:ind w:left="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8040" cy="36830"/>
                    </a:xfrm>
                    <a:prstGeom prst="rect">
                      <a:avLst/>
                    </a:prstGeom>
                    <a:noFill/>
                  </pic:spPr>
                </pic:pic>
              </a:graphicData>
            </a:graphic>
          </wp:anchor>
        </w:drawing>
        <w:t>6.5 Termination by Virtue of Death or Disability of Executive</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20" w:right="60" w:firstLine="1400"/>
        <w:spacing w:after="0" w:line="255" w:lineRule="auto"/>
        <w:tabs>
          <w:tab w:leader="none" w:pos="1611"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Executive’s death while employed pursuant to this Agreement, all obligations of the parties hereunder shall terminate immediately,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and the Company shall, pursuant to the Company’s standard payroll policies, pay to Executive’s legal representatives all Accrued Obligations, and all unvested equity shall immediately vest upon such event.</w:t>
      </w:r>
    </w:p>
    <w:p>
      <w:pPr>
        <w:spacing w:after="0" w:line="180" w:lineRule="exact"/>
        <w:rPr>
          <w:rFonts w:ascii="Times New Roman" w:cs="Times New Roman" w:eastAsia="Times New Roman" w:hAnsi="Times New Roman"/>
          <w:sz w:val="18"/>
          <w:szCs w:val="18"/>
          <w:color w:val="auto"/>
        </w:rPr>
      </w:pPr>
    </w:p>
    <w:p>
      <w:pPr>
        <w:ind w:left="-20" w:firstLine="1400"/>
        <w:spacing w:after="0" w:line="246" w:lineRule="auto"/>
        <w:tabs>
          <w:tab w:leader="none" w:pos="162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state and federal law, the Company shall at all times have the right, upon written notice to Executive, and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to terminate this Agreement based on Executive’s Disability. Termination by the Company of Executive’s employment based on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termination because Executive is unable due to a physical or mental condition to perform the essential functions of his position with or without reasonable accommodation for 180 days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Severance Benefits, Change in Control Severance Benefits, or any other severance compensation or benefit, except that, pursuant to the Company’s standard payroll policies, the Company shall pay to Executive the Accrued Obligations.</w:t>
      </w:r>
    </w:p>
    <w:p>
      <w:pPr>
        <w:spacing w:after="0" w:line="18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6.6 Notice; Effective Date of Termination.</w:t>
      </w:r>
    </w:p>
    <w:p>
      <w:pPr>
        <w:spacing w:after="0" w:line="215" w:lineRule="exact"/>
        <w:rPr>
          <w:sz w:val="20"/>
          <w:szCs w:val="20"/>
          <w:color w:val="auto"/>
        </w:rPr>
      </w:pPr>
    </w:p>
    <w:p>
      <w:pPr>
        <w:ind w:left="1620" w:hanging="240"/>
        <w:spacing w:after="0"/>
        <w:tabs>
          <w:tab w:leader="none" w:pos="162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Executive’s employment pursuant to this Agreement shall be effective on the earliest of:</w:t>
      </w:r>
    </w:p>
    <w:p>
      <w:pPr>
        <w:spacing w:after="0" w:line="108" w:lineRule="exact"/>
        <w:rPr>
          <w:rFonts w:ascii="Times New Roman" w:cs="Times New Roman" w:eastAsia="Times New Roman" w:hAnsi="Times New Roman"/>
          <w:sz w:val="18"/>
          <w:szCs w:val="18"/>
          <w:color w:val="auto"/>
        </w:rPr>
      </w:pPr>
    </w:p>
    <w:p>
      <w:pPr>
        <w:ind w:left="-20" w:right="460" w:firstLine="1936"/>
        <w:spacing w:after="0" w:line="255" w:lineRule="auto"/>
        <w:tabs>
          <w:tab w:leader="none" w:pos="2117"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Company gives notice to Executive of Executive’s termination, with or without Cause, unless pursuant to Section 6.3(b)(vi) in which case ten (10) days after notice if not cured or unless the Company specifies a later date, in which case, termination shall be effective as of such later date;</w:t>
      </w:r>
    </w:p>
    <w:p>
      <w:pPr>
        <w:spacing w:after="0" w:line="180" w:lineRule="exact"/>
        <w:rPr>
          <w:rFonts w:ascii="Times New Roman" w:cs="Times New Roman" w:eastAsia="Times New Roman" w:hAnsi="Times New Roman"/>
          <w:sz w:val="18"/>
          <w:szCs w:val="18"/>
          <w:color w:val="auto"/>
        </w:rPr>
      </w:pPr>
    </w:p>
    <w:p>
      <w:pPr>
        <w:ind w:left="2180" w:hanging="264"/>
        <w:spacing w:after="0"/>
        <w:tabs>
          <w:tab w:leader="none" w:pos="2180"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Executive’s death;</w:t>
      </w:r>
    </w:p>
    <w:p>
      <w:pPr>
        <w:spacing w:after="0" w:line="213" w:lineRule="exact"/>
        <w:rPr>
          <w:rFonts w:ascii="Times New Roman" w:cs="Times New Roman" w:eastAsia="Times New Roman" w:hAnsi="Times New Roman"/>
          <w:sz w:val="18"/>
          <w:szCs w:val="18"/>
          <w:color w:val="auto"/>
        </w:rPr>
      </w:pPr>
    </w:p>
    <w:p>
      <w:pPr>
        <w:ind w:left="-20" w:right="140" w:firstLine="1936"/>
        <w:spacing w:after="0" w:line="255" w:lineRule="auto"/>
        <w:tabs>
          <w:tab w:leader="none" w:pos="2214"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Company gives notice to Executive of Executive’s termination on account of Executive’s Disability, unless the Company specifies a later date, in which case, termination shall be effective as of such later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Executive has not returned to the full time performance of Executive’s duties prior to such date;</w:t>
      </w:r>
    </w:p>
    <w:p>
      <w:pPr>
        <w:spacing w:after="0" w:line="178" w:lineRule="exact"/>
        <w:rPr>
          <w:rFonts w:ascii="Times New Roman" w:cs="Times New Roman" w:eastAsia="Times New Roman" w:hAnsi="Times New Roman"/>
          <w:sz w:val="18"/>
          <w:szCs w:val="18"/>
          <w:color w:val="auto"/>
        </w:rPr>
      </w:pPr>
    </w:p>
    <w:p>
      <w:pPr>
        <w:ind w:left="-20" w:right="160" w:firstLine="1936"/>
        <w:spacing w:after="0" w:line="256" w:lineRule="auto"/>
        <w:tabs>
          <w:tab w:leader="none" w:pos="2205"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Executive gives written notice to the Company of Executive’s resignation,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set a termination date at any time between the date of notice and the date of resignation, in which case the Executive’s resignation shall be effective as of such other date. Executive will receive compensation through any required notice period; or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80"/>
          </w:cols>
          <w:pgMar w:left="600" w:top="263" w:right="619" w:bottom="1440" w:gutter="0" w:footer="0" w:header="0"/>
        </w:sectPr>
      </w:pPr>
    </w:p>
    <w:bookmarkStart w:id="542" w:name="page543"/>
    <w:bookmarkEnd w:id="542"/>
    <w:p>
      <w:pPr>
        <w:ind w:left="2180" w:hanging="244"/>
        <w:spacing w:after="0"/>
        <w:tabs>
          <w:tab w:leader="none" w:pos="2180" w:val="left"/>
        </w:tabs>
        <w:numPr>
          <w:ilvl w:val="1"/>
          <w:numId w:val="4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for a termination for Good Reason, immediately upon Executive’s full satisfaction of the requirements of </w:t>
      </w:r>
      <w:r>
        <w:rPr>
          <w:rFonts w:ascii="Times New Roman" w:cs="Times New Roman" w:eastAsia="Times New Roman" w:hAnsi="Times New Roman"/>
          <w:sz w:val="16"/>
          <w:szCs w:val="16"/>
          <w:b w:val="1"/>
          <w:bCs w:val="1"/>
          <w:color w:val="auto"/>
        </w:rPr>
        <w:t>Section 6.1(g)</w:t>
      </w:r>
      <w:r>
        <w:rPr>
          <w:rFonts w:ascii="Times New Roman" w:cs="Times New Roman" w:eastAsia="Times New Roman" w:hAnsi="Times New Roman"/>
          <w:sz w:val="16"/>
          <w:szCs w:val="16"/>
          <w:color w:val="auto"/>
        </w:rPr>
        <w:t>.</w:t>
      </w:r>
    </w:p>
    <w:p>
      <w:pPr>
        <w:spacing w:after="0" w:line="238" w:lineRule="exact"/>
        <w:rPr>
          <w:rFonts w:ascii="Times New Roman" w:cs="Times New Roman" w:eastAsia="Times New Roman" w:hAnsi="Times New Roman"/>
          <w:sz w:val="16"/>
          <w:szCs w:val="16"/>
          <w:color w:val="auto"/>
        </w:rPr>
      </w:pPr>
    </w:p>
    <w:p>
      <w:pPr>
        <w:jc w:val="both"/>
        <w:ind w:right="160" w:firstLine="1400"/>
        <w:spacing w:after="0" w:line="251" w:lineRule="auto"/>
        <w:tabs>
          <w:tab w:leader="none" w:pos="164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notice of a termination under subsections (a)(i) or (iii) is given orally, at the other party’s request, the party giving notice must provide written confirmation of such notice within five (5) business days of the request in compliance with the requirement of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below. In the event of a termination for Cause, written confirmation shall specify the subsection(s) of the definition of Cause relied on to support the decision to terminate.</w:t>
      </w:r>
    </w:p>
    <w:p>
      <w:pPr>
        <w:spacing w:after="0" w:line="182" w:lineRule="exact"/>
        <w:rPr>
          <w:sz w:val="20"/>
          <w:szCs w:val="20"/>
          <w:color w:val="auto"/>
        </w:rPr>
      </w:pPr>
    </w:p>
    <w:p>
      <w:pPr>
        <w:ind w:firstLine="964"/>
        <w:spacing w:after="0" w:line="277" w:lineRule="auto"/>
        <w:rPr>
          <w:sz w:val="20"/>
          <w:szCs w:val="20"/>
          <w:color w:val="auto"/>
        </w:rPr>
      </w:pPr>
      <w:r>
        <w:rPr>
          <w:rFonts w:ascii="Times New Roman" w:cs="Times New Roman" w:eastAsia="Times New Roman" w:hAnsi="Times New Roman"/>
          <w:sz w:val="16"/>
          <w:szCs w:val="16"/>
          <w:b w:val="1"/>
          <w:bCs w:val="1"/>
          <w:color w:val="auto"/>
        </w:rPr>
        <w:t>6.7 Application of Section 409A</w:t>
      </w:r>
      <w:r>
        <w:rPr>
          <w:rFonts w:ascii="Times New Roman" w:cs="Times New Roman" w:eastAsia="Times New Roman" w:hAnsi="Times New Roman"/>
          <w:sz w:val="16"/>
          <w:szCs w:val="16"/>
          <w:color w:val="auto"/>
        </w:rPr>
        <w:t>. It is intended that all of the severance payments payable under this Agreement satisfy, to the greatest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extent possible, the exemptions from the application of Section 409A of the Code and the regulations and other guidance thereunder and any state law of similar effect (collectively, “</w:t>
      </w:r>
      <w:r>
        <w:rPr>
          <w:rFonts w:ascii="Times New Roman" w:cs="Times New Roman" w:eastAsia="Times New Roman" w:hAnsi="Times New Roman"/>
          <w:sz w:val="16"/>
          <w:szCs w:val="16"/>
          <w:b w:val="1"/>
          <w:bCs w:val="1"/>
          <w:i w:val="1"/>
          <w:iCs w:val="1"/>
          <w:color w:val="auto"/>
        </w:rPr>
        <w:t>Section 409A</w:t>
      </w:r>
      <w:r>
        <w:rPr>
          <w:rFonts w:ascii="Times New Roman" w:cs="Times New Roman" w:eastAsia="Times New Roman" w:hAnsi="Times New Roman"/>
          <w:sz w:val="16"/>
          <w:szCs w:val="16"/>
          <w:color w:val="auto"/>
        </w:rPr>
        <w:t>”)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will be made under this Agreement unless Executive’s termination of employment constitutes a “separation from service” (as defined under Treasury Regulation Section 1.409A-1(h)). For purposes of Section 409A (including, without limitation, for purposes of Treasury Regulations</w:t>
      </w:r>
    </w:p>
    <w:p>
      <w:pPr>
        <w:spacing w:after="0" w:line="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If the Company determines that the severance benefits provided under this Agreement constitutes “deferred compensation” under 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(such earlier date, the “</w:t>
      </w:r>
      <w:r>
        <w:rPr>
          <w:rFonts w:ascii="Times New Roman" w:cs="Times New Roman" w:eastAsia="Times New Roman" w:hAnsi="Times New Roman"/>
          <w:sz w:val="16"/>
          <w:szCs w:val="16"/>
          <w:b w:val="1"/>
          <w:bCs w:val="1"/>
          <w:i w:val="1"/>
          <w:iCs w:val="1"/>
          <w:color w:val="auto"/>
        </w:rPr>
        <w:t>Delayed Initial Payment Date</w:t>
      </w:r>
      <w:r>
        <w:rPr>
          <w:rFonts w:ascii="Times New Roman" w:cs="Times New Roman" w:eastAsia="Times New Roman" w:hAnsi="Times New Roman"/>
          <w:sz w:val="16"/>
          <w:szCs w:val="16"/>
          <w:color w:val="auto"/>
        </w:rPr>
        <w:t>”), the Company will (i) pay to Executive a lump sum amount equal to the sum of the severance benefits that Executive would otherwise have received through the Delayed Initial Payment Date if the commencement of the payment of the severance benefits had not been delayed pursuant to this Section 6.8 and</w:t>
      </w:r>
    </w:p>
    <w:p>
      <w:pPr>
        <w:jc w:val="both"/>
        <w:ind w:right="120" w:firstLine="8"/>
        <w:spacing w:after="0" w:line="285" w:lineRule="auto"/>
        <w:tabs>
          <w:tab w:leader="none" w:pos="258" w:val="left"/>
        </w:tabs>
        <w:numPr>
          <w:ilvl w:val="0"/>
          <w:numId w:val="4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 paying the balance of the severance benefits in accordance with the applicable payment schedule set forth in Section 6. No interest shall be due on any amounts deferred pursuant to this Section 6.8. To the extent that any Severance Benefits are deferred compensation under Section 409A of the Code, and are not otherwise exempt from the application of Section 409A, then, if the period during which Executive may consider and sign the Release spans two calendar years, the payment of any such Severance Benefit will not be made or begin until the later calendar year.</w:t>
      </w:r>
    </w:p>
    <w:p>
      <w:pPr>
        <w:spacing w:after="0" w:line="156" w:lineRule="exact"/>
        <w:rPr>
          <w:sz w:val="20"/>
          <w:szCs w:val="20"/>
          <w:color w:val="auto"/>
        </w:rPr>
      </w:pPr>
    </w:p>
    <w:p>
      <w:pPr>
        <w:ind w:right="4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6.8 Section 280G. </w:t>
      </w:r>
      <w:r>
        <w:rPr>
          <w:rFonts w:ascii="Times New Roman" w:cs="Times New Roman" w:eastAsia="Times New Roman" w:hAnsi="Times New Roman"/>
          <w:sz w:val="18"/>
          <w:szCs w:val="18"/>
          <w:color w:val="auto"/>
        </w:rPr>
        <w:t>Notwithstanding any other provision of this Agreement to the contrary, if payments made or benefits provided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Agreement or otherwise from the Company or any person or entity are considered “parachute payments” under Section 280G of the Code, then such parachute payments will be limited to the greatest amount that may be paid to</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00"/>
          </w:cols>
          <w:pgMar w:left="580" w:top="263" w:right="619" w:bottom="1440" w:gutter="0" w:footer="0" w:header="0"/>
        </w:sectPr>
      </w:pPr>
    </w:p>
    <w:bookmarkStart w:id="543" w:name="page544"/>
    <w:bookmarkEnd w:id="543"/>
    <w:p>
      <w:pPr>
        <w:ind w:right="80"/>
        <w:spacing w:after="0" w:line="27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Executive under Section 280G of the Code without causing any loss of deduction to the Company Group under such section, but only if, by reason of such reduction, the net after tax benefit to Executive will exceed the net after tax benefit if such reduction were not made. “</w:t>
      </w:r>
      <w:r>
        <w:rPr>
          <w:rFonts w:ascii="Times New Roman" w:cs="Times New Roman" w:eastAsia="Times New Roman" w:hAnsi="Times New Roman"/>
          <w:sz w:val="16"/>
          <w:szCs w:val="16"/>
          <w:b w:val="1"/>
          <w:bCs w:val="1"/>
          <w:i w:val="1"/>
          <w:iCs w:val="1"/>
          <w:color w:val="auto"/>
        </w:rPr>
        <w:t>Net after tax benefit</w:t>
      </w:r>
      <w:r>
        <w:rPr>
          <w:rFonts w:ascii="Times New Roman" w:cs="Times New Roman" w:eastAsia="Times New Roman" w:hAnsi="Times New Roman"/>
          <w:sz w:val="16"/>
          <w:szCs w:val="16"/>
          <w:color w:val="auto"/>
        </w:rPr>
        <w:t>” for purposes of this Agreement will mean the sum of (i) the total amounts payable to the Executive under this Agreement, plus (ii) all other payments and benefits which the Executive receives or then is entitled to receive from the Company or otherwise that would constitute a “parachute payment” within the meaning of Section 280G of the Code, less (iii) the amount of federal and state income taxes payable with respect to the foregoing calculated at the maximum marginal income tax rate for each year in which the foregoing will be paid to Executive (based upon the rate in effect for such year as set forth in the Code at the time of termination of Executive’s employment), less (iv) the amount of excise taxes imposed with respect to the payments and benefits described in (i) and (ii) above by Section 4999 of the Code. The determination as to whether and to what extent payments are required to be reduced in accordance with this Section 6.9 will be made at the Company’s expense by a nationally recognized certified public accounting firm as may be designated by the Company prior to a change in control (the “</w:t>
      </w:r>
      <w:r>
        <w:rPr>
          <w:rFonts w:ascii="Times New Roman" w:cs="Times New Roman" w:eastAsia="Times New Roman" w:hAnsi="Times New Roman"/>
          <w:sz w:val="16"/>
          <w:szCs w:val="16"/>
          <w:b w:val="1"/>
          <w:bCs w:val="1"/>
          <w:i w:val="1"/>
          <w:iCs w:val="1"/>
          <w:color w:val="auto"/>
        </w:rPr>
        <w:t>Accounting Firm</w:t>
      </w:r>
      <w:r>
        <w:rPr>
          <w:rFonts w:ascii="Times New Roman" w:cs="Times New Roman" w:eastAsia="Times New Roman" w:hAnsi="Times New Roman"/>
          <w:sz w:val="16"/>
          <w:szCs w:val="16"/>
          <w:color w:val="auto"/>
        </w:rPr>
        <w:t>”). In the event of any mistaken underpayment or overpayment under this Agreement, as determined by the Accounting Firm, the amount of such underpayment or overpayment will forthwith be paid to Executive or refunded to the Company, as the case may be, with interest at one hundred twenty (120%) of the applicable Federal rate provided for in Section 7872(f)</w:t>
      </w:r>
    </w:p>
    <w:p>
      <w:pPr>
        <w:spacing w:after="0" w:line="186" w:lineRule="exact"/>
        <w:rPr>
          <w:sz w:val="20"/>
          <w:szCs w:val="20"/>
          <w:color w:val="auto"/>
        </w:rPr>
      </w:pPr>
    </w:p>
    <w:p>
      <w:pPr>
        <w:jc w:val="center"/>
        <w:ind w:right="60" w:firstLine="8"/>
        <w:spacing w:after="0" w:line="274" w:lineRule="auto"/>
        <w:tabs>
          <w:tab w:leader="none" w:pos="248"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Code. Any reduction in payments required by this Section 6.9 will occur in the following order: (1) any cash severance, (2) any other cash amount payable to Executive, (3) any benefit valued as a “parachute payment,” (4) the acceleration of vesting of any equity awards that are options, and</w:t>
      </w:r>
    </w:p>
    <w:p>
      <w:pPr>
        <w:ind w:right="20" w:firstLine="8"/>
        <w:spacing w:after="0" w:line="244" w:lineRule="auto"/>
        <w:tabs>
          <w:tab w:leader="none" w:pos="248"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acceleration of vesting of any other equity awards. Within any such category of payments and benefits, a reduction will occur first with respect to amounts that are not “deferred compensation” within the meaning of Section 409A and then with respect to amounts that are. In the event that acceleration of compensation from equity awards is to be reduced, such acceleration of vesting will be canceled, subject to the immediately preceding sentence, in the reverse order of the date of grant.</w:t>
      </w:r>
    </w:p>
    <w:p>
      <w:pPr>
        <w:spacing w:after="0" w:line="18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1"/>
          <w:numId w:val="4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7.1 Notices</w:t>
      </w:r>
      <w:r>
        <w:rPr>
          <w:rFonts w:ascii="Times New Roman" w:cs="Times New Roman" w:eastAsia="Times New Roman" w:hAnsi="Times New Roman"/>
          <w:sz w:val="18"/>
          <w:szCs w:val="18"/>
          <w:color w:val="auto"/>
        </w:rPr>
        <w:t>. Any notices required hereunder to be in writing shall be deemed effectively given: (a) upon personal delivery to the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primary office location and to Executive at either Executive’s address as listed on the Company payroll, or Executive’s Company-issued email address, or at such other address as the Company or Executive may designate by ten (10) days advance written notice to the other.</w:t>
      </w:r>
    </w:p>
    <w:p>
      <w:pPr>
        <w:spacing w:after="0" w:line="189" w:lineRule="exact"/>
        <w:rPr>
          <w:sz w:val="20"/>
          <w:szCs w:val="20"/>
          <w:color w:val="auto"/>
        </w:rPr>
      </w:pPr>
    </w:p>
    <w:p>
      <w:pPr>
        <w:ind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7.2 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580" w:top="265" w:right="599" w:bottom="1440" w:gutter="0" w:footer="0" w:header="0"/>
        </w:sectPr>
      </w:pPr>
    </w:p>
    <w:bookmarkStart w:id="544" w:name="page545"/>
    <w:bookmarkEnd w:id="544"/>
    <w:p>
      <w:pPr>
        <w:ind w:right="10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7.3 Survival</w:t>
      </w:r>
      <w:r>
        <w:rPr>
          <w:rFonts w:ascii="Times New Roman" w:cs="Times New Roman" w:eastAsia="Times New Roman" w:hAnsi="Times New Roman"/>
          <w:sz w:val="18"/>
          <w:szCs w:val="18"/>
          <w:color w:val="auto"/>
        </w:rPr>
        <w:t>. Provisions of this Agreement which by their terms must survive the termination of this Agreement in order to effectuate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intent of the parties will survive any such termination for such period as may be appropriate under the circumstances.</w:t>
      </w:r>
    </w:p>
    <w:p>
      <w:pPr>
        <w:spacing w:after="0" w:line="164" w:lineRule="exact"/>
        <w:rPr>
          <w:sz w:val="20"/>
          <w:szCs w:val="20"/>
          <w:color w:val="auto"/>
        </w:rPr>
      </w:pPr>
    </w:p>
    <w:p>
      <w:pPr>
        <w:ind w:right="24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7.4 Waiver</w:t>
      </w:r>
      <w:r>
        <w:rPr>
          <w:rFonts w:ascii="Times New Roman" w:cs="Times New Roman" w:eastAsia="Times New Roman" w:hAnsi="Times New Roman"/>
          <w:sz w:val="18"/>
          <w:szCs w:val="18"/>
          <w:color w:val="auto"/>
        </w:rPr>
        <w:t>. If either party should waive any breach of any provisions of this Agreement, it shall not thereby be deemed to have waived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preceding or succeeding breach of the same or any other provision of this Agreement.</w:t>
      </w:r>
    </w:p>
    <w:p>
      <w:pPr>
        <w:spacing w:after="0" w:line="164" w:lineRule="exact"/>
        <w:rPr>
          <w:sz w:val="20"/>
          <w:szCs w:val="20"/>
          <w:color w:val="auto"/>
        </w:rPr>
      </w:pPr>
    </w:p>
    <w:p>
      <w:pPr>
        <w:ind w:right="80" w:firstLine="964"/>
        <w:spacing w:after="0" w:line="282" w:lineRule="auto"/>
        <w:rPr>
          <w:sz w:val="20"/>
          <w:szCs w:val="20"/>
          <w:color w:val="auto"/>
        </w:rPr>
      </w:pPr>
      <w:r>
        <w:rPr>
          <w:rFonts w:ascii="Times New Roman" w:cs="Times New Roman" w:eastAsia="Times New Roman" w:hAnsi="Times New Roman"/>
          <w:sz w:val="16"/>
          <w:szCs w:val="16"/>
          <w:b w:val="1"/>
          <w:bCs w:val="1"/>
          <w:color w:val="auto"/>
        </w:rPr>
        <w:t>7.5 Complete Agreement</w:t>
      </w:r>
      <w:r>
        <w:rPr>
          <w:rFonts w:ascii="Times New Roman" w:cs="Times New Roman" w:eastAsia="Times New Roman" w:hAnsi="Times New Roman"/>
          <w:sz w:val="16"/>
          <w:szCs w:val="16"/>
          <w:color w:val="auto"/>
        </w:rPr>
        <w:t>. This Agreement constitutes the entire agreement between Executive and the Company with regard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 except in writing signed by Executive and an authorized officer of the Company. The parties have entered into a separate Proprietary Information Agreement and have or may enter into separate agreements related to equity.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spacing w:after="0" w:line="161" w:lineRule="exact"/>
        <w:rPr>
          <w:sz w:val="20"/>
          <w:szCs w:val="20"/>
          <w:color w:val="auto"/>
        </w:rPr>
      </w:pPr>
    </w:p>
    <w:p>
      <w:pPr>
        <w:ind w:right="12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7.6 Counterparts</w:t>
      </w:r>
      <w:r>
        <w:rPr>
          <w:rFonts w:ascii="Times New Roman" w:cs="Times New Roman" w:eastAsia="Times New Roman" w:hAnsi="Times New Roman"/>
          <w:sz w:val="18"/>
          <w:szCs w:val="18"/>
          <w:color w:val="auto"/>
        </w:rPr>
        <w:t>. This Agreement may be executed in separate counterparts, any one of which need not contain signatures of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party, but all of which taken together will constitute one and the same Agreement. The parties agree that facsimile and scanned image copies of signatures will suffice as original signatures.</w:t>
      </w:r>
    </w:p>
    <w:p>
      <w:pPr>
        <w:spacing w:after="0" w:line="178" w:lineRule="exact"/>
        <w:rPr>
          <w:sz w:val="20"/>
          <w:szCs w:val="20"/>
          <w:color w:val="auto"/>
        </w:rPr>
      </w:pPr>
    </w:p>
    <w:p>
      <w:pPr>
        <w:ind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7.7 Withholding Taxes. </w:t>
      </w:r>
      <w:r>
        <w:rPr>
          <w:rFonts w:ascii="Times New Roman" w:cs="Times New Roman" w:eastAsia="Times New Roman" w:hAnsi="Times New Roman"/>
          <w:sz w:val="18"/>
          <w:szCs w:val="18"/>
          <w:color w:val="auto"/>
        </w:rPr>
        <w:t>The Company will be entitled to withhold from any payment due to Executive hereunder any amounts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withheld by applicable tax laws or regulations.</w:t>
      </w:r>
    </w:p>
    <w:p>
      <w:pPr>
        <w:spacing w:after="0" w:line="164" w:lineRule="exact"/>
        <w:rPr>
          <w:sz w:val="20"/>
          <w:szCs w:val="20"/>
          <w:color w:val="auto"/>
        </w:rPr>
      </w:pPr>
    </w:p>
    <w:p>
      <w:pPr>
        <w:ind w:right="26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7.8 Headings</w:t>
      </w:r>
      <w:r>
        <w:rPr>
          <w:rFonts w:ascii="Times New Roman" w:cs="Times New Roman" w:eastAsia="Times New Roman" w:hAnsi="Times New Roman"/>
          <w:sz w:val="18"/>
          <w:szCs w:val="18"/>
          <w:color w:val="auto"/>
        </w:rPr>
        <w:t>. The headings of the sections hereof are inserted for convenience only and shall not be deemed to constitute a part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to affect the meaning thereof.</w:t>
      </w:r>
    </w:p>
    <w:p>
      <w:pPr>
        <w:spacing w:after="0" w:line="164" w:lineRule="exact"/>
        <w:rPr>
          <w:sz w:val="20"/>
          <w:szCs w:val="20"/>
          <w:color w:val="auto"/>
        </w:rPr>
      </w:pPr>
    </w:p>
    <w:p>
      <w:pPr>
        <w:ind w:right="80" w:firstLine="964"/>
        <w:spacing w:after="0" w:line="248" w:lineRule="auto"/>
        <w:rPr>
          <w:sz w:val="20"/>
          <w:szCs w:val="20"/>
          <w:color w:val="auto"/>
        </w:rPr>
      </w:pPr>
      <w:r>
        <w:rPr>
          <w:rFonts w:ascii="Times New Roman" w:cs="Times New Roman" w:eastAsia="Times New Roman" w:hAnsi="Times New Roman"/>
          <w:sz w:val="18"/>
          <w:szCs w:val="18"/>
          <w:b w:val="1"/>
          <w:bCs w:val="1"/>
          <w:color w:val="auto"/>
        </w:rPr>
        <w:t>7.9 Successors and Assigns</w:t>
      </w:r>
      <w:r>
        <w:rPr>
          <w:rFonts w:ascii="Times New Roman" w:cs="Times New Roman" w:eastAsia="Times New Roman" w:hAnsi="Times New Roman"/>
          <w:sz w:val="18"/>
          <w:szCs w:val="18"/>
          <w:color w:val="auto"/>
        </w:rPr>
        <w:t>. The Company shall assign this Agreement and its rights and obligations hereunder in whole, but not in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his estate upon his death.</w:t>
      </w:r>
    </w:p>
    <w:p>
      <w:pPr>
        <w:spacing w:after="0" w:line="187" w:lineRule="exact"/>
        <w:rPr>
          <w:sz w:val="20"/>
          <w:szCs w:val="20"/>
          <w:color w:val="auto"/>
        </w:rPr>
      </w:pPr>
    </w:p>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7.10 Choice of Law</w:t>
      </w:r>
      <w:r>
        <w:rPr>
          <w:rFonts w:ascii="Times New Roman" w:cs="Times New Roman" w:eastAsia="Times New Roman" w:hAnsi="Times New Roman"/>
          <w:sz w:val="18"/>
          <w:szCs w:val="18"/>
          <w:color w:val="auto"/>
        </w:rPr>
        <w:t>. All questions concerning the construction, validity and interpretation of this Agreement will be governed by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00"/>
          </w:cols>
          <w:pgMar w:left="580" w:top="263" w:right="619" w:bottom="1440" w:gutter="0" w:footer="0" w:header="0"/>
        </w:sectPr>
      </w:pPr>
    </w:p>
    <w:bookmarkStart w:id="545" w:name="page546"/>
    <w:bookmarkEnd w:id="545"/>
    <w:p>
      <w:pPr>
        <w:ind w:firstLine="964"/>
        <w:spacing w:after="0" w:line="277"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7.11 Dispute Resolution</w:t>
      </w:r>
      <w:r>
        <w:rPr>
          <w:rFonts w:ascii="Times New Roman" w:cs="Times New Roman" w:eastAsia="Times New Roman" w:hAnsi="Times New Roman"/>
          <w:sz w:val="16"/>
          <w:szCs w:val="16"/>
          <w:color w:val="auto"/>
        </w:rPr>
        <w:t>. The parties recognize that litigation in federal or state courts or before federal or state administrative agencies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disputes arising out of the Executive’s employment with the Company or out of this Agreement, or the Executive’s termination of employment or termination of this Agreement, may not be in the best interests of either the Executive or the Company,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this dispute resolution provision shall not apply to any separate agreements between the parties that do not themselves specify arbitration as an exclusive remedy. The location for the arbitration shall be the Chicago, Illinois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at the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w:t>
      </w:r>
      <w:r>
        <w:rPr>
          <w:rFonts w:ascii="Times New Roman" w:cs="Times New Roman" w:eastAsia="Times New Roman" w:hAnsi="Times New Roman"/>
          <w:sz w:val="16"/>
          <w:szCs w:val="16"/>
          <w:b w:val="1"/>
          <w:bCs w:val="1"/>
          <w:color w:val="auto"/>
        </w:rPr>
        <w:t>exclusive remedy</w:t>
      </w:r>
      <w:r>
        <w:rPr>
          <w:rFonts w:ascii="Times New Roman" w:cs="Times New Roman" w:eastAsia="Times New Roman" w:hAnsi="Times New Roman"/>
          <w:sz w:val="16"/>
          <w:szCs w:val="16"/>
          <w:color w:val="auto"/>
        </w:rPr>
        <w:t xml:space="preserve">, and each party expressly waives any right it might have to seek redress in any other forum, except as otherwise expressly provided in this Agreement. By electing arbitration as the means for final settlement of all claims,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parties hereby waive their respective 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SIGNATURES TO FOLLOW ON NEXT PAGE</w:t>
      </w:r>
      <w:r>
        <w:rPr>
          <w:rFonts w:ascii="Times New Roman" w:cs="Times New Roman" w:eastAsia="Times New Roman" w:hAnsi="Times New Roman"/>
          <w:sz w:val="18"/>
          <w:szCs w:val="18"/>
          <w:b w:val="1"/>
          <w:bCs w:val="1"/>
          <w:color w:val="auto"/>
        </w:rPr>
        <w: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00"/>
          </w:cols>
          <w:pgMar w:left="580" w:top="263" w:right="619" w:bottom="1440" w:gutter="0" w:footer="0" w:header="0"/>
        </w:sectPr>
      </w:pPr>
    </w:p>
    <w:bookmarkStart w:id="546" w:name="page547"/>
    <w:bookmarkEnd w:id="54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have duly executed this Agreement as of the date first above written.</w:t>
      </w:r>
    </w:p>
    <w:p>
      <w:pPr>
        <w:spacing w:after="0" w:line="23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Andy Polovin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13335</wp:posOffset>
            </wp:positionV>
            <wp:extent cx="249237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Andy Polovin</w:t>
      </w:r>
    </w:p>
    <w:p>
      <w:pPr>
        <w:spacing w:after="0" w:line="2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Title: General Counsel</w:t>
      </w:r>
    </w:p>
    <w:p>
      <w:pPr>
        <w:spacing w:after="0" w:line="2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13335</wp:posOffset>
            </wp:positionV>
            <wp:extent cx="271780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Eric Lefkofsky</w:t>
      </w:r>
    </w:p>
    <w:p>
      <w:pPr>
        <w:sectPr>
          <w:pgSz w:w="11900" w:h="16838" w:orient="portrait"/>
          <w:cols w:equalWidth="0" w:num="1">
            <w:col w:w="9439"/>
          </w:cols>
          <w:pgMar w:left="1020" w:top="263" w:right="1440" w:bottom="1440" w:gutter="0" w:footer="0" w:header="0"/>
        </w:sectPr>
      </w:pPr>
    </w:p>
    <w:bookmarkStart w:id="547" w:name="page548"/>
    <w:bookmarkEnd w:id="547"/>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11" w:lineRule="exact"/>
        <w:rPr>
          <w:sz w:val="20"/>
          <w:szCs w:val="20"/>
          <w:color w:val="auto"/>
        </w:rPr>
      </w:pPr>
    </w:p>
    <w:p>
      <w:pPr>
        <w:ind w:right="140" w:firstLine="428"/>
        <w:spacing w:after="0" w:line="27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dated as of January 1, 2022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by and between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RIK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HELPS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right="14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desires to employ Executive as Chief Legal and Administrative Officer and provide Executive with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and benefits in return for Executive’s services, and Executive agrees to be employed by the Company in such capacity and to receive the compensation and benefits on the terms and conditions set forth herein; and</w:t>
      </w:r>
    </w:p>
    <w:p>
      <w:pPr>
        <w:spacing w:after="0" w:line="176" w:lineRule="exact"/>
        <w:rPr>
          <w:sz w:val="20"/>
          <w:szCs w:val="20"/>
          <w:color w:val="auto"/>
        </w:rPr>
      </w:pPr>
    </w:p>
    <w:p>
      <w:pPr>
        <w:ind w:right="300" w:firstLine="428"/>
        <w:spacing w:after="0" w:line="25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and Executive desire to enter into this Employment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become effective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Executive’s signature below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in order to memorialize the terms and conditions of Executive’s employment by the Company upon and following the Effective Date.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mutual promises and covenants contained herein, the parties agree to the following:</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 Employment by the Company</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880" w:firstLine="964"/>
        <w:spacing w:after="0" w:line="333" w:lineRule="auto"/>
        <w:rPr>
          <w:sz w:val="20"/>
          <w:szCs w:val="20"/>
          <w:color w:val="auto"/>
        </w:rPr>
      </w:pPr>
      <w:r>
        <w:rPr>
          <w:rFonts w:ascii="Times New Roman" w:cs="Times New Roman" w:eastAsia="Times New Roman" w:hAnsi="Times New Roman"/>
          <w:sz w:val="16"/>
          <w:szCs w:val="16"/>
          <w:b w:val="1"/>
          <w:bCs w:val="1"/>
          <w:color w:val="auto"/>
        </w:rPr>
        <w:t>1.1 Position</w:t>
      </w:r>
      <w:r>
        <w:rPr>
          <w:rFonts w:ascii="Times New Roman" w:cs="Times New Roman" w:eastAsia="Times New Roman" w:hAnsi="Times New Roman"/>
          <w:sz w:val="16"/>
          <w:szCs w:val="16"/>
          <w:color w:val="auto"/>
        </w:rPr>
        <w:t>. Subject to the terms set forth herein, the Company agrees to employ Executive in the position of Chief Legal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Administrative Officer, and Executive hereby accepts such continued employment on the terms and conditions set forth in this Agreement.</w:t>
      </w:r>
    </w:p>
    <w:p>
      <w:pPr>
        <w:spacing w:after="0" w:line="118" w:lineRule="exact"/>
        <w:rPr>
          <w:sz w:val="20"/>
          <w:szCs w:val="20"/>
          <w:color w:val="auto"/>
        </w:rPr>
      </w:pPr>
    </w:p>
    <w:p>
      <w:pPr>
        <w:ind w:firstLine="964"/>
        <w:spacing w:after="0" w:line="248" w:lineRule="auto"/>
        <w:rPr>
          <w:sz w:val="20"/>
          <w:szCs w:val="20"/>
          <w:color w:val="auto"/>
        </w:rPr>
      </w:pPr>
      <w:r>
        <w:rPr>
          <w:rFonts w:ascii="Times New Roman" w:cs="Times New Roman" w:eastAsia="Times New Roman" w:hAnsi="Times New Roman"/>
          <w:sz w:val="18"/>
          <w:szCs w:val="18"/>
          <w:b w:val="1"/>
          <w:bCs w:val="1"/>
          <w:color w:val="auto"/>
        </w:rPr>
        <w:t>1.2 Duties</w:t>
      </w:r>
      <w:r>
        <w:rPr>
          <w:rFonts w:ascii="Times New Roman" w:cs="Times New Roman" w:eastAsia="Times New Roman" w:hAnsi="Times New Roman"/>
          <w:sz w:val="18"/>
          <w:szCs w:val="18"/>
          <w:color w:val="auto"/>
        </w:rPr>
        <w:t>. As Chief Legal and Administrative Officer, Executive will report to the Chief Executive Officer (the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and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individual(s) as assigned, performing such duties as are normally associated with Executive’s position and such duties as are assigned to Executive from time to time, subject to the oversight and direction of the CEO. During the term of Executive’s employment with the Company, Executive will work on a full-time basis for the Company and will devote Executive’s best efforts and substantially all of Executive’s business time and attention to the business of the Company. Executive shall perform Executive’s duties under this Agreement principally out of the Company’s facility in Chicago or in Madison, Wisconsin. In addition, Executive shall make such business trips to such places as may be necessary or advisable for the efficient operations of the Company.</w:t>
      </w:r>
    </w:p>
    <w:p>
      <w:pPr>
        <w:spacing w:after="0" w:line="185"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1.3 Company Policies and Benefits</w:t>
      </w:r>
      <w:r>
        <w:rPr>
          <w:rFonts w:ascii="Times New Roman" w:cs="Times New Roman" w:eastAsia="Times New Roman" w:hAnsi="Times New Roman"/>
          <w:sz w:val="18"/>
          <w:szCs w:val="18"/>
          <w:color w:val="auto"/>
        </w:rPr>
        <w:t>. The employment relationship between the parties shall also be subject to the Company’s personnel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and procedures as they may be interpreted, adopted, revised or deleted from time to time in the Company’s sole discretion. Executive will be eligible to participate on the same basis as similarly 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119" w:right="599" w:bottom="1440" w:gutter="0" w:footer="0" w:header="0"/>
        </w:sectPr>
      </w:pPr>
    </w:p>
    <w:bookmarkStart w:id="548" w:name="page549"/>
    <w:bookmarkEnd w:id="548"/>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 Compensation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6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2.1 Salary</w:t>
      </w:r>
      <w:r>
        <w:rPr>
          <w:rFonts w:ascii="Times New Roman" w:cs="Times New Roman" w:eastAsia="Times New Roman" w:hAnsi="Times New Roman"/>
          <w:sz w:val="18"/>
          <w:szCs w:val="18"/>
          <w:color w:val="auto"/>
        </w:rPr>
        <w:t>. Executive shall receive for Executive’s services to be rendered under this Agreement an initial base salary of</w:t>
      </w:r>
      <w:r>
        <w:rPr>
          <w:rFonts w:ascii="Times New Roman" w:cs="Times New Roman" w:eastAsia="Times New Roman" w:hAnsi="Times New Roman"/>
          <w:sz w:val="18"/>
          <w:szCs w:val="18"/>
          <w:b w:val="1"/>
          <w:bCs w:val="1"/>
          <w:color w:val="auto"/>
        </w:rPr>
        <w:t xml:space="preserve"> $575,000 </w:t>
      </w:r>
      <w:r>
        <w:rPr>
          <w:rFonts w:ascii="Times New Roman" w:cs="Times New Roman" w:eastAsia="Times New Roman" w:hAnsi="Times New Roman"/>
          <w:sz w:val="18"/>
          <w:szCs w:val="18"/>
          <w:color w:val="auto"/>
        </w:rPr>
        <w:t>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annualized basis, subject to review and adjustment by the Company in its sole discretion, payable subject to standard federal and state payroll withholding requirements in accordance with the Company’s standard payroll practices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2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2.2 Equity Incentive Plan. </w:t>
      </w:r>
      <w:r>
        <w:rPr>
          <w:rFonts w:ascii="Times New Roman" w:cs="Times New Roman" w:eastAsia="Times New Roman" w:hAnsi="Times New Roman"/>
          <w:sz w:val="18"/>
          <w:szCs w:val="18"/>
          <w:color w:val="auto"/>
        </w:rPr>
        <w:t>During the term of Executive’s employment with the Company, Executive will be eligible to participate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then-current equity incentive plan as may be in effect from time to time and made available to similarly situated executive employees, subject to the terms of the associated plan documents and as determined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in its sole discretion from time to time. The Company reserves the right to modify or terminate its incentive programs at any time in its sole discretion.</w:t>
      </w:r>
    </w:p>
    <w:p>
      <w:pPr>
        <w:spacing w:after="0" w:line="181" w:lineRule="exact"/>
        <w:rPr>
          <w:sz w:val="20"/>
          <w:szCs w:val="20"/>
          <w:color w:val="auto"/>
        </w:rPr>
      </w:pPr>
    </w:p>
    <w:p>
      <w:pPr>
        <w:ind w:right="20" w:firstLine="964"/>
        <w:spacing w:after="0" w:line="283" w:lineRule="auto"/>
        <w:rPr>
          <w:sz w:val="20"/>
          <w:szCs w:val="20"/>
          <w:color w:val="auto"/>
        </w:rPr>
      </w:pPr>
      <w:r>
        <w:rPr>
          <w:rFonts w:ascii="Times New Roman" w:cs="Times New Roman" w:eastAsia="Times New Roman" w:hAnsi="Times New Roman"/>
          <w:sz w:val="16"/>
          <w:szCs w:val="16"/>
          <w:b w:val="1"/>
          <w:bCs w:val="1"/>
          <w:color w:val="auto"/>
        </w:rPr>
        <w:t>2.3 Expense Reimbursement</w:t>
      </w:r>
      <w:r>
        <w:rPr>
          <w:rFonts w:ascii="Times New Roman" w:cs="Times New Roman" w:eastAsia="Times New Roman" w:hAnsi="Times New Roman"/>
          <w:sz w:val="16"/>
          <w:szCs w:val="16"/>
          <w:color w:val="auto"/>
        </w:rPr>
        <w:t>. The Company will reimburse Executive for reasonable business expenses in accordance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Company’s standard expense reimbursement policy, as the same may be modified by the Company from time to time. The Company shall reimburse Executive for all customary and appropriate business-related expenses, including an agreed housing allowance, actually incurred and documented in accordance with Company policy, as in effect from time to time. For the avoidance of doubt, to the extent that any reimbursements payable to Executive are subject to the provisions of Section 409A of the Code: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62" w:lineRule="exact"/>
        <w:rPr>
          <w:sz w:val="20"/>
          <w:szCs w:val="20"/>
          <w:color w:val="auto"/>
        </w:rPr>
      </w:pPr>
    </w:p>
    <w:p>
      <w:pPr>
        <w:jc w:val="both"/>
        <w:ind w:right="40" w:firstLine="436"/>
        <w:spacing w:after="0" w:line="293" w:lineRule="auto"/>
        <w:tabs>
          <w:tab w:leader="none" w:pos="603" w:val="left"/>
        </w:tabs>
        <w:numPr>
          <w:ilvl w:val="0"/>
          <w:numId w:val="4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Confidentiality, Intellectual Property, and Protective Covenants Agreement. </w:t>
      </w:r>
      <w:r>
        <w:rPr>
          <w:rFonts w:ascii="Times New Roman" w:cs="Times New Roman" w:eastAsia="Times New Roman" w:hAnsi="Times New Roman"/>
          <w:sz w:val="16"/>
          <w:szCs w:val="16"/>
          <w:color w:val="auto"/>
        </w:rPr>
        <w:t>As a condition of continued employment, Executive agreed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execute and abide by a Confidentiality, Intellectual Property, and Protective Covenants Agreement (“</w:t>
      </w:r>
      <w:r>
        <w:rPr>
          <w:rFonts w:ascii="Times New Roman" w:cs="Times New Roman" w:eastAsia="Times New Roman" w:hAnsi="Times New Roman"/>
          <w:sz w:val="16"/>
          <w:szCs w:val="16"/>
          <w:b w:val="1"/>
          <w:bCs w:val="1"/>
          <w:i w:val="1"/>
          <w:iCs w:val="1"/>
          <w:color w:val="auto"/>
        </w:rPr>
        <w:t>Proprietary Information Agreement</w:t>
      </w:r>
      <w:r>
        <w:rPr>
          <w:rFonts w:ascii="Times New Roman" w:cs="Times New Roman" w:eastAsia="Times New Roman" w:hAnsi="Times New Roman"/>
          <w:sz w:val="16"/>
          <w:szCs w:val="16"/>
          <w:color w:val="auto"/>
        </w:rPr>
        <w:t>”), which may be amended by the parties from time to time without regard to this Agreement. The Proprietary Information Agreement contains provisions that are intended by the parties to survive and do survive termination of this Agreement, and such terms are hereby incorporated by reference.</w:t>
      </w:r>
    </w:p>
    <w:p>
      <w:pPr>
        <w:spacing w:after="0" w:line="151" w:lineRule="exact"/>
        <w:rPr>
          <w:rFonts w:ascii="Times New Roman" w:cs="Times New Roman" w:eastAsia="Times New Roman" w:hAnsi="Times New Roman"/>
          <w:sz w:val="16"/>
          <w:szCs w:val="16"/>
          <w:b w:val="1"/>
          <w:bCs w:val="1"/>
          <w:color w:val="auto"/>
        </w:rPr>
      </w:pPr>
    </w:p>
    <w:p>
      <w:pPr>
        <w:ind w:firstLine="436"/>
        <w:spacing w:after="0" w:line="247" w:lineRule="auto"/>
        <w:tabs>
          <w:tab w:leader="none" w:pos="603" w:val="left"/>
        </w:tabs>
        <w:numPr>
          <w:ilvl w:val="0"/>
          <w:numId w:val="4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Outside Activities during Employment</w:t>
      </w:r>
      <w:r>
        <w:rPr>
          <w:rFonts w:ascii="Times New Roman" w:cs="Times New Roman" w:eastAsia="Times New Roman" w:hAnsi="Times New Roman"/>
          <w:sz w:val="18"/>
          <w:szCs w:val="18"/>
          <w:color w:val="auto"/>
        </w:rPr>
        <w:t>. Except with the prior written consent of the Board, including consent given to Executive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signing of this Agreement, Executive will not, while employed 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and (iii) such other activities as may be specifically approved by the Board. This restriction shall not, however, preclude Executive (x) from owning less than one percent (1%) of the total outstanding shares of a publicly traded company, or (y) from employment or service in any capacity with Affiliates of the Company. As used in this Agreement, “</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means an entity under common management or control with the Company.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00"/>
          </w:cols>
          <w:pgMar w:left="580" w:top="263" w:right="619" w:bottom="1440" w:gutter="0" w:footer="0" w:header="0"/>
        </w:sectPr>
      </w:pPr>
    </w:p>
    <w:bookmarkStart w:id="549" w:name="page550"/>
    <w:bookmarkEnd w:id="549"/>
    <w:p>
      <w:pPr>
        <w:ind w:left="-20" w:right="20" w:firstLine="436"/>
        <w:spacing w:after="0" w:line="252" w:lineRule="auto"/>
        <w:tabs>
          <w:tab w:leader="none" w:pos="583" w:val="left"/>
        </w:tabs>
        <w:numPr>
          <w:ilvl w:val="0"/>
          <w:numId w:val="4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 Conflict with Existing Obligations</w:t>
      </w:r>
      <w:r>
        <w:rPr>
          <w:rFonts w:ascii="Times New Roman" w:cs="Times New Roman" w:eastAsia="Times New Roman" w:hAnsi="Times New Roman"/>
          <w:sz w:val="18"/>
          <w:szCs w:val="18"/>
          <w:color w:val="auto"/>
        </w:rPr>
        <w:t>. Executive represents that Executive’s performance of all the terms of this Agreement does not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80" w:lineRule="exact"/>
        <w:rPr>
          <w:rFonts w:ascii="Times New Roman" w:cs="Times New Roman" w:eastAsia="Times New Roman" w:hAnsi="Times New Roman"/>
          <w:sz w:val="18"/>
          <w:szCs w:val="18"/>
          <w:b w:val="1"/>
          <w:bCs w:val="1"/>
          <w:color w:val="auto"/>
        </w:rPr>
      </w:pPr>
    </w:p>
    <w:p>
      <w:pPr>
        <w:ind w:left="-20" w:right="60" w:firstLine="436"/>
        <w:spacing w:after="0" w:line="303" w:lineRule="auto"/>
        <w:tabs>
          <w:tab w:leader="none" w:pos="583" w:val="left"/>
        </w:tabs>
        <w:numPr>
          <w:ilvl w:val="0"/>
          <w:numId w:val="4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Termination of Employment</w:t>
      </w:r>
      <w:r>
        <w:rPr>
          <w:rFonts w:ascii="Times New Roman" w:cs="Times New Roman" w:eastAsia="Times New Roman" w:hAnsi="Times New Roman"/>
          <w:sz w:val="16"/>
          <w:szCs w:val="16"/>
          <w:color w:val="auto"/>
        </w:rPr>
        <w:t>. The parties acknowledge that Executive’s employment relationship with the Company is at-will, meaning either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or Executive may terminate Executive’s employment at any time, with or without cause or advance notice. The provisions in this Section govern the amount of compensation, if any, to be provided to Executive upon termination of employment and do not alter this at-will status.</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6.1 Termination without Cause or for Good Reason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20" w:right="260" w:firstLine="1400"/>
        <w:spacing w:after="0" w:line="252" w:lineRule="auto"/>
        <w:tabs>
          <w:tab w:leader="none" w:pos="1611"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without “Cause” (as defined in </w:t>
      </w:r>
      <w:r>
        <w:rPr>
          <w:rFonts w:ascii="Times New Roman" w:cs="Times New Roman" w:eastAsia="Times New Roman" w:hAnsi="Times New Roman"/>
          <w:sz w:val="18"/>
          <w:szCs w:val="18"/>
          <w:b w:val="1"/>
          <w:bCs w:val="1"/>
          <w:color w:val="auto"/>
        </w:rPr>
        <w:t>Section 6.3(b)</w:t>
      </w:r>
      <w:r>
        <w:rPr>
          <w:rFonts w:ascii="Times New Roman" w:cs="Times New Roman" w:eastAsia="Times New Roman" w:hAnsi="Times New Roman"/>
          <w:sz w:val="18"/>
          <w:szCs w:val="18"/>
          <w:color w:val="auto"/>
        </w:rPr>
        <w:t xml:space="preserve"> below)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of this Agreement. A termination pursuant to </w:t>
      </w:r>
      <w:r>
        <w:rPr>
          <w:rFonts w:ascii="Times New Roman" w:cs="Times New Roman" w:eastAsia="Times New Roman" w:hAnsi="Times New Roman"/>
          <w:sz w:val="18"/>
          <w:szCs w:val="18"/>
          <w:b w:val="1"/>
          <w:bCs w:val="1"/>
          <w:color w:val="auto"/>
        </w:rPr>
        <w:t>Section 6.5</w:t>
      </w:r>
      <w:r>
        <w:rPr>
          <w:rFonts w:ascii="Times New Roman" w:cs="Times New Roman" w:eastAsia="Times New Roman" w:hAnsi="Times New Roman"/>
          <w:sz w:val="18"/>
          <w:szCs w:val="18"/>
          <w:color w:val="auto"/>
        </w:rPr>
        <w:t xml:space="preserve"> below is not a termination without “Cause” for purposes of receiving the benefits described in </w:t>
      </w:r>
      <w:r>
        <w:rPr>
          <w:rFonts w:ascii="Times New Roman" w:cs="Times New Roman" w:eastAsia="Times New Roman" w:hAnsi="Times New Roman"/>
          <w:sz w:val="18"/>
          <w:szCs w:val="18"/>
          <w:b w:val="1"/>
          <w:bCs w:val="1"/>
          <w:color w:val="auto"/>
        </w:rPr>
        <w:t xml:space="preserve">Sections 6.1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6.2</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20" w:right="60" w:firstLine="1400"/>
        <w:spacing w:after="0" w:line="249" w:lineRule="auto"/>
        <w:tabs>
          <w:tab w:leader="none" w:pos="162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Executive’s employment at any time without Cause or Executive terminates Executive’s employment with the Company for Good Reason and provided that such termination constitutes a “separation from service” (as defined under Treasury Regulation Section 1.409A-1(h), without regard to any alternative definition thereunder,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xml:space="preserve">”), then Executive shall be entitled to receive the Accrued Obligations (defined below). If Executive complies with the obligations in </w:t>
      </w:r>
      <w:r>
        <w:rPr>
          <w:rFonts w:ascii="Times New Roman" w:cs="Times New Roman" w:eastAsia="Times New Roman" w:hAnsi="Times New Roman"/>
          <w:sz w:val="18"/>
          <w:szCs w:val="18"/>
          <w:b w:val="1"/>
          <w:bCs w:val="1"/>
          <w:color w:val="auto"/>
        </w:rPr>
        <w:t>Section 6.1(c)</w:t>
      </w:r>
      <w:r>
        <w:rPr>
          <w:rFonts w:ascii="Times New Roman" w:cs="Times New Roman" w:eastAsia="Times New Roman" w:hAnsi="Times New Roman"/>
          <w:sz w:val="18"/>
          <w:szCs w:val="18"/>
          <w:color w:val="auto"/>
        </w:rPr>
        <w:t xml:space="preserve"> below, Executive shall also be eligible to receive the following “</w:t>
      </w:r>
      <w:r>
        <w:rPr>
          <w:rFonts w:ascii="Times New Roman" w:cs="Times New Roman" w:eastAsia="Times New Roman" w:hAnsi="Times New Roman"/>
          <w:sz w:val="18"/>
          <w:szCs w:val="18"/>
          <w:b w:val="1"/>
          <w:bCs w:val="1"/>
          <w:i w:val="1"/>
          <w:iCs w:val="1"/>
          <w:color w:val="auto"/>
        </w:rPr>
        <w:t>Severance Benefits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20" w:firstLine="1936"/>
        <w:spacing w:after="0" w:line="247" w:lineRule="auto"/>
        <w:tabs>
          <w:tab w:leader="none" w:pos="2117"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pay Executive an amount equal to Executive’s then current Base Salary for twelve (12) months, less all applicable withholdings and deductions, paid in equal installments on the Company’s normal payroll schedule following the termination date, with the first payment beginning on the Severance Pay Commencement Date (as defined in </w:t>
      </w:r>
      <w:r>
        <w:rPr>
          <w:rFonts w:ascii="Times New Roman" w:cs="Times New Roman" w:eastAsia="Times New Roman" w:hAnsi="Times New Roman"/>
          <w:sz w:val="18"/>
          <w:szCs w:val="18"/>
          <w:b w:val="1"/>
          <w:bCs w:val="1"/>
          <w:color w:val="auto"/>
        </w:rPr>
        <w:t>Section 6.1(c)</w:t>
      </w:r>
      <w:r>
        <w:rPr>
          <w:rFonts w:ascii="Times New Roman" w:cs="Times New Roman" w:eastAsia="Times New Roman" w:hAnsi="Times New Roman"/>
          <w:sz w:val="18"/>
          <w:szCs w:val="18"/>
          <w:color w:val="auto"/>
        </w:rPr>
        <w:t xml:space="preserve"> below), and the remaining installments occurring on the Company’s regularly scheduled payroll dates thereafter; provided that on the Severance Pay Commencement Date, the Company will pay in a lump sum the aggregate amount of the cash severance payments that the Company would have paid Executive through such date had the payments commenced on the effective date of termination through the Severance Pay Commencement Date. In addition, during the six (6) month period following Executive’s Separation from Service, Executive’s equity will continue to satisfy any applicable time-based vesting condition, as though Executive remained employed by Company.</w:t>
      </w:r>
    </w:p>
    <w:p>
      <w:pPr>
        <w:spacing w:after="0" w:line="186" w:lineRule="exact"/>
        <w:rPr>
          <w:rFonts w:ascii="Times New Roman" w:cs="Times New Roman" w:eastAsia="Times New Roman" w:hAnsi="Times New Roman"/>
          <w:sz w:val="18"/>
          <w:szCs w:val="18"/>
          <w:color w:val="auto"/>
        </w:rPr>
      </w:pPr>
    </w:p>
    <w:p>
      <w:pPr>
        <w:ind w:left="-20" w:right="240" w:firstLine="1400"/>
        <w:spacing w:after="0" w:line="255" w:lineRule="auto"/>
        <w:tabs>
          <w:tab w:leader="none" w:pos="1611"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timely elects continued coverage under COBRA for Executive and Executive’s covered dependents under the Company’s group health plans following such termination, then the Company shall pay the COBRA premiums necessary to continue Executive’s and Executive’s covered dependents’ health insurance coverage in effect for</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600" w:top="263" w:right="599" w:bottom="1440" w:gutter="0" w:footer="0" w:header="0"/>
        </w:sectPr>
      </w:pPr>
    </w:p>
    <w:bookmarkStart w:id="550" w:name="page551"/>
    <w:bookmarkEnd w:id="550"/>
    <w:p>
      <w:pPr>
        <w:ind w:right="20"/>
        <w:spacing w:after="0" w:line="27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8040" cy="36830"/>
                    </a:xfrm>
                    <a:prstGeom prst="rect">
                      <a:avLst/>
                    </a:prstGeom>
                    <a:noFill/>
                  </pic:spPr>
                </pic:pic>
              </a:graphicData>
            </a:graphic>
          </wp:anchor>
        </w:drawing>
        <w:t>Executive (and Executive’s covered dependents) on the termination date until the earliest of: (i) twelve (12) months following the termination date (the “</w:t>
      </w:r>
      <w:r>
        <w:rPr>
          <w:rFonts w:ascii="Times New Roman" w:cs="Times New Roman" w:eastAsia="Times New Roman" w:hAnsi="Times New Roman"/>
          <w:sz w:val="16"/>
          <w:szCs w:val="16"/>
          <w:b w:val="1"/>
          <w:bCs w:val="1"/>
          <w:i w:val="1"/>
          <w:iCs w:val="1"/>
          <w:color w:val="auto"/>
        </w:rPr>
        <w:t>COBRA Severance Period</w:t>
      </w:r>
      <w:r>
        <w:rPr>
          <w:rFonts w:ascii="Times New Roman" w:cs="Times New Roman" w:eastAsia="Times New Roman" w:hAnsi="Times New Roman"/>
          <w:sz w:val="16"/>
          <w:szCs w:val="16"/>
          <w:color w:val="auto"/>
        </w:rPr>
        <w:t>”); (ii) the date when Executive becomes eligible for substantially equivalent health insurance coverage in connection with new employment or self-employment; or (iii) the date Executive ceases to be eligible for COBRA continuation coverage for any reason, including plan termination (such period from the termination date through the earlier of (i)-(iii), (the “</w:t>
      </w:r>
      <w:r>
        <w:rPr>
          <w:rFonts w:ascii="Times New Roman" w:cs="Times New Roman" w:eastAsia="Times New Roman" w:hAnsi="Times New Roman"/>
          <w:sz w:val="16"/>
          <w:szCs w:val="16"/>
          <w:b w:val="1"/>
          <w:bCs w:val="1"/>
          <w:i w:val="1"/>
          <w:iCs w:val="1"/>
          <w:color w:val="auto"/>
        </w:rPr>
        <w:t>COBRA Payment Period</w:t>
      </w:r>
      <w:r>
        <w:rPr>
          <w:rFonts w:ascii="Times New Roman" w:cs="Times New Roman" w:eastAsia="Times New Roman" w:hAnsi="Times New Roman"/>
          <w:sz w:val="16"/>
          <w:szCs w:val="16"/>
          <w:color w:val="auto"/>
        </w:rPr>
        <w:t>”).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(such amount, the “</w:t>
      </w:r>
      <w:r>
        <w:rPr>
          <w:rFonts w:ascii="Times New Roman" w:cs="Times New Roman" w:eastAsia="Times New Roman" w:hAnsi="Times New Roman"/>
          <w:sz w:val="16"/>
          <w:szCs w:val="16"/>
          <w:b w:val="1"/>
          <w:bCs w:val="1"/>
          <w:i w:val="1"/>
          <w:iCs w:val="1"/>
          <w:color w:val="auto"/>
        </w:rPr>
        <w:t>Special Severance Payment</w:t>
      </w:r>
      <w:r>
        <w:rPr>
          <w:rFonts w:ascii="Times New Roman" w:cs="Times New Roman" w:eastAsia="Times New Roman" w:hAnsi="Times New Roman"/>
          <w:sz w:val="16"/>
          <w:szCs w:val="16"/>
          <w:color w:val="auto"/>
        </w:rPr>
        <w:t xml:space="preserve">”), for the remainder of the COBRA Payment Period. Nothing in this Agreement shall deprive Executive of Executive’s rights under COBRA or ERISA for benefits under plans and policies arising under Executive’s employment by the Company. Executive will be paid all of the Accrued Obligations on the Company’s first payroll date after Executive’s date of termination from employment or earlier if required by law. Executive shall receive the Severance Benefits pursuant to </w:t>
      </w:r>
      <w:r>
        <w:rPr>
          <w:rFonts w:ascii="Times New Roman" w:cs="Times New Roman" w:eastAsia="Times New Roman" w:hAnsi="Times New Roman"/>
          <w:sz w:val="16"/>
          <w:szCs w:val="16"/>
          <w:b w:val="1"/>
          <w:bCs w:val="1"/>
          <w:color w:val="auto"/>
        </w:rPr>
        <w:t>Section 6.1(b)</w:t>
      </w:r>
      <w:r>
        <w:rPr>
          <w:rFonts w:ascii="Times New Roman" w:cs="Times New Roman" w:eastAsia="Times New Roman" w:hAnsi="Times New Roman"/>
          <w:sz w:val="16"/>
          <w:szCs w:val="16"/>
          <w:color w:val="auto"/>
        </w:rPr>
        <w:t xml:space="preserve"> or the Change in Control Severance Benefits (defined below) pursuant to</w:t>
      </w:r>
    </w:p>
    <w:p>
      <w:pPr>
        <w:spacing w:after="0" w:line="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6"/>
          <w:szCs w:val="16"/>
          <w:b w:val="1"/>
          <w:bCs w:val="1"/>
          <w:color w:val="auto"/>
        </w:rPr>
        <w:t xml:space="preserve">6.2(a) </w:t>
      </w:r>
      <w:r>
        <w:rPr>
          <w:rFonts w:ascii="Times New Roman" w:cs="Times New Roman" w:eastAsia="Times New Roman" w:hAnsi="Times New Roman"/>
          <w:sz w:val="16"/>
          <w:szCs w:val="16"/>
          <w:color w:val="auto"/>
        </w:rPr>
        <w:t>of this Agreement, as applicable, if: (i) Executive executes and does not revoke a separation agreement containing an effective, general release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claims in favor of the Company and its affiliates and representatives, in a form acceptable to the Company (the “</w:t>
      </w:r>
      <w:r>
        <w:rPr>
          <w:rFonts w:ascii="Times New Roman" w:cs="Times New Roman" w:eastAsia="Times New Roman" w:hAnsi="Times New Roman"/>
          <w:sz w:val="16"/>
          <w:szCs w:val="16"/>
          <w:b w:val="1"/>
          <w:bCs w:val="1"/>
          <w:i w:val="1"/>
          <w:iCs w:val="1"/>
          <w:color w:val="auto"/>
        </w:rPr>
        <w:t>Release</w:t>
      </w:r>
      <w:r>
        <w:rPr>
          <w:rFonts w:ascii="Times New Roman" w:cs="Times New Roman" w:eastAsia="Times New Roman" w:hAnsi="Times New Roman"/>
          <w:sz w:val="16"/>
          <w:szCs w:val="16"/>
          <w:color w:val="auto"/>
        </w:rPr>
        <w:t>”) and the Release is enforceable and effective as provided in the Release on or before the date that is the sixtieth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day following the effective date of termination (such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xml:space="preserve"> day, the “</w:t>
      </w:r>
      <w:r>
        <w:rPr>
          <w:rFonts w:ascii="Times New Roman" w:cs="Times New Roman" w:eastAsia="Times New Roman" w:hAnsi="Times New Roman"/>
          <w:sz w:val="16"/>
          <w:szCs w:val="16"/>
          <w:b w:val="1"/>
          <w:bCs w:val="1"/>
          <w:i w:val="1"/>
          <w:iCs w:val="1"/>
          <w:color w:val="auto"/>
        </w:rPr>
        <w:t>Severance Pay Commencement Date</w:t>
      </w:r>
      <w:r>
        <w:rPr>
          <w:rFonts w:ascii="Times New Roman" w:cs="Times New Roman" w:eastAsia="Times New Roman" w:hAnsi="Times New Roman"/>
          <w:sz w:val="16"/>
          <w:szCs w:val="16"/>
          <w:color w:val="auto"/>
        </w:rPr>
        <w:t>”); (ii) if Executive holds any other positions with the Company, Executive resigns such position(s) to be effective no later than the date of Executive’s termination date (or such other date as requested by the Board); (iii) Executive returns all Company property; (iv) Executive complies with Executive’s post-termination obligations under this Agreement and the Proprietary Information Agreement; and</w:t>
      </w:r>
    </w:p>
    <w:p>
      <w:pPr>
        <w:ind w:right="220" w:firstLine="8"/>
        <w:spacing w:after="0" w:line="247" w:lineRule="auto"/>
        <w:tabs>
          <w:tab w:leader="none" w:pos="248"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complies with the terms of the Release, including without limitation any non-disparagement and confidentiality provisions contained in Release.</w:t>
      </w:r>
    </w:p>
    <w:p>
      <w:pPr>
        <w:spacing w:after="0" w:line="182" w:lineRule="exact"/>
        <w:rPr>
          <w:rFonts w:ascii="Times New Roman" w:cs="Times New Roman" w:eastAsia="Times New Roman" w:hAnsi="Times New Roman"/>
          <w:sz w:val="18"/>
          <w:szCs w:val="18"/>
          <w:color w:val="auto"/>
        </w:rPr>
      </w:pPr>
    </w:p>
    <w:p>
      <w:pPr>
        <w:ind w:firstLine="1400"/>
        <w:spacing w:after="0" w:line="253" w:lineRule="auto"/>
        <w:tabs>
          <w:tab w:leader="none" w:pos="1640"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Accrued Obligations</w:t>
      </w:r>
      <w:r>
        <w:rPr>
          <w:rFonts w:ascii="Times New Roman" w:cs="Times New Roman" w:eastAsia="Times New Roman" w:hAnsi="Times New Roman"/>
          <w:sz w:val="18"/>
          <w:szCs w:val="18"/>
          <w:color w:val="auto"/>
        </w:rPr>
        <w:t>” 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spacing w:after="0" w:line="179" w:lineRule="exact"/>
        <w:rPr>
          <w:rFonts w:ascii="Times New Roman" w:cs="Times New Roman" w:eastAsia="Times New Roman" w:hAnsi="Times New Roman"/>
          <w:sz w:val="18"/>
          <w:szCs w:val="18"/>
          <w:color w:val="auto"/>
        </w:rPr>
      </w:pPr>
    </w:p>
    <w:p>
      <w:pPr>
        <w:ind w:right="200" w:firstLine="1400"/>
        <w:spacing w:after="0" w:line="270" w:lineRule="auto"/>
        <w:tabs>
          <w:tab w:leader="none" w:pos="1631"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Severance Benefits provided to Executive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are in lieu of, and not in addition to, any benefits to which Executive may otherwise be entitled under any Company severance plan, policy or program.</w:t>
      </w:r>
    </w:p>
    <w:p>
      <w:pPr>
        <w:spacing w:after="0" w:line="166" w:lineRule="exact"/>
        <w:rPr>
          <w:rFonts w:ascii="Times New Roman" w:cs="Times New Roman" w:eastAsia="Times New Roman" w:hAnsi="Times New Roman"/>
          <w:sz w:val="18"/>
          <w:szCs w:val="18"/>
          <w:color w:val="auto"/>
        </w:rPr>
      </w:pPr>
    </w:p>
    <w:p>
      <w:pPr>
        <w:jc w:val="both"/>
        <w:ind w:right="60" w:firstLine="1400"/>
        <w:spacing w:after="0" w:line="255" w:lineRule="auto"/>
        <w:tabs>
          <w:tab w:leader="none" w:pos="1611"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damages caused by the termination of Executive’s employment without Cause would be difficult to ascertain; therefore, the Severance Benefits for which Executive is eligible pursuant to </w:t>
      </w:r>
      <w:r>
        <w:rPr>
          <w:rFonts w:ascii="Times New Roman" w:cs="Times New Roman" w:eastAsia="Times New Roman" w:hAnsi="Times New Roman"/>
          <w:sz w:val="18"/>
          <w:szCs w:val="18"/>
          <w:b w:val="1"/>
          <w:bCs w:val="1"/>
          <w:color w:val="auto"/>
        </w:rPr>
        <w:t>Section 6.1(b)</w:t>
      </w:r>
      <w:r>
        <w:rPr>
          <w:rFonts w:ascii="Times New Roman" w:cs="Times New Roman" w:eastAsia="Times New Roman" w:hAnsi="Times New Roman"/>
          <w:sz w:val="18"/>
          <w:szCs w:val="18"/>
          <w:color w:val="auto"/>
        </w:rPr>
        <w:t xml:space="preserve"> above in exchange for the Release is agreed to by the parties as liquidated damages, to serve as full compensation, and not a penalty.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00"/>
          </w:cols>
          <w:pgMar w:left="580" w:top="264" w:right="619" w:bottom="1440" w:gutter="0" w:footer="0" w:header="0"/>
        </w:sectPr>
      </w:pPr>
    </w:p>
    <w:bookmarkStart w:id="551" w:name="page552"/>
    <w:bookmarkEnd w:id="551"/>
    <w:p>
      <w:pPr>
        <w:ind w:left="-8" w:right="40" w:firstLine="1400"/>
        <w:spacing w:after="0" w:line="277" w:lineRule="auto"/>
        <w:tabs>
          <w:tab w:leader="none" w:pos="1633" w:val="left"/>
        </w:tabs>
        <w:numPr>
          <w:ilvl w:val="1"/>
          <w:numId w:val="4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For purposes of this Agreement, “</w:t>
      </w:r>
      <w:r>
        <w:rPr>
          <w:rFonts w:ascii="Times New Roman" w:cs="Times New Roman" w:eastAsia="Times New Roman" w:hAnsi="Times New Roman"/>
          <w:sz w:val="16"/>
          <w:szCs w:val="16"/>
          <w:b w:val="1"/>
          <w:bCs w:val="1"/>
          <w:i w:val="1"/>
          <w:iCs w:val="1"/>
          <w:color w:val="auto"/>
        </w:rPr>
        <w:t>Good Reason</w:t>
      </w:r>
      <w:r>
        <w:rPr>
          <w:rFonts w:ascii="Times New Roman" w:cs="Times New Roman" w:eastAsia="Times New Roman" w:hAnsi="Times New Roman"/>
          <w:sz w:val="16"/>
          <w:szCs w:val="16"/>
          <w:color w:val="auto"/>
        </w:rPr>
        <w:t xml:space="preserve">” shall mean the occurrence of any of the following events without Executive’s consent: (i) a material reduction in Executive’s Base Salary of at least 25%; (ii) a material breach of this Agreement by the Company; (iii) a material reduction in the Executive’s duties, authority and responsibilities relative to the Executive’s duties, authority, and responsibilities in effect immediately prior to such reduction (provided that a material reduction of duties, authority and responsibilities will not be deemed to have occurred if, in connection with a Change in Control, Executive is not reporting to the individual in the same role as Executive’s prior manager at the acquirer or any other top-tier holding company above the acquirer); or (iv) the relocation of Executive’s principal place of employment, without Executive’s consent, in a manner that lengthens Executive’s one-way commute distance by fifty (50) or more miles from his then-current principal place of employment immediately prior to such relocation;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any such termination by Executive shall only be deemed for Good Reason pursuant to this definition if:</w:t>
      </w:r>
    </w:p>
    <w:p>
      <w:pPr>
        <w:spacing w:after="0" w:line="3" w:lineRule="exact"/>
        <w:rPr>
          <w:rFonts w:ascii="Times New Roman" w:cs="Times New Roman" w:eastAsia="Times New Roman" w:hAnsi="Times New Roman"/>
          <w:sz w:val="16"/>
          <w:szCs w:val="16"/>
          <w:color w:val="auto"/>
        </w:rPr>
      </w:pPr>
    </w:p>
    <w:p>
      <w:pPr>
        <w:ind w:left="-8" w:right="180" w:firstLine="8"/>
        <w:spacing w:after="0" w:line="244" w:lineRule="auto"/>
        <w:tabs>
          <w:tab w:leader="none" w:pos="24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gives the Company written notice of his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w:t>
      </w:r>
      <w:r>
        <w:rPr>
          <w:rFonts w:ascii="Times New Roman" w:cs="Times New Roman" w:eastAsia="Times New Roman" w:hAnsi="Times New Roman"/>
          <w:sz w:val="18"/>
          <w:szCs w:val="18"/>
          <w:b w:val="1"/>
          <w:bCs w:val="1"/>
          <w:i w:val="1"/>
          <w:iCs w:val="1"/>
          <w:color w:val="auto"/>
        </w:rPr>
        <w:t>Cure Period</w:t>
      </w:r>
      <w:r>
        <w:rPr>
          <w:rFonts w:ascii="Times New Roman" w:cs="Times New Roman" w:eastAsia="Times New Roman" w:hAnsi="Times New Roman"/>
          <w:sz w:val="18"/>
          <w:szCs w:val="18"/>
          <w:color w:val="auto"/>
        </w:rPr>
        <w:t>”); and (3) Executive voluntarily terminates Executive’s employment within thirty (30) days following the end of the Cure Period.</w:t>
      </w:r>
    </w:p>
    <w:p>
      <w:pPr>
        <w:spacing w:after="0" w:line="18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6.2 Termination without Cause or for Good Reason Coincident with a Change in Control</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 w:right="20" w:firstLine="1400"/>
        <w:spacing w:after="0" w:line="248" w:lineRule="auto"/>
        <w:tabs>
          <w:tab w:leader="none" w:pos="1623"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by the Company is terminated by the Company or any successor entity without Cause (and not due to Disability or death) or by Executive for Good Reason within two (2) months prior to or within twelve (12) months following the effective date of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(as defined in the Company’s Amended and Restated 2015 Stock Plan, as such plan may be amended from time to time (the “</w:t>
      </w:r>
      <w:r>
        <w:rPr>
          <w:rFonts w:ascii="Times New Roman" w:cs="Times New Roman" w:eastAsia="Times New Roman" w:hAnsi="Times New Roman"/>
          <w:sz w:val="18"/>
          <w:szCs w:val="18"/>
          <w:b w:val="1"/>
          <w:bCs w:val="1"/>
          <w:i w:val="1"/>
          <w:iCs w:val="1"/>
          <w:color w:val="auto"/>
        </w:rPr>
        <w:t>2015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provided that such termination constitutes a Separation from Service, without regard to any alternative definition thereunder, then in addition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paying or providing Executive with the Accrued Obligations and the Severance Benefits available under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the Company will provide the following “</w:t>
      </w:r>
      <w:r>
        <w:rPr>
          <w:rFonts w:ascii="Times New Roman" w:cs="Times New Roman" w:eastAsia="Times New Roman" w:hAnsi="Times New Roman"/>
          <w:sz w:val="18"/>
          <w:szCs w:val="18"/>
          <w:b w:val="1"/>
          <w:bCs w:val="1"/>
          <w:i w:val="1"/>
          <w:iCs w:val="1"/>
          <w:color w:val="auto"/>
        </w:rPr>
        <w:t>Change in Control Severance Benefits</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ind w:left="-8" w:firstLine="1936"/>
        <w:spacing w:after="0" w:line="249" w:lineRule="auto"/>
        <w:tabs>
          <w:tab w:leader="none" w:pos="2130"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equity awards held by Executive that were issued pursuant to the Company’s 2015 Plan or any successor plan and that remain outstanding and are unvested as of the date of such termination will immediately vest in full. For the avoidance of doubt, if such termination occurs prior to the effective date of a Change in Control, any such equity awards will remain outstanding following the date of such termination as necessary to give effect to the potential vesting acceleration set forth in this </w:t>
      </w:r>
      <w:r>
        <w:rPr>
          <w:rFonts w:ascii="Times New Roman" w:cs="Times New Roman" w:eastAsia="Times New Roman" w:hAnsi="Times New Roman"/>
          <w:sz w:val="18"/>
          <w:szCs w:val="18"/>
          <w:b w:val="1"/>
          <w:bCs w:val="1"/>
          <w:color w:val="auto"/>
        </w:rPr>
        <w:t>Section 6.2(a)(iv)</w:t>
      </w:r>
      <w:r>
        <w:rPr>
          <w:rFonts w:ascii="Times New Roman" w:cs="Times New Roman" w:eastAsia="Times New Roman" w:hAnsi="Times New Roman"/>
          <w:sz w:val="18"/>
          <w:szCs w:val="18"/>
          <w:color w:val="auto"/>
        </w:rPr>
        <w:t>, which would occur contingent upon the consummation of a Change in Control.</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12"/>
          </w:cols>
          <w:pgMar w:left="588" w:top="261" w:right="599" w:bottom="1440" w:gutter="0" w:footer="0" w:header="0"/>
        </w:sectPr>
      </w:pPr>
    </w:p>
    <w:bookmarkStart w:id="552" w:name="page553"/>
    <w:bookmarkEnd w:id="552"/>
    <w:p>
      <w:pPr>
        <w:ind w:left="97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6.3 Termination by the Company for Cause.</w:t>
      </w:r>
    </w:p>
    <w:p>
      <w:pPr>
        <w:spacing w:after="0" w:line="215" w:lineRule="exact"/>
        <w:rPr>
          <w:sz w:val="20"/>
          <w:szCs w:val="20"/>
          <w:color w:val="auto"/>
        </w:rPr>
      </w:pPr>
    </w:p>
    <w:p>
      <w:pPr>
        <w:ind w:left="-8" w:firstLine="1400"/>
        <w:spacing w:after="0" w:line="251" w:lineRule="auto"/>
        <w:tabs>
          <w:tab w:leader="none" w:pos="1623"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for Cause by giving notice as described in</w:t>
      </w:r>
      <w:r>
        <w:rPr>
          <w:rFonts w:ascii="Times New Roman" w:cs="Times New Roman" w:eastAsia="Times New Roman" w:hAnsi="Times New Roman"/>
          <w:sz w:val="18"/>
          <w:szCs w:val="18"/>
          <w:b w:val="1"/>
          <w:bCs w:val="1"/>
          <w:color w:val="auto"/>
        </w:rPr>
        <w:t xml:space="preserve"> Section 7.1 </w:t>
      </w:r>
      <w:r>
        <w:rPr>
          <w:rFonts w:ascii="Times New Roman" w:cs="Times New Roman" w:eastAsia="Times New Roman" w:hAnsi="Times New Roman"/>
          <w:sz w:val="18"/>
          <w:szCs w:val="18"/>
          <w:color w:val="auto"/>
        </w:rPr>
        <w:t>of this Agreement. In the event Executive’s employment is terminated at any time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0" w:lineRule="exact"/>
        <w:rPr>
          <w:rFonts w:ascii="Times New Roman" w:cs="Times New Roman" w:eastAsia="Times New Roman" w:hAnsi="Times New Roman"/>
          <w:sz w:val="18"/>
          <w:szCs w:val="18"/>
          <w:color w:val="auto"/>
        </w:rPr>
      </w:pPr>
    </w:p>
    <w:p>
      <w:pPr>
        <w:ind w:left="-8" w:firstLine="1400"/>
        <w:spacing w:after="0" w:line="246" w:lineRule="auto"/>
        <w:tabs>
          <w:tab w:leader="none" w:pos="1633"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“Cause” </w:t>
      </w:r>
      <w:r>
        <w:rPr>
          <w:rFonts w:ascii="Times New Roman" w:cs="Times New Roman" w:eastAsia="Times New Roman" w:hAnsi="Times New Roman"/>
          <w:sz w:val="18"/>
          <w:szCs w:val="18"/>
          <w:color w:val="auto"/>
        </w:rPr>
        <w:t>for termination shall mean that the Company has determined in its sole discretion that Executive has engaged in any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(i) a material breach of any covenant or condition under this Agreement or any other agreement between the parties; (ii) any act constituting dishonesty, fraud, falsification of any documents or records, or immoral or disreputable conduct; (iii) any conduct which constitutes a felony or other criminal act involving corruption, misappropriation, or moral turpitude, or otherwise impairs your ability to perform your duties with the Company, under applicable law; (iv) material violation of any Company policy or any act of misconduct (including if Executive acts in a manner expected to have a material detrimental effect on the Company’s reputation or business); (v) refusal to follow or implement a clear and reasonable directive of Company; (vi) negligence or incompetence in the performance of Executive’s duties or failure to perform such duties in a manner satisfactory to the Company after the expiration of ten (10) days without cure after written notice of such failure; (vii) breach of fiduciary duty; or</w:t>
      </w:r>
    </w:p>
    <w:p>
      <w:pPr>
        <w:spacing w:after="0" w:line="5"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misappropriation, destruction, or diversion of any tangible or intangible asset or corporate opportunity of the Company.</w:t>
      </w:r>
    </w:p>
    <w:p>
      <w:pPr>
        <w:spacing w:after="0" w:line="193"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6.4 Resignation by Executive</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8" w:right="240" w:firstLine="1400"/>
        <w:spacing w:after="0" w:line="270" w:lineRule="auto"/>
        <w:tabs>
          <w:tab w:leader="none" w:pos="1623"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may resign from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auto"/>
        </w:rPr>
      </w:pPr>
    </w:p>
    <w:p>
      <w:pPr>
        <w:ind w:left="-8" w:right="440" w:firstLine="1400"/>
        <w:spacing w:after="0" w:line="251" w:lineRule="auto"/>
        <w:tabs>
          <w:tab w:leader="none" w:pos="1633"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Executive resigns from Executive’s employment with the Company for any reason other than Good Reason in accordance with </w:t>
      </w:r>
      <w:r>
        <w:rPr>
          <w:rFonts w:ascii="Times New Roman" w:cs="Times New Roman" w:eastAsia="Times New Roman" w:hAnsi="Times New Roman"/>
          <w:sz w:val="18"/>
          <w:szCs w:val="18"/>
          <w:b w:val="1"/>
          <w:bCs w:val="1"/>
          <w:color w:val="auto"/>
        </w:rPr>
        <w:t>Sections 6.1 or 6.2</w:t>
      </w:r>
      <w:r>
        <w:rPr>
          <w:rFonts w:ascii="Times New Roman" w:cs="Times New Roman" w:eastAsia="Times New Roman" w:hAnsi="Times New Roman"/>
          <w:sz w:val="18"/>
          <w:szCs w:val="18"/>
          <w:color w:val="auto"/>
        </w:rPr>
        <w:t>,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2"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6.5 Termination by Virtue of Death or Disability of Executive</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 w:right="80" w:firstLine="1400"/>
        <w:spacing w:after="0" w:line="255" w:lineRule="auto"/>
        <w:tabs>
          <w:tab w:leader="none" w:pos="1623"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Executive’s death while employed pursuant to this Agreement, all obligations of the parties hereunder shall terminate immediately,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and the Company shall, pursuant to the Company’s standard payroll policies, pay to Executive’s legal representatives all Accrued Obligations.</w:t>
      </w:r>
    </w:p>
    <w:p>
      <w:pPr>
        <w:spacing w:after="0" w:line="180" w:lineRule="exact"/>
        <w:rPr>
          <w:rFonts w:ascii="Times New Roman" w:cs="Times New Roman" w:eastAsia="Times New Roman" w:hAnsi="Times New Roman"/>
          <w:sz w:val="18"/>
          <w:szCs w:val="18"/>
          <w:color w:val="auto"/>
        </w:rPr>
      </w:pPr>
    </w:p>
    <w:p>
      <w:pPr>
        <w:ind w:left="-8" w:right="20" w:firstLine="1400"/>
        <w:spacing w:after="0" w:line="251" w:lineRule="auto"/>
        <w:tabs>
          <w:tab w:leader="none" w:pos="1633"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state and federal law, the Company shall at all times have the right, upon written notice to Executive, and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to terminate this Agreement based on Executive’s Disability. Termination by the Company of Executive’s employment based on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termination because Executive is unable due to a physical or mental condition to perform the essential functions of his position with</w:t>
      </w:r>
    </w:p>
    <w:p>
      <w:pPr>
        <w:spacing w:after="0" w:line="1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12"/>
          </w:cols>
          <w:pgMar w:left="588" w:top="263" w:right="599" w:bottom="1440" w:gutter="0" w:footer="0" w:header="0"/>
        </w:sectPr>
      </w:pPr>
    </w:p>
    <w:bookmarkStart w:id="553" w:name="page554"/>
    <w:bookmarkEnd w:id="553"/>
    <w:p>
      <w:pPr>
        <w:spacing w:after="0" w:line="28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or without reasonable accommodation for 180 days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Severance Benefits, Change in Control Severance Benefits, or any other severance compensation or benefit, except that, pursuant to the Company’s standard payroll policies, the Company shall pay to Executive the Accrued Obligations.</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6.6 Notice; Effective Date of Termination.</w:t>
      </w:r>
    </w:p>
    <w:p>
      <w:pPr>
        <w:spacing w:after="0" w:line="215" w:lineRule="exact"/>
        <w:rPr>
          <w:sz w:val="20"/>
          <w:szCs w:val="20"/>
          <w:color w:val="auto"/>
        </w:rPr>
      </w:pPr>
    </w:p>
    <w:p>
      <w:pPr>
        <w:ind w:left="1640" w:hanging="240"/>
        <w:spacing w:after="0"/>
        <w:tabs>
          <w:tab w:leader="none" w:pos="164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Executive’s employment pursuant to this Agreement shall be effective on the earliest of:</w:t>
      </w:r>
    </w:p>
    <w:p>
      <w:pPr>
        <w:spacing w:after="0" w:line="108" w:lineRule="exact"/>
        <w:rPr>
          <w:rFonts w:ascii="Times New Roman" w:cs="Times New Roman" w:eastAsia="Times New Roman" w:hAnsi="Times New Roman"/>
          <w:sz w:val="18"/>
          <w:szCs w:val="18"/>
          <w:color w:val="auto"/>
        </w:rPr>
      </w:pPr>
    </w:p>
    <w:p>
      <w:pPr>
        <w:ind w:right="480" w:firstLine="1936"/>
        <w:spacing w:after="0" w:line="255" w:lineRule="auto"/>
        <w:tabs>
          <w:tab w:leader="none" w:pos="2137"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Company gives notice to Executive of Executive’s termination, with or without Cause, unless pursuant to Section 6.3(b)(vi) in which case ten (10) days after notice if not cured or unless the Company specifies a later date, in which case, termination shall be effective as of such later date;</w:t>
      </w:r>
    </w:p>
    <w:p>
      <w:pPr>
        <w:spacing w:after="0" w:line="180" w:lineRule="exact"/>
        <w:rPr>
          <w:rFonts w:ascii="Times New Roman" w:cs="Times New Roman" w:eastAsia="Times New Roman" w:hAnsi="Times New Roman"/>
          <w:sz w:val="18"/>
          <w:szCs w:val="18"/>
          <w:color w:val="auto"/>
        </w:rPr>
      </w:pPr>
    </w:p>
    <w:p>
      <w:pPr>
        <w:ind w:left="2200" w:hanging="264"/>
        <w:spacing w:after="0"/>
        <w:tabs>
          <w:tab w:leader="none" w:pos="2200"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Executive’s death;</w:t>
      </w:r>
    </w:p>
    <w:p>
      <w:pPr>
        <w:spacing w:after="0" w:line="213" w:lineRule="exact"/>
        <w:rPr>
          <w:rFonts w:ascii="Times New Roman" w:cs="Times New Roman" w:eastAsia="Times New Roman" w:hAnsi="Times New Roman"/>
          <w:sz w:val="18"/>
          <w:szCs w:val="18"/>
          <w:color w:val="auto"/>
        </w:rPr>
      </w:pPr>
    </w:p>
    <w:p>
      <w:pPr>
        <w:ind w:right="160" w:firstLine="1936"/>
        <w:spacing w:after="0" w:line="255" w:lineRule="auto"/>
        <w:tabs>
          <w:tab w:leader="none" w:pos="2234"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Company gives notice to Executive of Executive’s termination on account of Executive’s Disability, unless the Company specifies a later date, in which case, termination shall be effective as of such later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Executive has not returned to the full-time performance of Executive’s duties prior to such date;</w:t>
      </w:r>
    </w:p>
    <w:p>
      <w:pPr>
        <w:spacing w:after="0" w:line="178" w:lineRule="exact"/>
        <w:rPr>
          <w:rFonts w:ascii="Times New Roman" w:cs="Times New Roman" w:eastAsia="Times New Roman" w:hAnsi="Times New Roman"/>
          <w:sz w:val="18"/>
          <w:szCs w:val="18"/>
          <w:color w:val="auto"/>
        </w:rPr>
      </w:pPr>
    </w:p>
    <w:p>
      <w:pPr>
        <w:ind w:right="180" w:firstLine="1936"/>
        <w:spacing w:after="0" w:line="256" w:lineRule="auto"/>
        <w:tabs>
          <w:tab w:leader="none" w:pos="2225"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Executive gives written notice to the Company of Executive’s resignation,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set a termination date at any time between the date of notice and the date of resignation, in which case the Executive’s resignation shall be effective as of such other date. Executive will receive compensation through any required notice period; or</w:t>
      </w:r>
    </w:p>
    <w:p>
      <w:pPr>
        <w:spacing w:after="0" w:line="177"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1"/>
          <w:numId w:val="4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a termination for Good Reason, immediately upon Executive’s full satisfaction of the requirements of </w:t>
      </w:r>
      <w:r>
        <w:rPr>
          <w:rFonts w:ascii="Times New Roman" w:cs="Times New Roman" w:eastAsia="Times New Roman" w:hAnsi="Times New Roman"/>
          <w:sz w:val="16"/>
          <w:szCs w:val="16"/>
          <w:b w:val="1"/>
          <w:bCs w:val="1"/>
          <w:color w:val="auto"/>
        </w:rPr>
        <w:t>Section 6.1(g)</w:t>
      </w:r>
      <w:r>
        <w:rPr>
          <w:rFonts w:ascii="Times New Roman" w:cs="Times New Roman" w:eastAsia="Times New Roman" w:hAnsi="Times New Roman"/>
          <w:sz w:val="16"/>
          <w:szCs w:val="16"/>
          <w:color w:val="auto"/>
        </w:rPr>
        <w:t>.</w:t>
      </w:r>
    </w:p>
    <w:p>
      <w:pPr>
        <w:spacing w:after="0" w:line="238" w:lineRule="exact"/>
        <w:rPr>
          <w:rFonts w:ascii="Times New Roman" w:cs="Times New Roman" w:eastAsia="Times New Roman" w:hAnsi="Times New Roman"/>
          <w:sz w:val="16"/>
          <w:szCs w:val="16"/>
          <w:color w:val="auto"/>
        </w:rPr>
      </w:pPr>
    </w:p>
    <w:p>
      <w:pPr>
        <w:jc w:val="both"/>
        <w:ind w:right="180" w:firstLine="1400"/>
        <w:spacing w:after="0" w:line="251" w:lineRule="auto"/>
        <w:tabs>
          <w:tab w:leader="none" w:pos="164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notice of a termination under subsections (a)(i) or (iii) is given orally, at the other party’s request, the party giving notice must provide written confirmation of such notice within five (5) business days of the request in compliance with the requirement of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below. In the event of a termination for Cause, written confirmation shall specify the subsection(s) of the definition of Cause relied on to support the decision to terminate.</w:t>
      </w:r>
    </w:p>
    <w:p>
      <w:pPr>
        <w:spacing w:after="0" w:line="182" w:lineRule="exact"/>
        <w:rPr>
          <w:sz w:val="20"/>
          <w:szCs w:val="20"/>
          <w:color w:val="auto"/>
        </w:rPr>
      </w:pPr>
    </w:p>
    <w:p>
      <w:pPr>
        <w:ind w:right="6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6.7 Cooperation with Company after Termination of Employment</w:t>
      </w:r>
      <w:r>
        <w:rPr>
          <w:rFonts w:ascii="Times New Roman" w:cs="Times New Roman" w:eastAsia="Times New Roman" w:hAnsi="Times New Roman"/>
          <w:sz w:val="18"/>
          <w:szCs w:val="18"/>
          <w:color w:val="auto"/>
        </w:rPr>
        <w:t>. Following termination of Executive’s employment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agrees to cooperate fully with the Company in connection with its actual or contemplated defense, prosecution, or investigation of any claims or demands by or against third parties, or other matters arising from events, acts, or failures to act that occurred during the period of Executive’s employment by the Company. Such cooperation includes, without limitation, making Executive available to the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580" w:top="265" w:right="599" w:bottom="1440" w:gutter="0" w:footer="0" w:header="0"/>
        </w:sectPr>
      </w:pPr>
    </w:p>
    <w:bookmarkStart w:id="554" w:name="page555"/>
    <w:bookmarkEnd w:id="554"/>
    <w:p>
      <w:pPr>
        <w:ind w:right="6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Company upon reasonable notice, without subpoena, to provide complete, truthful and accurate information in witness interviews, depositions and trial testimony, and the failure to provide complete, truthful, and accurate information shall be a material breach of this Agreement and a basis for rescinding or forfeiting the benefits described herein. In addition, for twelve (12) months after Executive’s employment with the Company ends for any reason, Executive agrees to cooperate fully with the Company in all matters relating to the transition of Executive’s work and responsibilities on behalf of the Company, including, but not limited to, any present, prior or subsequent relationships and the orderly transfer of any such work and institutional knowledge to such other persons as may be designated by the Company. The Company will reimburse Executive for reasonable out-of-pocket expenses Executive incurs in connection with any such cooperation (excluding forgone wages, salary, or other compensation) and will make reasonable efforts to accommodate Executive’s scheduling needs.</w:t>
      </w:r>
    </w:p>
    <w:p>
      <w:pPr>
        <w:spacing w:after="0" w:line="184" w:lineRule="exact"/>
        <w:rPr>
          <w:sz w:val="20"/>
          <w:szCs w:val="20"/>
          <w:color w:val="auto"/>
        </w:rPr>
      </w:pPr>
    </w:p>
    <w:p>
      <w:pPr>
        <w:ind w:firstLine="964"/>
        <w:spacing w:after="0" w:line="276" w:lineRule="auto"/>
        <w:rPr>
          <w:sz w:val="20"/>
          <w:szCs w:val="20"/>
          <w:color w:val="auto"/>
        </w:rPr>
      </w:pPr>
      <w:r>
        <w:rPr>
          <w:rFonts w:ascii="Times New Roman" w:cs="Times New Roman" w:eastAsia="Times New Roman" w:hAnsi="Times New Roman"/>
          <w:sz w:val="16"/>
          <w:szCs w:val="16"/>
          <w:b w:val="1"/>
          <w:bCs w:val="1"/>
          <w:color w:val="auto"/>
        </w:rPr>
        <w:t>6.8 Application of Section 409A</w:t>
      </w:r>
      <w:r>
        <w:rPr>
          <w:rFonts w:ascii="Times New Roman" w:cs="Times New Roman" w:eastAsia="Times New Roman" w:hAnsi="Times New Roman"/>
          <w:sz w:val="16"/>
          <w:szCs w:val="16"/>
          <w:color w:val="auto"/>
        </w:rPr>
        <w:t>. It is intended that all of the severance payments payable under this Agreement satisfy, to the greatest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extent possible, the exemptions from the application of Section 409A of the Code and the regulations and other guidance thereunder and any state law of similar effect (collectively, “</w:t>
      </w:r>
      <w:r>
        <w:rPr>
          <w:rFonts w:ascii="Times New Roman" w:cs="Times New Roman" w:eastAsia="Times New Roman" w:hAnsi="Times New Roman"/>
          <w:sz w:val="16"/>
          <w:szCs w:val="16"/>
          <w:b w:val="1"/>
          <w:bCs w:val="1"/>
          <w:i w:val="1"/>
          <w:iCs w:val="1"/>
          <w:color w:val="auto"/>
        </w:rPr>
        <w:t>Section 409A</w:t>
      </w:r>
      <w:r>
        <w:rPr>
          <w:rFonts w:ascii="Times New Roman" w:cs="Times New Roman" w:eastAsia="Times New Roman" w:hAnsi="Times New Roman"/>
          <w:sz w:val="16"/>
          <w:szCs w:val="16"/>
          <w:color w:val="auto"/>
        </w:rPr>
        <w:t>”)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will be made under this Agreement unless Executive’s termination of employment constitutes a “separation from service” (as defined under Treasury Regulation Section 1.409A-1(h)).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If the Company determines that the severance benefits provided under this Agreement constitutes “deferred compensation” under</w:t>
      </w:r>
    </w:p>
    <w:p>
      <w:pPr>
        <w:spacing w:after="0" w:line="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(such earlier date, the “</w:t>
      </w:r>
      <w:r>
        <w:rPr>
          <w:rFonts w:ascii="Times New Roman" w:cs="Times New Roman" w:eastAsia="Times New Roman" w:hAnsi="Times New Roman"/>
          <w:sz w:val="16"/>
          <w:szCs w:val="16"/>
          <w:b w:val="1"/>
          <w:bCs w:val="1"/>
          <w:i w:val="1"/>
          <w:iCs w:val="1"/>
          <w:color w:val="auto"/>
        </w:rPr>
        <w:t>Delayed Initial Payment Date</w:t>
      </w:r>
      <w:r>
        <w:rPr>
          <w:rFonts w:ascii="Times New Roman" w:cs="Times New Roman" w:eastAsia="Times New Roman" w:hAnsi="Times New Roman"/>
          <w:sz w:val="16"/>
          <w:szCs w:val="16"/>
          <w:color w:val="auto"/>
        </w:rPr>
        <w:t>”), the Company will</w:t>
      </w:r>
    </w:p>
    <w:p>
      <w:pPr>
        <w:ind w:right="160" w:firstLine="8"/>
        <w:spacing w:after="0" w:line="274" w:lineRule="auto"/>
        <w:tabs>
          <w:tab w:leader="none" w:pos="209" w:val="left"/>
        </w:tabs>
        <w:numPr>
          <w:ilvl w:val="0"/>
          <w:numId w:val="4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to Executive a lump sum amount equal to the sum of the severance benefits that Executive would otherwise have received through the Delayed Initial Payment Date if the commencement of the payment of the severance benefits had not been delayed pursuant to this Section 6.8 and</w:t>
      </w:r>
    </w:p>
    <w:p>
      <w:pPr>
        <w:jc w:val="both"/>
        <w:ind w:right="120" w:firstLine="8"/>
        <w:spacing w:after="0" w:line="285" w:lineRule="auto"/>
        <w:tabs>
          <w:tab w:leader="none" w:pos="258" w:val="left"/>
        </w:tabs>
        <w:numPr>
          <w:ilvl w:val="0"/>
          <w:numId w:val="4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 paying the balance of the severance benefits in accordance with the applicable payment schedule set forth in Section 6. No interest shall be due on any amounts deferred pursuant to this Section 6.8. To the extent that any Severance Benefits are deferred compensation under Section 409A of the Code and are not otherwise exempt from the application of Section 409A, then, if the period during which Executive may consider and sign the Release spans two calendar years, the payment of any such Severance Benefit will not be made or begin until the later calendar year.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00"/>
          </w:cols>
          <w:pgMar w:left="580" w:top="265" w:right="619" w:bottom="1440" w:gutter="0" w:footer="0" w:header="0"/>
        </w:sectPr>
      </w:pPr>
    </w:p>
    <w:bookmarkStart w:id="555" w:name="page556"/>
    <w:bookmarkEnd w:id="555"/>
    <w:p>
      <w:pPr>
        <w:ind w:firstLine="964"/>
        <w:spacing w:after="0" w:line="276"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6.9 Section 280G. </w:t>
      </w:r>
      <w:r>
        <w:rPr>
          <w:rFonts w:ascii="Times New Roman" w:cs="Times New Roman" w:eastAsia="Times New Roman" w:hAnsi="Times New Roman"/>
          <w:sz w:val="16"/>
          <w:szCs w:val="16"/>
          <w:color w:val="auto"/>
        </w:rPr>
        <w:t>Notwithstanding any other provision of this Agreement to the contrary, if payments made or benefits provided pursuant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this Agreement or otherwise from the Company or any person or entity are considered “parachute payments” under Section 280G of the Code, then such parachute payments will be limited to the greatest amount that may be paid to Executive under Section 280G of the Code without causing any loss of deduction to the Company Group under such section, but only if, by reason of such reduction, the net after tax benefit to Executive will exceed the net after tax benefit if such reduction were not made. “</w:t>
      </w:r>
      <w:r>
        <w:rPr>
          <w:rFonts w:ascii="Times New Roman" w:cs="Times New Roman" w:eastAsia="Times New Roman" w:hAnsi="Times New Roman"/>
          <w:sz w:val="16"/>
          <w:szCs w:val="16"/>
          <w:b w:val="1"/>
          <w:bCs w:val="1"/>
          <w:i w:val="1"/>
          <w:iCs w:val="1"/>
          <w:color w:val="auto"/>
        </w:rPr>
        <w:t>Net after tax benefit</w:t>
      </w:r>
      <w:r>
        <w:rPr>
          <w:rFonts w:ascii="Times New Roman" w:cs="Times New Roman" w:eastAsia="Times New Roman" w:hAnsi="Times New Roman"/>
          <w:sz w:val="16"/>
          <w:szCs w:val="16"/>
          <w:color w:val="auto"/>
        </w:rPr>
        <w:t>” for purposes of this Agreement will mean the sum of (i) the total amounts payable to the Executive under this Agreement, plus (ii) all other payments and benefits which the Executive receives or then is entitled to receive from the Company or otherwise that would constitute a “parachute payment” within the meaning of Section 280G of the Code, less (iii) the amount of federal and state income taxes payable with respect to the foregoing calculated at the maximum marginal income tax rate for each year in which the foregoing will be paid to Executive (based upon the rate in effect for such year as set forth in the Code at the time of termination of Executive’s employment), less</w:t>
      </w:r>
    </w:p>
    <w:p>
      <w:pPr>
        <w:spacing w:after="0" w:line="6" w:lineRule="exact"/>
        <w:rPr>
          <w:sz w:val="20"/>
          <w:szCs w:val="20"/>
          <w:color w:val="auto"/>
        </w:rPr>
      </w:pPr>
    </w:p>
    <w:p>
      <w:pPr>
        <w:ind w:right="40" w:firstLine="8"/>
        <w:spacing w:after="0" w:line="277" w:lineRule="auto"/>
        <w:tabs>
          <w:tab w:leader="none" w:pos="296" w:val="left"/>
        </w:tabs>
        <w:numPr>
          <w:ilvl w:val="0"/>
          <w:numId w:val="4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excise taxes imposed with respect to the payments and benefits described in (i) and (ii) above by Section 4999 of the Code. The determination as to whether and to what extent payments are required to be reduced in accordance with this Section 6.9 will be made at the Company’s expense by a nationally recognized certified public accounting firm as may be designated by the Company prior to a change in control (the “</w:t>
      </w:r>
      <w:r>
        <w:rPr>
          <w:rFonts w:ascii="Times New Roman" w:cs="Times New Roman" w:eastAsia="Times New Roman" w:hAnsi="Times New Roman"/>
          <w:sz w:val="16"/>
          <w:szCs w:val="16"/>
          <w:b w:val="1"/>
          <w:bCs w:val="1"/>
          <w:i w:val="1"/>
          <w:iCs w:val="1"/>
          <w:color w:val="auto"/>
        </w:rPr>
        <w:t>Accounting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Firm</w:t>
      </w:r>
      <w:r>
        <w:rPr>
          <w:rFonts w:ascii="Times New Roman" w:cs="Times New Roman" w:eastAsia="Times New Roman" w:hAnsi="Times New Roman"/>
          <w:sz w:val="16"/>
          <w:szCs w:val="16"/>
          <w:color w:val="auto"/>
        </w:rPr>
        <w:t>”). In the event of any mistaken underpayment or overpayment under this Agreement, as determined by the Accounting Firm, the amount of such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underpayment or overpayment will forthwith be paid to Executive or refunded to the Company, as the case may be, with interest at one hundred twenty (120%) of the applicable Federal rate provided for in Section 7872(f)(2) of the Code. Any reduction in payments required by this Section 6.9 will occur in the following order: (1) any cash severance, (2) any other cash amount payable to Executive, (3) any benefit valued as a “parachute payment,” (4) the acceleration of vesting of any equity awards that are options, and (5) the acceleration of vesting of any other equity awards. Within any such category of payments and benefits, a reduction will occur first with respect to amounts that are not “deferred compensation” within the meaning of Section 409A and then with respect to amounts that are. In the event that acceleration of compensation from equity awards is to be reduced, such acceleration of vesting will be canceled, subject to the immediately preceding sentence, in the reverse order of the date of grant.</w:t>
      </w:r>
    </w:p>
    <w:p>
      <w:pPr>
        <w:spacing w:after="0" w:line="377" w:lineRule="exact"/>
        <w:rPr>
          <w:rFonts w:ascii="Times New Roman" w:cs="Times New Roman" w:eastAsia="Times New Roman" w:hAnsi="Times New Roman"/>
          <w:sz w:val="16"/>
          <w:szCs w:val="16"/>
          <w:color w:val="auto"/>
        </w:rPr>
      </w:pPr>
    </w:p>
    <w:p>
      <w:pPr>
        <w:ind w:left="620" w:hanging="184"/>
        <w:spacing w:after="0"/>
        <w:tabs>
          <w:tab w:leader="none" w:pos="620" w:val="left"/>
        </w:tabs>
        <w:numPr>
          <w:ilvl w:val="1"/>
          <w:numId w:val="4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7.1 Notices</w:t>
      </w:r>
      <w:r>
        <w:rPr>
          <w:rFonts w:ascii="Times New Roman" w:cs="Times New Roman" w:eastAsia="Times New Roman" w:hAnsi="Times New Roman"/>
          <w:sz w:val="18"/>
          <w:szCs w:val="18"/>
          <w:color w:val="auto"/>
        </w:rPr>
        <w:t>. Any notices required hereunder to be in writing shall be deemed effectively given: (a) upon personal delivery to the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primary office location and to Executive at either Executive’s address as listed on the Company payroll, or Executive’s Company-issued email address, or at such other address as the Company or Executive may designate by ten (10) days advance written notice to the other.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20"/>
          </w:cols>
          <w:pgMar w:left="580" w:top="263" w:right="599" w:bottom="1440" w:gutter="0" w:footer="0" w:header="0"/>
        </w:sectPr>
      </w:pPr>
    </w:p>
    <w:bookmarkStart w:id="556" w:name="page557"/>
    <w:bookmarkEnd w:id="556"/>
    <w:p>
      <w:pPr>
        <w:ind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7.2 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81" w:lineRule="exact"/>
        <w:rPr>
          <w:sz w:val="20"/>
          <w:szCs w:val="20"/>
          <w:color w:val="auto"/>
        </w:rPr>
      </w:pPr>
    </w:p>
    <w:p>
      <w:pPr>
        <w:ind w:right="1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7.3 Survival</w:t>
      </w:r>
      <w:r>
        <w:rPr>
          <w:rFonts w:ascii="Times New Roman" w:cs="Times New Roman" w:eastAsia="Times New Roman" w:hAnsi="Times New Roman"/>
          <w:sz w:val="18"/>
          <w:szCs w:val="18"/>
          <w:color w:val="auto"/>
        </w:rPr>
        <w:t>. Provisions of this Agreement which by their terms must survive the termination of this Agreement in order to effectuate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intent of the parties will survive any such termination for such period as may be appropriate under the circumstances.</w:t>
      </w:r>
    </w:p>
    <w:p>
      <w:pPr>
        <w:spacing w:after="0" w:line="164" w:lineRule="exact"/>
        <w:rPr>
          <w:sz w:val="20"/>
          <w:szCs w:val="20"/>
          <w:color w:val="auto"/>
        </w:rPr>
      </w:pPr>
    </w:p>
    <w:p>
      <w:pPr>
        <w:ind w:right="26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7.4 Waiver</w:t>
      </w:r>
      <w:r>
        <w:rPr>
          <w:rFonts w:ascii="Times New Roman" w:cs="Times New Roman" w:eastAsia="Times New Roman" w:hAnsi="Times New Roman"/>
          <w:sz w:val="18"/>
          <w:szCs w:val="18"/>
          <w:color w:val="auto"/>
        </w:rPr>
        <w:t>. If either party should waive any breach of any provisions of this Agreement, it shall not thereby be deemed to have waived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preceding or succeeding breach of the same or any other provision of this Agreement.</w:t>
      </w:r>
    </w:p>
    <w:p>
      <w:pPr>
        <w:spacing w:after="0" w:line="164" w:lineRule="exact"/>
        <w:rPr>
          <w:sz w:val="20"/>
          <w:szCs w:val="20"/>
          <w:color w:val="auto"/>
        </w:rPr>
      </w:pPr>
    </w:p>
    <w:p>
      <w:pPr>
        <w:ind w:right="100" w:firstLine="964"/>
        <w:spacing w:after="0" w:line="282" w:lineRule="auto"/>
        <w:rPr>
          <w:sz w:val="20"/>
          <w:szCs w:val="20"/>
          <w:color w:val="auto"/>
        </w:rPr>
      </w:pPr>
      <w:r>
        <w:rPr>
          <w:rFonts w:ascii="Times New Roman" w:cs="Times New Roman" w:eastAsia="Times New Roman" w:hAnsi="Times New Roman"/>
          <w:sz w:val="16"/>
          <w:szCs w:val="16"/>
          <w:b w:val="1"/>
          <w:bCs w:val="1"/>
          <w:color w:val="auto"/>
        </w:rPr>
        <w:t>7.5 Complete Agreement</w:t>
      </w:r>
      <w:r>
        <w:rPr>
          <w:rFonts w:ascii="Times New Roman" w:cs="Times New Roman" w:eastAsia="Times New Roman" w:hAnsi="Times New Roman"/>
          <w:sz w:val="16"/>
          <w:szCs w:val="16"/>
          <w:color w:val="auto"/>
        </w:rPr>
        <w:t>. This Agreement constitutes the entire agreement between Executive and the Company with regard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 except in writing signed by Executive and an authorized officer of the Company. The parties have entered into a separate Proprietary Information Agreement and have or may enter into separate agreements related to equity.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spacing w:after="0" w:line="161" w:lineRule="exact"/>
        <w:rPr>
          <w:sz w:val="20"/>
          <w:szCs w:val="20"/>
          <w:color w:val="auto"/>
        </w:rPr>
      </w:pPr>
    </w:p>
    <w:p>
      <w:pPr>
        <w:ind w:right="14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7.6 Counterparts</w:t>
      </w:r>
      <w:r>
        <w:rPr>
          <w:rFonts w:ascii="Times New Roman" w:cs="Times New Roman" w:eastAsia="Times New Roman" w:hAnsi="Times New Roman"/>
          <w:sz w:val="18"/>
          <w:szCs w:val="18"/>
          <w:color w:val="auto"/>
        </w:rPr>
        <w:t>. This Agreement may be executed in separate counterparts, any one of which need not contain signatures of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party, but all of which taken together will constitute one and the same Agreement. The parties agree that facsimile and scanned image copies of signatures will suffice as original signatures.</w:t>
      </w:r>
    </w:p>
    <w:p>
      <w:pPr>
        <w:spacing w:after="0" w:line="178" w:lineRule="exact"/>
        <w:rPr>
          <w:sz w:val="20"/>
          <w:szCs w:val="20"/>
          <w:color w:val="auto"/>
        </w:rPr>
      </w:pPr>
    </w:p>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7.7 Withholding Taxes. </w:t>
      </w:r>
      <w:r>
        <w:rPr>
          <w:rFonts w:ascii="Times New Roman" w:cs="Times New Roman" w:eastAsia="Times New Roman" w:hAnsi="Times New Roman"/>
          <w:sz w:val="18"/>
          <w:szCs w:val="18"/>
          <w:color w:val="auto"/>
        </w:rPr>
        <w:t>The Company will be entitled to withhold from any payment due to Executive hereunder any amounts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withheld by applicable tax laws or regulations.</w:t>
      </w:r>
    </w:p>
    <w:p>
      <w:pPr>
        <w:spacing w:after="0" w:line="164" w:lineRule="exact"/>
        <w:rPr>
          <w:sz w:val="20"/>
          <w:szCs w:val="20"/>
          <w:color w:val="auto"/>
        </w:rPr>
      </w:pPr>
    </w:p>
    <w:p>
      <w:pPr>
        <w:ind w:right="28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7.8 Headings</w:t>
      </w:r>
      <w:r>
        <w:rPr>
          <w:rFonts w:ascii="Times New Roman" w:cs="Times New Roman" w:eastAsia="Times New Roman" w:hAnsi="Times New Roman"/>
          <w:sz w:val="18"/>
          <w:szCs w:val="18"/>
          <w:color w:val="auto"/>
        </w:rPr>
        <w:t>. The headings of the sections hereof are inserted for convenience only and shall not be deemed to constitute a part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to affect the meaning thereof.</w:t>
      </w:r>
    </w:p>
    <w:p>
      <w:pPr>
        <w:spacing w:after="0" w:line="164" w:lineRule="exact"/>
        <w:rPr>
          <w:sz w:val="20"/>
          <w:szCs w:val="20"/>
          <w:color w:val="auto"/>
        </w:rPr>
      </w:pPr>
    </w:p>
    <w:p>
      <w:pPr>
        <w:ind w:right="100" w:firstLine="964"/>
        <w:spacing w:after="0" w:line="248" w:lineRule="auto"/>
        <w:rPr>
          <w:sz w:val="20"/>
          <w:szCs w:val="20"/>
          <w:color w:val="auto"/>
        </w:rPr>
      </w:pPr>
      <w:r>
        <w:rPr>
          <w:rFonts w:ascii="Times New Roman" w:cs="Times New Roman" w:eastAsia="Times New Roman" w:hAnsi="Times New Roman"/>
          <w:sz w:val="18"/>
          <w:szCs w:val="18"/>
          <w:b w:val="1"/>
          <w:bCs w:val="1"/>
          <w:color w:val="auto"/>
        </w:rPr>
        <w:t>7.9 Successors and Assigns</w:t>
      </w:r>
      <w:r>
        <w:rPr>
          <w:rFonts w:ascii="Times New Roman" w:cs="Times New Roman" w:eastAsia="Times New Roman" w:hAnsi="Times New Roman"/>
          <w:sz w:val="18"/>
          <w:szCs w:val="18"/>
          <w:color w:val="auto"/>
        </w:rPr>
        <w:t>. The Company shall assign this Agreement and its rights and obligations hereunder in whole, but not in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his estate upon his death.</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20"/>
          </w:cols>
          <w:pgMar w:left="580" w:top="263" w:right="599" w:bottom="1440" w:gutter="0" w:footer="0" w:header="0"/>
        </w:sectPr>
      </w:pPr>
    </w:p>
    <w:bookmarkStart w:id="557" w:name="page558"/>
    <w:bookmarkEnd w:id="557"/>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7.10 Choice of Law</w:t>
      </w:r>
      <w:r>
        <w:rPr>
          <w:rFonts w:ascii="Times New Roman" w:cs="Times New Roman" w:eastAsia="Times New Roman" w:hAnsi="Times New Roman"/>
          <w:sz w:val="18"/>
          <w:szCs w:val="18"/>
          <w:color w:val="auto"/>
        </w:rPr>
        <w:t>. All questions concerning the construction, validity and interpretation of this Agreement will be governed by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w:t>
      </w:r>
    </w:p>
    <w:p>
      <w:pPr>
        <w:spacing w:after="0" w:line="164" w:lineRule="exact"/>
        <w:rPr>
          <w:sz w:val="20"/>
          <w:szCs w:val="20"/>
          <w:color w:val="auto"/>
        </w:rPr>
      </w:pPr>
    </w:p>
    <w:p>
      <w:pPr>
        <w:ind w:firstLine="964"/>
        <w:spacing w:after="0" w:line="277" w:lineRule="auto"/>
        <w:rPr>
          <w:sz w:val="20"/>
          <w:szCs w:val="20"/>
          <w:color w:val="auto"/>
        </w:rPr>
      </w:pPr>
      <w:r>
        <w:rPr>
          <w:rFonts w:ascii="Times New Roman" w:cs="Times New Roman" w:eastAsia="Times New Roman" w:hAnsi="Times New Roman"/>
          <w:sz w:val="16"/>
          <w:szCs w:val="16"/>
          <w:b w:val="1"/>
          <w:bCs w:val="1"/>
          <w:color w:val="auto"/>
        </w:rPr>
        <w:t>7.11 Dispute Resolution</w:t>
      </w:r>
      <w:r>
        <w:rPr>
          <w:rFonts w:ascii="Times New Roman" w:cs="Times New Roman" w:eastAsia="Times New Roman" w:hAnsi="Times New Roman"/>
          <w:sz w:val="16"/>
          <w:szCs w:val="16"/>
          <w:color w:val="auto"/>
        </w:rPr>
        <w:t>. The parties recognize that litigation in federal or state courts or before federal or state administrative agencies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disputes arising out of the Executive’s employment with the Company or out of this Agreement, or the Executive’s termination of employment or termination of this Agreement, may not be in the best interests of either the Executive or the Company,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this dispute resolution provision shall not apply to any separate agreements between the parties that do not themselves specify arbitration as an exclusive remedy. The location for the arbitration shall be the Chicago, Illinois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at the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w:t>
      </w:r>
      <w:r>
        <w:rPr>
          <w:rFonts w:ascii="Times New Roman" w:cs="Times New Roman" w:eastAsia="Times New Roman" w:hAnsi="Times New Roman"/>
          <w:sz w:val="16"/>
          <w:szCs w:val="16"/>
          <w:b w:val="1"/>
          <w:bCs w:val="1"/>
          <w:color w:val="auto"/>
        </w:rPr>
        <w:t>exclusive remedy</w:t>
      </w:r>
      <w:r>
        <w:rPr>
          <w:rFonts w:ascii="Times New Roman" w:cs="Times New Roman" w:eastAsia="Times New Roman" w:hAnsi="Times New Roman"/>
          <w:sz w:val="16"/>
          <w:szCs w:val="16"/>
          <w:color w:val="auto"/>
        </w:rPr>
        <w:t xml:space="preserve">, and each party expressly waives any right it might have to seek redress in any other forum, except as otherwise expressly provided in this Agreement. By electing arbitration as the means for final settlement of all claims,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parties hereby waive their respective 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SIGNATURES TO FOLLOW ON NEXT PAGE</w:t>
      </w:r>
      <w:r>
        <w:rPr>
          <w:rFonts w:ascii="Times New Roman" w:cs="Times New Roman" w:eastAsia="Times New Roman" w:hAnsi="Times New Roman"/>
          <w:sz w:val="18"/>
          <w:szCs w:val="18"/>
          <w:b w:val="1"/>
          <w:bCs w:val="1"/>
          <w:color w:val="auto"/>
        </w:rPr>
        <w: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00"/>
          </w:cols>
          <w:pgMar w:left="580" w:top="263" w:right="619" w:bottom="1440" w:gutter="0" w:footer="0" w:header="0"/>
        </w:sectPr>
      </w:pPr>
    </w:p>
    <w:bookmarkStart w:id="558" w:name="page559"/>
    <w:bookmarkEnd w:id="55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have duly executed this Agreement as of the date first above written.</w:t>
      </w:r>
    </w:p>
    <w:p>
      <w:pPr>
        <w:spacing w:after="0" w:line="23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Andy Polovin</w:t>
      </w:r>
    </w:p>
    <w:p>
      <w:pPr>
        <w:spacing w:after="0" w:line="3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Andy Polovin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4001770</wp:posOffset>
            </wp:positionH>
            <wp:positionV relativeFrom="paragraph">
              <wp:posOffset>-130175</wp:posOffset>
            </wp:positionV>
            <wp:extent cx="252603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ind w:left="6360"/>
        <w:spacing w:after="0"/>
        <w:rPr>
          <w:sz w:val="20"/>
          <w:szCs w:val="20"/>
          <w:color w:val="auto"/>
        </w:rPr>
      </w:pPr>
      <w:r>
        <w:rPr>
          <w:rFonts w:ascii="Times New Roman" w:cs="Times New Roman" w:eastAsia="Times New Roman" w:hAnsi="Times New Roman"/>
          <w:sz w:val="16"/>
          <w:szCs w:val="16"/>
          <w:color w:val="auto"/>
        </w:rPr>
        <w:t>Title: General Counsel</w:t>
      </w:r>
    </w:p>
    <w:p>
      <w:pPr>
        <w:spacing w:after="0" w:line="2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Erik Phelps</w:t>
      </w:r>
    </w:p>
    <w:p>
      <w:pPr>
        <w:spacing w:after="0" w:line="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Erik Phelps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-130175</wp:posOffset>
            </wp:positionV>
            <wp:extent cx="271780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ectPr>
          <w:pgSz w:w="11900" w:h="16838" w:orient="portrait"/>
          <w:cols w:equalWidth="0" w:num="1">
            <w:col w:w="9439"/>
          </w:cols>
          <w:pgMar w:left="1020" w:top="263" w:right="1440" w:bottom="1440" w:gutter="0" w:footer="0" w:header="0"/>
        </w:sectPr>
      </w:pPr>
    </w:p>
    <w:bookmarkStart w:id="559" w:name="page560"/>
    <w:bookmarkEnd w:id="559"/>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11" w:lineRule="exact"/>
        <w:rPr>
          <w:sz w:val="20"/>
          <w:szCs w:val="20"/>
          <w:color w:val="auto"/>
        </w:rPr>
      </w:pPr>
    </w:p>
    <w:p>
      <w:pPr>
        <w:ind w:right="60" w:firstLine="428"/>
        <w:spacing w:after="0" w:line="27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dated as of January 1, 2022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by and between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YAN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UKUSHIMA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right="14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desires to employ Executive as Chief Operating Officer and provide Executive with certain compensation and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return for Executive’s services, and Executive agrees to be employed by the Company in such capacity and to receive the compensation and benefits on the terms and conditions set forth herein; and</w:t>
      </w:r>
    </w:p>
    <w:p>
      <w:pPr>
        <w:spacing w:after="0" w:line="176" w:lineRule="exact"/>
        <w:rPr>
          <w:sz w:val="20"/>
          <w:szCs w:val="20"/>
          <w:color w:val="auto"/>
        </w:rPr>
      </w:pPr>
    </w:p>
    <w:p>
      <w:pPr>
        <w:ind w:right="300" w:firstLine="428"/>
        <w:spacing w:after="0" w:line="25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and Executive desire to enter into this Employment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become effective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Executive’s signature below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in order to memorialize the terms and conditions of Executive’s employment by the Company upon and following the Effective Date.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mutual promises and covenants contained herein, the parties agree to the following:</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 Employment by the Company.</w:t>
      </w:r>
    </w:p>
    <w:p>
      <w:pPr>
        <w:spacing w:after="0" w:line="213" w:lineRule="exact"/>
        <w:rPr>
          <w:sz w:val="20"/>
          <w:szCs w:val="20"/>
          <w:color w:val="auto"/>
        </w:rPr>
      </w:pPr>
    </w:p>
    <w:p>
      <w:pPr>
        <w:ind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1.1 Position</w:t>
      </w:r>
      <w:r>
        <w:rPr>
          <w:rFonts w:ascii="Times New Roman" w:cs="Times New Roman" w:eastAsia="Times New Roman" w:hAnsi="Times New Roman"/>
          <w:sz w:val="18"/>
          <w:szCs w:val="18"/>
          <w:color w:val="auto"/>
        </w:rPr>
        <w:t>. Subject to the terms set forth herein, the Company agrees to employ Executive in the position of Chief Operating Officer,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hereby accepts such continued employment on the terms and conditions set forth in this Agreement.</w:t>
      </w:r>
    </w:p>
    <w:p>
      <w:pPr>
        <w:spacing w:after="0" w:line="162" w:lineRule="exact"/>
        <w:rPr>
          <w:sz w:val="20"/>
          <w:szCs w:val="20"/>
          <w:color w:val="auto"/>
        </w:rPr>
      </w:pPr>
    </w:p>
    <w:p>
      <w:pPr>
        <w:ind w:right="60" w:firstLine="964"/>
        <w:spacing w:after="0" w:line="249" w:lineRule="auto"/>
        <w:rPr>
          <w:sz w:val="20"/>
          <w:szCs w:val="20"/>
          <w:color w:val="auto"/>
        </w:rPr>
      </w:pPr>
      <w:r>
        <w:rPr>
          <w:rFonts w:ascii="Times New Roman" w:cs="Times New Roman" w:eastAsia="Times New Roman" w:hAnsi="Times New Roman"/>
          <w:sz w:val="18"/>
          <w:szCs w:val="18"/>
          <w:b w:val="1"/>
          <w:bCs w:val="1"/>
          <w:color w:val="auto"/>
        </w:rPr>
        <w:t>1.2 Duties</w:t>
      </w:r>
      <w:r>
        <w:rPr>
          <w:rFonts w:ascii="Times New Roman" w:cs="Times New Roman" w:eastAsia="Times New Roman" w:hAnsi="Times New Roman"/>
          <w:sz w:val="18"/>
          <w:szCs w:val="18"/>
          <w:color w:val="auto"/>
        </w:rPr>
        <w:t>. As Chief Operating Officer, Executive will report to the Chief Executive Officer (the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and such other individual(s)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assigned, performing such duties as are normally associated with Executive’s position and such duties as are assigned to Executive from time to time, subject to the oversight and direction of the CEO. During the term of Executive’s employment with the Company, Executive will work on a full-time basis for the Company and will devote Executive’s best efforts and substantially all of Executive’s business time and attention to the business of the Company. Executive shall perform Executive’s duties under this Agreement principally out of the Company’s facility in Chicago. In addition, Executive shall make such business trips to such places as may be necessary or advisable for the efficient operations of the Company.</w:t>
      </w:r>
    </w:p>
    <w:p>
      <w:pPr>
        <w:spacing w:after="0" w:line="184"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1.3 Company Policies and Benefits</w:t>
      </w:r>
      <w:r>
        <w:rPr>
          <w:rFonts w:ascii="Times New Roman" w:cs="Times New Roman" w:eastAsia="Times New Roman" w:hAnsi="Times New Roman"/>
          <w:sz w:val="18"/>
          <w:szCs w:val="18"/>
          <w:color w:val="auto"/>
        </w:rPr>
        <w:t>. The employment relationship between the parties shall also be subject to the Company’s personnel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and procedures as they may be interpreted, adopted, revised or deleted from time to time in the Company’s sole discretion. Executive will be eligible to participate on the same basis as similarly 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119" w:right="599" w:bottom="1440" w:gutter="0" w:footer="0" w:header="0"/>
        </w:sectPr>
      </w:pPr>
    </w:p>
    <w:bookmarkStart w:id="560" w:name="page561"/>
    <w:bookmarkEnd w:id="560"/>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 Compensation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4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2.1 Salary</w:t>
      </w:r>
      <w:r>
        <w:rPr>
          <w:rFonts w:ascii="Times New Roman" w:cs="Times New Roman" w:eastAsia="Times New Roman" w:hAnsi="Times New Roman"/>
          <w:sz w:val="18"/>
          <w:szCs w:val="18"/>
          <w:color w:val="auto"/>
        </w:rPr>
        <w:t>. Executive shall receive for Executive’s services to be rendered under this Agreement an initial base salary of</w:t>
      </w:r>
      <w:r>
        <w:rPr>
          <w:rFonts w:ascii="Times New Roman" w:cs="Times New Roman" w:eastAsia="Times New Roman" w:hAnsi="Times New Roman"/>
          <w:sz w:val="18"/>
          <w:szCs w:val="18"/>
          <w:b w:val="1"/>
          <w:bCs w:val="1"/>
          <w:color w:val="auto"/>
        </w:rPr>
        <w:t xml:space="preserve"> $500,000 </w:t>
      </w:r>
      <w:r>
        <w:rPr>
          <w:rFonts w:ascii="Times New Roman" w:cs="Times New Roman" w:eastAsia="Times New Roman" w:hAnsi="Times New Roman"/>
          <w:sz w:val="18"/>
          <w:szCs w:val="18"/>
          <w:color w:val="auto"/>
        </w:rPr>
        <w:t>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annualized basis, subject to review and adjustment by the Company in its sole discretion, payable subject to standard federal and state payroll withholding requirements in accordance with the Company’s standard payroll practices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2.2 Equity Incentive Plan. </w:t>
      </w:r>
      <w:r>
        <w:rPr>
          <w:rFonts w:ascii="Times New Roman" w:cs="Times New Roman" w:eastAsia="Times New Roman" w:hAnsi="Times New Roman"/>
          <w:sz w:val="18"/>
          <w:szCs w:val="18"/>
          <w:color w:val="auto"/>
        </w:rPr>
        <w:t>During the term of Executive’s employment with the Company, Executive will be eligible to participate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then-current equity incentive plan as may be in effect from time to time and made available to similarly situated executive employees, subject to the terms of the associated plan documents and as determined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in its sole discretion from time to time. The Company reserves the right to modify or terminate its incentive programs at any time in its sole discretion.</w:t>
      </w:r>
    </w:p>
    <w:p>
      <w:pPr>
        <w:spacing w:after="0" w:line="181" w:lineRule="exact"/>
        <w:rPr>
          <w:sz w:val="20"/>
          <w:szCs w:val="20"/>
          <w:color w:val="auto"/>
        </w:rPr>
      </w:pPr>
    </w:p>
    <w:p>
      <w:pPr>
        <w:ind w:firstLine="964"/>
        <w:spacing w:after="0" w:line="283" w:lineRule="auto"/>
        <w:rPr>
          <w:sz w:val="20"/>
          <w:szCs w:val="20"/>
          <w:color w:val="auto"/>
        </w:rPr>
      </w:pPr>
      <w:r>
        <w:rPr>
          <w:rFonts w:ascii="Times New Roman" w:cs="Times New Roman" w:eastAsia="Times New Roman" w:hAnsi="Times New Roman"/>
          <w:sz w:val="16"/>
          <w:szCs w:val="16"/>
          <w:b w:val="1"/>
          <w:bCs w:val="1"/>
          <w:color w:val="auto"/>
        </w:rPr>
        <w:t>2.3 Expense Reimbursement</w:t>
      </w:r>
      <w:r>
        <w:rPr>
          <w:rFonts w:ascii="Times New Roman" w:cs="Times New Roman" w:eastAsia="Times New Roman" w:hAnsi="Times New Roman"/>
          <w:sz w:val="16"/>
          <w:szCs w:val="16"/>
          <w:color w:val="auto"/>
        </w:rPr>
        <w:t>. The Company will reimburse Executive for reasonable business expenses in accordance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Company’s standard expense reimbursement policy, including an agreed housing allowance, as the same may be modified by the Company from time to time. The Company shall reimburse Executive for all customary and appropriate business-related expenses actually incurred and documented in accordance with Company policy, as in effect from time to time. For the avoidance of doubt, to the extent that any reimbursements payable to Executive are subject to the provisions of Section 409A of the Code: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62" w:lineRule="exact"/>
        <w:rPr>
          <w:sz w:val="20"/>
          <w:szCs w:val="20"/>
          <w:color w:val="auto"/>
        </w:rPr>
      </w:pPr>
    </w:p>
    <w:p>
      <w:pPr>
        <w:jc w:val="both"/>
        <w:ind w:right="20" w:firstLine="436"/>
        <w:spacing w:after="0" w:line="293" w:lineRule="auto"/>
        <w:tabs>
          <w:tab w:leader="none" w:pos="603" w:val="left"/>
        </w:tabs>
        <w:numPr>
          <w:ilvl w:val="0"/>
          <w:numId w:val="4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Confidentiality, Intellectual Property, and Protective Covenants Agreement. </w:t>
      </w:r>
      <w:r>
        <w:rPr>
          <w:rFonts w:ascii="Times New Roman" w:cs="Times New Roman" w:eastAsia="Times New Roman" w:hAnsi="Times New Roman"/>
          <w:sz w:val="16"/>
          <w:szCs w:val="16"/>
          <w:color w:val="auto"/>
        </w:rPr>
        <w:t>As a condition of continued employment, Executive agreed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execute and abide by a Confidentiality, Intellectual Property, and Protective Covenants Agreement (“</w:t>
      </w:r>
      <w:r>
        <w:rPr>
          <w:rFonts w:ascii="Times New Roman" w:cs="Times New Roman" w:eastAsia="Times New Roman" w:hAnsi="Times New Roman"/>
          <w:sz w:val="16"/>
          <w:szCs w:val="16"/>
          <w:b w:val="1"/>
          <w:bCs w:val="1"/>
          <w:i w:val="1"/>
          <w:iCs w:val="1"/>
          <w:color w:val="auto"/>
        </w:rPr>
        <w:t>Proprietary Information Agreement</w:t>
      </w:r>
      <w:r>
        <w:rPr>
          <w:rFonts w:ascii="Times New Roman" w:cs="Times New Roman" w:eastAsia="Times New Roman" w:hAnsi="Times New Roman"/>
          <w:sz w:val="16"/>
          <w:szCs w:val="16"/>
          <w:color w:val="auto"/>
        </w:rPr>
        <w:t>”), which may be amended by the parties from time to time without regard to this Agreement. The Proprietary Information Agreement contains provisions that are intended by the parties to survive and do survive termination of this Agreement, and such terms are hereby incorporated by reference.</w:t>
      </w:r>
    </w:p>
    <w:p>
      <w:pPr>
        <w:spacing w:after="0" w:line="151" w:lineRule="exact"/>
        <w:rPr>
          <w:rFonts w:ascii="Times New Roman" w:cs="Times New Roman" w:eastAsia="Times New Roman" w:hAnsi="Times New Roman"/>
          <w:sz w:val="16"/>
          <w:szCs w:val="16"/>
          <w:b w:val="1"/>
          <w:bCs w:val="1"/>
          <w:color w:val="auto"/>
        </w:rPr>
      </w:pPr>
    </w:p>
    <w:p>
      <w:pPr>
        <w:ind w:left="620" w:hanging="184"/>
        <w:spacing w:after="0"/>
        <w:tabs>
          <w:tab w:leader="none" w:pos="620" w:val="left"/>
        </w:tabs>
        <w:numPr>
          <w:ilvl w:val="0"/>
          <w:numId w:val="4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Outside Activities during Employment</w:t>
      </w:r>
      <w:r>
        <w:rPr>
          <w:rFonts w:ascii="Times New Roman" w:cs="Times New Roman" w:eastAsia="Times New Roman" w:hAnsi="Times New Roman"/>
          <w:sz w:val="18"/>
          <w:szCs w:val="18"/>
          <w:color w:val="auto"/>
        </w:rPr>
        <w:t>. The parties acknowledge and agree that Executive is also a co-founder of Pathos, AI, Inc., an</w:t>
      </w:r>
    </w:p>
    <w:p>
      <w:pPr>
        <w:spacing w:after="0" w:line="23"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6"/>
          <w:szCs w:val="16"/>
          <w:color w:val="auto"/>
        </w:rPr>
        <w:t xml:space="preserve">AI-enabled drug development company that has entered into an agreement with the Company, and Executive may devote </w:t>
      </w:r>
      <w:r>
        <w:rPr>
          <w:rFonts w:ascii="Times New Roman" w:cs="Times New Roman" w:eastAsia="Times New Roman" w:hAnsi="Times New Roman"/>
          <w:sz w:val="16"/>
          <w:szCs w:val="16"/>
          <w:i w:val="1"/>
          <w:iCs w:val="1"/>
          <w:color w:val="auto"/>
        </w:rPr>
        <w:t>de minimus</w:t>
      </w:r>
      <w:r>
        <w:rPr>
          <w:rFonts w:ascii="Times New Roman" w:cs="Times New Roman" w:eastAsia="Times New Roman" w:hAnsi="Times New Roman"/>
          <w:sz w:val="16"/>
          <w:szCs w:val="16"/>
          <w:color w:val="auto"/>
        </w:rPr>
        <w:t xml:space="preserve"> working time to Pathos. Except as otherwise stated herein, Executive will not, while employed by the Company, undertake or engage in any other employment, occupation or business enterprise that would interfere with Executive’s responsibilities and the performance of Executive’s duties hereunder except for</w:t>
      </w:r>
    </w:p>
    <w:p>
      <w:pPr>
        <w:ind w:right="20" w:firstLine="8"/>
        <w:spacing w:after="0" w:line="244" w:lineRule="auto"/>
        <w:tabs>
          <w:tab w:leader="none" w:pos="209"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and (iii) such other activities as may be specifically approved by the Board. This restriction shall not, however, preclude Executive (x) from owning less than one percent (1%) of the total outstanding shares of a publicly traded company, or (y) from employment or service in any capacity with Affiliates of the Company. As used in this Agreement, “</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means an entity under common management or control with the Company.</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80"/>
          </w:cols>
          <w:pgMar w:left="580" w:top="263" w:right="639" w:bottom="1440" w:gutter="0" w:footer="0" w:header="0"/>
        </w:sectPr>
      </w:pPr>
    </w:p>
    <w:bookmarkStart w:id="561" w:name="page562"/>
    <w:bookmarkEnd w:id="561"/>
    <w:p>
      <w:pPr>
        <w:ind w:left="-20" w:right="20" w:firstLine="436"/>
        <w:spacing w:after="0" w:line="252" w:lineRule="auto"/>
        <w:tabs>
          <w:tab w:leader="none" w:pos="583" w:val="left"/>
        </w:tabs>
        <w:numPr>
          <w:ilvl w:val="0"/>
          <w:numId w:val="4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8040" cy="36830"/>
                    </a:xfrm>
                    <a:prstGeom prst="rect">
                      <a:avLst/>
                    </a:prstGeom>
                    <a:noFill/>
                  </pic:spPr>
                </pic:pic>
              </a:graphicData>
            </a:graphic>
          </wp:anchor>
        </w:drawing>
        <w:t>No Conflict with Existing Obligations</w:t>
      </w:r>
      <w:r>
        <w:rPr>
          <w:rFonts w:ascii="Times New Roman" w:cs="Times New Roman" w:eastAsia="Times New Roman" w:hAnsi="Times New Roman"/>
          <w:sz w:val="18"/>
          <w:szCs w:val="18"/>
          <w:color w:val="auto"/>
        </w:rPr>
        <w:t>. Executive represents that Executive’s performance of all the terms of this Agreement does not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80" w:lineRule="exact"/>
        <w:rPr>
          <w:rFonts w:ascii="Times New Roman" w:cs="Times New Roman" w:eastAsia="Times New Roman" w:hAnsi="Times New Roman"/>
          <w:sz w:val="18"/>
          <w:szCs w:val="18"/>
          <w:b w:val="1"/>
          <w:bCs w:val="1"/>
          <w:color w:val="auto"/>
        </w:rPr>
      </w:pPr>
    </w:p>
    <w:p>
      <w:pPr>
        <w:ind w:left="-20" w:right="60" w:firstLine="436"/>
        <w:spacing w:after="0" w:line="303" w:lineRule="auto"/>
        <w:tabs>
          <w:tab w:leader="none" w:pos="583" w:val="left"/>
        </w:tabs>
        <w:numPr>
          <w:ilvl w:val="0"/>
          <w:numId w:val="4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Termination of Employment</w:t>
      </w:r>
      <w:r>
        <w:rPr>
          <w:rFonts w:ascii="Times New Roman" w:cs="Times New Roman" w:eastAsia="Times New Roman" w:hAnsi="Times New Roman"/>
          <w:sz w:val="16"/>
          <w:szCs w:val="16"/>
          <w:color w:val="auto"/>
        </w:rPr>
        <w:t>. The parties acknowledge that Executive’s employment relationship with the Company is at-will, meaning either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or Executive may terminate Executive’s employment at any time, with or without cause or advance notice. The provisions in this Section govern the amount of compensation, if any, to be provided to Executive upon termination of employment and do not alter this at-will status.</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6.1 Termination without Cause or for Good Reason.</w:t>
      </w:r>
    </w:p>
    <w:p>
      <w:pPr>
        <w:spacing w:after="0" w:line="213" w:lineRule="exact"/>
        <w:rPr>
          <w:sz w:val="20"/>
          <w:szCs w:val="20"/>
          <w:color w:val="auto"/>
        </w:rPr>
      </w:pPr>
    </w:p>
    <w:p>
      <w:pPr>
        <w:ind w:left="-20" w:right="260" w:firstLine="1400"/>
        <w:spacing w:after="0" w:line="252" w:lineRule="auto"/>
        <w:tabs>
          <w:tab w:leader="none" w:pos="1611"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without “Cause” (as defined in </w:t>
      </w:r>
      <w:r>
        <w:rPr>
          <w:rFonts w:ascii="Times New Roman" w:cs="Times New Roman" w:eastAsia="Times New Roman" w:hAnsi="Times New Roman"/>
          <w:sz w:val="18"/>
          <w:szCs w:val="18"/>
          <w:b w:val="1"/>
          <w:bCs w:val="1"/>
          <w:color w:val="auto"/>
        </w:rPr>
        <w:t>Section 6.3(b)</w:t>
      </w:r>
      <w:r>
        <w:rPr>
          <w:rFonts w:ascii="Times New Roman" w:cs="Times New Roman" w:eastAsia="Times New Roman" w:hAnsi="Times New Roman"/>
          <w:sz w:val="18"/>
          <w:szCs w:val="18"/>
          <w:color w:val="auto"/>
        </w:rPr>
        <w:t xml:space="preserve"> below)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of this Agreement. A termination pursuant to </w:t>
      </w:r>
      <w:r>
        <w:rPr>
          <w:rFonts w:ascii="Times New Roman" w:cs="Times New Roman" w:eastAsia="Times New Roman" w:hAnsi="Times New Roman"/>
          <w:sz w:val="18"/>
          <w:szCs w:val="18"/>
          <w:b w:val="1"/>
          <w:bCs w:val="1"/>
          <w:color w:val="auto"/>
        </w:rPr>
        <w:t>Section 6.5</w:t>
      </w:r>
      <w:r>
        <w:rPr>
          <w:rFonts w:ascii="Times New Roman" w:cs="Times New Roman" w:eastAsia="Times New Roman" w:hAnsi="Times New Roman"/>
          <w:sz w:val="18"/>
          <w:szCs w:val="18"/>
          <w:color w:val="auto"/>
        </w:rPr>
        <w:t xml:space="preserve"> below is not a termination without “Cause” for purposes of receiving the benefits described in </w:t>
      </w:r>
      <w:r>
        <w:rPr>
          <w:rFonts w:ascii="Times New Roman" w:cs="Times New Roman" w:eastAsia="Times New Roman" w:hAnsi="Times New Roman"/>
          <w:sz w:val="18"/>
          <w:szCs w:val="18"/>
          <w:b w:val="1"/>
          <w:bCs w:val="1"/>
          <w:color w:val="auto"/>
        </w:rPr>
        <w:t xml:space="preserve">Sections 6.1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6.2</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20" w:right="60" w:firstLine="1400"/>
        <w:spacing w:after="0" w:line="249" w:lineRule="auto"/>
        <w:tabs>
          <w:tab w:leader="none" w:pos="162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Executive’s employment at any time without Cause or Executive terminates Executive’s employment with the Company for Good Reason and provided that such termination constitutes a “separation from service” (as defined under Treasury Regulation Section 1.409A-1(h), without regard to any alternative definition thereunder,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xml:space="preserve">”), then Executive shall be entitled to receive the Accrued Obligations (defined below). If Executive complies with the obligations in </w:t>
      </w:r>
      <w:r>
        <w:rPr>
          <w:rFonts w:ascii="Times New Roman" w:cs="Times New Roman" w:eastAsia="Times New Roman" w:hAnsi="Times New Roman"/>
          <w:sz w:val="18"/>
          <w:szCs w:val="18"/>
          <w:b w:val="1"/>
          <w:bCs w:val="1"/>
          <w:color w:val="auto"/>
        </w:rPr>
        <w:t>Section 6.1(c)</w:t>
      </w:r>
      <w:r>
        <w:rPr>
          <w:rFonts w:ascii="Times New Roman" w:cs="Times New Roman" w:eastAsia="Times New Roman" w:hAnsi="Times New Roman"/>
          <w:sz w:val="18"/>
          <w:szCs w:val="18"/>
          <w:color w:val="auto"/>
        </w:rPr>
        <w:t xml:space="preserve"> below, Executive shall also be eligible to receive the following “</w:t>
      </w:r>
      <w:r>
        <w:rPr>
          <w:rFonts w:ascii="Times New Roman" w:cs="Times New Roman" w:eastAsia="Times New Roman" w:hAnsi="Times New Roman"/>
          <w:sz w:val="18"/>
          <w:szCs w:val="18"/>
          <w:b w:val="1"/>
          <w:bCs w:val="1"/>
          <w:i w:val="1"/>
          <w:iCs w:val="1"/>
          <w:color w:val="auto"/>
        </w:rPr>
        <w:t>Severance Benefits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20" w:firstLine="1936"/>
        <w:spacing w:after="0" w:line="247" w:lineRule="auto"/>
        <w:tabs>
          <w:tab w:leader="none" w:pos="2117"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pay Executive an amount equal to Executive’s then current Base Salary for twelve (12) months, less all applicable withholdings and deductions, paid in equal installments on the Company’s normal payroll schedule following the termination date, with the first payment beginning on the Severance Pay Commencement Date (as defined in </w:t>
      </w:r>
      <w:r>
        <w:rPr>
          <w:rFonts w:ascii="Times New Roman" w:cs="Times New Roman" w:eastAsia="Times New Roman" w:hAnsi="Times New Roman"/>
          <w:sz w:val="18"/>
          <w:szCs w:val="18"/>
          <w:b w:val="1"/>
          <w:bCs w:val="1"/>
          <w:color w:val="auto"/>
        </w:rPr>
        <w:t>Section 6.1(c)</w:t>
      </w:r>
      <w:r>
        <w:rPr>
          <w:rFonts w:ascii="Times New Roman" w:cs="Times New Roman" w:eastAsia="Times New Roman" w:hAnsi="Times New Roman"/>
          <w:sz w:val="18"/>
          <w:szCs w:val="18"/>
          <w:color w:val="auto"/>
        </w:rPr>
        <w:t xml:space="preserve"> below), and the remaining installments occurring on the Company’s regularly scheduled payroll dates thereafter; provided that on the Severance Pay Commencement Date, the Company will pay in a lump sum the aggregate amount of the cash severance payments that the Company would have paid Executive through such date had the payments commenced on the effective date of termination through the Severance Pay Commencement Date. In addition, during the six (6) month period following Executive’s Separation from Service, Executive’s equity will continue to satisfy any applicable time-based vesting condition, as though Executive remained employed by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600" w:top="263" w:right="599" w:bottom="1440" w:gutter="0" w:footer="0" w:header="0"/>
        </w:sectPr>
      </w:pPr>
    </w:p>
    <w:bookmarkStart w:id="562" w:name="page563"/>
    <w:bookmarkEnd w:id="562"/>
    <w:p>
      <w:pPr>
        <w:ind w:left="-20" w:firstLine="1400"/>
        <w:spacing w:after="0" w:line="276" w:lineRule="auto"/>
        <w:tabs>
          <w:tab w:leader="none" w:pos="1611" w:val="left"/>
        </w:tabs>
        <w:numPr>
          <w:ilvl w:val="0"/>
          <w:numId w:val="4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If Executive timely elects continued coverage under COBRA for Executive and Executive’s covered dependents under the Company’s group health plans following such termination, then the Company shall pay the COBRA premiums necessary to continue Executive’s and Executive’s covered dependents’ health insurance coverage in effect for Executive (and Executive’s covered dependents) on the termination date until the earliest of: (i) twelve (12) months following the termination date (the “</w:t>
      </w:r>
      <w:r>
        <w:rPr>
          <w:rFonts w:ascii="Times New Roman" w:cs="Times New Roman" w:eastAsia="Times New Roman" w:hAnsi="Times New Roman"/>
          <w:sz w:val="16"/>
          <w:szCs w:val="16"/>
          <w:b w:val="1"/>
          <w:bCs w:val="1"/>
          <w:i w:val="1"/>
          <w:iCs w:val="1"/>
          <w:color w:val="auto"/>
        </w:rPr>
        <w:t>COBRA Severance Period</w:t>
      </w:r>
      <w:r>
        <w:rPr>
          <w:rFonts w:ascii="Times New Roman" w:cs="Times New Roman" w:eastAsia="Times New Roman" w:hAnsi="Times New Roman"/>
          <w:sz w:val="16"/>
          <w:szCs w:val="16"/>
          <w:color w:val="auto"/>
        </w:rPr>
        <w:t>”); (ii) the date when Executive becomes eligible for substantially equivalent health insurance coverage in connection with new employment or self-employment; or (iii) the date Executive ceases to be eligible for COBRA continuation coverage for any reason, including plan termination (such period from the termination date through the earlier of (i)-(iii), (the “</w:t>
      </w:r>
      <w:r>
        <w:rPr>
          <w:rFonts w:ascii="Times New Roman" w:cs="Times New Roman" w:eastAsia="Times New Roman" w:hAnsi="Times New Roman"/>
          <w:sz w:val="16"/>
          <w:szCs w:val="16"/>
          <w:b w:val="1"/>
          <w:bCs w:val="1"/>
          <w:i w:val="1"/>
          <w:iCs w:val="1"/>
          <w:color w:val="auto"/>
        </w:rPr>
        <w:t>COBRA Payment Period</w:t>
      </w:r>
      <w:r>
        <w:rPr>
          <w:rFonts w:ascii="Times New Roman" w:cs="Times New Roman" w:eastAsia="Times New Roman" w:hAnsi="Times New Roman"/>
          <w:sz w:val="16"/>
          <w:szCs w:val="16"/>
          <w:color w:val="auto"/>
        </w:rPr>
        <w:t>”).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(such amount, the “</w:t>
      </w:r>
      <w:r>
        <w:rPr>
          <w:rFonts w:ascii="Times New Roman" w:cs="Times New Roman" w:eastAsia="Times New Roman" w:hAnsi="Times New Roman"/>
          <w:sz w:val="16"/>
          <w:szCs w:val="16"/>
          <w:b w:val="1"/>
          <w:bCs w:val="1"/>
          <w:i w:val="1"/>
          <w:iCs w:val="1"/>
          <w:color w:val="auto"/>
        </w:rPr>
        <w:t>Special Severance Payment</w:t>
      </w:r>
      <w:r>
        <w:rPr>
          <w:rFonts w:ascii="Times New Roman" w:cs="Times New Roman" w:eastAsia="Times New Roman" w:hAnsi="Times New Roman"/>
          <w:sz w:val="16"/>
          <w:szCs w:val="16"/>
          <w:color w:val="auto"/>
        </w:rPr>
        <w:t xml:space="preserve">”), for the remainder of the COBRA Payment Period. Nothing in this Agreement shall deprive Executive of Executive’s rights under COBRA or ERISA for benefits under plans and policies arising under Executive’s employment by the Company. Executive will be paid all of the Accrued Obligations on the Company’s first payroll date after Executive’s date of termination from employment or earlier if required by law. Executive shall receive the Severance Benefits pursuant to </w:t>
      </w:r>
      <w:r>
        <w:rPr>
          <w:rFonts w:ascii="Times New Roman" w:cs="Times New Roman" w:eastAsia="Times New Roman" w:hAnsi="Times New Roman"/>
          <w:sz w:val="16"/>
          <w:szCs w:val="16"/>
          <w:b w:val="1"/>
          <w:bCs w:val="1"/>
          <w:color w:val="auto"/>
        </w:rPr>
        <w:t>Section 6.1(b)</w:t>
      </w:r>
      <w:r>
        <w:rPr>
          <w:rFonts w:ascii="Times New Roman" w:cs="Times New Roman" w:eastAsia="Times New Roman" w:hAnsi="Times New Roman"/>
          <w:sz w:val="16"/>
          <w:szCs w:val="16"/>
          <w:color w:val="auto"/>
        </w:rPr>
        <w:t xml:space="preserve"> or the Change in Control Severance Benefits (defined below) pursuant to </w:t>
      </w:r>
      <w:r>
        <w:rPr>
          <w:rFonts w:ascii="Times New Roman" w:cs="Times New Roman" w:eastAsia="Times New Roman" w:hAnsi="Times New Roman"/>
          <w:sz w:val="16"/>
          <w:szCs w:val="16"/>
          <w:b w:val="1"/>
          <w:bCs w:val="1"/>
          <w:color w:val="auto"/>
        </w:rPr>
        <w:t>6.2(a)</w:t>
      </w:r>
      <w:r>
        <w:rPr>
          <w:rFonts w:ascii="Times New Roman" w:cs="Times New Roman" w:eastAsia="Times New Roman" w:hAnsi="Times New Roman"/>
          <w:sz w:val="16"/>
          <w:szCs w:val="16"/>
          <w:color w:val="auto"/>
        </w:rPr>
        <w:t xml:space="preserve"> of this Agreement, as applicable, if: (i) Executive executes and does not revoke a separation agreement containing an effective, general release of claims in favor of the Company and its affiliates and representatives, in a form acceptable to the Company (the “</w:t>
      </w:r>
      <w:r>
        <w:rPr>
          <w:rFonts w:ascii="Times New Roman" w:cs="Times New Roman" w:eastAsia="Times New Roman" w:hAnsi="Times New Roman"/>
          <w:sz w:val="16"/>
          <w:szCs w:val="16"/>
          <w:b w:val="1"/>
          <w:bCs w:val="1"/>
          <w:i w:val="1"/>
          <w:iCs w:val="1"/>
          <w:color w:val="auto"/>
        </w:rPr>
        <w:t>Release</w:t>
      </w:r>
      <w:r>
        <w:rPr>
          <w:rFonts w:ascii="Times New Roman" w:cs="Times New Roman" w:eastAsia="Times New Roman" w:hAnsi="Times New Roman"/>
          <w:sz w:val="16"/>
          <w:szCs w:val="16"/>
          <w:color w:val="auto"/>
        </w:rPr>
        <w:t>”) and the Release is enforceable and effective as provided in the Release on or before the date that is the sixtieth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day following the effective date of termination (such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xml:space="preserve"> day, the “</w:t>
      </w:r>
      <w:r>
        <w:rPr>
          <w:rFonts w:ascii="Times New Roman" w:cs="Times New Roman" w:eastAsia="Times New Roman" w:hAnsi="Times New Roman"/>
          <w:sz w:val="16"/>
          <w:szCs w:val="16"/>
          <w:b w:val="1"/>
          <w:bCs w:val="1"/>
          <w:i w:val="1"/>
          <w:iCs w:val="1"/>
          <w:color w:val="auto"/>
        </w:rPr>
        <w:t>Severance Pay Commencement Date</w:t>
      </w:r>
      <w:r>
        <w:rPr>
          <w:rFonts w:ascii="Times New Roman" w:cs="Times New Roman" w:eastAsia="Times New Roman" w:hAnsi="Times New Roman"/>
          <w:sz w:val="16"/>
          <w:szCs w:val="16"/>
          <w:color w:val="auto"/>
        </w:rPr>
        <w:t>”); (ii) if Executive holds any other positions with the Company, Executive resigns such position(s) to be effective no later than the date of Executive’s termination date (or such other date as requested by the Board); (iii) Executive returns all Company property; (iv) Executive complies with Executive’s post-termination obligations under this Agreement and the Proprietary Information Agreement; and (v) Executive complies with the terms of the Release, including without limitation any non-disparagement and confidentiality provisions contained in Release.</w:t>
      </w:r>
    </w:p>
    <w:p>
      <w:pPr>
        <w:spacing w:after="0" w:line="200" w:lineRule="exact"/>
        <w:rPr>
          <w:rFonts w:ascii="Times New Roman" w:cs="Times New Roman" w:eastAsia="Times New Roman" w:hAnsi="Times New Roman"/>
          <w:sz w:val="16"/>
          <w:szCs w:val="16"/>
          <w:color w:val="auto"/>
        </w:rPr>
      </w:pPr>
    </w:p>
    <w:p>
      <w:pPr>
        <w:spacing w:after="0" w:line="395" w:lineRule="exact"/>
        <w:rPr>
          <w:rFonts w:ascii="Times New Roman" w:cs="Times New Roman" w:eastAsia="Times New Roman" w:hAnsi="Times New Roman"/>
          <w:sz w:val="16"/>
          <w:szCs w:val="16"/>
          <w:color w:val="auto"/>
        </w:rPr>
      </w:pPr>
    </w:p>
    <w:p>
      <w:pPr>
        <w:ind w:left="-20" w:firstLine="1400"/>
        <w:spacing w:after="0" w:line="253" w:lineRule="auto"/>
        <w:tabs>
          <w:tab w:leader="none" w:pos="162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Accrued Obligations</w:t>
      </w:r>
      <w:r>
        <w:rPr>
          <w:rFonts w:ascii="Times New Roman" w:cs="Times New Roman" w:eastAsia="Times New Roman" w:hAnsi="Times New Roman"/>
          <w:sz w:val="18"/>
          <w:szCs w:val="18"/>
          <w:color w:val="auto"/>
        </w:rPr>
        <w:t>” 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spacing w:after="0" w:line="179" w:lineRule="exact"/>
        <w:rPr>
          <w:rFonts w:ascii="Times New Roman" w:cs="Times New Roman" w:eastAsia="Times New Roman" w:hAnsi="Times New Roman"/>
          <w:sz w:val="18"/>
          <w:szCs w:val="18"/>
          <w:color w:val="auto"/>
        </w:rPr>
      </w:pPr>
    </w:p>
    <w:p>
      <w:pPr>
        <w:ind w:left="-20" w:right="200" w:firstLine="1400"/>
        <w:spacing w:after="0" w:line="270" w:lineRule="auto"/>
        <w:tabs>
          <w:tab w:leader="none" w:pos="1611"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Severance Benefits provided to Executive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are in lieu of, and not in addition to, any benefits to which Executive may otherwise be entitled under any Company severance plan, policy or program.</w:t>
      </w:r>
    </w:p>
    <w:p>
      <w:pPr>
        <w:spacing w:after="0" w:line="166" w:lineRule="exact"/>
        <w:rPr>
          <w:rFonts w:ascii="Times New Roman" w:cs="Times New Roman" w:eastAsia="Times New Roman" w:hAnsi="Times New Roman"/>
          <w:sz w:val="18"/>
          <w:szCs w:val="18"/>
          <w:color w:val="auto"/>
        </w:rPr>
      </w:pPr>
    </w:p>
    <w:p>
      <w:pPr>
        <w:jc w:val="both"/>
        <w:ind w:left="-20" w:right="60" w:firstLine="1400"/>
        <w:spacing w:after="0" w:line="255" w:lineRule="auto"/>
        <w:tabs>
          <w:tab w:leader="none" w:pos="1591"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damages caused by the termination of Executive’s employment without Cause would be difficult to ascertain; therefore, the Severance Benefits for which Executive is eligible pursuant to </w:t>
      </w:r>
      <w:r>
        <w:rPr>
          <w:rFonts w:ascii="Times New Roman" w:cs="Times New Roman" w:eastAsia="Times New Roman" w:hAnsi="Times New Roman"/>
          <w:sz w:val="18"/>
          <w:szCs w:val="18"/>
          <w:b w:val="1"/>
          <w:bCs w:val="1"/>
          <w:color w:val="auto"/>
        </w:rPr>
        <w:t>Section 6.1(b)</w:t>
      </w:r>
      <w:r>
        <w:rPr>
          <w:rFonts w:ascii="Times New Roman" w:cs="Times New Roman" w:eastAsia="Times New Roman" w:hAnsi="Times New Roman"/>
          <w:sz w:val="18"/>
          <w:szCs w:val="18"/>
          <w:color w:val="auto"/>
        </w:rPr>
        <w:t xml:space="preserve"> above in exchange for the Release is agreed to by the parties as liquidated damages, to serve as full compensation, and not a penalty.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80"/>
          </w:cols>
          <w:pgMar w:left="600" w:top="265" w:right="619" w:bottom="1440" w:gutter="0" w:footer="0" w:header="0"/>
        </w:sectPr>
      </w:pPr>
    </w:p>
    <w:bookmarkStart w:id="563" w:name="page564"/>
    <w:bookmarkEnd w:id="563"/>
    <w:p>
      <w:pPr>
        <w:ind w:left="-8" w:right="40" w:firstLine="1400"/>
        <w:spacing w:after="0" w:line="277" w:lineRule="auto"/>
        <w:tabs>
          <w:tab w:leader="none" w:pos="1633" w:val="left"/>
        </w:tabs>
        <w:numPr>
          <w:ilvl w:val="1"/>
          <w:numId w:val="4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For purposes of this Agreement, “</w:t>
      </w:r>
      <w:r>
        <w:rPr>
          <w:rFonts w:ascii="Times New Roman" w:cs="Times New Roman" w:eastAsia="Times New Roman" w:hAnsi="Times New Roman"/>
          <w:sz w:val="16"/>
          <w:szCs w:val="16"/>
          <w:b w:val="1"/>
          <w:bCs w:val="1"/>
          <w:i w:val="1"/>
          <w:iCs w:val="1"/>
          <w:color w:val="auto"/>
        </w:rPr>
        <w:t>Good Reason</w:t>
      </w:r>
      <w:r>
        <w:rPr>
          <w:rFonts w:ascii="Times New Roman" w:cs="Times New Roman" w:eastAsia="Times New Roman" w:hAnsi="Times New Roman"/>
          <w:sz w:val="16"/>
          <w:szCs w:val="16"/>
          <w:color w:val="auto"/>
        </w:rPr>
        <w:t xml:space="preserve">” shall mean the occurrence of any of the following events without Executive’s consent: (i) a material reduction in Executive’s Base Salary of at least 25%; (ii) a material breach of this Agreement by the Company; (iii) a material reduction in the Executive’s duties, authority and responsibilities relative to the Executive’s duties, authority, and responsibilities in effect immediately prior to such reduction (provided that a material reduction of duties, authority and responsibilities will not be deemed to have occurred if, in connection with a Change in Control, Executive is not reporting to the individual in the same role as Executive’s prior manager at the acquirer or any other top-tier holding company above the acquirer); or (iv) the relocation of Executive’s principal place of employment, without Executive’s consent, in a manner that lengthens Executive’s one-way commute distance by fifty (50) or more miles from his then-current principal place of employment immediately prior to such relocation;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any such termination by Executive shall only be deemed for Good Reason pursuant to this definition if:</w:t>
      </w:r>
    </w:p>
    <w:p>
      <w:pPr>
        <w:spacing w:after="0" w:line="3" w:lineRule="exact"/>
        <w:rPr>
          <w:rFonts w:ascii="Times New Roman" w:cs="Times New Roman" w:eastAsia="Times New Roman" w:hAnsi="Times New Roman"/>
          <w:sz w:val="16"/>
          <w:szCs w:val="16"/>
          <w:color w:val="auto"/>
        </w:rPr>
      </w:pPr>
    </w:p>
    <w:p>
      <w:pPr>
        <w:ind w:left="-8" w:right="180" w:firstLine="8"/>
        <w:spacing w:after="0" w:line="244" w:lineRule="auto"/>
        <w:tabs>
          <w:tab w:leader="none" w:pos="240"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gives the Company written notice of his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w:t>
      </w:r>
      <w:r>
        <w:rPr>
          <w:rFonts w:ascii="Times New Roman" w:cs="Times New Roman" w:eastAsia="Times New Roman" w:hAnsi="Times New Roman"/>
          <w:sz w:val="18"/>
          <w:szCs w:val="18"/>
          <w:b w:val="1"/>
          <w:bCs w:val="1"/>
          <w:i w:val="1"/>
          <w:iCs w:val="1"/>
          <w:color w:val="auto"/>
        </w:rPr>
        <w:t>Cure Period</w:t>
      </w:r>
      <w:r>
        <w:rPr>
          <w:rFonts w:ascii="Times New Roman" w:cs="Times New Roman" w:eastAsia="Times New Roman" w:hAnsi="Times New Roman"/>
          <w:sz w:val="18"/>
          <w:szCs w:val="18"/>
          <w:color w:val="auto"/>
        </w:rPr>
        <w:t>”); and (3) Executive voluntarily terminates Executive’s employment within thirty (30) days following the end of the Cure Period.</w:t>
      </w:r>
    </w:p>
    <w:p>
      <w:pPr>
        <w:spacing w:after="0" w:line="18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6.2 Termination without Cause or for Good Reason Coincident with a Change in Control</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 w:right="20" w:firstLine="1400"/>
        <w:spacing w:after="0" w:line="248" w:lineRule="auto"/>
        <w:tabs>
          <w:tab w:leader="none" w:pos="1623"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by the Company is terminated by the Company or any successor entity without Cause (and not due to Disability or death) or by Executive for Good Reason within two (2) months prior to or within twelve (12) months following the effective date of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(as defined in the Company’s Amended and Restated 2015 Stock Plan, as such plan may be amended from time to time (the “</w:t>
      </w:r>
      <w:r>
        <w:rPr>
          <w:rFonts w:ascii="Times New Roman" w:cs="Times New Roman" w:eastAsia="Times New Roman" w:hAnsi="Times New Roman"/>
          <w:sz w:val="18"/>
          <w:szCs w:val="18"/>
          <w:b w:val="1"/>
          <w:bCs w:val="1"/>
          <w:i w:val="1"/>
          <w:iCs w:val="1"/>
          <w:color w:val="auto"/>
        </w:rPr>
        <w:t>2015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provided that such termination constitutes a Separation from Service, without regard to any alternative definition thereunder, then in addition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paying or providing Executive with the Accrued Obligations and the Severance Benefits available under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the Company will provide the following “</w:t>
      </w:r>
      <w:r>
        <w:rPr>
          <w:rFonts w:ascii="Times New Roman" w:cs="Times New Roman" w:eastAsia="Times New Roman" w:hAnsi="Times New Roman"/>
          <w:sz w:val="18"/>
          <w:szCs w:val="18"/>
          <w:b w:val="1"/>
          <w:bCs w:val="1"/>
          <w:i w:val="1"/>
          <w:iCs w:val="1"/>
          <w:color w:val="auto"/>
        </w:rPr>
        <w:t>Change in Control Severance Benefits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8" w:firstLine="1936"/>
        <w:spacing w:after="0" w:line="249" w:lineRule="auto"/>
        <w:tabs>
          <w:tab w:leader="none" w:pos="213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equity awards held by Executive that were issued pursuant to the Company’s 2015 Plan or any successor plan and that remain outstanding and are unvested as of the date of such termination will immediately vest in full. For the avoidance of doubt, if such termination occurs prior to the effective date of a Change in Control, any such equity awards will remain outstanding following the date of such termination as necessary to give effect to the potential vesting acceleration set forth in this </w:t>
      </w:r>
      <w:r>
        <w:rPr>
          <w:rFonts w:ascii="Times New Roman" w:cs="Times New Roman" w:eastAsia="Times New Roman" w:hAnsi="Times New Roman"/>
          <w:sz w:val="18"/>
          <w:szCs w:val="18"/>
          <w:b w:val="1"/>
          <w:bCs w:val="1"/>
          <w:color w:val="auto"/>
        </w:rPr>
        <w:t>Section 6.2(a)(iv)</w:t>
      </w:r>
      <w:r>
        <w:rPr>
          <w:rFonts w:ascii="Times New Roman" w:cs="Times New Roman" w:eastAsia="Times New Roman" w:hAnsi="Times New Roman"/>
          <w:sz w:val="18"/>
          <w:szCs w:val="18"/>
          <w:color w:val="auto"/>
        </w:rPr>
        <w:t>, which would occur contingent upon the consummation of a Change in Control.</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12"/>
          </w:cols>
          <w:pgMar w:left="588" w:top="260" w:right="599" w:bottom="1440" w:gutter="0" w:footer="0" w:header="0"/>
        </w:sectPr>
      </w:pPr>
    </w:p>
    <w:bookmarkStart w:id="564" w:name="page565"/>
    <w:bookmarkEnd w:id="564"/>
    <w:p>
      <w:pPr>
        <w:ind w:left="97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6.3 Termination by the Company for Cause.</w:t>
      </w:r>
    </w:p>
    <w:p>
      <w:pPr>
        <w:spacing w:after="0" w:line="215" w:lineRule="exact"/>
        <w:rPr>
          <w:sz w:val="20"/>
          <w:szCs w:val="20"/>
          <w:color w:val="auto"/>
        </w:rPr>
      </w:pPr>
    </w:p>
    <w:p>
      <w:pPr>
        <w:ind w:left="-8" w:firstLine="1400"/>
        <w:spacing w:after="0" w:line="251" w:lineRule="auto"/>
        <w:tabs>
          <w:tab w:leader="none" w:pos="1623"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for Cause by giving notice as described in</w:t>
      </w:r>
      <w:r>
        <w:rPr>
          <w:rFonts w:ascii="Times New Roman" w:cs="Times New Roman" w:eastAsia="Times New Roman" w:hAnsi="Times New Roman"/>
          <w:sz w:val="18"/>
          <w:szCs w:val="18"/>
          <w:b w:val="1"/>
          <w:bCs w:val="1"/>
          <w:color w:val="auto"/>
        </w:rPr>
        <w:t xml:space="preserve"> Section 7.1 </w:t>
      </w:r>
      <w:r>
        <w:rPr>
          <w:rFonts w:ascii="Times New Roman" w:cs="Times New Roman" w:eastAsia="Times New Roman" w:hAnsi="Times New Roman"/>
          <w:sz w:val="18"/>
          <w:szCs w:val="18"/>
          <w:color w:val="auto"/>
        </w:rPr>
        <w:t>of this Agreement. In the event Executive’s employment is terminated at any time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0" w:lineRule="exact"/>
        <w:rPr>
          <w:rFonts w:ascii="Times New Roman" w:cs="Times New Roman" w:eastAsia="Times New Roman" w:hAnsi="Times New Roman"/>
          <w:sz w:val="18"/>
          <w:szCs w:val="18"/>
          <w:color w:val="auto"/>
        </w:rPr>
      </w:pPr>
    </w:p>
    <w:p>
      <w:pPr>
        <w:ind w:left="-8" w:firstLine="1400"/>
        <w:spacing w:after="0" w:line="246" w:lineRule="auto"/>
        <w:tabs>
          <w:tab w:leader="none" w:pos="1633"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“Cause” </w:t>
      </w:r>
      <w:r>
        <w:rPr>
          <w:rFonts w:ascii="Times New Roman" w:cs="Times New Roman" w:eastAsia="Times New Roman" w:hAnsi="Times New Roman"/>
          <w:sz w:val="18"/>
          <w:szCs w:val="18"/>
          <w:color w:val="auto"/>
        </w:rPr>
        <w:t>for termination shall mean that the Company has determined in its sole discretion that Executive has engaged in any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(i) a material breach of any covenant or condition under this Agreement or any other agreement between the parties; (ii) any act constituting dishonesty, fraud, falsification of any documents or records, or immoral or disreputable conduct; (iii) any conduct which constitutes a felony or other criminal act involving corruption, misappropriation, or moral turpitude, or otherwise impairs your ability to perform your duties with the Company, under applicable law; (iv) material violation of any Company policy or any act of misconduct (including if Executive acts in a manner expected to have a material detrimental effect on the Company’s reputation or business); (v) refusal to follow or implement a clear and reasonable directive of Company; (vi) negligence or incompetence in the performance of Executive’s duties or failure to perform such duties in a manner satisfactory to the Company after the expiration of ten (10) days without cure after written notice of such failure; (vii) breach of fiduciary duty; or</w:t>
      </w:r>
    </w:p>
    <w:p>
      <w:pPr>
        <w:spacing w:after="0" w:line="5"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misappropriation, destruction, or diversion of any tangible or intangible asset or corporate opportunity of the Company.</w:t>
      </w:r>
    </w:p>
    <w:p>
      <w:pPr>
        <w:spacing w:after="0" w:line="193"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6.4 Resignation by Executive</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8" w:right="240" w:firstLine="1400"/>
        <w:spacing w:after="0" w:line="270" w:lineRule="auto"/>
        <w:tabs>
          <w:tab w:leader="none" w:pos="1623"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may resign from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auto"/>
        </w:rPr>
      </w:pPr>
    </w:p>
    <w:p>
      <w:pPr>
        <w:ind w:left="-8" w:right="440" w:firstLine="1400"/>
        <w:spacing w:after="0" w:line="251" w:lineRule="auto"/>
        <w:tabs>
          <w:tab w:leader="none" w:pos="1633"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Executive resigns from Executive’s employment with the Company for any reason other than Good Reason in accordance with </w:t>
      </w:r>
      <w:r>
        <w:rPr>
          <w:rFonts w:ascii="Times New Roman" w:cs="Times New Roman" w:eastAsia="Times New Roman" w:hAnsi="Times New Roman"/>
          <w:sz w:val="18"/>
          <w:szCs w:val="18"/>
          <w:b w:val="1"/>
          <w:bCs w:val="1"/>
          <w:color w:val="auto"/>
        </w:rPr>
        <w:t>Sections 6.1 or 6.2</w:t>
      </w:r>
      <w:r>
        <w:rPr>
          <w:rFonts w:ascii="Times New Roman" w:cs="Times New Roman" w:eastAsia="Times New Roman" w:hAnsi="Times New Roman"/>
          <w:sz w:val="18"/>
          <w:szCs w:val="18"/>
          <w:color w:val="auto"/>
        </w:rPr>
        <w:t>,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2"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6.5 Termination by Virtue of Death or Disability of Executive</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 w:right="80" w:firstLine="1400"/>
        <w:spacing w:after="0" w:line="255" w:lineRule="auto"/>
        <w:tabs>
          <w:tab w:leader="none" w:pos="1623"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Executive’s death while employed pursuant to this Agreement, all obligations of the parties hereunder shall terminate immediately,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and the Company shall, pursuant to the Company’s standard payroll policies, pay to Executive’s legal representatives all Accrued Obligations.</w:t>
      </w:r>
    </w:p>
    <w:p>
      <w:pPr>
        <w:spacing w:after="0" w:line="180" w:lineRule="exact"/>
        <w:rPr>
          <w:rFonts w:ascii="Times New Roman" w:cs="Times New Roman" w:eastAsia="Times New Roman" w:hAnsi="Times New Roman"/>
          <w:sz w:val="18"/>
          <w:szCs w:val="18"/>
          <w:color w:val="auto"/>
        </w:rPr>
      </w:pPr>
    </w:p>
    <w:p>
      <w:pPr>
        <w:ind w:left="-8" w:right="20" w:firstLine="1400"/>
        <w:spacing w:after="0" w:line="251" w:lineRule="auto"/>
        <w:tabs>
          <w:tab w:leader="none" w:pos="1633"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state and federal law, the Company shall at all times have the right, upon written notice to Executive, and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to terminate this Agreement based on Executive’s Disability. Termination by the Company of Executive’s employment based on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termination because Executive is unable due to a physical or mental condition to perform the essential functions of his position with</w:t>
      </w:r>
    </w:p>
    <w:p>
      <w:pPr>
        <w:spacing w:after="0" w:line="1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12"/>
          </w:cols>
          <w:pgMar w:left="588" w:top="263" w:right="599" w:bottom="1440" w:gutter="0" w:footer="0" w:header="0"/>
        </w:sectPr>
      </w:pPr>
    </w:p>
    <w:bookmarkStart w:id="565" w:name="page566"/>
    <w:bookmarkEnd w:id="565"/>
    <w:p>
      <w:pPr>
        <w:spacing w:after="0" w:line="28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or without reasonable accommodation for 180 days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Severance Benefits, Change in Control Severance Benefits, or any other severance compensation or benefit, except that, pursuant to the Company’s standard payroll policies, the Company shall pay to Executive the Accrued Obligations.</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6.6 Notice; Effective Date of Termination.</w:t>
      </w:r>
    </w:p>
    <w:p>
      <w:pPr>
        <w:spacing w:after="0" w:line="215" w:lineRule="exact"/>
        <w:rPr>
          <w:sz w:val="20"/>
          <w:szCs w:val="20"/>
          <w:color w:val="auto"/>
        </w:rPr>
      </w:pPr>
    </w:p>
    <w:p>
      <w:pPr>
        <w:ind w:left="1640" w:hanging="240"/>
        <w:spacing w:after="0"/>
        <w:tabs>
          <w:tab w:leader="none" w:pos="164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Executive’s employment pursuant to this Agreement shall be effective on the earliest of:</w:t>
      </w:r>
    </w:p>
    <w:p>
      <w:pPr>
        <w:spacing w:after="0" w:line="213" w:lineRule="exact"/>
        <w:rPr>
          <w:rFonts w:ascii="Times New Roman" w:cs="Times New Roman" w:eastAsia="Times New Roman" w:hAnsi="Times New Roman"/>
          <w:sz w:val="18"/>
          <w:szCs w:val="18"/>
          <w:color w:val="auto"/>
        </w:rPr>
      </w:pPr>
    </w:p>
    <w:p>
      <w:pPr>
        <w:ind w:right="480" w:firstLine="1936"/>
        <w:spacing w:after="0" w:line="255" w:lineRule="auto"/>
        <w:tabs>
          <w:tab w:leader="none" w:pos="2137"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Company gives notice to Executive of Executive’s termination, with or without Cause, unless pursuant to Section 6.3(b)(vi) in which case ten (10) days after notice if not cured or unless the Company specifies a later date, in which case, termination shall be effective as of such later date;</w:t>
      </w:r>
    </w:p>
    <w:p>
      <w:pPr>
        <w:spacing w:after="0" w:line="180" w:lineRule="exact"/>
        <w:rPr>
          <w:rFonts w:ascii="Times New Roman" w:cs="Times New Roman" w:eastAsia="Times New Roman" w:hAnsi="Times New Roman"/>
          <w:sz w:val="18"/>
          <w:szCs w:val="18"/>
          <w:color w:val="auto"/>
        </w:rPr>
      </w:pPr>
    </w:p>
    <w:p>
      <w:pPr>
        <w:ind w:left="2200" w:hanging="264"/>
        <w:spacing w:after="0"/>
        <w:tabs>
          <w:tab w:leader="none" w:pos="220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Executive’s death;</w:t>
      </w:r>
    </w:p>
    <w:p>
      <w:pPr>
        <w:spacing w:after="0" w:line="213" w:lineRule="exact"/>
        <w:rPr>
          <w:rFonts w:ascii="Times New Roman" w:cs="Times New Roman" w:eastAsia="Times New Roman" w:hAnsi="Times New Roman"/>
          <w:sz w:val="18"/>
          <w:szCs w:val="18"/>
          <w:color w:val="auto"/>
        </w:rPr>
      </w:pPr>
    </w:p>
    <w:p>
      <w:pPr>
        <w:ind w:right="160" w:firstLine="1936"/>
        <w:spacing w:after="0" w:line="255" w:lineRule="auto"/>
        <w:tabs>
          <w:tab w:leader="none" w:pos="2234"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Company gives notice to Executive of Executive’s termination on account of Executive’s Disability, unless the Company specifies a later date, in which case, termination shall be effective as of such later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Executive has not returned to the full-time performance of Executive’s duties prior to such date;</w:t>
      </w:r>
    </w:p>
    <w:p>
      <w:pPr>
        <w:spacing w:after="0" w:line="178" w:lineRule="exact"/>
        <w:rPr>
          <w:rFonts w:ascii="Times New Roman" w:cs="Times New Roman" w:eastAsia="Times New Roman" w:hAnsi="Times New Roman"/>
          <w:sz w:val="18"/>
          <w:szCs w:val="18"/>
          <w:color w:val="auto"/>
        </w:rPr>
      </w:pPr>
    </w:p>
    <w:p>
      <w:pPr>
        <w:ind w:right="180" w:firstLine="1936"/>
        <w:spacing w:after="0" w:line="256" w:lineRule="auto"/>
        <w:tabs>
          <w:tab w:leader="none" w:pos="2225"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Executive gives written notice to the Company of Executive’s resignation,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set a termination date at any time between the date of notice and the date of resignation, in which case the Executive’s resignation shall be effective as of such other date. Executive will receive compensation through any required notice period; or</w:t>
      </w:r>
    </w:p>
    <w:p>
      <w:pPr>
        <w:spacing w:after="0" w:line="177"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1"/>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a termination for Good Reason, immediately upon Executive’s full satisfaction of the requirements of </w:t>
      </w:r>
      <w:r>
        <w:rPr>
          <w:rFonts w:ascii="Times New Roman" w:cs="Times New Roman" w:eastAsia="Times New Roman" w:hAnsi="Times New Roman"/>
          <w:sz w:val="16"/>
          <w:szCs w:val="16"/>
          <w:b w:val="1"/>
          <w:bCs w:val="1"/>
          <w:color w:val="auto"/>
        </w:rPr>
        <w:t>Section 6.1(g)</w:t>
      </w:r>
      <w:r>
        <w:rPr>
          <w:rFonts w:ascii="Times New Roman" w:cs="Times New Roman" w:eastAsia="Times New Roman" w:hAnsi="Times New Roman"/>
          <w:sz w:val="16"/>
          <w:szCs w:val="16"/>
          <w:color w:val="auto"/>
        </w:rPr>
        <w:t>.</w:t>
      </w:r>
    </w:p>
    <w:p>
      <w:pPr>
        <w:spacing w:after="0" w:line="238" w:lineRule="exact"/>
        <w:rPr>
          <w:rFonts w:ascii="Times New Roman" w:cs="Times New Roman" w:eastAsia="Times New Roman" w:hAnsi="Times New Roman"/>
          <w:sz w:val="16"/>
          <w:szCs w:val="16"/>
          <w:color w:val="auto"/>
        </w:rPr>
      </w:pPr>
    </w:p>
    <w:p>
      <w:pPr>
        <w:jc w:val="both"/>
        <w:ind w:right="180" w:firstLine="1400"/>
        <w:spacing w:after="0" w:line="251" w:lineRule="auto"/>
        <w:tabs>
          <w:tab w:leader="none" w:pos="164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notice of a termination under subsections (a)(i) or (iii) is given orally, at the other party’s request, the party giving notice must provide written confirmation of such notice within five (5) business days of the request in compliance with the requirement of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below. In the event of a termination for Cause, written confirmation shall specify the subsection(s) of the definition of Cause relied on to support the decision to terminate.</w:t>
      </w:r>
    </w:p>
    <w:p>
      <w:pPr>
        <w:spacing w:after="0" w:line="182" w:lineRule="exact"/>
        <w:rPr>
          <w:sz w:val="20"/>
          <w:szCs w:val="20"/>
          <w:color w:val="auto"/>
        </w:rPr>
      </w:pPr>
    </w:p>
    <w:p>
      <w:pPr>
        <w:ind w:right="6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6.7 Cooperation with Company after Termination of Employment</w:t>
      </w:r>
      <w:r>
        <w:rPr>
          <w:rFonts w:ascii="Times New Roman" w:cs="Times New Roman" w:eastAsia="Times New Roman" w:hAnsi="Times New Roman"/>
          <w:sz w:val="18"/>
          <w:szCs w:val="18"/>
          <w:color w:val="auto"/>
        </w:rPr>
        <w:t>. Following termination of Executive’s employment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agrees to cooperate fully with the Company in connection with its actual or contemplated defense, prosecution, or investigation of any claims or demands by or against third parties, or other matters arising from events, acts, or failures to act that occurred during the period of Executive’s employment by the Company. Such cooperation includes, without limitation, making Executive available to the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580" w:top="265" w:right="599" w:bottom="1440" w:gutter="0" w:footer="0" w:header="0"/>
        </w:sectPr>
      </w:pPr>
    </w:p>
    <w:bookmarkStart w:id="566" w:name="page567"/>
    <w:bookmarkEnd w:id="566"/>
    <w:p>
      <w:pPr>
        <w:ind w:right="6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Company upon reasonable notice, without subpoena, to provide complete, truthful and accurate information in witness interviews, depositions and trial testimony, and the failure to provide complete, truthful, and accurate information shall be a material breach of this Agreement and a basis for rescinding or forfeiting the benefits described herein. In addition, for twelve (12) months after Executive’s employment with the Company ends for any reason, Executive agrees to cooperate fully with the Company in all matters relating to the transition of Executive’s work and responsibilities on behalf of the Company, including, but not limited to, any present, prior or subsequent relationships and the orderly transfer of any such work and institutional knowledge to such other persons as may be designated by the Company. The Company will reimburse Executive for reasonable out-of-pocket expenses Executive incurs in connection with any such cooperation (excluding forgone wages, salary, or other compensation) and will make reasonable efforts to accommodate Executive’s scheduling needs.</w:t>
      </w:r>
    </w:p>
    <w:p>
      <w:pPr>
        <w:spacing w:after="0" w:line="184" w:lineRule="exact"/>
        <w:rPr>
          <w:sz w:val="20"/>
          <w:szCs w:val="20"/>
          <w:color w:val="auto"/>
        </w:rPr>
      </w:pPr>
    </w:p>
    <w:p>
      <w:pPr>
        <w:ind w:firstLine="964"/>
        <w:spacing w:after="0" w:line="276" w:lineRule="auto"/>
        <w:rPr>
          <w:sz w:val="20"/>
          <w:szCs w:val="20"/>
          <w:color w:val="auto"/>
        </w:rPr>
      </w:pPr>
      <w:r>
        <w:rPr>
          <w:rFonts w:ascii="Times New Roman" w:cs="Times New Roman" w:eastAsia="Times New Roman" w:hAnsi="Times New Roman"/>
          <w:sz w:val="16"/>
          <w:szCs w:val="16"/>
          <w:b w:val="1"/>
          <w:bCs w:val="1"/>
          <w:color w:val="auto"/>
        </w:rPr>
        <w:t>6.8 Application of Section 409A</w:t>
      </w:r>
      <w:r>
        <w:rPr>
          <w:rFonts w:ascii="Times New Roman" w:cs="Times New Roman" w:eastAsia="Times New Roman" w:hAnsi="Times New Roman"/>
          <w:sz w:val="16"/>
          <w:szCs w:val="16"/>
          <w:color w:val="auto"/>
        </w:rPr>
        <w:t>. It is intended that all of the severance payments payable under this Agreement satisfy, to the greatest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extent possible, the exemptions from the application of Section 409A of the Code and the regulations and other guidance thereunder and any state law of similar effect (collectively, “</w:t>
      </w:r>
      <w:r>
        <w:rPr>
          <w:rFonts w:ascii="Times New Roman" w:cs="Times New Roman" w:eastAsia="Times New Roman" w:hAnsi="Times New Roman"/>
          <w:sz w:val="16"/>
          <w:szCs w:val="16"/>
          <w:b w:val="1"/>
          <w:bCs w:val="1"/>
          <w:i w:val="1"/>
          <w:iCs w:val="1"/>
          <w:color w:val="auto"/>
        </w:rPr>
        <w:t>Section 409A</w:t>
      </w:r>
      <w:r>
        <w:rPr>
          <w:rFonts w:ascii="Times New Roman" w:cs="Times New Roman" w:eastAsia="Times New Roman" w:hAnsi="Times New Roman"/>
          <w:sz w:val="16"/>
          <w:szCs w:val="16"/>
          <w:color w:val="auto"/>
        </w:rPr>
        <w:t>”)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will be made under this Agreement unless Executive’s termination of employment constitutes a “separation from service” (as defined under Treasury Regulation Section 1.409A-1(h)).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If the Company determines that the severance benefits provided under this Agreement constitutes “deferred compensation” under</w:t>
      </w:r>
    </w:p>
    <w:p>
      <w:pPr>
        <w:spacing w:after="0" w:line="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(such earlier date, the “</w:t>
      </w:r>
      <w:r>
        <w:rPr>
          <w:rFonts w:ascii="Times New Roman" w:cs="Times New Roman" w:eastAsia="Times New Roman" w:hAnsi="Times New Roman"/>
          <w:sz w:val="16"/>
          <w:szCs w:val="16"/>
          <w:b w:val="1"/>
          <w:bCs w:val="1"/>
          <w:i w:val="1"/>
          <w:iCs w:val="1"/>
          <w:color w:val="auto"/>
        </w:rPr>
        <w:t>Delayed Initial Payment Date</w:t>
      </w:r>
      <w:r>
        <w:rPr>
          <w:rFonts w:ascii="Times New Roman" w:cs="Times New Roman" w:eastAsia="Times New Roman" w:hAnsi="Times New Roman"/>
          <w:sz w:val="16"/>
          <w:szCs w:val="16"/>
          <w:color w:val="auto"/>
        </w:rPr>
        <w:t>”), the Company will</w:t>
      </w:r>
    </w:p>
    <w:p>
      <w:pPr>
        <w:ind w:right="160" w:firstLine="8"/>
        <w:spacing w:after="0" w:line="274" w:lineRule="auto"/>
        <w:tabs>
          <w:tab w:leader="none" w:pos="209" w:val="left"/>
        </w:tabs>
        <w:numPr>
          <w:ilvl w:val="0"/>
          <w:numId w:val="4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to Executive a lump sum amount equal to the sum of the severance benefits that Executive would otherwise have received through the Delayed Initial Payment Date if the commencement of the payment of the severance benefits had not been delayed pursuant to this Section 6.8 and</w:t>
      </w:r>
    </w:p>
    <w:p>
      <w:pPr>
        <w:jc w:val="both"/>
        <w:ind w:right="120" w:firstLine="8"/>
        <w:spacing w:after="0" w:line="285" w:lineRule="auto"/>
        <w:tabs>
          <w:tab w:leader="none" w:pos="258" w:val="left"/>
        </w:tabs>
        <w:numPr>
          <w:ilvl w:val="0"/>
          <w:numId w:val="4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 paying the balance of the severance benefits in accordance with the applicable payment schedule set forth in Section 6. No interest shall be due on any amounts deferred pursuant to this Section 6.8. To the extent that any Severance Benefits are deferred compensation under Section 409A of the Code and are not otherwise exempt from the application of Section 409A, then, if the period during which Executive may consider and sign the Release spans two calendar years, the payment of any such Severance Benefit will not be made or begin until the later calendar year.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00"/>
          </w:cols>
          <w:pgMar w:left="580" w:top="265" w:right="619" w:bottom="1440" w:gutter="0" w:footer="0" w:header="0"/>
        </w:sectPr>
      </w:pPr>
    </w:p>
    <w:bookmarkStart w:id="567" w:name="page568"/>
    <w:bookmarkEnd w:id="567"/>
    <w:p>
      <w:pPr>
        <w:ind w:firstLine="964"/>
        <w:spacing w:after="0" w:line="276"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6.9 Section 280G. </w:t>
      </w:r>
      <w:r>
        <w:rPr>
          <w:rFonts w:ascii="Times New Roman" w:cs="Times New Roman" w:eastAsia="Times New Roman" w:hAnsi="Times New Roman"/>
          <w:sz w:val="16"/>
          <w:szCs w:val="16"/>
          <w:color w:val="auto"/>
        </w:rPr>
        <w:t>Notwithstanding any other provision of this Agreement to the contrary, if payments made or benefits provided pursuant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this Agreement or otherwise from the Company or any person or entity are considered “parachute payments” under Section 280G of the Code, then such parachute payments will be limited to the greatest amount that may be paid to Executive under Section 280G of the Code without causing any loss of deduction to the Company Group under such section, but only if, by reason of such reduction, the net after tax benefit to Executive will exceed the net after tax benefit if such reduction were not made. “</w:t>
      </w:r>
      <w:r>
        <w:rPr>
          <w:rFonts w:ascii="Times New Roman" w:cs="Times New Roman" w:eastAsia="Times New Roman" w:hAnsi="Times New Roman"/>
          <w:sz w:val="16"/>
          <w:szCs w:val="16"/>
          <w:b w:val="1"/>
          <w:bCs w:val="1"/>
          <w:i w:val="1"/>
          <w:iCs w:val="1"/>
          <w:color w:val="auto"/>
        </w:rPr>
        <w:t>Net after tax benefit</w:t>
      </w:r>
      <w:r>
        <w:rPr>
          <w:rFonts w:ascii="Times New Roman" w:cs="Times New Roman" w:eastAsia="Times New Roman" w:hAnsi="Times New Roman"/>
          <w:sz w:val="16"/>
          <w:szCs w:val="16"/>
          <w:color w:val="auto"/>
        </w:rPr>
        <w:t>” for purposes of this Agreement will mean the sum of (i) the total amounts payable to the Executive under this Agreement, plus (ii) all other payments and benefits which the Executive receives or then is entitled to receive from the Company or otherwise that would constitute a “parachute payment” within the meaning of Section 280G of the Code, less (iii) the amount of federal and state income taxes payable with respect to the foregoing calculated at the maximum marginal income tax rate for each year in which the foregoing will be paid to Executive (based upon the rate in effect for such year as set forth in the Code at the time of termination of Executive’s employment), less</w:t>
      </w:r>
    </w:p>
    <w:p>
      <w:pPr>
        <w:spacing w:after="0" w:line="6" w:lineRule="exact"/>
        <w:rPr>
          <w:sz w:val="20"/>
          <w:szCs w:val="20"/>
          <w:color w:val="auto"/>
        </w:rPr>
      </w:pPr>
    </w:p>
    <w:p>
      <w:pPr>
        <w:ind w:right="40" w:firstLine="8"/>
        <w:spacing w:after="0" w:line="277" w:lineRule="auto"/>
        <w:tabs>
          <w:tab w:leader="none" w:pos="296" w:val="left"/>
        </w:tabs>
        <w:numPr>
          <w:ilvl w:val="0"/>
          <w:numId w:val="4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excise taxes imposed with respect to the payments and benefits described in (i) and (ii) above by Section 4999 of the Code. The determination as to whether and to what extent payments are required to be reduced in accordance with this Section 6.9 will be made at the Company’s expense by a nationally recognized certified public accounting firm as may be designated by the Company prior to a change in control (the “</w:t>
      </w:r>
      <w:r>
        <w:rPr>
          <w:rFonts w:ascii="Times New Roman" w:cs="Times New Roman" w:eastAsia="Times New Roman" w:hAnsi="Times New Roman"/>
          <w:sz w:val="16"/>
          <w:szCs w:val="16"/>
          <w:b w:val="1"/>
          <w:bCs w:val="1"/>
          <w:i w:val="1"/>
          <w:iCs w:val="1"/>
          <w:color w:val="auto"/>
        </w:rPr>
        <w:t>Accounting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Firm</w:t>
      </w:r>
      <w:r>
        <w:rPr>
          <w:rFonts w:ascii="Times New Roman" w:cs="Times New Roman" w:eastAsia="Times New Roman" w:hAnsi="Times New Roman"/>
          <w:sz w:val="16"/>
          <w:szCs w:val="16"/>
          <w:color w:val="auto"/>
        </w:rPr>
        <w:t>”). In the event of any mistaken underpayment or overpayment under this Agreement, as determined by the Accounting Firm, the amount of such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underpayment or overpayment will forthwith be paid to Executive or refunded to the Company, as the case may be, with interest at one hundred twenty (120%) of the applicable Federal rate provided for in Section 7872(f)(2) of the Code. Any reduction in payments required by this Section 6.9 will occur in the following order: (1) any cash severance, (2) any other cash amount payable to Executive, (3) any benefit valued as a “parachute payment,” (4) the acceleration of vesting of any equity awards that are options, and (5) the acceleration of vesting of any other equity awards. Within any such category of payments and benefits, a reduction will occur first with respect to amounts that are not “deferred compensation” within the meaning of Section 409A and then with respect to amounts that are. In the event that acceleration of compensation from equity awards is to be reduced, such acceleration of vesting will be canceled, subject to the immediately preceding sentence, in the reverse order of the date of grant.</w:t>
      </w:r>
    </w:p>
    <w:p>
      <w:pPr>
        <w:spacing w:after="0" w:line="377" w:lineRule="exact"/>
        <w:rPr>
          <w:rFonts w:ascii="Times New Roman" w:cs="Times New Roman" w:eastAsia="Times New Roman" w:hAnsi="Times New Roman"/>
          <w:sz w:val="16"/>
          <w:szCs w:val="16"/>
          <w:color w:val="auto"/>
        </w:rPr>
      </w:pPr>
    </w:p>
    <w:p>
      <w:pPr>
        <w:ind w:left="620" w:hanging="184"/>
        <w:spacing w:after="0"/>
        <w:tabs>
          <w:tab w:leader="none" w:pos="620" w:val="left"/>
        </w:tabs>
        <w:numPr>
          <w:ilvl w:val="1"/>
          <w:numId w:val="4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7.1 Notices</w:t>
      </w:r>
      <w:r>
        <w:rPr>
          <w:rFonts w:ascii="Times New Roman" w:cs="Times New Roman" w:eastAsia="Times New Roman" w:hAnsi="Times New Roman"/>
          <w:sz w:val="18"/>
          <w:szCs w:val="18"/>
          <w:color w:val="auto"/>
        </w:rPr>
        <w:t>. Any notices required hereunder to be in writing shall be deemed effectively given: (a) upon personal delivery to the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primary office location and to Executive at either Executive’s address as listed on the Company payroll, or Executive’s Company-issued email address, or at such other address as the Company or Executive may designate by ten (10) days advance written notice to the other.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20"/>
          </w:cols>
          <w:pgMar w:left="580" w:top="263" w:right="599" w:bottom="1440" w:gutter="0" w:footer="0" w:header="0"/>
        </w:sectPr>
      </w:pPr>
    </w:p>
    <w:bookmarkStart w:id="568" w:name="page569"/>
    <w:bookmarkEnd w:id="568"/>
    <w:p>
      <w:pPr>
        <w:ind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7.2 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81" w:lineRule="exact"/>
        <w:rPr>
          <w:sz w:val="20"/>
          <w:szCs w:val="20"/>
          <w:color w:val="auto"/>
        </w:rPr>
      </w:pPr>
    </w:p>
    <w:p>
      <w:pPr>
        <w:ind w:right="1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7.3 Survival</w:t>
      </w:r>
      <w:r>
        <w:rPr>
          <w:rFonts w:ascii="Times New Roman" w:cs="Times New Roman" w:eastAsia="Times New Roman" w:hAnsi="Times New Roman"/>
          <w:sz w:val="18"/>
          <w:szCs w:val="18"/>
          <w:color w:val="auto"/>
        </w:rPr>
        <w:t>. Provisions of this Agreement which by their terms must survive the termination of this Agreement in order to effectuate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intent of the parties will survive any such termination for such period as may be appropriate under the circumstances.</w:t>
      </w:r>
    </w:p>
    <w:p>
      <w:pPr>
        <w:spacing w:after="0" w:line="164" w:lineRule="exact"/>
        <w:rPr>
          <w:sz w:val="20"/>
          <w:szCs w:val="20"/>
          <w:color w:val="auto"/>
        </w:rPr>
      </w:pPr>
    </w:p>
    <w:p>
      <w:pPr>
        <w:ind w:right="26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7.4 Waiver</w:t>
      </w:r>
      <w:r>
        <w:rPr>
          <w:rFonts w:ascii="Times New Roman" w:cs="Times New Roman" w:eastAsia="Times New Roman" w:hAnsi="Times New Roman"/>
          <w:sz w:val="18"/>
          <w:szCs w:val="18"/>
          <w:color w:val="auto"/>
        </w:rPr>
        <w:t>. If either party should waive any breach of any provisions of this Agreement, it shall not thereby be deemed to have waived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preceding or succeeding breach of the same or any other provision of this Agreement.</w:t>
      </w:r>
    </w:p>
    <w:p>
      <w:pPr>
        <w:spacing w:after="0" w:line="164" w:lineRule="exact"/>
        <w:rPr>
          <w:sz w:val="20"/>
          <w:szCs w:val="20"/>
          <w:color w:val="auto"/>
        </w:rPr>
      </w:pPr>
    </w:p>
    <w:p>
      <w:pPr>
        <w:ind w:right="100" w:firstLine="964"/>
        <w:spacing w:after="0" w:line="282" w:lineRule="auto"/>
        <w:rPr>
          <w:sz w:val="20"/>
          <w:szCs w:val="20"/>
          <w:color w:val="auto"/>
        </w:rPr>
      </w:pPr>
      <w:r>
        <w:rPr>
          <w:rFonts w:ascii="Times New Roman" w:cs="Times New Roman" w:eastAsia="Times New Roman" w:hAnsi="Times New Roman"/>
          <w:sz w:val="16"/>
          <w:szCs w:val="16"/>
          <w:b w:val="1"/>
          <w:bCs w:val="1"/>
          <w:color w:val="auto"/>
        </w:rPr>
        <w:t>7.5 Complete Agreement</w:t>
      </w:r>
      <w:r>
        <w:rPr>
          <w:rFonts w:ascii="Times New Roman" w:cs="Times New Roman" w:eastAsia="Times New Roman" w:hAnsi="Times New Roman"/>
          <w:sz w:val="16"/>
          <w:szCs w:val="16"/>
          <w:color w:val="auto"/>
        </w:rPr>
        <w:t>. This Agreement constitutes the entire agreement between Executive and the Company with regard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 except in writing signed by Executive and an authorized officer of the Company. The parties have entered into a separate Proprietary Information Agreement and have or may enter into separate agreements related to equity.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spacing w:after="0" w:line="161" w:lineRule="exact"/>
        <w:rPr>
          <w:sz w:val="20"/>
          <w:szCs w:val="20"/>
          <w:color w:val="auto"/>
        </w:rPr>
      </w:pPr>
    </w:p>
    <w:p>
      <w:pPr>
        <w:ind w:right="14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7.6 Counterparts</w:t>
      </w:r>
      <w:r>
        <w:rPr>
          <w:rFonts w:ascii="Times New Roman" w:cs="Times New Roman" w:eastAsia="Times New Roman" w:hAnsi="Times New Roman"/>
          <w:sz w:val="18"/>
          <w:szCs w:val="18"/>
          <w:color w:val="auto"/>
        </w:rPr>
        <w:t>. This Agreement may be executed in separate counterparts, any one of which need not contain signatures of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party, but all of which taken together will constitute one and the same Agreement. The parties agree that facsimile and scanned image copies of signatures will suffice as original signatures.</w:t>
      </w:r>
    </w:p>
    <w:p>
      <w:pPr>
        <w:spacing w:after="0" w:line="178" w:lineRule="exact"/>
        <w:rPr>
          <w:sz w:val="20"/>
          <w:szCs w:val="20"/>
          <w:color w:val="auto"/>
        </w:rPr>
      </w:pPr>
    </w:p>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7.7 Withholding Taxes. </w:t>
      </w:r>
      <w:r>
        <w:rPr>
          <w:rFonts w:ascii="Times New Roman" w:cs="Times New Roman" w:eastAsia="Times New Roman" w:hAnsi="Times New Roman"/>
          <w:sz w:val="18"/>
          <w:szCs w:val="18"/>
          <w:color w:val="auto"/>
        </w:rPr>
        <w:t>The Company will be entitled to withhold from any payment due to Executive hereunder any amounts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withheld by applicable tax laws or regulations.</w:t>
      </w:r>
    </w:p>
    <w:p>
      <w:pPr>
        <w:spacing w:after="0" w:line="164" w:lineRule="exact"/>
        <w:rPr>
          <w:sz w:val="20"/>
          <w:szCs w:val="20"/>
          <w:color w:val="auto"/>
        </w:rPr>
      </w:pPr>
    </w:p>
    <w:p>
      <w:pPr>
        <w:ind w:right="28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7.8 Headings</w:t>
      </w:r>
      <w:r>
        <w:rPr>
          <w:rFonts w:ascii="Times New Roman" w:cs="Times New Roman" w:eastAsia="Times New Roman" w:hAnsi="Times New Roman"/>
          <w:sz w:val="18"/>
          <w:szCs w:val="18"/>
          <w:color w:val="auto"/>
        </w:rPr>
        <w:t>. The headings of the sections hereof are inserted for convenience only and shall not be deemed to constitute a part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to affect the meaning thereof.</w:t>
      </w:r>
    </w:p>
    <w:p>
      <w:pPr>
        <w:spacing w:after="0" w:line="164" w:lineRule="exact"/>
        <w:rPr>
          <w:sz w:val="20"/>
          <w:szCs w:val="20"/>
          <w:color w:val="auto"/>
        </w:rPr>
      </w:pPr>
    </w:p>
    <w:p>
      <w:pPr>
        <w:ind w:right="100" w:firstLine="964"/>
        <w:spacing w:after="0" w:line="248" w:lineRule="auto"/>
        <w:rPr>
          <w:sz w:val="20"/>
          <w:szCs w:val="20"/>
          <w:color w:val="auto"/>
        </w:rPr>
      </w:pPr>
      <w:r>
        <w:rPr>
          <w:rFonts w:ascii="Times New Roman" w:cs="Times New Roman" w:eastAsia="Times New Roman" w:hAnsi="Times New Roman"/>
          <w:sz w:val="18"/>
          <w:szCs w:val="18"/>
          <w:b w:val="1"/>
          <w:bCs w:val="1"/>
          <w:color w:val="auto"/>
        </w:rPr>
        <w:t>7.9 Successors and Assigns</w:t>
      </w:r>
      <w:r>
        <w:rPr>
          <w:rFonts w:ascii="Times New Roman" w:cs="Times New Roman" w:eastAsia="Times New Roman" w:hAnsi="Times New Roman"/>
          <w:sz w:val="18"/>
          <w:szCs w:val="18"/>
          <w:color w:val="auto"/>
        </w:rPr>
        <w:t>. The Company shall assign this Agreement and its rights and obligations hereunder in whole, but not in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his estate upon his death.</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20"/>
          </w:cols>
          <w:pgMar w:left="580" w:top="264" w:right="599" w:bottom="1440" w:gutter="0" w:footer="0" w:header="0"/>
        </w:sectPr>
      </w:pPr>
    </w:p>
    <w:bookmarkStart w:id="569" w:name="page570"/>
    <w:bookmarkEnd w:id="569"/>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7.10 Choice of Law</w:t>
      </w:r>
      <w:r>
        <w:rPr>
          <w:rFonts w:ascii="Times New Roman" w:cs="Times New Roman" w:eastAsia="Times New Roman" w:hAnsi="Times New Roman"/>
          <w:sz w:val="18"/>
          <w:szCs w:val="18"/>
          <w:color w:val="auto"/>
        </w:rPr>
        <w:t>. All questions concerning the construction, validity and interpretation of this Agreement will be governed by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w:t>
      </w:r>
    </w:p>
    <w:p>
      <w:pPr>
        <w:spacing w:after="0" w:line="164" w:lineRule="exact"/>
        <w:rPr>
          <w:sz w:val="20"/>
          <w:szCs w:val="20"/>
          <w:color w:val="auto"/>
        </w:rPr>
      </w:pPr>
    </w:p>
    <w:p>
      <w:pPr>
        <w:ind w:firstLine="964"/>
        <w:spacing w:after="0" w:line="277" w:lineRule="auto"/>
        <w:rPr>
          <w:sz w:val="20"/>
          <w:szCs w:val="20"/>
          <w:color w:val="auto"/>
        </w:rPr>
      </w:pPr>
      <w:r>
        <w:rPr>
          <w:rFonts w:ascii="Times New Roman" w:cs="Times New Roman" w:eastAsia="Times New Roman" w:hAnsi="Times New Roman"/>
          <w:sz w:val="16"/>
          <w:szCs w:val="16"/>
          <w:b w:val="1"/>
          <w:bCs w:val="1"/>
          <w:color w:val="auto"/>
        </w:rPr>
        <w:t>7.11 Dispute Resolution</w:t>
      </w:r>
      <w:r>
        <w:rPr>
          <w:rFonts w:ascii="Times New Roman" w:cs="Times New Roman" w:eastAsia="Times New Roman" w:hAnsi="Times New Roman"/>
          <w:sz w:val="16"/>
          <w:szCs w:val="16"/>
          <w:color w:val="auto"/>
        </w:rPr>
        <w:t>. The parties recognize that litigation in federal or state courts or before federal or state administrative agencies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disputes arising out of the Executive’s employment with the Company or out of this Agreement, or the Executive’s termination of employment or termination of this Agreement, may not be in the best interests of either the Executive or the Company,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this dispute resolution provision shall not apply to any separate agreements between the parties that do not themselves specify arbitration as an exclusive remedy. The location for the arbitration shall be the Chicago, Illinois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at the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w:t>
      </w:r>
      <w:r>
        <w:rPr>
          <w:rFonts w:ascii="Times New Roman" w:cs="Times New Roman" w:eastAsia="Times New Roman" w:hAnsi="Times New Roman"/>
          <w:sz w:val="16"/>
          <w:szCs w:val="16"/>
          <w:b w:val="1"/>
          <w:bCs w:val="1"/>
          <w:color w:val="auto"/>
        </w:rPr>
        <w:t>exclusive remedy</w:t>
      </w:r>
      <w:r>
        <w:rPr>
          <w:rFonts w:ascii="Times New Roman" w:cs="Times New Roman" w:eastAsia="Times New Roman" w:hAnsi="Times New Roman"/>
          <w:sz w:val="16"/>
          <w:szCs w:val="16"/>
          <w:color w:val="auto"/>
        </w:rPr>
        <w:t xml:space="preserve">, and each party expressly waives any right it might have to seek redress in any other forum, except as otherwise expressly provided in this Agreement. By electing arbitration as the means for final settlement of all claims,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parties hereby waive their respective 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SIGNATURES TO FOLLOW ON NEXT PAGE</w:t>
      </w:r>
      <w:r>
        <w:rPr>
          <w:rFonts w:ascii="Times New Roman" w:cs="Times New Roman" w:eastAsia="Times New Roman" w:hAnsi="Times New Roman"/>
          <w:sz w:val="18"/>
          <w:szCs w:val="18"/>
          <w:b w:val="1"/>
          <w:bCs w:val="1"/>
          <w:color w:val="auto"/>
        </w:rPr>
        <w:t>]</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00"/>
          </w:cols>
          <w:pgMar w:left="580" w:top="263" w:right="619" w:bottom="1440" w:gutter="0" w:footer="0" w:header="0"/>
        </w:sectPr>
      </w:pPr>
    </w:p>
    <w:bookmarkStart w:id="570" w:name="page571"/>
    <w:bookmarkEnd w:id="57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have duly executed this Agreement as of the date first above written.</w:t>
      </w:r>
    </w:p>
    <w:p>
      <w:pPr>
        <w:spacing w:after="0" w:line="23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Andy Polovin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13335</wp:posOffset>
            </wp:positionV>
            <wp:extent cx="249237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Andy Polovin</w:t>
      </w:r>
    </w:p>
    <w:p>
      <w:pPr>
        <w:spacing w:after="0" w:line="2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Title: General Counsel</w:t>
      </w:r>
    </w:p>
    <w:p>
      <w:pPr>
        <w:spacing w:after="0" w:line="2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Ryan Fukushima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13335</wp:posOffset>
            </wp:positionV>
            <wp:extent cx="271780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Ryan Fukushima</w:t>
      </w:r>
    </w:p>
    <w:p>
      <w:pPr>
        <w:sectPr>
          <w:pgSz w:w="11900" w:h="16838" w:orient="portrait"/>
          <w:cols w:equalWidth="0" w:num="1">
            <w:col w:w="9439"/>
          </w:cols>
          <w:pgMar w:left="1020" w:top="263" w:right="1440" w:bottom="1440" w:gutter="0" w:footer="0" w:header="0"/>
        </w:sectPr>
      </w:pPr>
    </w:p>
    <w:bookmarkStart w:id="571" w:name="page572"/>
    <w:bookmarkEnd w:id="571"/>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11" w:lineRule="exact"/>
        <w:rPr>
          <w:sz w:val="20"/>
          <w:szCs w:val="20"/>
          <w:color w:val="auto"/>
        </w:rPr>
      </w:pPr>
    </w:p>
    <w:p>
      <w:pPr>
        <w:ind w:right="200" w:firstLine="428"/>
        <w:spacing w:after="0" w:line="27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dated as of January 1, 2022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by and between </w:t>
      </w: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4"/>
          <w:szCs w:val="14"/>
          <w:b w:val="1"/>
          <w:bCs w:val="1"/>
          <w:color w:val="auto"/>
        </w:rPr>
        <w:t>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OGERS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right="2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desires to employ Executive as Chief Financial Officer and provide Executive with certain compensation and benefits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 for Executive’s services, and Executive agrees to be employed by the Company in such capacity and to receive the compensation and benefits on the terms and conditions set forth herein; and</w:t>
      </w:r>
    </w:p>
    <w:p>
      <w:pPr>
        <w:spacing w:after="0" w:line="176" w:lineRule="exact"/>
        <w:rPr>
          <w:sz w:val="20"/>
          <w:szCs w:val="20"/>
          <w:color w:val="auto"/>
        </w:rPr>
      </w:pPr>
    </w:p>
    <w:p>
      <w:pPr>
        <w:ind w:right="300" w:firstLine="428"/>
        <w:spacing w:after="0" w:line="25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and Executive desire to enter into this Employment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become effective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Executive’s signature below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in order to memorialize the terms and conditions of Executive’s employment by the Company upon and following the Effective Date.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mutual promises and covenants contained herein, the parties agree to the following:</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 Employment by the Company</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4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1.1 Position</w:t>
      </w:r>
      <w:r>
        <w:rPr>
          <w:rFonts w:ascii="Times New Roman" w:cs="Times New Roman" w:eastAsia="Times New Roman" w:hAnsi="Times New Roman"/>
          <w:sz w:val="18"/>
          <w:szCs w:val="18"/>
          <w:color w:val="auto"/>
        </w:rPr>
        <w:t>. Subject to the terms set forth herein, the Company agrees to employ Executive in the position of Chief Financial Officer,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hereby accepts such continued employment on the terms and conditions set forth in this Agreement.</w:t>
      </w:r>
    </w:p>
    <w:p>
      <w:pPr>
        <w:spacing w:after="0" w:line="162" w:lineRule="exact"/>
        <w:rPr>
          <w:sz w:val="20"/>
          <w:szCs w:val="20"/>
          <w:color w:val="auto"/>
        </w:rPr>
      </w:pPr>
    </w:p>
    <w:p>
      <w:pPr>
        <w:ind w:right="200" w:firstLine="964"/>
        <w:spacing w:after="0" w:line="249" w:lineRule="auto"/>
        <w:rPr>
          <w:sz w:val="20"/>
          <w:szCs w:val="20"/>
          <w:color w:val="auto"/>
        </w:rPr>
      </w:pPr>
      <w:r>
        <w:rPr>
          <w:rFonts w:ascii="Times New Roman" w:cs="Times New Roman" w:eastAsia="Times New Roman" w:hAnsi="Times New Roman"/>
          <w:sz w:val="18"/>
          <w:szCs w:val="18"/>
          <w:b w:val="1"/>
          <w:bCs w:val="1"/>
          <w:color w:val="auto"/>
        </w:rPr>
        <w:t>1.2 Duties</w:t>
      </w:r>
      <w:r>
        <w:rPr>
          <w:rFonts w:ascii="Times New Roman" w:cs="Times New Roman" w:eastAsia="Times New Roman" w:hAnsi="Times New Roman"/>
          <w:sz w:val="18"/>
          <w:szCs w:val="18"/>
          <w:color w:val="auto"/>
        </w:rPr>
        <w:t>. As Chief Financial Officer, Executive will report to the Chief Executive Officer (the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performing such duties as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normally associated with Executive’s position and such duties as are assigned to Executive from time to time, subject to the oversight and direction of the CEO. During the term of Executive’s employment with the Company, Executive will work on a full-time basis for the Company and will devote Executive’s best efforts and substantially all of Executive’s business time and attention to the business of the Company. Executive shall perform Executive’s duties under this Agreement principally out of the Company’s facility in Chicago. In addition, Executive shall make such business trips to such places as may be necessary or advisable for the efficient operations of the Company.</w:t>
      </w:r>
    </w:p>
    <w:p>
      <w:pPr>
        <w:spacing w:after="0" w:line="184"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1.3 Company Policies and Benefits</w:t>
      </w:r>
      <w:r>
        <w:rPr>
          <w:rFonts w:ascii="Times New Roman" w:cs="Times New Roman" w:eastAsia="Times New Roman" w:hAnsi="Times New Roman"/>
          <w:sz w:val="18"/>
          <w:szCs w:val="18"/>
          <w:color w:val="auto"/>
        </w:rPr>
        <w:t>. The employment relationship between the parties shall also be subject to the Company’s personnel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and procedures as they may be interpreted, adopted, revised or deleted from time to time in the Company’s sole discretion. Executive will be eligible to participate on the same basis as similarly 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118" w:right="599" w:bottom="1440" w:gutter="0" w:footer="0" w:header="0"/>
        </w:sectPr>
      </w:pPr>
    </w:p>
    <w:bookmarkStart w:id="572" w:name="page573"/>
    <w:bookmarkEnd w:id="572"/>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 Compensation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6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2.1 Salary</w:t>
      </w:r>
      <w:r>
        <w:rPr>
          <w:rFonts w:ascii="Times New Roman" w:cs="Times New Roman" w:eastAsia="Times New Roman" w:hAnsi="Times New Roman"/>
          <w:sz w:val="18"/>
          <w:szCs w:val="18"/>
          <w:color w:val="auto"/>
        </w:rPr>
        <w:t>. Executive shall receive for Executive’s services to be rendered under this Agreement an initial base salary of</w:t>
      </w:r>
      <w:r>
        <w:rPr>
          <w:rFonts w:ascii="Times New Roman" w:cs="Times New Roman" w:eastAsia="Times New Roman" w:hAnsi="Times New Roman"/>
          <w:sz w:val="18"/>
          <w:szCs w:val="18"/>
          <w:b w:val="1"/>
          <w:bCs w:val="1"/>
          <w:color w:val="auto"/>
        </w:rPr>
        <w:t xml:space="preserve"> $450,000 </w:t>
      </w:r>
      <w:r>
        <w:rPr>
          <w:rFonts w:ascii="Times New Roman" w:cs="Times New Roman" w:eastAsia="Times New Roman" w:hAnsi="Times New Roman"/>
          <w:sz w:val="18"/>
          <w:szCs w:val="18"/>
          <w:color w:val="auto"/>
        </w:rPr>
        <w:t>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annualized basis, subject to review and adjustment by the Company in its sole discretion, payable subject to standard federal and state payroll withholding requirements in accordance with the Company’s standard payroll practices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2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2.2 Equity Incentive Plan. </w:t>
      </w:r>
      <w:r>
        <w:rPr>
          <w:rFonts w:ascii="Times New Roman" w:cs="Times New Roman" w:eastAsia="Times New Roman" w:hAnsi="Times New Roman"/>
          <w:sz w:val="18"/>
          <w:szCs w:val="18"/>
          <w:color w:val="auto"/>
        </w:rPr>
        <w:t>During the term of Executive’s employment with the Company, Executive will be eligible to participate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then-current equity incentive plan as may be in effect from time to time and made available to similarly situated executive employees, subject to the terms of the associated plan documents and as determined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in its sole discretion from time to time. The Company reserves the right to modify or terminate its incentive programs at any time in its sole discretion.</w:t>
      </w:r>
    </w:p>
    <w:p>
      <w:pPr>
        <w:spacing w:after="0" w:line="181" w:lineRule="exact"/>
        <w:rPr>
          <w:sz w:val="20"/>
          <w:szCs w:val="20"/>
          <w:color w:val="auto"/>
        </w:rPr>
      </w:pPr>
    </w:p>
    <w:p>
      <w:pPr>
        <w:ind w:right="4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2.3 Expense Reimbursement</w:t>
      </w:r>
      <w:r>
        <w:rPr>
          <w:rFonts w:ascii="Times New Roman" w:cs="Times New Roman" w:eastAsia="Times New Roman" w:hAnsi="Times New Roman"/>
          <w:sz w:val="18"/>
          <w:szCs w:val="18"/>
          <w:color w:val="auto"/>
        </w:rPr>
        <w:t>. The Company will reimburse Executive for reasonable business expenses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standard expense reimbursement policy, as the same may be modified by the Company from time to time. The Company shall reimburse Executive for all customary and appropriate business-related expenses actually incurred and documented in accordance with Company policy, as in effect from time to time. For the avoidance of doubt, to the extent that any reimbursements payable to Executive are subject to the provisions of Section 409A of the Code: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89" w:lineRule="exact"/>
        <w:rPr>
          <w:sz w:val="20"/>
          <w:szCs w:val="20"/>
          <w:color w:val="auto"/>
        </w:rPr>
      </w:pPr>
    </w:p>
    <w:p>
      <w:pPr>
        <w:jc w:val="both"/>
        <w:ind w:right="40" w:firstLine="436"/>
        <w:spacing w:after="0" w:line="293" w:lineRule="auto"/>
        <w:tabs>
          <w:tab w:leader="none" w:pos="603" w:val="left"/>
        </w:tabs>
        <w:numPr>
          <w:ilvl w:val="0"/>
          <w:numId w:val="4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Confidentiality, Intellectual Property, and Protective Covenants Agreement. </w:t>
      </w:r>
      <w:r>
        <w:rPr>
          <w:rFonts w:ascii="Times New Roman" w:cs="Times New Roman" w:eastAsia="Times New Roman" w:hAnsi="Times New Roman"/>
          <w:sz w:val="16"/>
          <w:szCs w:val="16"/>
          <w:color w:val="auto"/>
        </w:rPr>
        <w:t>As a condition of continued employment, Executive agreed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execute and abide by a Confidentiality, Intellectual Property, and Protective Covenants Agreement (“</w:t>
      </w:r>
      <w:r>
        <w:rPr>
          <w:rFonts w:ascii="Times New Roman" w:cs="Times New Roman" w:eastAsia="Times New Roman" w:hAnsi="Times New Roman"/>
          <w:sz w:val="16"/>
          <w:szCs w:val="16"/>
          <w:b w:val="1"/>
          <w:bCs w:val="1"/>
          <w:i w:val="1"/>
          <w:iCs w:val="1"/>
          <w:color w:val="auto"/>
        </w:rPr>
        <w:t>Proprietary Information Agreement</w:t>
      </w:r>
      <w:r>
        <w:rPr>
          <w:rFonts w:ascii="Times New Roman" w:cs="Times New Roman" w:eastAsia="Times New Roman" w:hAnsi="Times New Roman"/>
          <w:sz w:val="16"/>
          <w:szCs w:val="16"/>
          <w:color w:val="auto"/>
        </w:rPr>
        <w:t>”), which may be amended by the parties from time to time without regard to this Agreement. The Proprietary Information Agreement contains provisions that are intended by the parties to survive and do survive termination of this Agreement, and such terms are hereby incorporated by reference.</w:t>
      </w:r>
    </w:p>
    <w:p>
      <w:pPr>
        <w:spacing w:after="0" w:line="151" w:lineRule="exact"/>
        <w:rPr>
          <w:rFonts w:ascii="Times New Roman" w:cs="Times New Roman" w:eastAsia="Times New Roman" w:hAnsi="Times New Roman"/>
          <w:sz w:val="16"/>
          <w:szCs w:val="16"/>
          <w:b w:val="1"/>
          <w:bCs w:val="1"/>
          <w:color w:val="auto"/>
        </w:rPr>
      </w:pPr>
    </w:p>
    <w:p>
      <w:pPr>
        <w:ind w:firstLine="436"/>
        <w:spacing w:after="0" w:line="247" w:lineRule="auto"/>
        <w:tabs>
          <w:tab w:leader="none" w:pos="603" w:val="left"/>
        </w:tabs>
        <w:numPr>
          <w:ilvl w:val="0"/>
          <w:numId w:val="4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Outside Activities during Employment</w:t>
      </w:r>
      <w:r>
        <w:rPr>
          <w:rFonts w:ascii="Times New Roman" w:cs="Times New Roman" w:eastAsia="Times New Roman" w:hAnsi="Times New Roman"/>
          <w:sz w:val="18"/>
          <w:szCs w:val="18"/>
          <w:color w:val="auto"/>
        </w:rPr>
        <w:t>. Except with the prior written consent of the Board, including consent given to Executive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signing of this Agreement, Executive will not, while employed 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and (iii) such other activities as may be specifically approved by the Board. This restriction shall not, however, preclude Executive (x) from owning less than one percent (1%) of the total outstanding shares of a publicly traded company, or (y) from employment or service in any capacity with Affiliates of the Company. As used in this Agreement, “</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means an entity under common management or control with the Company.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00"/>
          </w:cols>
          <w:pgMar w:left="580" w:top="263" w:right="619" w:bottom="1440" w:gutter="0" w:footer="0" w:header="0"/>
        </w:sectPr>
      </w:pPr>
    </w:p>
    <w:bookmarkStart w:id="573" w:name="page574"/>
    <w:bookmarkEnd w:id="573"/>
    <w:p>
      <w:pPr>
        <w:ind w:left="-20" w:right="20" w:firstLine="436"/>
        <w:spacing w:after="0" w:line="252" w:lineRule="auto"/>
        <w:tabs>
          <w:tab w:leader="none" w:pos="583" w:val="left"/>
        </w:tabs>
        <w:numPr>
          <w:ilvl w:val="0"/>
          <w:numId w:val="4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 Conflict with Existing Obligations</w:t>
      </w:r>
      <w:r>
        <w:rPr>
          <w:rFonts w:ascii="Times New Roman" w:cs="Times New Roman" w:eastAsia="Times New Roman" w:hAnsi="Times New Roman"/>
          <w:sz w:val="18"/>
          <w:szCs w:val="18"/>
          <w:color w:val="auto"/>
        </w:rPr>
        <w:t>. Executive represents that Executive’s performance of all the terms of this Agreement does not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80" w:lineRule="exact"/>
        <w:rPr>
          <w:rFonts w:ascii="Times New Roman" w:cs="Times New Roman" w:eastAsia="Times New Roman" w:hAnsi="Times New Roman"/>
          <w:sz w:val="18"/>
          <w:szCs w:val="18"/>
          <w:b w:val="1"/>
          <w:bCs w:val="1"/>
          <w:color w:val="auto"/>
        </w:rPr>
      </w:pPr>
    </w:p>
    <w:p>
      <w:pPr>
        <w:ind w:left="-20" w:right="60" w:firstLine="436"/>
        <w:spacing w:after="0" w:line="303" w:lineRule="auto"/>
        <w:tabs>
          <w:tab w:leader="none" w:pos="583" w:val="left"/>
        </w:tabs>
        <w:numPr>
          <w:ilvl w:val="0"/>
          <w:numId w:val="4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Termination of Employment</w:t>
      </w:r>
      <w:r>
        <w:rPr>
          <w:rFonts w:ascii="Times New Roman" w:cs="Times New Roman" w:eastAsia="Times New Roman" w:hAnsi="Times New Roman"/>
          <w:sz w:val="16"/>
          <w:szCs w:val="16"/>
          <w:color w:val="auto"/>
        </w:rPr>
        <w:t>. The parties acknowledge that Executive’s employment relationship with the Company is at-will, meaning either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or Executive may terminate Executive’s employment at any time, with or without cause or advance notice. The provisions in this Section govern the amount of compensation, if any, to be provided to Executive upon termination of employment and do not alter this at-will status.</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6.1 Termination without Cause or for Good Reason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20" w:right="260" w:firstLine="1400"/>
        <w:spacing w:after="0" w:line="252" w:lineRule="auto"/>
        <w:tabs>
          <w:tab w:leader="none" w:pos="1611"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without “Cause” (as defined in </w:t>
      </w:r>
      <w:r>
        <w:rPr>
          <w:rFonts w:ascii="Times New Roman" w:cs="Times New Roman" w:eastAsia="Times New Roman" w:hAnsi="Times New Roman"/>
          <w:sz w:val="18"/>
          <w:szCs w:val="18"/>
          <w:b w:val="1"/>
          <w:bCs w:val="1"/>
          <w:color w:val="auto"/>
        </w:rPr>
        <w:t>Section 6.3(b)</w:t>
      </w:r>
      <w:r>
        <w:rPr>
          <w:rFonts w:ascii="Times New Roman" w:cs="Times New Roman" w:eastAsia="Times New Roman" w:hAnsi="Times New Roman"/>
          <w:sz w:val="18"/>
          <w:szCs w:val="18"/>
          <w:color w:val="auto"/>
        </w:rPr>
        <w:t xml:space="preserve"> below)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of this Agreement. A termination pursuant to </w:t>
      </w:r>
      <w:r>
        <w:rPr>
          <w:rFonts w:ascii="Times New Roman" w:cs="Times New Roman" w:eastAsia="Times New Roman" w:hAnsi="Times New Roman"/>
          <w:sz w:val="18"/>
          <w:szCs w:val="18"/>
          <w:b w:val="1"/>
          <w:bCs w:val="1"/>
          <w:color w:val="auto"/>
        </w:rPr>
        <w:t>Section 6.5</w:t>
      </w:r>
      <w:r>
        <w:rPr>
          <w:rFonts w:ascii="Times New Roman" w:cs="Times New Roman" w:eastAsia="Times New Roman" w:hAnsi="Times New Roman"/>
          <w:sz w:val="18"/>
          <w:szCs w:val="18"/>
          <w:color w:val="auto"/>
        </w:rPr>
        <w:t xml:space="preserve"> below is not a termination without “Cause” for purposes of receiving the benefits described in </w:t>
      </w:r>
      <w:r>
        <w:rPr>
          <w:rFonts w:ascii="Times New Roman" w:cs="Times New Roman" w:eastAsia="Times New Roman" w:hAnsi="Times New Roman"/>
          <w:sz w:val="18"/>
          <w:szCs w:val="18"/>
          <w:b w:val="1"/>
          <w:bCs w:val="1"/>
          <w:color w:val="auto"/>
        </w:rPr>
        <w:t xml:space="preserve">Sections 6.1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6.2</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20" w:right="60" w:firstLine="1400"/>
        <w:spacing w:after="0" w:line="249" w:lineRule="auto"/>
        <w:tabs>
          <w:tab w:leader="none" w:pos="162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Executive’s employment at any time without Cause or Executive terminates Executive’s employment with the Company for Good Reason and provided that such termination constitutes a “separation from service” (as defined under Treasury Regulation Section 1.409A-1(h), without regard to any alternative definition thereunder,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xml:space="preserve">”), then Executive shall be entitled to receive the Accrued Obligations (defined below). If Executive complies with the obligations in </w:t>
      </w:r>
      <w:r>
        <w:rPr>
          <w:rFonts w:ascii="Times New Roman" w:cs="Times New Roman" w:eastAsia="Times New Roman" w:hAnsi="Times New Roman"/>
          <w:sz w:val="18"/>
          <w:szCs w:val="18"/>
          <w:b w:val="1"/>
          <w:bCs w:val="1"/>
          <w:color w:val="auto"/>
        </w:rPr>
        <w:t>Section 6.1(c)</w:t>
      </w:r>
      <w:r>
        <w:rPr>
          <w:rFonts w:ascii="Times New Roman" w:cs="Times New Roman" w:eastAsia="Times New Roman" w:hAnsi="Times New Roman"/>
          <w:sz w:val="18"/>
          <w:szCs w:val="18"/>
          <w:color w:val="auto"/>
        </w:rPr>
        <w:t xml:space="preserve"> below, Executive shall also be eligible to receive the following “</w:t>
      </w:r>
      <w:r>
        <w:rPr>
          <w:rFonts w:ascii="Times New Roman" w:cs="Times New Roman" w:eastAsia="Times New Roman" w:hAnsi="Times New Roman"/>
          <w:sz w:val="18"/>
          <w:szCs w:val="18"/>
          <w:b w:val="1"/>
          <w:bCs w:val="1"/>
          <w:i w:val="1"/>
          <w:iCs w:val="1"/>
          <w:color w:val="auto"/>
        </w:rPr>
        <w:t>Severance Benefits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20" w:firstLine="1936"/>
        <w:spacing w:after="0" w:line="247" w:lineRule="auto"/>
        <w:tabs>
          <w:tab w:leader="none" w:pos="2117"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pay Executive an amount equal to Executive’s then current Base Salary for twelve (12) months, less all applicable withholdings and deductions, paid in equal installments on the Company’s normal payroll schedule following the termination date, with the first payment beginning on the Severance Pay Commencement Date (as defined in </w:t>
      </w:r>
      <w:r>
        <w:rPr>
          <w:rFonts w:ascii="Times New Roman" w:cs="Times New Roman" w:eastAsia="Times New Roman" w:hAnsi="Times New Roman"/>
          <w:sz w:val="18"/>
          <w:szCs w:val="18"/>
          <w:b w:val="1"/>
          <w:bCs w:val="1"/>
          <w:color w:val="auto"/>
        </w:rPr>
        <w:t>Section 6.1(c)</w:t>
      </w:r>
      <w:r>
        <w:rPr>
          <w:rFonts w:ascii="Times New Roman" w:cs="Times New Roman" w:eastAsia="Times New Roman" w:hAnsi="Times New Roman"/>
          <w:sz w:val="18"/>
          <w:szCs w:val="18"/>
          <w:color w:val="auto"/>
        </w:rPr>
        <w:t xml:space="preserve"> below), and the remaining installments occurring on the Company’s regularly scheduled payroll dates thereafter; provided that on the Severance Pay Commencement Date, the Company will pay in a lump sum the aggregate amount of the cash severance payments that the Company would have paid Executive through such date had the payments commenced on the effective date of termination through the Severance Pay Commencement Date. In addition, during the six (6) month period following Executive’s Separation from Service, Executive’s equity will continue to satisfy any applicable time-based vesting condition, as though Executive remained employed by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600" w:top="263" w:right="599" w:bottom="1440" w:gutter="0" w:footer="0" w:header="0"/>
        </w:sectPr>
      </w:pPr>
    </w:p>
    <w:bookmarkStart w:id="574" w:name="page575"/>
    <w:bookmarkEnd w:id="574"/>
    <w:p>
      <w:pPr>
        <w:ind w:left="-20" w:firstLine="1400"/>
        <w:spacing w:after="0" w:line="276" w:lineRule="auto"/>
        <w:tabs>
          <w:tab w:leader="none" w:pos="1611" w:val="left"/>
        </w:tabs>
        <w:numPr>
          <w:ilvl w:val="0"/>
          <w:numId w:val="4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If Executive timely elects continued coverage under COBRA for Executive and Executive’s covered dependents under the Company’s group health plans following such termination, then the Company shall pay the COBRA premiums necessary to continue Executive’s and Executive’s covered dependents’ health insurance coverage in effect for Executive (and Executive’s covered dependents) on the termination date until the earliest of: (i) twelve (12) months following the termination date (the “</w:t>
      </w:r>
      <w:r>
        <w:rPr>
          <w:rFonts w:ascii="Times New Roman" w:cs="Times New Roman" w:eastAsia="Times New Roman" w:hAnsi="Times New Roman"/>
          <w:sz w:val="16"/>
          <w:szCs w:val="16"/>
          <w:b w:val="1"/>
          <w:bCs w:val="1"/>
          <w:i w:val="1"/>
          <w:iCs w:val="1"/>
          <w:color w:val="auto"/>
        </w:rPr>
        <w:t>COBRA Severance Period</w:t>
      </w:r>
      <w:r>
        <w:rPr>
          <w:rFonts w:ascii="Times New Roman" w:cs="Times New Roman" w:eastAsia="Times New Roman" w:hAnsi="Times New Roman"/>
          <w:sz w:val="16"/>
          <w:szCs w:val="16"/>
          <w:color w:val="auto"/>
        </w:rPr>
        <w:t>”); (ii) the date when Executive becomes eligible for substantially equivalent health insurance coverage in connection with new employment or self-employment; or (iii) the date Executive ceases to be eligible for COBRA continuation coverage for any reason, including plan termination (such period from the termination date through the earlier of (i)-(iii), (the “</w:t>
      </w:r>
      <w:r>
        <w:rPr>
          <w:rFonts w:ascii="Times New Roman" w:cs="Times New Roman" w:eastAsia="Times New Roman" w:hAnsi="Times New Roman"/>
          <w:sz w:val="16"/>
          <w:szCs w:val="16"/>
          <w:b w:val="1"/>
          <w:bCs w:val="1"/>
          <w:i w:val="1"/>
          <w:iCs w:val="1"/>
          <w:color w:val="auto"/>
        </w:rPr>
        <w:t>COBRA Payment Period</w:t>
      </w:r>
      <w:r>
        <w:rPr>
          <w:rFonts w:ascii="Times New Roman" w:cs="Times New Roman" w:eastAsia="Times New Roman" w:hAnsi="Times New Roman"/>
          <w:sz w:val="16"/>
          <w:szCs w:val="16"/>
          <w:color w:val="auto"/>
        </w:rPr>
        <w:t>”).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(such amount, the “</w:t>
      </w:r>
      <w:r>
        <w:rPr>
          <w:rFonts w:ascii="Times New Roman" w:cs="Times New Roman" w:eastAsia="Times New Roman" w:hAnsi="Times New Roman"/>
          <w:sz w:val="16"/>
          <w:szCs w:val="16"/>
          <w:b w:val="1"/>
          <w:bCs w:val="1"/>
          <w:i w:val="1"/>
          <w:iCs w:val="1"/>
          <w:color w:val="auto"/>
        </w:rPr>
        <w:t>Special Severance Payment</w:t>
      </w:r>
      <w:r>
        <w:rPr>
          <w:rFonts w:ascii="Times New Roman" w:cs="Times New Roman" w:eastAsia="Times New Roman" w:hAnsi="Times New Roman"/>
          <w:sz w:val="16"/>
          <w:szCs w:val="16"/>
          <w:color w:val="auto"/>
        </w:rPr>
        <w:t xml:space="preserve">”), for the remainder of the COBRA Payment Period. Nothing in this Agreement shall deprive Executive of Executive’s rights under COBRA or ERISA for benefits under plans and policies arising under Executive’s employment by the Company. Executive will be paid all of the Accrued Obligations on the Company’s first payroll date after Executive’s date of termination from employment or earlier if required by law. Executive shall receive the Severance Benefits pursuant to </w:t>
      </w:r>
      <w:r>
        <w:rPr>
          <w:rFonts w:ascii="Times New Roman" w:cs="Times New Roman" w:eastAsia="Times New Roman" w:hAnsi="Times New Roman"/>
          <w:sz w:val="16"/>
          <w:szCs w:val="16"/>
          <w:b w:val="1"/>
          <w:bCs w:val="1"/>
          <w:color w:val="auto"/>
        </w:rPr>
        <w:t>Section 6.1(b)</w:t>
      </w:r>
      <w:r>
        <w:rPr>
          <w:rFonts w:ascii="Times New Roman" w:cs="Times New Roman" w:eastAsia="Times New Roman" w:hAnsi="Times New Roman"/>
          <w:sz w:val="16"/>
          <w:szCs w:val="16"/>
          <w:color w:val="auto"/>
        </w:rPr>
        <w:t xml:space="preserve"> or the Change in Control Severance Benefits (defined below) pursuant to </w:t>
      </w:r>
      <w:r>
        <w:rPr>
          <w:rFonts w:ascii="Times New Roman" w:cs="Times New Roman" w:eastAsia="Times New Roman" w:hAnsi="Times New Roman"/>
          <w:sz w:val="16"/>
          <w:szCs w:val="16"/>
          <w:b w:val="1"/>
          <w:bCs w:val="1"/>
          <w:color w:val="auto"/>
        </w:rPr>
        <w:t>6.2(a)</w:t>
      </w:r>
      <w:r>
        <w:rPr>
          <w:rFonts w:ascii="Times New Roman" w:cs="Times New Roman" w:eastAsia="Times New Roman" w:hAnsi="Times New Roman"/>
          <w:sz w:val="16"/>
          <w:szCs w:val="16"/>
          <w:color w:val="auto"/>
        </w:rPr>
        <w:t xml:space="preserve"> of this Agreement, as applicable, if: (i) Executive executes and does not revoke a separation agreement containing an effective, general release of claims in favor of the Company and its affiliates and representatives, in a form acceptable to the Company (the “</w:t>
      </w:r>
      <w:r>
        <w:rPr>
          <w:rFonts w:ascii="Times New Roman" w:cs="Times New Roman" w:eastAsia="Times New Roman" w:hAnsi="Times New Roman"/>
          <w:sz w:val="16"/>
          <w:szCs w:val="16"/>
          <w:b w:val="1"/>
          <w:bCs w:val="1"/>
          <w:i w:val="1"/>
          <w:iCs w:val="1"/>
          <w:color w:val="auto"/>
        </w:rPr>
        <w:t>Release</w:t>
      </w:r>
      <w:r>
        <w:rPr>
          <w:rFonts w:ascii="Times New Roman" w:cs="Times New Roman" w:eastAsia="Times New Roman" w:hAnsi="Times New Roman"/>
          <w:sz w:val="16"/>
          <w:szCs w:val="16"/>
          <w:color w:val="auto"/>
        </w:rPr>
        <w:t>”) and the Release is enforceable and effective as provided in the Release on or before the date that is the sixtieth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day following the effective date of termination (such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xml:space="preserve"> day, the “</w:t>
      </w:r>
      <w:r>
        <w:rPr>
          <w:rFonts w:ascii="Times New Roman" w:cs="Times New Roman" w:eastAsia="Times New Roman" w:hAnsi="Times New Roman"/>
          <w:sz w:val="16"/>
          <w:szCs w:val="16"/>
          <w:b w:val="1"/>
          <w:bCs w:val="1"/>
          <w:i w:val="1"/>
          <w:iCs w:val="1"/>
          <w:color w:val="auto"/>
        </w:rPr>
        <w:t>Severance Pay Commencement Date</w:t>
      </w:r>
      <w:r>
        <w:rPr>
          <w:rFonts w:ascii="Times New Roman" w:cs="Times New Roman" w:eastAsia="Times New Roman" w:hAnsi="Times New Roman"/>
          <w:sz w:val="16"/>
          <w:szCs w:val="16"/>
          <w:color w:val="auto"/>
        </w:rPr>
        <w:t>”); (ii) if Executive holds any other positions with the Company, Executive resigns such position(s) to be effective no later than the date of Executive’s termination date (or such other date as requested by the Board); (iii) Executive returns all Company property; (iv) Executive complies with Executive’s post-termination obligations under this Agreement and the Proprietary Information Agreement; and (v) Executive complies with the terms of the Release, including without limitation any non-disparagement and confidentiality provisions contained in Release.</w:t>
      </w:r>
    </w:p>
    <w:p>
      <w:pPr>
        <w:spacing w:after="0" w:line="200" w:lineRule="exact"/>
        <w:rPr>
          <w:rFonts w:ascii="Times New Roman" w:cs="Times New Roman" w:eastAsia="Times New Roman" w:hAnsi="Times New Roman"/>
          <w:sz w:val="16"/>
          <w:szCs w:val="16"/>
          <w:color w:val="auto"/>
        </w:rPr>
      </w:pPr>
    </w:p>
    <w:p>
      <w:pPr>
        <w:spacing w:after="0" w:line="395" w:lineRule="exact"/>
        <w:rPr>
          <w:rFonts w:ascii="Times New Roman" w:cs="Times New Roman" w:eastAsia="Times New Roman" w:hAnsi="Times New Roman"/>
          <w:sz w:val="16"/>
          <w:szCs w:val="16"/>
          <w:color w:val="auto"/>
        </w:rPr>
      </w:pPr>
    </w:p>
    <w:p>
      <w:pPr>
        <w:ind w:left="-20" w:firstLine="1400"/>
        <w:spacing w:after="0" w:line="253" w:lineRule="auto"/>
        <w:tabs>
          <w:tab w:leader="none" w:pos="162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Accrued Obligations</w:t>
      </w:r>
      <w:r>
        <w:rPr>
          <w:rFonts w:ascii="Times New Roman" w:cs="Times New Roman" w:eastAsia="Times New Roman" w:hAnsi="Times New Roman"/>
          <w:sz w:val="18"/>
          <w:szCs w:val="18"/>
          <w:color w:val="auto"/>
        </w:rPr>
        <w:t>” 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spacing w:after="0" w:line="179" w:lineRule="exact"/>
        <w:rPr>
          <w:rFonts w:ascii="Times New Roman" w:cs="Times New Roman" w:eastAsia="Times New Roman" w:hAnsi="Times New Roman"/>
          <w:sz w:val="18"/>
          <w:szCs w:val="18"/>
          <w:color w:val="auto"/>
        </w:rPr>
      </w:pPr>
    </w:p>
    <w:p>
      <w:pPr>
        <w:ind w:left="-20" w:right="200" w:firstLine="1400"/>
        <w:spacing w:after="0" w:line="270" w:lineRule="auto"/>
        <w:tabs>
          <w:tab w:leader="none" w:pos="1611"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Severance Benefits provided to Executive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are in lieu of, and not in addition to, any benefits to which Executive may otherwise be entitled under any Company severance plan, policy or program.</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80"/>
          </w:cols>
          <w:pgMar w:left="600" w:top="265" w:right="619" w:bottom="1440" w:gutter="0" w:footer="0" w:header="0"/>
        </w:sectPr>
      </w:pPr>
    </w:p>
    <w:bookmarkStart w:id="575" w:name="page576"/>
    <w:bookmarkEnd w:id="575"/>
    <w:p>
      <w:pPr>
        <w:jc w:val="both"/>
        <w:ind w:left="-8" w:right="80" w:firstLine="1400"/>
        <w:spacing w:after="0" w:line="255" w:lineRule="auto"/>
        <w:tabs>
          <w:tab w:leader="none" w:pos="1604"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8040" cy="36830"/>
                    </a:xfrm>
                    <a:prstGeom prst="rect">
                      <a:avLst/>
                    </a:prstGeom>
                    <a:noFill/>
                  </pic:spPr>
                </pic:pic>
              </a:graphicData>
            </a:graphic>
          </wp:anchor>
        </w:drawing>
        <w:t xml:space="preserve">Any damages caused by the termination of Executive’s employment without Cause would be difficult to ascertain; therefore, the Severance Benefits for which Executive is eligible pursuant to </w:t>
      </w:r>
      <w:r>
        <w:rPr>
          <w:rFonts w:ascii="Times New Roman" w:cs="Times New Roman" w:eastAsia="Times New Roman" w:hAnsi="Times New Roman"/>
          <w:sz w:val="18"/>
          <w:szCs w:val="18"/>
          <w:b w:val="1"/>
          <w:bCs w:val="1"/>
          <w:color w:val="auto"/>
        </w:rPr>
        <w:t>Section 6.1(b)</w:t>
      </w:r>
      <w:r>
        <w:rPr>
          <w:rFonts w:ascii="Times New Roman" w:cs="Times New Roman" w:eastAsia="Times New Roman" w:hAnsi="Times New Roman"/>
          <w:sz w:val="18"/>
          <w:szCs w:val="18"/>
          <w:color w:val="auto"/>
        </w:rPr>
        <w:t xml:space="preserve"> above in exchange for the Release is agreed to by the parties as liquidated damages, to serve as full compensation, and not a penalty.</w:t>
      </w:r>
    </w:p>
    <w:p>
      <w:pPr>
        <w:spacing w:after="0" w:line="176" w:lineRule="exact"/>
        <w:rPr>
          <w:rFonts w:ascii="Times New Roman" w:cs="Times New Roman" w:eastAsia="Times New Roman" w:hAnsi="Times New Roman"/>
          <w:sz w:val="18"/>
          <w:szCs w:val="18"/>
          <w:color w:val="auto"/>
        </w:rPr>
      </w:pPr>
    </w:p>
    <w:p>
      <w:pPr>
        <w:ind w:left="-8" w:right="40" w:firstLine="1400"/>
        <w:spacing w:after="0" w:line="277" w:lineRule="auto"/>
        <w:tabs>
          <w:tab w:leader="none" w:pos="1633" w:val="left"/>
        </w:tabs>
        <w:numPr>
          <w:ilvl w:val="1"/>
          <w:numId w:val="4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w:t>
      </w:r>
      <w:r>
        <w:rPr>
          <w:rFonts w:ascii="Times New Roman" w:cs="Times New Roman" w:eastAsia="Times New Roman" w:hAnsi="Times New Roman"/>
          <w:sz w:val="16"/>
          <w:szCs w:val="16"/>
          <w:b w:val="1"/>
          <w:bCs w:val="1"/>
          <w:i w:val="1"/>
          <w:iCs w:val="1"/>
          <w:color w:val="auto"/>
        </w:rPr>
        <w:t>Good Reason</w:t>
      </w:r>
      <w:r>
        <w:rPr>
          <w:rFonts w:ascii="Times New Roman" w:cs="Times New Roman" w:eastAsia="Times New Roman" w:hAnsi="Times New Roman"/>
          <w:sz w:val="16"/>
          <w:szCs w:val="16"/>
          <w:color w:val="auto"/>
        </w:rPr>
        <w:t xml:space="preserve">” shall mean the occurrence of any of the following events without Executive’s consent: (i) a material reduction in Executive’s Base Salary of at least 25%; (ii) a material breach of this Agreement by the Company; (iii) a material reduction in the Executive’s duties, authority and responsibilities relative to the Executive’s duties, authority, and responsibilities in effect immediately prior to such reduction (provided that a material reduction of duties, authority and responsibilities will not be deemed to have occurred if, in connection with a Change in Control, Executive is not reporting to the individual in the same role as Executive’s prior manager at the acquirer or any other top-tier holding company above the acquirer); or (iv) the relocation of Executive’s principal place of employment, without Executive’s consent, in a manner that lengthens Executive’s one-way commute distance by fifty (50) or more miles from his then-current principal place of employment immediately prior to such relocation;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any such termination by Executive shall only be deemed for Good Reason pursuant to this definition if:</w:t>
      </w:r>
    </w:p>
    <w:p>
      <w:pPr>
        <w:spacing w:after="0" w:line="3" w:lineRule="exact"/>
        <w:rPr>
          <w:rFonts w:ascii="Times New Roman" w:cs="Times New Roman" w:eastAsia="Times New Roman" w:hAnsi="Times New Roman"/>
          <w:sz w:val="16"/>
          <w:szCs w:val="16"/>
          <w:color w:val="auto"/>
        </w:rPr>
      </w:pPr>
    </w:p>
    <w:p>
      <w:pPr>
        <w:ind w:left="-8" w:right="180" w:firstLine="8"/>
        <w:spacing w:after="0" w:line="244" w:lineRule="auto"/>
        <w:tabs>
          <w:tab w:leader="none" w:pos="24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gives the Company written notice of his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w:t>
      </w:r>
      <w:r>
        <w:rPr>
          <w:rFonts w:ascii="Times New Roman" w:cs="Times New Roman" w:eastAsia="Times New Roman" w:hAnsi="Times New Roman"/>
          <w:sz w:val="18"/>
          <w:szCs w:val="18"/>
          <w:b w:val="1"/>
          <w:bCs w:val="1"/>
          <w:i w:val="1"/>
          <w:iCs w:val="1"/>
          <w:color w:val="auto"/>
        </w:rPr>
        <w:t>Cure Period</w:t>
      </w:r>
      <w:r>
        <w:rPr>
          <w:rFonts w:ascii="Times New Roman" w:cs="Times New Roman" w:eastAsia="Times New Roman" w:hAnsi="Times New Roman"/>
          <w:sz w:val="18"/>
          <w:szCs w:val="18"/>
          <w:color w:val="auto"/>
        </w:rPr>
        <w:t>”); and (3) Executive voluntarily terminates Executive’s employment within thirty (30) days following the end of the Cure Period.</w:t>
      </w:r>
    </w:p>
    <w:p>
      <w:pPr>
        <w:spacing w:after="0" w:line="18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6.2 Termination without Cause or for Good Reason Coincident with a Change in Control</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 w:right="20" w:firstLine="1400"/>
        <w:spacing w:after="0" w:line="248" w:lineRule="auto"/>
        <w:tabs>
          <w:tab w:leader="none" w:pos="1623"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by the Company is terminated by the Company or any successor entity without Cause (and not due to Disability or death) or by Executive for Good Reason within two (2) months prior to or within twelve (12) months following the effective date of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(as defined in the Company’s Amended and Restated 2015 Stock Plan, as such plan may be amended from time to time (the “</w:t>
      </w:r>
      <w:r>
        <w:rPr>
          <w:rFonts w:ascii="Times New Roman" w:cs="Times New Roman" w:eastAsia="Times New Roman" w:hAnsi="Times New Roman"/>
          <w:sz w:val="18"/>
          <w:szCs w:val="18"/>
          <w:b w:val="1"/>
          <w:bCs w:val="1"/>
          <w:i w:val="1"/>
          <w:iCs w:val="1"/>
          <w:color w:val="auto"/>
        </w:rPr>
        <w:t>2015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provided that such termination constitutes a Separation from Service, without regard to any alternative definition thereunder, then in addition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paying or providing Executive with the Accrued Obligations and the Severance Benefits available under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the Company will provide the following “</w:t>
      </w:r>
      <w:r>
        <w:rPr>
          <w:rFonts w:ascii="Times New Roman" w:cs="Times New Roman" w:eastAsia="Times New Roman" w:hAnsi="Times New Roman"/>
          <w:sz w:val="18"/>
          <w:szCs w:val="18"/>
          <w:b w:val="1"/>
          <w:bCs w:val="1"/>
          <w:i w:val="1"/>
          <w:iCs w:val="1"/>
          <w:color w:val="auto"/>
        </w:rPr>
        <w:t>Change in Control Severance Benefits</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ind w:left="-8" w:firstLine="1936"/>
        <w:spacing w:after="0" w:line="249" w:lineRule="auto"/>
        <w:tabs>
          <w:tab w:leader="none" w:pos="2130"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equity awards held by Executive that were issued pursuant to the Company’s 2015 Plan or any successor plan and that remain outstanding and are unvested as of the date of such termination will immediately vest in full. For the avoidance of doubt, if such termination occurs prior to the effective date of a Change in Control, any such equity awards will remain outstanding following the date of such termination as necessary to give effect to the potential vesting acceleration set forth in this </w:t>
      </w:r>
      <w:r>
        <w:rPr>
          <w:rFonts w:ascii="Times New Roman" w:cs="Times New Roman" w:eastAsia="Times New Roman" w:hAnsi="Times New Roman"/>
          <w:sz w:val="18"/>
          <w:szCs w:val="18"/>
          <w:b w:val="1"/>
          <w:bCs w:val="1"/>
          <w:color w:val="auto"/>
        </w:rPr>
        <w:t>Section 6.2(a)(iv)</w:t>
      </w:r>
      <w:r>
        <w:rPr>
          <w:rFonts w:ascii="Times New Roman" w:cs="Times New Roman" w:eastAsia="Times New Roman" w:hAnsi="Times New Roman"/>
          <w:sz w:val="18"/>
          <w:szCs w:val="18"/>
          <w:color w:val="auto"/>
        </w:rPr>
        <w:t>, which would occur contingent upon the consummation of a Change in Control.</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12"/>
          </w:cols>
          <w:pgMar w:left="588" w:top="265" w:right="599" w:bottom="1440" w:gutter="0" w:footer="0" w:header="0"/>
        </w:sectPr>
      </w:pPr>
    </w:p>
    <w:bookmarkStart w:id="576" w:name="page577"/>
    <w:bookmarkEnd w:id="576"/>
    <w:p>
      <w:pPr>
        <w:ind w:left="97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8040" cy="36830"/>
                    </a:xfrm>
                    <a:prstGeom prst="rect">
                      <a:avLst/>
                    </a:prstGeom>
                    <a:noFill/>
                  </pic:spPr>
                </pic:pic>
              </a:graphicData>
            </a:graphic>
          </wp:anchor>
        </w:drawing>
        <w:t>6.3 Termination by the Company for Cause.</w:t>
      </w:r>
    </w:p>
    <w:p>
      <w:pPr>
        <w:spacing w:after="0" w:line="215" w:lineRule="exact"/>
        <w:rPr>
          <w:sz w:val="20"/>
          <w:szCs w:val="20"/>
          <w:color w:val="auto"/>
        </w:rPr>
      </w:pPr>
    </w:p>
    <w:p>
      <w:pPr>
        <w:ind w:left="-8" w:firstLine="1400"/>
        <w:spacing w:after="0" w:line="251" w:lineRule="auto"/>
        <w:tabs>
          <w:tab w:leader="none" w:pos="1623"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for Cause by giving notice as described in</w:t>
      </w:r>
      <w:r>
        <w:rPr>
          <w:rFonts w:ascii="Times New Roman" w:cs="Times New Roman" w:eastAsia="Times New Roman" w:hAnsi="Times New Roman"/>
          <w:sz w:val="18"/>
          <w:szCs w:val="18"/>
          <w:b w:val="1"/>
          <w:bCs w:val="1"/>
          <w:color w:val="auto"/>
        </w:rPr>
        <w:t xml:space="preserve"> Section 7.1 </w:t>
      </w:r>
      <w:r>
        <w:rPr>
          <w:rFonts w:ascii="Times New Roman" w:cs="Times New Roman" w:eastAsia="Times New Roman" w:hAnsi="Times New Roman"/>
          <w:sz w:val="18"/>
          <w:szCs w:val="18"/>
          <w:color w:val="auto"/>
        </w:rPr>
        <w:t>of this Agreement. In the event Executive’s employment is terminated at any time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0" w:lineRule="exact"/>
        <w:rPr>
          <w:rFonts w:ascii="Times New Roman" w:cs="Times New Roman" w:eastAsia="Times New Roman" w:hAnsi="Times New Roman"/>
          <w:sz w:val="18"/>
          <w:szCs w:val="18"/>
          <w:color w:val="auto"/>
        </w:rPr>
      </w:pPr>
    </w:p>
    <w:p>
      <w:pPr>
        <w:ind w:left="-8" w:firstLine="1400"/>
        <w:spacing w:after="0" w:line="246" w:lineRule="auto"/>
        <w:tabs>
          <w:tab w:leader="none" w:pos="1633"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“Cause” </w:t>
      </w:r>
      <w:r>
        <w:rPr>
          <w:rFonts w:ascii="Times New Roman" w:cs="Times New Roman" w:eastAsia="Times New Roman" w:hAnsi="Times New Roman"/>
          <w:sz w:val="18"/>
          <w:szCs w:val="18"/>
          <w:color w:val="auto"/>
        </w:rPr>
        <w:t>for termination shall mean that the Company has determined in its sole discretion that Executive has engaged in any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(i) a material breach of any covenant or condition under this Agreement or any other agreement between the parties; (ii) any act constituting dishonesty, fraud, falsification of any documents or records, or immoral or disreputable conduct; (iii) any conduct which constitutes a felony or other criminal act involving corruption, misappropriation, or moral turpitude, or otherwise impairs your ability to perform your duties with the Company, under applicable law; (iv) material violation of any Company policy or any act of misconduct (including if Executive acts in a manner expected to have a material detrimental effect on the Company’s reputation or business); (v) refusal to follow or implement a clear and reasonable directive of Company; (vi) negligence or incompetence in the performance of Executive’s duties or failure to perform such duties in a manner satisfactory to the Company after the expiration of ten (10) days without cure after written notice of such failure; (vii) breach of fiduciary duty; or</w:t>
      </w:r>
    </w:p>
    <w:p>
      <w:pPr>
        <w:spacing w:after="0" w:line="5"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misappropriation, destruction, or diversion of any tangible or intangible asset or corporate opportunity of the Company.</w:t>
      </w:r>
    </w:p>
    <w:p>
      <w:pPr>
        <w:spacing w:after="0" w:line="193"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6.4 Resignation by Executive</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8" w:right="240" w:firstLine="1400"/>
        <w:spacing w:after="0" w:line="270" w:lineRule="auto"/>
        <w:tabs>
          <w:tab w:leader="none" w:pos="1623"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may resign from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auto"/>
        </w:rPr>
      </w:pPr>
    </w:p>
    <w:p>
      <w:pPr>
        <w:ind w:left="-8" w:right="440" w:firstLine="1400"/>
        <w:spacing w:after="0" w:line="251" w:lineRule="auto"/>
        <w:tabs>
          <w:tab w:leader="none" w:pos="1633"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Executive resigns from Executive’s employment with the Company for any reason other than Good Reason in accordance with </w:t>
      </w:r>
      <w:r>
        <w:rPr>
          <w:rFonts w:ascii="Times New Roman" w:cs="Times New Roman" w:eastAsia="Times New Roman" w:hAnsi="Times New Roman"/>
          <w:sz w:val="18"/>
          <w:szCs w:val="18"/>
          <w:b w:val="1"/>
          <w:bCs w:val="1"/>
          <w:color w:val="auto"/>
        </w:rPr>
        <w:t>Sections 6.1 or 6.2</w:t>
      </w:r>
      <w:r>
        <w:rPr>
          <w:rFonts w:ascii="Times New Roman" w:cs="Times New Roman" w:eastAsia="Times New Roman" w:hAnsi="Times New Roman"/>
          <w:sz w:val="18"/>
          <w:szCs w:val="18"/>
          <w:color w:val="auto"/>
        </w:rPr>
        <w:t>,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2"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6.5 Termination by Virtue of Death or Disability of Executive</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 w:right="80" w:firstLine="1400"/>
        <w:spacing w:after="0" w:line="255" w:lineRule="auto"/>
        <w:tabs>
          <w:tab w:leader="none" w:pos="1623"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Executive’s death while employed pursuant to this Agreement, all obligations of the parties hereunder shall terminate immediately,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and the Company shall, pursuant to the Company’s standard payroll policies, pay to Executive’s legal representatives all Accrued Obligations.</w:t>
      </w:r>
    </w:p>
    <w:p>
      <w:pPr>
        <w:spacing w:after="0" w:line="180" w:lineRule="exact"/>
        <w:rPr>
          <w:rFonts w:ascii="Times New Roman" w:cs="Times New Roman" w:eastAsia="Times New Roman" w:hAnsi="Times New Roman"/>
          <w:sz w:val="18"/>
          <w:szCs w:val="18"/>
          <w:color w:val="auto"/>
        </w:rPr>
      </w:pPr>
    </w:p>
    <w:p>
      <w:pPr>
        <w:ind w:left="-8" w:right="20" w:firstLine="1400"/>
        <w:spacing w:after="0" w:line="255" w:lineRule="auto"/>
        <w:tabs>
          <w:tab w:leader="none" w:pos="1633"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state and federal law, the Company shall at all times have the right, upon written notice to Executive, and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to terminate this Agreement based on Executive’s Disability. Termination by the Company of Executive’s employment based on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termination because Executive is</w:t>
      </w:r>
    </w:p>
    <w:p>
      <w:pPr>
        <w:spacing w:after="0" w:line="1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12"/>
          </w:cols>
          <w:pgMar w:left="588" w:top="263" w:right="599" w:bottom="1440" w:gutter="0" w:footer="0" w:header="0"/>
        </w:sectPr>
      </w:pPr>
    </w:p>
    <w:bookmarkStart w:id="577" w:name="page578"/>
    <w:bookmarkEnd w:id="577"/>
    <w:p>
      <w:pPr>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unable due to a physical or mental condition to perform the essential functions of his position with or without reasonable accommodation for 180 days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Severance Benefits, Change in Control Severance Benefits, or any other severance compensation or benefit, except that, pursuant to the Company’s standard payroll policies, the Company shall pay to Executive the Accrued Obligations.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6.6 Notice; Effective Date of Termination.</w:t>
      </w:r>
    </w:p>
    <w:p>
      <w:pPr>
        <w:spacing w:after="0" w:line="215" w:lineRule="exact"/>
        <w:rPr>
          <w:sz w:val="20"/>
          <w:szCs w:val="20"/>
          <w:color w:val="auto"/>
        </w:rPr>
      </w:pPr>
    </w:p>
    <w:p>
      <w:pPr>
        <w:ind w:left="1640" w:hanging="240"/>
        <w:spacing w:after="0"/>
        <w:tabs>
          <w:tab w:leader="none" w:pos="164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Executive’s employment pursuant to this Agreement shall be effective on the earliest of:</w:t>
      </w:r>
    </w:p>
    <w:p>
      <w:pPr>
        <w:spacing w:after="0" w:line="108" w:lineRule="exact"/>
        <w:rPr>
          <w:rFonts w:ascii="Times New Roman" w:cs="Times New Roman" w:eastAsia="Times New Roman" w:hAnsi="Times New Roman"/>
          <w:sz w:val="18"/>
          <w:szCs w:val="18"/>
          <w:color w:val="auto"/>
        </w:rPr>
      </w:pPr>
    </w:p>
    <w:p>
      <w:pPr>
        <w:ind w:right="480" w:firstLine="1936"/>
        <w:spacing w:after="0" w:line="255" w:lineRule="auto"/>
        <w:tabs>
          <w:tab w:leader="none" w:pos="2137"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Company gives notice to Executive of Executive’s termination, with or without Cause, unless pursuant to Section 6.3(b)(vi) in which case ten (10) days after notice if not cured or unless the Company specifies a later date, in which case, termination shall be effective as of such later date;</w:t>
      </w:r>
    </w:p>
    <w:p>
      <w:pPr>
        <w:spacing w:after="0" w:line="180" w:lineRule="exact"/>
        <w:rPr>
          <w:rFonts w:ascii="Times New Roman" w:cs="Times New Roman" w:eastAsia="Times New Roman" w:hAnsi="Times New Roman"/>
          <w:sz w:val="18"/>
          <w:szCs w:val="18"/>
          <w:color w:val="auto"/>
        </w:rPr>
      </w:pPr>
    </w:p>
    <w:p>
      <w:pPr>
        <w:ind w:left="2200" w:hanging="264"/>
        <w:spacing w:after="0"/>
        <w:tabs>
          <w:tab w:leader="none" w:pos="220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Executive’s death;</w:t>
      </w:r>
    </w:p>
    <w:p>
      <w:pPr>
        <w:spacing w:after="0" w:line="213" w:lineRule="exact"/>
        <w:rPr>
          <w:rFonts w:ascii="Times New Roman" w:cs="Times New Roman" w:eastAsia="Times New Roman" w:hAnsi="Times New Roman"/>
          <w:sz w:val="18"/>
          <w:szCs w:val="18"/>
          <w:color w:val="auto"/>
        </w:rPr>
      </w:pPr>
    </w:p>
    <w:p>
      <w:pPr>
        <w:ind w:right="160" w:firstLine="1936"/>
        <w:spacing w:after="0" w:line="255" w:lineRule="auto"/>
        <w:tabs>
          <w:tab w:leader="none" w:pos="2234"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Company gives notice to Executive of Executive’s termination on account of Executive’s Disability, unless the Company specifies a later date, in which case, termination shall be effective as of such later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Executive has not returned to the full-time performance of Executive’s duties prior to such date;</w:t>
      </w:r>
    </w:p>
    <w:p>
      <w:pPr>
        <w:spacing w:after="0" w:line="178" w:lineRule="exact"/>
        <w:rPr>
          <w:rFonts w:ascii="Times New Roman" w:cs="Times New Roman" w:eastAsia="Times New Roman" w:hAnsi="Times New Roman"/>
          <w:sz w:val="18"/>
          <w:szCs w:val="18"/>
          <w:color w:val="auto"/>
        </w:rPr>
      </w:pPr>
    </w:p>
    <w:p>
      <w:pPr>
        <w:ind w:right="180" w:firstLine="1936"/>
        <w:spacing w:after="0" w:line="256" w:lineRule="auto"/>
        <w:tabs>
          <w:tab w:leader="none" w:pos="2225"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Executive gives written notice to the Company of Executive’s resignation,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set a termination date at any time between the date of notice and the date of resignation, in which case the Executive’s resignation shall be effective as of such other date. Executive will receive compensation through any required notice period; or</w:t>
      </w:r>
    </w:p>
    <w:p>
      <w:pPr>
        <w:spacing w:after="0" w:line="177"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1"/>
          <w:numId w:val="4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a termination for Good Reason, immediately upon Executive’s full satisfaction of the requirements of </w:t>
      </w:r>
      <w:r>
        <w:rPr>
          <w:rFonts w:ascii="Times New Roman" w:cs="Times New Roman" w:eastAsia="Times New Roman" w:hAnsi="Times New Roman"/>
          <w:sz w:val="16"/>
          <w:szCs w:val="16"/>
          <w:b w:val="1"/>
          <w:bCs w:val="1"/>
          <w:color w:val="auto"/>
        </w:rPr>
        <w:t>Section 6.1(g)</w:t>
      </w:r>
      <w:r>
        <w:rPr>
          <w:rFonts w:ascii="Times New Roman" w:cs="Times New Roman" w:eastAsia="Times New Roman" w:hAnsi="Times New Roman"/>
          <w:sz w:val="16"/>
          <w:szCs w:val="16"/>
          <w:color w:val="auto"/>
        </w:rPr>
        <w:t>.</w:t>
      </w:r>
    </w:p>
    <w:p>
      <w:pPr>
        <w:spacing w:after="0" w:line="238" w:lineRule="exact"/>
        <w:rPr>
          <w:rFonts w:ascii="Times New Roman" w:cs="Times New Roman" w:eastAsia="Times New Roman" w:hAnsi="Times New Roman"/>
          <w:sz w:val="16"/>
          <w:szCs w:val="16"/>
          <w:color w:val="auto"/>
        </w:rPr>
      </w:pPr>
    </w:p>
    <w:p>
      <w:pPr>
        <w:jc w:val="both"/>
        <w:ind w:right="180" w:firstLine="1400"/>
        <w:spacing w:after="0" w:line="251" w:lineRule="auto"/>
        <w:tabs>
          <w:tab w:leader="none" w:pos="164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notice of a termination under subsections (a)(i) or (iii) is given orally, at the other party’s request, the party giving notice must provide written confirmation of such notice within five (5) business days of the request in compliance with the requirement of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below. In the event of a termination for Cause, written confirmation shall specify the subsection(s) of the definition of Cause relied on to support the decision to terminate.</w:t>
      </w:r>
    </w:p>
    <w:p>
      <w:pPr>
        <w:spacing w:after="0" w:line="182" w:lineRule="exact"/>
        <w:rPr>
          <w:sz w:val="20"/>
          <w:szCs w:val="20"/>
          <w:color w:val="auto"/>
        </w:rPr>
      </w:pPr>
    </w:p>
    <w:p>
      <w:pPr>
        <w:ind w:right="6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6.7 Cooperation with Company after Termination of Employment</w:t>
      </w:r>
      <w:r>
        <w:rPr>
          <w:rFonts w:ascii="Times New Roman" w:cs="Times New Roman" w:eastAsia="Times New Roman" w:hAnsi="Times New Roman"/>
          <w:sz w:val="18"/>
          <w:szCs w:val="18"/>
          <w:color w:val="auto"/>
        </w:rPr>
        <w:t>. Following termination of Executive’s employment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agrees to cooperate fully with the Company in connection with its actual or contemplated defense, prosecution, or investigation of any claims or demands by or against third parties, or other matters arising from events, acts, or failures to act that occurred during the period of Executive’s employment by the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580" w:top="265" w:right="599" w:bottom="1440" w:gutter="0" w:footer="0" w:header="0"/>
        </w:sectPr>
      </w:pPr>
    </w:p>
    <w:bookmarkStart w:id="578" w:name="page579"/>
    <w:bookmarkEnd w:id="578"/>
    <w:p>
      <w:pPr>
        <w:ind w:right="120"/>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Company. Such cooperation includes, without limitation, making Executive available to the Company upon reasonable notice, without subpoena, to provide complete, truthful and accurate information in witness interviews, depositions and trial testimony, and the failure to provide complete, truthful, and accurate information shall be a material breach of this Agreement and a basis for rescinding or forfeiting the benefits described herein. In addition, for twelve (12) months after Executive’s employment with the Company ends for any reason, Executive agrees to cooperate fully with the Company in all matters relating to the transition of Executive’s work and responsibilities on behalf of the Company, including, but not limited to, any present, prior or subsequent relationships and the orderly transfer of any such work and institutional knowledge to such other persons as may be designated by the Company. The Company will reimburse Executive for reasonable out-of-pocket expenses Executive incurs in connection with any such cooperation (excluding forgone wages, salary, or other compensation) and will make reasonable efforts to accommodate Executive’s scheduling needs.</w:t>
      </w:r>
    </w:p>
    <w:p>
      <w:pPr>
        <w:spacing w:after="0" w:line="159" w:lineRule="exact"/>
        <w:rPr>
          <w:sz w:val="20"/>
          <w:szCs w:val="20"/>
          <w:color w:val="auto"/>
        </w:rPr>
      </w:pPr>
    </w:p>
    <w:p>
      <w:pPr>
        <w:ind w:firstLine="964"/>
        <w:spacing w:after="0" w:line="276" w:lineRule="auto"/>
        <w:rPr>
          <w:sz w:val="20"/>
          <w:szCs w:val="20"/>
          <w:color w:val="auto"/>
        </w:rPr>
      </w:pPr>
      <w:r>
        <w:rPr>
          <w:rFonts w:ascii="Times New Roman" w:cs="Times New Roman" w:eastAsia="Times New Roman" w:hAnsi="Times New Roman"/>
          <w:sz w:val="16"/>
          <w:szCs w:val="16"/>
          <w:b w:val="1"/>
          <w:bCs w:val="1"/>
          <w:color w:val="auto"/>
        </w:rPr>
        <w:t>6.8 Application of Section 409A</w:t>
      </w:r>
      <w:r>
        <w:rPr>
          <w:rFonts w:ascii="Times New Roman" w:cs="Times New Roman" w:eastAsia="Times New Roman" w:hAnsi="Times New Roman"/>
          <w:sz w:val="16"/>
          <w:szCs w:val="16"/>
          <w:color w:val="auto"/>
        </w:rPr>
        <w:t>. It is intended that all of the severance payments payable under this Agreement satisfy, to the greatest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extent possible, the exemptions from the application of Section 409A of the Code and the regulations and other guidance thereunder and any state law of similar effect (collectively, “</w:t>
      </w:r>
      <w:r>
        <w:rPr>
          <w:rFonts w:ascii="Times New Roman" w:cs="Times New Roman" w:eastAsia="Times New Roman" w:hAnsi="Times New Roman"/>
          <w:sz w:val="16"/>
          <w:szCs w:val="16"/>
          <w:b w:val="1"/>
          <w:bCs w:val="1"/>
          <w:i w:val="1"/>
          <w:iCs w:val="1"/>
          <w:color w:val="auto"/>
        </w:rPr>
        <w:t>Section 409A</w:t>
      </w:r>
      <w:r>
        <w:rPr>
          <w:rFonts w:ascii="Times New Roman" w:cs="Times New Roman" w:eastAsia="Times New Roman" w:hAnsi="Times New Roman"/>
          <w:sz w:val="16"/>
          <w:szCs w:val="16"/>
          <w:color w:val="auto"/>
        </w:rPr>
        <w:t>”)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will be made under this Agreement unless Executive’s termination of employment constitutes a “separation from service” (as defined under Treasury Regulation Section 1.409A-1(h)).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If the Company determines that the severance benefits provided under this Agreement constitutes “deferred compensation” under</w:t>
      </w:r>
    </w:p>
    <w:p>
      <w:pPr>
        <w:spacing w:after="0" w:line="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(such earlier date, the “</w:t>
      </w:r>
      <w:r>
        <w:rPr>
          <w:rFonts w:ascii="Times New Roman" w:cs="Times New Roman" w:eastAsia="Times New Roman" w:hAnsi="Times New Roman"/>
          <w:sz w:val="16"/>
          <w:szCs w:val="16"/>
          <w:b w:val="1"/>
          <w:bCs w:val="1"/>
          <w:i w:val="1"/>
          <w:iCs w:val="1"/>
          <w:color w:val="auto"/>
        </w:rPr>
        <w:t>Delayed Initial Payment Date</w:t>
      </w:r>
      <w:r>
        <w:rPr>
          <w:rFonts w:ascii="Times New Roman" w:cs="Times New Roman" w:eastAsia="Times New Roman" w:hAnsi="Times New Roman"/>
          <w:sz w:val="16"/>
          <w:szCs w:val="16"/>
          <w:color w:val="auto"/>
        </w:rPr>
        <w:t>”), the Company will</w:t>
      </w:r>
    </w:p>
    <w:p>
      <w:pPr>
        <w:ind w:right="160" w:firstLine="8"/>
        <w:spacing w:after="0" w:line="274" w:lineRule="auto"/>
        <w:tabs>
          <w:tab w:leader="none" w:pos="209" w:val="left"/>
        </w:tabs>
        <w:numPr>
          <w:ilvl w:val="0"/>
          <w:numId w:val="4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to Executive a lump sum amount equal to the sum of the severance benefits that Executive would otherwise have received through the Delayed Initial Payment Date if the commencement of the payment of the severance benefits had not been delayed pursuant to this Section 6.8 and</w:t>
      </w:r>
    </w:p>
    <w:p>
      <w:pPr>
        <w:jc w:val="both"/>
        <w:ind w:right="120" w:firstLine="8"/>
        <w:spacing w:after="0" w:line="285" w:lineRule="auto"/>
        <w:tabs>
          <w:tab w:leader="none" w:pos="258" w:val="left"/>
        </w:tabs>
        <w:numPr>
          <w:ilvl w:val="0"/>
          <w:numId w:val="4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 paying the balance of the severance benefits in accordance with the applicable payment schedule set forth in Section 6. No interest shall be due on any amounts deferred pursuant to this Section 6.8. To the extent that any Severance Benefits are deferred compensation under Section 409A of the Code and are not otherwise exempt from the application of Section 409A, then, if the period during which Executive may consider and sign the Release spans two calendar years, the payment of any such Severance Benefit will not be made or begin until the later calendar year.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00"/>
          </w:cols>
          <w:pgMar w:left="580" w:top="265" w:right="619" w:bottom="1440" w:gutter="0" w:footer="0" w:header="0"/>
        </w:sectPr>
      </w:pPr>
    </w:p>
    <w:bookmarkStart w:id="579" w:name="page580"/>
    <w:bookmarkEnd w:id="579"/>
    <w:p>
      <w:pPr>
        <w:ind w:firstLine="964"/>
        <w:spacing w:after="0" w:line="276"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6.9 Section 280G. </w:t>
      </w:r>
      <w:r>
        <w:rPr>
          <w:rFonts w:ascii="Times New Roman" w:cs="Times New Roman" w:eastAsia="Times New Roman" w:hAnsi="Times New Roman"/>
          <w:sz w:val="16"/>
          <w:szCs w:val="16"/>
          <w:color w:val="auto"/>
        </w:rPr>
        <w:t>Notwithstanding any other provision of this Agreement to the contrary, if payments made or benefits provided pursuant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this Agreement or otherwise from the Company or any person or entity are considered “parachute payments” under Section 280G of the Code, then such parachute payments will be limited to the greatest amount that may be paid to Executive under Section 280G of the Code without causing any loss of deduction to the Company Group under such section, but only if, by reason of such reduction, the net after tax benefit to Executive will exceed the net after tax benefit if such reduction were not made. “</w:t>
      </w:r>
      <w:r>
        <w:rPr>
          <w:rFonts w:ascii="Times New Roman" w:cs="Times New Roman" w:eastAsia="Times New Roman" w:hAnsi="Times New Roman"/>
          <w:sz w:val="16"/>
          <w:szCs w:val="16"/>
          <w:b w:val="1"/>
          <w:bCs w:val="1"/>
          <w:i w:val="1"/>
          <w:iCs w:val="1"/>
          <w:color w:val="auto"/>
        </w:rPr>
        <w:t>Net after tax benefit</w:t>
      </w:r>
      <w:r>
        <w:rPr>
          <w:rFonts w:ascii="Times New Roman" w:cs="Times New Roman" w:eastAsia="Times New Roman" w:hAnsi="Times New Roman"/>
          <w:sz w:val="16"/>
          <w:szCs w:val="16"/>
          <w:color w:val="auto"/>
        </w:rPr>
        <w:t>” for purposes of this Agreement will mean the sum of (i) the total amounts payable to the Executive under this Agreement, plus (ii) all other payments and benefits which the Executive receives or then is entitled to receive from the Company or otherwise that would constitute a “parachute payment” within the meaning of Section 280G of the Code, less (iii) the amount of federal and state income taxes payable with respect to the foregoing calculated at the maximum marginal income tax rate for each year in which the foregoing will be paid to Executive (based upon the rate in effect for such year as set forth in the Code at the time of termination of Executive’s employment), less</w:t>
      </w:r>
    </w:p>
    <w:p>
      <w:pPr>
        <w:spacing w:after="0" w:line="6" w:lineRule="exact"/>
        <w:rPr>
          <w:sz w:val="20"/>
          <w:szCs w:val="20"/>
          <w:color w:val="auto"/>
        </w:rPr>
      </w:pPr>
    </w:p>
    <w:p>
      <w:pPr>
        <w:ind w:right="40" w:firstLine="8"/>
        <w:spacing w:after="0" w:line="277" w:lineRule="auto"/>
        <w:tabs>
          <w:tab w:leader="none" w:pos="296"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excise taxes imposed with respect to the payments and benefits described in (i) and (ii) above by Section 4999 of the Code. The determination as to whether and to what extent payments are required to be reduced in accordance with this Section 6.9 will be made at the Company’s expense by a nationally recognized certified public accounting firm as may be designated by the Company prior to a change in control (the “</w:t>
      </w:r>
      <w:r>
        <w:rPr>
          <w:rFonts w:ascii="Times New Roman" w:cs="Times New Roman" w:eastAsia="Times New Roman" w:hAnsi="Times New Roman"/>
          <w:sz w:val="16"/>
          <w:szCs w:val="16"/>
          <w:b w:val="1"/>
          <w:bCs w:val="1"/>
          <w:i w:val="1"/>
          <w:iCs w:val="1"/>
          <w:color w:val="auto"/>
        </w:rPr>
        <w:t>Accounting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Firm</w:t>
      </w:r>
      <w:r>
        <w:rPr>
          <w:rFonts w:ascii="Times New Roman" w:cs="Times New Roman" w:eastAsia="Times New Roman" w:hAnsi="Times New Roman"/>
          <w:sz w:val="16"/>
          <w:szCs w:val="16"/>
          <w:color w:val="auto"/>
        </w:rPr>
        <w:t>”). In the event of any mistaken underpayment or overpayment under this Agreement, as determined by the Accounting Firm, the amount of such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underpayment or overpayment will forthwith be paid to Executive or refunded to the Company, as the case may be, with interest at one hundred twenty (120%) of the applicable Federal rate provided for in Section 7872(f)(2) of the Code. Any reduction in payments required by this Section 6.9 will occur in the following order: (1) any cash severance, (2) any other cash amount payable to Executive, (3) any benefit valued as a “parachute payment,” (4) the acceleration of vesting of any equity awards that are options, and (5) the acceleration of vesting of any other equity awards. Within any such category of payments and benefits, a reduction will occur first with respect to amounts that are not “deferred compensation” within the meaning of Section 409A and then with respect to amounts that are. In the event that acceleration of compensation from equity awards is to be reduced, such acceleration of vesting will be canceled, subject to the immediately preceding sentence, in the reverse order of the date of grant.</w:t>
      </w:r>
    </w:p>
    <w:p>
      <w:pPr>
        <w:spacing w:after="0" w:line="377" w:lineRule="exact"/>
        <w:rPr>
          <w:rFonts w:ascii="Times New Roman" w:cs="Times New Roman" w:eastAsia="Times New Roman" w:hAnsi="Times New Roman"/>
          <w:sz w:val="16"/>
          <w:szCs w:val="16"/>
          <w:color w:val="auto"/>
        </w:rPr>
      </w:pPr>
    </w:p>
    <w:p>
      <w:pPr>
        <w:ind w:left="620" w:hanging="184"/>
        <w:spacing w:after="0"/>
        <w:tabs>
          <w:tab w:leader="none" w:pos="620" w:val="left"/>
        </w:tabs>
        <w:numPr>
          <w:ilvl w:val="1"/>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7.1 Notices</w:t>
      </w:r>
      <w:r>
        <w:rPr>
          <w:rFonts w:ascii="Times New Roman" w:cs="Times New Roman" w:eastAsia="Times New Roman" w:hAnsi="Times New Roman"/>
          <w:sz w:val="18"/>
          <w:szCs w:val="18"/>
          <w:color w:val="auto"/>
        </w:rPr>
        <w:t>. Any notices required hereunder to be in writing shall be deemed effectively given: (a) upon personal delivery to the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primary office location and to Executive at either Executive’s address as listed on the Company payroll, or Executive’s Company-issued email address, or at such other address as the Company or Executive may designate by ten (10) days advance written notice to the other.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20"/>
          </w:cols>
          <w:pgMar w:left="580" w:top="264" w:right="599" w:bottom="1440" w:gutter="0" w:footer="0" w:header="0"/>
        </w:sectPr>
      </w:pPr>
    </w:p>
    <w:bookmarkStart w:id="580" w:name="page581"/>
    <w:bookmarkEnd w:id="580"/>
    <w:p>
      <w:pPr>
        <w:ind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7.2 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81" w:lineRule="exact"/>
        <w:rPr>
          <w:sz w:val="20"/>
          <w:szCs w:val="20"/>
          <w:color w:val="auto"/>
        </w:rPr>
      </w:pPr>
    </w:p>
    <w:p>
      <w:pPr>
        <w:ind w:right="1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7.3 Survival</w:t>
      </w:r>
      <w:r>
        <w:rPr>
          <w:rFonts w:ascii="Times New Roman" w:cs="Times New Roman" w:eastAsia="Times New Roman" w:hAnsi="Times New Roman"/>
          <w:sz w:val="18"/>
          <w:szCs w:val="18"/>
          <w:color w:val="auto"/>
        </w:rPr>
        <w:t>. Provisions of this Agreement which by their terms must survive the termination of this Agreement in order to effectuate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intent of the parties will survive any such termination for such period as may be appropriate under the circumstances.</w:t>
      </w:r>
    </w:p>
    <w:p>
      <w:pPr>
        <w:spacing w:after="0" w:line="164" w:lineRule="exact"/>
        <w:rPr>
          <w:sz w:val="20"/>
          <w:szCs w:val="20"/>
          <w:color w:val="auto"/>
        </w:rPr>
      </w:pPr>
    </w:p>
    <w:p>
      <w:pPr>
        <w:ind w:right="26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7.4 Waiver</w:t>
      </w:r>
      <w:r>
        <w:rPr>
          <w:rFonts w:ascii="Times New Roman" w:cs="Times New Roman" w:eastAsia="Times New Roman" w:hAnsi="Times New Roman"/>
          <w:sz w:val="18"/>
          <w:szCs w:val="18"/>
          <w:color w:val="auto"/>
        </w:rPr>
        <w:t>. If either party should waive any breach of any provisions of this Agreement, it shall not thereby be deemed to have waived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preceding or succeeding breach of the same or any other provision of this Agreement.</w:t>
      </w:r>
    </w:p>
    <w:p>
      <w:pPr>
        <w:spacing w:after="0" w:line="164" w:lineRule="exact"/>
        <w:rPr>
          <w:sz w:val="20"/>
          <w:szCs w:val="20"/>
          <w:color w:val="auto"/>
        </w:rPr>
      </w:pPr>
    </w:p>
    <w:p>
      <w:pPr>
        <w:ind w:right="100" w:firstLine="964"/>
        <w:spacing w:after="0" w:line="282" w:lineRule="auto"/>
        <w:rPr>
          <w:sz w:val="20"/>
          <w:szCs w:val="20"/>
          <w:color w:val="auto"/>
        </w:rPr>
      </w:pPr>
      <w:r>
        <w:rPr>
          <w:rFonts w:ascii="Times New Roman" w:cs="Times New Roman" w:eastAsia="Times New Roman" w:hAnsi="Times New Roman"/>
          <w:sz w:val="16"/>
          <w:szCs w:val="16"/>
          <w:b w:val="1"/>
          <w:bCs w:val="1"/>
          <w:color w:val="auto"/>
        </w:rPr>
        <w:t>7.5 Complete Agreement</w:t>
      </w:r>
      <w:r>
        <w:rPr>
          <w:rFonts w:ascii="Times New Roman" w:cs="Times New Roman" w:eastAsia="Times New Roman" w:hAnsi="Times New Roman"/>
          <w:sz w:val="16"/>
          <w:szCs w:val="16"/>
          <w:color w:val="auto"/>
        </w:rPr>
        <w:t>. This Agreement constitutes the entire agreement between Executive and the Company with regard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 except in writing signed by Executive and an authorized officer of the Company. The parties have entered into a separate Proprietary Information Agreement and have or may enter into separate agreements related to equity.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spacing w:after="0" w:line="161" w:lineRule="exact"/>
        <w:rPr>
          <w:sz w:val="20"/>
          <w:szCs w:val="20"/>
          <w:color w:val="auto"/>
        </w:rPr>
      </w:pPr>
    </w:p>
    <w:p>
      <w:pPr>
        <w:ind w:right="14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7.6 Counterparts</w:t>
      </w:r>
      <w:r>
        <w:rPr>
          <w:rFonts w:ascii="Times New Roman" w:cs="Times New Roman" w:eastAsia="Times New Roman" w:hAnsi="Times New Roman"/>
          <w:sz w:val="18"/>
          <w:szCs w:val="18"/>
          <w:color w:val="auto"/>
        </w:rPr>
        <w:t>. This Agreement may be executed in separate counterparts, any one of which need not contain signatures of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party, but all of which taken together will constitute one and the same Agreement. The parties agree that facsimile and scanned image copies of signatures will suffice as original signatures.</w:t>
      </w:r>
    </w:p>
    <w:p>
      <w:pPr>
        <w:spacing w:after="0" w:line="178" w:lineRule="exact"/>
        <w:rPr>
          <w:sz w:val="20"/>
          <w:szCs w:val="20"/>
          <w:color w:val="auto"/>
        </w:rPr>
      </w:pPr>
    </w:p>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7.7 Withholding Taxes. </w:t>
      </w:r>
      <w:r>
        <w:rPr>
          <w:rFonts w:ascii="Times New Roman" w:cs="Times New Roman" w:eastAsia="Times New Roman" w:hAnsi="Times New Roman"/>
          <w:sz w:val="18"/>
          <w:szCs w:val="18"/>
          <w:color w:val="auto"/>
        </w:rPr>
        <w:t>The Company will be entitled to withhold from any payment due to Executive hereunder any amounts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withheld by applicable tax laws or regulations.</w:t>
      </w:r>
    </w:p>
    <w:p>
      <w:pPr>
        <w:spacing w:after="0" w:line="164" w:lineRule="exact"/>
        <w:rPr>
          <w:sz w:val="20"/>
          <w:szCs w:val="20"/>
          <w:color w:val="auto"/>
        </w:rPr>
      </w:pPr>
    </w:p>
    <w:p>
      <w:pPr>
        <w:ind w:right="28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7.8 Headings</w:t>
      </w:r>
      <w:r>
        <w:rPr>
          <w:rFonts w:ascii="Times New Roman" w:cs="Times New Roman" w:eastAsia="Times New Roman" w:hAnsi="Times New Roman"/>
          <w:sz w:val="18"/>
          <w:szCs w:val="18"/>
          <w:color w:val="auto"/>
        </w:rPr>
        <w:t>. The headings of the sections hereof are inserted for convenience only and shall not be deemed to constitute a part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to affect the meaning thereof.</w:t>
      </w:r>
    </w:p>
    <w:p>
      <w:pPr>
        <w:spacing w:after="0" w:line="164" w:lineRule="exact"/>
        <w:rPr>
          <w:sz w:val="20"/>
          <w:szCs w:val="20"/>
          <w:color w:val="auto"/>
        </w:rPr>
      </w:pPr>
    </w:p>
    <w:p>
      <w:pPr>
        <w:ind w:right="100" w:firstLine="964"/>
        <w:spacing w:after="0" w:line="248" w:lineRule="auto"/>
        <w:rPr>
          <w:sz w:val="20"/>
          <w:szCs w:val="20"/>
          <w:color w:val="auto"/>
        </w:rPr>
      </w:pPr>
      <w:r>
        <w:rPr>
          <w:rFonts w:ascii="Times New Roman" w:cs="Times New Roman" w:eastAsia="Times New Roman" w:hAnsi="Times New Roman"/>
          <w:sz w:val="18"/>
          <w:szCs w:val="18"/>
          <w:b w:val="1"/>
          <w:bCs w:val="1"/>
          <w:color w:val="auto"/>
        </w:rPr>
        <w:t>7.9 Successors and Assigns</w:t>
      </w:r>
      <w:r>
        <w:rPr>
          <w:rFonts w:ascii="Times New Roman" w:cs="Times New Roman" w:eastAsia="Times New Roman" w:hAnsi="Times New Roman"/>
          <w:sz w:val="18"/>
          <w:szCs w:val="18"/>
          <w:color w:val="auto"/>
        </w:rPr>
        <w:t>. The Company shall assign this Agreement and its rights and obligations hereunder in whole, but not in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his estate upon his death.</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20"/>
          </w:cols>
          <w:pgMar w:left="580" w:top="263" w:right="599" w:bottom="1440" w:gutter="0" w:footer="0" w:header="0"/>
        </w:sectPr>
      </w:pPr>
    </w:p>
    <w:bookmarkStart w:id="581" w:name="page582"/>
    <w:bookmarkEnd w:id="581"/>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8040" cy="36830"/>
                    </a:xfrm>
                    <a:prstGeom prst="rect">
                      <a:avLst/>
                    </a:prstGeom>
                    <a:noFill/>
                  </pic:spPr>
                </pic:pic>
              </a:graphicData>
            </a:graphic>
          </wp:anchor>
        </w:drawing>
        <w:t>7.10 Choice of Law</w:t>
      </w:r>
      <w:r>
        <w:rPr>
          <w:rFonts w:ascii="Times New Roman" w:cs="Times New Roman" w:eastAsia="Times New Roman" w:hAnsi="Times New Roman"/>
          <w:sz w:val="18"/>
          <w:szCs w:val="18"/>
          <w:color w:val="auto"/>
        </w:rPr>
        <w:t>. All questions concerning the construction, validity and interpretation of this Agreement will be governed by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w:t>
      </w:r>
    </w:p>
    <w:p>
      <w:pPr>
        <w:spacing w:after="0" w:line="164" w:lineRule="exact"/>
        <w:rPr>
          <w:sz w:val="20"/>
          <w:szCs w:val="20"/>
          <w:color w:val="auto"/>
        </w:rPr>
      </w:pPr>
    </w:p>
    <w:p>
      <w:pPr>
        <w:ind w:firstLine="964"/>
        <w:spacing w:after="0" w:line="277" w:lineRule="auto"/>
        <w:rPr>
          <w:sz w:val="20"/>
          <w:szCs w:val="20"/>
          <w:color w:val="auto"/>
        </w:rPr>
      </w:pPr>
      <w:r>
        <w:rPr>
          <w:rFonts w:ascii="Times New Roman" w:cs="Times New Roman" w:eastAsia="Times New Roman" w:hAnsi="Times New Roman"/>
          <w:sz w:val="16"/>
          <w:szCs w:val="16"/>
          <w:b w:val="1"/>
          <w:bCs w:val="1"/>
          <w:color w:val="auto"/>
        </w:rPr>
        <w:t>7.11 Dispute Resolution</w:t>
      </w:r>
      <w:r>
        <w:rPr>
          <w:rFonts w:ascii="Times New Roman" w:cs="Times New Roman" w:eastAsia="Times New Roman" w:hAnsi="Times New Roman"/>
          <w:sz w:val="16"/>
          <w:szCs w:val="16"/>
          <w:color w:val="auto"/>
        </w:rPr>
        <w:t>. The parties recognize that litigation in federal or state courts or before federal or state administrative agencies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disputes arising out of the Executive’s employment with the Company or out of this Agreement, or the Executive’s termination of employment or termination of this Agreement, may not be in the best interests of either the Executive or the Company,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this dispute resolution provision shall not apply to any separate agreements between the parties that do not themselves specify arbitration as an exclusive remedy. The location for the arbitration shall be the Chicago, Illinois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at the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w:t>
      </w:r>
      <w:r>
        <w:rPr>
          <w:rFonts w:ascii="Times New Roman" w:cs="Times New Roman" w:eastAsia="Times New Roman" w:hAnsi="Times New Roman"/>
          <w:sz w:val="16"/>
          <w:szCs w:val="16"/>
          <w:b w:val="1"/>
          <w:bCs w:val="1"/>
          <w:color w:val="auto"/>
        </w:rPr>
        <w:t>exclusive remedy</w:t>
      </w:r>
      <w:r>
        <w:rPr>
          <w:rFonts w:ascii="Times New Roman" w:cs="Times New Roman" w:eastAsia="Times New Roman" w:hAnsi="Times New Roman"/>
          <w:sz w:val="16"/>
          <w:szCs w:val="16"/>
          <w:color w:val="auto"/>
        </w:rPr>
        <w:t xml:space="preserve">, and each party expressly waives any right it might have to seek redress in any other forum, except as otherwise expressly provided in this Agreement. By electing arbitration as the means for final settlement of all claims,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parties hereby waive their respective 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SIGNATURES TO FOLLOW ON NEXT PAGE</w:t>
      </w:r>
      <w:r>
        <w:rPr>
          <w:rFonts w:ascii="Times New Roman" w:cs="Times New Roman" w:eastAsia="Times New Roman" w:hAnsi="Times New Roman"/>
          <w:sz w:val="18"/>
          <w:szCs w:val="18"/>
          <w:b w:val="1"/>
          <w:bCs w:val="1"/>
          <w:color w:val="auto"/>
        </w:rPr>
        <w: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00"/>
          </w:cols>
          <w:pgMar w:left="580" w:top="262" w:right="619" w:bottom="1440" w:gutter="0" w:footer="0" w:header="0"/>
        </w:sectPr>
      </w:pPr>
    </w:p>
    <w:bookmarkStart w:id="582" w:name="page583"/>
    <w:bookmarkEnd w:id="58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have duly executed this Agreement as of the date first above written.</w:t>
      </w:r>
    </w:p>
    <w:p>
      <w:pPr>
        <w:spacing w:after="0" w:line="23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Andy Polovin</w:t>
      </w:r>
    </w:p>
    <w:p>
      <w:pPr>
        <w:spacing w:after="0" w:line="3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Andy Polovin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4001770</wp:posOffset>
            </wp:positionH>
            <wp:positionV relativeFrom="paragraph">
              <wp:posOffset>-130175</wp:posOffset>
            </wp:positionV>
            <wp:extent cx="252603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ind w:left="6360"/>
        <w:spacing w:after="0"/>
        <w:rPr>
          <w:sz w:val="20"/>
          <w:szCs w:val="20"/>
          <w:color w:val="auto"/>
        </w:rPr>
      </w:pPr>
      <w:r>
        <w:rPr>
          <w:rFonts w:ascii="Times New Roman" w:cs="Times New Roman" w:eastAsia="Times New Roman" w:hAnsi="Times New Roman"/>
          <w:sz w:val="16"/>
          <w:szCs w:val="16"/>
          <w:color w:val="auto"/>
        </w:rPr>
        <w:t>Title: General Counsel</w:t>
      </w:r>
    </w:p>
    <w:p>
      <w:pPr>
        <w:spacing w:after="0" w:line="2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Jim Rogers</w:t>
      </w:r>
    </w:p>
    <w:p>
      <w:pPr>
        <w:spacing w:after="0" w:line="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Jim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-130175</wp:posOffset>
            </wp:positionV>
            <wp:extent cx="271780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ectPr>
          <w:pgSz w:w="11900" w:h="16838" w:orient="portrait"/>
          <w:cols w:equalWidth="0" w:num="1">
            <w:col w:w="9439"/>
          </w:cols>
          <w:pgMar w:left="1020" w:top="263" w:right="1440" w:bottom="1440" w:gutter="0" w:footer="0" w:header="0"/>
        </w:sectPr>
      </w:pPr>
    </w:p>
    <w:bookmarkStart w:id="583" w:name="page584"/>
    <w:bookmarkEnd w:id="583"/>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18"/>
          <w:szCs w:val="18"/>
          <w:b w:val="1"/>
          <w:bCs w:val="1"/>
          <w:color w:val="auto"/>
        </w:rPr>
        <w:t xml:space="preserve"> 18, 2021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4"/>
          <w:szCs w:val="14"/>
          <w:b w:val="1"/>
          <w:bCs w:val="1"/>
          <w:color w:val="auto"/>
        </w:rPr>
        <w:t>ANUARY</w:t>
      </w:r>
      <w:r>
        <w:rPr>
          <w:rFonts w:ascii="Times New Roman" w:cs="Times New Roman" w:eastAsia="Times New Roman" w:hAnsi="Times New Roman"/>
          <w:sz w:val="18"/>
          <w:szCs w:val="18"/>
          <w:b w:val="1"/>
          <w:bCs w:val="1"/>
          <w:color w:val="auto"/>
        </w:rPr>
        <w:t xml:space="preserve"> 3, 2022</w:t>
      </w:r>
    </w:p>
    <w:p>
      <w:pPr>
        <w:spacing w:after="0" w:line="193" w:lineRule="exact"/>
        <w:rPr>
          <w:sz w:val="20"/>
          <w:szCs w:val="20"/>
          <w:color w:val="auto"/>
        </w:rPr>
      </w:pPr>
    </w:p>
    <w:p>
      <w:pPr>
        <w:ind w:left="180" w:hanging="172"/>
        <w:spacing w:after="0"/>
        <w:tabs>
          <w:tab w:leader="none" w:pos="180" w:val="left"/>
        </w:tabs>
        <w:numPr>
          <w:ilvl w:val="0"/>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URPOSE</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right="60" w:firstLine="436"/>
        <w:spacing w:after="0" w:line="251" w:lineRule="auto"/>
        <w:tabs>
          <w:tab w:leader="none" w:pos="676" w:val="left"/>
        </w:tabs>
        <w:numPr>
          <w:ilvl w:val="1"/>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spacing w:after="0" w:line="79" w:lineRule="exact"/>
        <w:rPr>
          <w:rFonts w:ascii="Times New Roman" w:cs="Times New Roman" w:eastAsia="Times New Roman" w:hAnsi="Times New Roman"/>
          <w:sz w:val="18"/>
          <w:szCs w:val="18"/>
          <w:b w:val="1"/>
          <w:bCs w:val="1"/>
          <w:color w:val="auto"/>
        </w:rPr>
      </w:pPr>
    </w:p>
    <w:p>
      <w:pPr>
        <w:ind w:right="40" w:firstLine="436"/>
        <w:spacing w:after="0" w:line="247" w:lineRule="auto"/>
        <w:tabs>
          <w:tab w:leader="none" w:pos="686" w:val="left"/>
        </w:tabs>
        <w:numPr>
          <w:ilvl w:val="1"/>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w:t>
      </w:r>
    </w:p>
    <w:p>
      <w:pPr>
        <w:spacing w:after="0" w:line="81" w:lineRule="exact"/>
        <w:rPr>
          <w:rFonts w:ascii="Times New Roman" w:cs="Times New Roman" w:eastAsia="Times New Roman" w:hAnsi="Times New Roman"/>
          <w:sz w:val="18"/>
          <w:szCs w:val="18"/>
          <w:b w:val="1"/>
          <w:bCs w:val="1"/>
          <w:color w:val="auto"/>
        </w:rPr>
      </w:pPr>
    </w:p>
    <w:p>
      <w:pPr>
        <w:ind w:right="280" w:firstLine="436"/>
        <w:spacing w:after="0" w:line="267" w:lineRule="auto"/>
        <w:tabs>
          <w:tab w:leader="none" w:pos="666" w:val="left"/>
        </w:tabs>
        <w:numPr>
          <w:ilvl w:val="1"/>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by means of the Plan, seeks to retain the services of Eligible Employees, to secure and retain the services of new Employees and to provide incentives for such persons to exert maximum efforts for the success of the Company and its Related Corporations.</w:t>
      </w:r>
    </w:p>
    <w:p>
      <w:pPr>
        <w:spacing w:after="0" w:line="167"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right="60" w:firstLine="436"/>
        <w:spacing w:after="0" w:line="267" w:lineRule="auto"/>
        <w:tabs>
          <w:tab w:leader="none" w:pos="676" w:val="left"/>
        </w:tabs>
        <w:numPr>
          <w:ilvl w:val="1"/>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administer the Plan unless and until the Board delegates administration of the Plan to a Committee or Committees, as provided in Section 2(c).</w:t>
      </w:r>
    </w:p>
    <w:p>
      <w:pPr>
        <w:spacing w:after="0" w:line="64"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1"/>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108" w:lineRule="exact"/>
        <w:rPr>
          <w:rFonts w:ascii="Times New Roman" w:cs="Times New Roman" w:eastAsia="Times New Roman" w:hAnsi="Times New Roman"/>
          <w:sz w:val="18"/>
          <w:szCs w:val="18"/>
          <w:b w:val="1"/>
          <w:bCs w:val="1"/>
          <w:color w:val="auto"/>
        </w:rPr>
      </w:pPr>
    </w:p>
    <w:p>
      <w:pPr>
        <w:ind w:left="1180" w:hanging="208"/>
        <w:spacing w:after="0"/>
        <w:tabs>
          <w:tab w:leader="none" w:pos="1180" w:val="left"/>
        </w:tabs>
        <w:numPr>
          <w:ilvl w:val="2"/>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how and when Purchase Rights will be granted and the provisions of each Offering (which need not be identical).</w:t>
      </w:r>
    </w:p>
    <w:p>
      <w:pPr>
        <w:spacing w:after="0" w:line="108" w:lineRule="exact"/>
        <w:rPr>
          <w:rFonts w:ascii="Times New Roman" w:cs="Times New Roman" w:eastAsia="Times New Roman" w:hAnsi="Times New Roman"/>
          <w:sz w:val="18"/>
          <w:szCs w:val="18"/>
          <w:b w:val="1"/>
          <w:bCs w:val="1"/>
          <w:color w:val="auto"/>
        </w:rPr>
      </w:pPr>
    </w:p>
    <w:p>
      <w:pPr>
        <w:ind w:right="160" w:firstLine="972"/>
        <w:spacing w:after="0" w:line="285" w:lineRule="auto"/>
        <w:tabs>
          <w:tab w:leader="none" w:pos="1222" w:val="left"/>
        </w:tabs>
        <w:numPr>
          <w:ilvl w:val="2"/>
          <w:numId w:val="4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designate from time to time (A) which Related Corporations of the Company will be eligible to participate in the Plan as Designated 423 Companies, (B) which Related Corporations or Affiliates will be eligible to participate in the Plan as Designated Non-423 Companies,</w:t>
      </w:r>
    </w:p>
    <w:p>
      <w:pPr>
        <w:spacing w:after="0" w:line="1" w:lineRule="exact"/>
        <w:rPr>
          <w:rFonts w:ascii="Times New Roman" w:cs="Times New Roman" w:eastAsia="Times New Roman" w:hAnsi="Times New Roman"/>
          <w:sz w:val="16"/>
          <w:szCs w:val="16"/>
          <w:b w:val="1"/>
          <w:bCs w:val="1"/>
          <w:color w:val="auto"/>
        </w:rPr>
      </w:pPr>
    </w:p>
    <w:p>
      <w:pPr>
        <w:ind w:right="200"/>
        <w:spacing w:after="0" w:line="24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(C) which Affiliates or Related Corporations may be excluded from participation in the Plan, and (D) which Designated Companies will participate in each separate Offering (to the extent that the Company makes separate Offerings).</w:t>
      </w:r>
    </w:p>
    <w:p>
      <w:pPr>
        <w:spacing w:after="0" w:line="81" w:lineRule="exact"/>
        <w:rPr>
          <w:rFonts w:ascii="Times New Roman" w:cs="Times New Roman" w:eastAsia="Times New Roman" w:hAnsi="Times New Roman"/>
          <w:sz w:val="16"/>
          <w:szCs w:val="16"/>
          <w:b w:val="1"/>
          <w:bCs w:val="1"/>
          <w:color w:val="auto"/>
        </w:rPr>
      </w:pPr>
    </w:p>
    <w:p>
      <w:pPr>
        <w:jc w:val="both"/>
        <w:ind w:firstLine="972"/>
        <w:spacing w:after="0" w:line="255" w:lineRule="auto"/>
        <w:tabs>
          <w:tab w:leader="none" w:pos="1270" w:val="left"/>
        </w:tabs>
        <w:numPr>
          <w:ilvl w:val="2"/>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119" w:right="599" w:bottom="1440" w:gutter="0" w:footer="0" w:header="0"/>
        </w:sectPr>
      </w:pPr>
    </w:p>
    <w:bookmarkStart w:id="584" w:name="page585"/>
    <w:bookmarkEnd w:id="584"/>
    <w:p>
      <w:pPr>
        <w:ind w:left="1252" w:hanging="288"/>
        <w:spacing w:after="0"/>
        <w:tabs>
          <w:tab w:leader="none" w:pos="1252" w:val="left"/>
        </w:tabs>
        <w:numPr>
          <w:ilvl w:val="2"/>
          <w:numId w:val="4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To settle all controversies regarding the Plan and Purchase Rights granted under the Plan.</w:t>
      </w:r>
    </w:p>
    <w:p>
      <w:pPr>
        <w:spacing w:after="0" w:line="108" w:lineRule="exact"/>
        <w:rPr>
          <w:rFonts w:ascii="Times New Roman" w:cs="Times New Roman" w:eastAsia="Times New Roman" w:hAnsi="Times New Roman"/>
          <w:sz w:val="18"/>
          <w:szCs w:val="18"/>
          <w:b w:val="1"/>
          <w:bCs w:val="1"/>
          <w:color w:val="auto"/>
        </w:rPr>
      </w:pPr>
    </w:p>
    <w:p>
      <w:pPr>
        <w:ind w:left="1212" w:hanging="248"/>
        <w:spacing w:after="0"/>
        <w:tabs>
          <w:tab w:leader="none" w:pos="1212" w:val="left"/>
        </w:tabs>
        <w:numPr>
          <w:ilvl w:val="2"/>
          <w:numId w:val="4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as provided in Section 12.</w:t>
      </w:r>
    </w:p>
    <w:p>
      <w:pPr>
        <w:spacing w:after="0" w:line="108" w:lineRule="exact"/>
        <w:rPr>
          <w:rFonts w:ascii="Times New Roman" w:cs="Times New Roman" w:eastAsia="Times New Roman" w:hAnsi="Times New Roman"/>
          <w:sz w:val="18"/>
          <w:szCs w:val="18"/>
          <w:b w:val="1"/>
          <w:bCs w:val="1"/>
          <w:color w:val="auto"/>
        </w:rPr>
      </w:pPr>
    </w:p>
    <w:p>
      <w:pPr>
        <w:ind w:left="1252" w:hanging="288"/>
        <w:spacing w:after="0"/>
        <w:tabs>
          <w:tab w:leader="none" w:pos="1252" w:val="left"/>
        </w:tabs>
        <w:numPr>
          <w:ilvl w:val="2"/>
          <w:numId w:val="4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at any time as provided in Section 12.</w:t>
      </w:r>
    </w:p>
    <w:p>
      <w:pPr>
        <w:spacing w:after="0" w:line="108" w:lineRule="exact"/>
        <w:rPr>
          <w:rFonts w:ascii="Times New Roman" w:cs="Times New Roman" w:eastAsia="Times New Roman" w:hAnsi="Times New Roman"/>
          <w:sz w:val="18"/>
          <w:szCs w:val="18"/>
          <w:b w:val="1"/>
          <w:bCs w:val="1"/>
          <w:color w:val="auto"/>
        </w:rPr>
      </w:pPr>
    </w:p>
    <w:p>
      <w:pPr>
        <w:jc w:val="both"/>
        <w:ind w:left="-8" w:right="240" w:firstLine="972"/>
        <w:spacing w:after="0" w:line="255" w:lineRule="auto"/>
        <w:tabs>
          <w:tab w:leader="none" w:pos="1301" w:val="left"/>
        </w:tabs>
        <w:numPr>
          <w:ilvl w:val="2"/>
          <w:numId w:val="4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it deems necessary or expedient to promote the best interests of the Company and its Related Corporations and to carry out the intent that the Plan be treated as an Employee Stock Purchase Plan with respect to the 423 Component.</w:t>
      </w:r>
    </w:p>
    <w:p>
      <w:pPr>
        <w:spacing w:after="0" w:line="75" w:lineRule="exact"/>
        <w:rPr>
          <w:rFonts w:ascii="Times New Roman" w:cs="Times New Roman" w:eastAsia="Times New Roman" w:hAnsi="Times New Roman"/>
          <w:sz w:val="18"/>
          <w:szCs w:val="18"/>
          <w:b w:val="1"/>
          <w:bCs w:val="1"/>
          <w:color w:val="auto"/>
        </w:rPr>
      </w:pPr>
    </w:p>
    <w:p>
      <w:pPr>
        <w:ind w:left="-8" w:right="20" w:firstLine="972"/>
        <w:spacing w:after="0" w:line="247" w:lineRule="auto"/>
        <w:tabs>
          <w:tab w:leader="none" w:pos="1350" w:val="left"/>
        </w:tabs>
        <w:numPr>
          <w:ilvl w:val="2"/>
          <w:numId w:val="4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rules, procedures and sub-plans as are necessary or appropriate to permit or facilitate participation in the Plan by Employees who are foreign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w:t>
      </w:r>
    </w:p>
    <w:p>
      <w:pPr>
        <w:spacing w:after="0" w:line="84" w:lineRule="exact"/>
        <w:rPr>
          <w:rFonts w:ascii="Times New Roman" w:cs="Times New Roman" w:eastAsia="Times New Roman" w:hAnsi="Times New Roman"/>
          <w:sz w:val="18"/>
          <w:szCs w:val="18"/>
          <w:b w:val="1"/>
          <w:bCs w:val="1"/>
          <w:color w:val="auto"/>
        </w:rPr>
      </w:pPr>
    </w:p>
    <w:p>
      <w:pPr>
        <w:ind w:left="-8" w:firstLine="436"/>
        <w:spacing w:after="0" w:line="280" w:lineRule="auto"/>
        <w:tabs>
          <w:tab w:leader="none" w:pos="658" w:val="left"/>
        </w:tabs>
        <w:numPr>
          <w:ilvl w:val="1"/>
          <w:numId w:val="4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59" w:lineRule="exact"/>
        <w:rPr>
          <w:rFonts w:ascii="Times New Roman" w:cs="Times New Roman" w:eastAsia="Times New Roman" w:hAnsi="Times New Roman"/>
          <w:sz w:val="16"/>
          <w:szCs w:val="16"/>
          <w:b w:val="1"/>
          <w:bCs w:val="1"/>
          <w:color w:val="auto"/>
        </w:rPr>
      </w:pPr>
    </w:p>
    <w:p>
      <w:pPr>
        <w:ind w:left="-8" w:right="160" w:firstLine="436"/>
        <w:spacing w:after="0" w:line="267" w:lineRule="auto"/>
        <w:tabs>
          <w:tab w:leader="none" w:pos="678" w:val="left"/>
        </w:tabs>
        <w:numPr>
          <w:ilvl w:val="1"/>
          <w:numId w:val="4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determinations, interpretations and constructions made by the Board in good faith will not be subject to review by any person and will be final, binding and conclusive on all persons.</w:t>
      </w:r>
    </w:p>
    <w:p>
      <w:pPr>
        <w:spacing w:after="0" w:line="272"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4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jc w:val="both"/>
        <w:ind w:left="-8" w:firstLine="436"/>
        <w:spacing w:after="0" w:line="251" w:lineRule="auto"/>
        <w:tabs>
          <w:tab w:leader="none" w:pos="668" w:val="left"/>
        </w:tabs>
        <w:numPr>
          <w:ilvl w:val="1"/>
          <w:numId w:val="4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Section 11(a) relating to Capitalization Adjustments, the maximum number of shares of Common Stock that may be issued under the Plan will not exceed 3,000,000 shares of Common Stock, plus the number of shares of Common Stock that are automatically added on January 1st of each year for a period of up to ten years, commencing on January 1, 2023 and ending on (and including) January 1, 2032, in an amount equal to the lesser of (x) two percent (2%) of the total number of</w:t>
      </w:r>
    </w:p>
    <w:p>
      <w:pPr>
        <w:spacing w:after="0" w:line="1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12"/>
          </w:cols>
          <w:pgMar w:left="588" w:top="265" w:right="599" w:bottom="1440" w:gutter="0" w:footer="0" w:header="0"/>
        </w:sectPr>
      </w:pPr>
    </w:p>
    <w:bookmarkStart w:id="585" w:name="page586"/>
    <w:bookmarkEnd w:id="585"/>
    <w:p>
      <w:pPr>
        <w:ind w:right="18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shares of Combined Common Stock outstanding on December 31st of the preceding calendar year, and (y) 6,000,000 shares of Common Stock. Notwithstanding the foregoing, the Board may act prior to the first day of any calendar year to provide that there will be no January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8"/>
          <w:szCs w:val="18"/>
          <w:color w:val="auto"/>
        </w:rPr>
        <w:t xml:space="preserve"> increase in the share reserve for such calendar year or that the increase in the share reserve for such calendar year will be a lesser number of shares of Common Stock than would otherwise occur pursuant to the preceding sentence.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82" w:lineRule="exact"/>
        <w:rPr>
          <w:sz w:val="20"/>
          <w:szCs w:val="20"/>
          <w:color w:val="auto"/>
        </w:rPr>
      </w:pPr>
    </w:p>
    <w:p>
      <w:pPr>
        <w:ind w:right="340" w:firstLine="436"/>
        <w:spacing w:after="0" w:line="267" w:lineRule="auto"/>
        <w:tabs>
          <w:tab w:leader="none" w:pos="686" w:val="left"/>
        </w:tabs>
        <w:numPr>
          <w:ilvl w:val="1"/>
          <w:numId w:val="4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64" w:lineRule="exact"/>
        <w:rPr>
          <w:rFonts w:ascii="Times New Roman" w:cs="Times New Roman" w:eastAsia="Times New Roman" w:hAnsi="Times New Roman"/>
          <w:sz w:val="18"/>
          <w:szCs w:val="18"/>
          <w:b w:val="1"/>
          <w:bCs w:val="1"/>
          <w:color w:val="auto"/>
        </w:rPr>
      </w:pPr>
    </w:p>
    <w:p>
      <w:pPr>
        <w:ind w:right="80" w:firstLine="436"/>
        <w:spacing w:after="0" w:line="267" w:lineRule="auto"/>
        <w:tabs>
          <w:tab w:leader="none" w:pos="666" w:val="left"/>
        </w:tabs>
        <w:numPr>
          <w:ilvl w:val="1"/>
          <w:numId w:val="4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 purchasable under the Plan will be shares of authorized but unissued or reacquired Common Stock, including shares repurchased by the Company on the open market.</w:t>
      </w:r>
    </w:p>
    <w:p>
      <w:pPr>
        <w:spacing w:after="0" w:line="272"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FFERING</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firstLine="436"/>
        <w:spacing w:after="0" w:line="247" w:lineRule="auto"/>
        <w:tabs>
          <w:tab w:leader="none" w:pos="676" w:val="left"/>
        </w:tabs>
        <w:numPr>
          <w:ilvl w:val="1"/>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81" w:lineRule="exact"/>
        <w:rPr>
          <w:rFonts w:ascii="Times New Roman" w:cs="Times New Roman" w:eastAsia="Times New Roman" w:hAnsi="Times New Roman"/>
          <w:sz w:val="18"/>
          <w:szCs w:val="18"/>
          <w:b w:val="1"/>
          <w:bCs w:val="1"/>
          <w:color w:val="auto"/>
        </w:rPr>
      </w:pPr>
    </w:p>
    <w:p>
      <w:pPr>
        <w:ind w:right="40" w:firstLine="436"/>
        <w:spacing w:after="0" w:line="249" w:lineRule="auto"/>
        <w:tabs>
          <w:tab w:leader="none" w:pos="686" w:val="left"/>
        </w:tabs>
        <w:numPr>
          <w:ilvl w:val="1"/>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has more than one Purchase Right outstanding under the Plan, unless he or she otherwise indicates in forms delivered to the Company or a third party designated by the Company (each, a “</w:t>
      </w:r>
      <w:r>
        <w:rPr>
          <w:rFonts w:ascii="Times New Roman" w:cs="Times New Roman" w:eastAsia="Times New Roman" w:hAnsi="Times New Roman"/>
          <w:sz w:val="18"/>
          <w:szCs w:val="18"/>
          <w:b w:val="1"/>
          <w:bCs w:val="1"/>
          <w:i w:val="1"/>
          <w:iCs w:val="1"/>
          <w:color w:val="auto"/>
        </w:rPr>
        <w:t>Company Designee</w:t>
      </w:r>
      <w:r>
        <w:rPr>
          <w:rFonts w:ascii="Times New Roman" w:cs="Times New Roman" w:eastAsia="Times New Roman" w:hAnsi="Times New Roman"/>
          <w:sz w:val="18"/>
          <w:szCs w:val="18"/>
          <w:color w:val="auto"/>
        </w:rPr>
        <w:t>”):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81" w:lineRule="exact"/>
        <w:rPr>
          <w:rFonts w:ascii="Times New Roman" w:cs="Times New Roman" w:eastAsia="Times New Roman" w:hAnsi="Times New Roman"/>
          <w:sz w:val="18"/>
          <w:szCs w:val="18"/>
          <w:b w:val="1"/>
          <w:bCs w:val="1"/>
          <w:color w:val="auto"/>
        </w:rPr>
      </w:pPr>
    </w:p>
    <w:p>
      <w:pPr>
        <w:ind w:right="160" w:firstLine="436"/>
        <w:spacing w:after="0" w:line="251" w:lineRule="auto"/>
        <w:tabs>
          <w:tab w:leader="none" w:pos="666" w:val="left"/>
        </w:tabs>
        <w:numPr>
          <w:ilvl w:val="1"/>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287"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right="440" w:firstLine="436"/>
        <w:spacing w:after="0" w:line="255" w:lineRule="auto"/>
        <w:tabs>
          <w:tab w:leader="none" w:pos="676" w:val="left"/>
        </w:tabs>
        <w:numPr>
          <w:ilvl w:val="1"/>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20"/>
          </w:cols>
          <w:pgMar w:left="580" w:top="265" w:right="599" w:bottom="1440" w:gutter="0" w:footer="0" w:header="0"/>
        </w:sectPr>
      </w:pPr>
    </w:p>
    <w:bookmarkStart w:id="586" w:name="page587"/>
    <w:bookmarkEnd w:id="586"/>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from participation in the Plan or any Offering Employees who are “highly compensated employees” (within the meaning of Section 423(b)(4)(D) of the Code) of the Company or a Related Corporation or a subset of such highly compensated employees.</w:t>
      </w:r>
    </w:p>
    <w:p>
      <w:pPr>
        <w:spacing w:after="0" w:line="81" w:lineRule="exact"/>
        <w:rPr>
          <w:sz w:val="20"/>
          <w:szCs w:val="20"/>
          <w:color w:val="auto"/>
        </w:rPr>
      </w:pPr>
    </w:p>
    <w:p>
      <w:pPr>
        <w:ind w:right="280" w:firstLine="436"/>
        <w:spacing w:after="0" w:line="251" w:lineRule="auto"/>
        <w:tabs>
          <w:tab w:leader="none" w:pos="686" w:val="left"/>
        </w:tabs>
        <w:numPr>
          <w:ilvl w:val="0"/>
          <w:numId w:val="4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79" w:lineRule="exact"/>
        <w:rPr>
          <w:rFonts w:ascii="Times New Roman" w:cs="Times New Roman" w:eastAsia="Times New Roman" w:hAnsi="Times New Roman"/>
          <w:sz w:val="18"/>
          <w:szCs w:val="18"/>
          <w:b w:val="1"/>
          <w:bCs w:val="1"/>
          <w:color w:val="auto"/>
        </w:rPr>
      </w:pPr>
    </w:p>
    <w:p>
      <w:pPr>
        <w:ind w:right="600" w:firstLine="972"/>
        <w:spacing w:after="0" w:line="267" w:lineRule="auto"/>
        <w:tabs>
          <w:tab w:leader="none" w:pos="1173" w:val="left"/>
        </w:tabs>
        <w:numPr>
          <w:ilvl w:val="1"/>
          <w:numId w:val="4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on which such Purchase Right is granted will be the “Offering Date” of such Purchase Right for all purposes, including determination of the exercise price of such Purchase Right;</w:t>
      </w:r>
    </w:p>
    <w:p>
      <w:pPr>
        <w:spacing w:after="0" w:line="64"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4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period of the Offering with respect to such Purchase Right will begin on its Offering Date and end coincident with the end of such</w:t>
      </w:r>
    </w:p>
    <w:p>
      <w:pPr>
        <w:spacing w:after="0" w:line="43"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Offering; and</w:t>
      </w:r>
    </w:p>
    <w:p>
      <w:pPr>
        <w:spacing w:after="0" w:line="90" w:lineRule="exact"/>
        <w:rPr>
          <w:rFonts w:ascii="Times New Roman" w:cs="Times New Roman" w:eastAsia="Times New Roman" w:hAnsi="Times New Roman"/>
          <w:sz w:val="16"/>
          <w:szCs w:val="16"/>
          <w:b w:val="1"/>
          <w:bCs w:val="1"/>
          <w:color w:val="auto"/>
        </w:rPr>
      </w:pPr>
    </w:p>
    <w:p>
      <w:pPr>
        <w:ind w:right="140" w:firstLine="972"/>
        <w:spacing w:after="0" w:line="267" w:lineRule="auto"/>
        <w:tabs>
          <w:tab w:leader="none" w:pos="1270" w:val="left"/>
        </w:tabs>
        <w:numPr>
          <w:ilvl w:val="1"/>
          <w:numId w:val="4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64" w:lineRule="exact"/>
        <w:rPr>
          <w:rFonts w:ascii="Times New Roman" w:cs="Times New Roman" w:eastAsia="Times New Roman" w:hAnsi="Times New Roman"/>
          <w:sz w:val="18"/>
          <w:szCs w:val="18"/>
          <w:b w:val="1"/>
          <w:bCs w:val="1"/>
          <w:color w:val="auto"/>
        </w:rPr>
      </w:pPr>
    </w:p>
    <w:p>
      <w:pPr>
        <w:ind w:right="200" w:firstLine="436"/>
        <w:spacing w:after="0" w:line="249" w:lineRule="auto"/>
        <w:tabs>
          <w:tab w:leader="none" w:pos="666" w:val="left"/>
        </w:tabs>
        <w:numPr>
          <w:ilvl w:val="0"/>
          <w:numId w:val="4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81" w:lineRule="exact"/>
        <w:rPr>
          <w:rFonts w:ascii="Times New Roman" w:cs="Times New Roman" w:eastAsia="Times New Roman" w:hAnsi="Times New Roman"/>
          <w:sz w:val="18"/>
          <w:szCs w:val="18"/>
          <w:b w:val="1"/>
          <w:bCs w:val="1"/>
          <w:color w:val="auto"/>
        </w:rPr>
      </w:pPr>
    </w:p>
    <w:p>
      <w:pPr>
        <w:ind w:right="60" w:firstLine="436"/>
        <w:spacing w:after="0" w:line="288" w:lineRule="auto"/>
        <w:tabs>
          <w:tab w:leader="none" w:pos="686" w:val="left"/>
        </w:tabs>
        <w:numPr>
          <w:ilvl w:val="0"/>
          <w:numId w:val="4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51" w:lineRule="exact"/>
        <w:rPr>
          <w:rFonts w:ascii="Times New Roman" w:cs="Times New Roman" w:eastAsia="Times New Roman" w:hAnsi="Times New Roman"/>
          <w:sz w:val="16"/>
          <w:szCs w:val="16"/>
          <w:b w:val="1"/>
          <w:bCs w:val="1"/>
          <w:color w:val="auto"/>
        </w:rPr>
      </w:pPr>
    </w:p>
    <w:p>
      <w:pPr>
        <w:jc w:val="both"/>
        <w:ind w:right="240" w:firstLine="436"/>
        <w:spacing w:after="0" w:line="255" w:lineRule="auto"/>
        <w:tabs>
          <w:tab w:leader="none" w:pos="666" w:val="left"/>
        </w:tabs>
        <w:numPr>
          <w:ilvl w:val="0"/>
          <w:numId w:val="4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20"/>
          </w:cols>
          <w:pgMar w:left="580" w:top="265" w:right="599" w:bottom="1440" w:gutter="0" w:footer="0" w:header="0"/>
        </w:sectPr>
      </w:pPr>
    </w:p>
    <w:bookmarkStart w:id="587" w:name="page588"/>
    <w:bookmarkEnd w:id="587"/>
    <w:p>
      <w:pPr>
        <w:ind w:left="-8" w:firstLine="436"/>
        <w:spacing w:after="0" w:line="255" w:lineRule="auto"/>
        <w:tabs>
          <w:tab w:leader="none" w:pos="639" w:val="left"/>
        </w:tabs>
        <w:numPr>
          <w:ilvl w:val="1"/>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spacing w:after="0" w:line="283"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RICE</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left="-8" w:firstLine="436"/>
        <w:spacing w:after="0" w:line="251" w:lineRule="auto"/>
        <w:tabs>
          <w:tab w:leader="none" w:pos="668" w:val="left"/>
        </w:tabs>
        <w:numPr>
          <w:ilvl w:val="1"/>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Offering Date, each Eligible Employee, pursuant to an Offering made under the Plan, will be granted a Purchase Right to purchase up to that number of shares of Common Stock purchasable either with a percentage of earnings or with a maximum dollar amount, as designated by the Board during the period that begins on the Offering Date (or such later date as the Board determines for a particular Offering) and ends on the date stated in the Offering, which date will be no later than the end of the Offering.</w:t>
      </w:r>
    </w:p>
    <w:p>
      <w:pPr>
        <w:spacing w:after="0" w:line="79" w:lineRule="exact"/>
        <w:rPr>
          <w:rFonts w:ascii="Times New Roman" w:cs="Times New Roman" w:eastAsia="Times New Roman" w:hAnsi="Times New Roman"/>
          <w:sz w:val="18"/>
          <w:szCs w:val="18"/>
          <w:b w:val="1"/>
          <w:bCs w:val="1"/>
          <w:color w:val="auto"/>
        </w:rPr>
      </w:pPr>
    </w:p>
    <w:p>
      <w:pPr>
        <w:ind w:left="-8" w:right="40" w:firstLine="436"/>
        <w:spacing w:after="0" w:line="267" w:lineRule="auto"/>
        <w:tabs>
          <w:tab w:leader="none" w:pos="678" w:val="left"/>
        </w:tabs>
        <w:numPr>
          <w:ilvl w:val="1"/>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64" w:lineRule="exact"/>
        <w:rPr>
          <w:rFonts w:ascii="Times New Roman" w:cs="Times New Roman" w:eastAsia="Times New Roman" w:hAnsi="Times New Roman"/>
          <w:sz w:val="18"/>
          <w:szCs w:val="18"/>
          <w:b w:val="1"/>
          <w:bCs w:val="1"/>
          <w:color w:val="auto"/>
        </w:rPr>
      </w:pPr>
    </w:p>
    <w:p>
      <w:pPr>
        <w:ind w:left="-8" w:firstLine="436"/>
        <w:spacing w:after="0" w:line="247" w:lineRule="auto"/>
        <w:tabs>
          <w:tab w:leader="none" w:pos="658" w:val="left"/>
        </w:tabs>
        <w:numPr>
          <w:ilvl w:val="1"/>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84" w:lineRule="exact"/>
        <w:rPr>
          <w:rFonts w:ascii="Times New Roman" w:cs="Times New Roman" w:eastAsia="Times New Roman" w:hAnsi="Times New Roman"/>
          <w:sz w:val="18"/>
          <w:szCs w:val="18"/>
          <w:b w:val="1"/>
          <w:bCs w:val="1"/>
          <w:color w:val="auto"/>
        </w:rPr>
      </w:pPr>
    </w:p>
    <w:p>
      <w:pPr>
        <w:ind w:left="-8" w:right="120" w:firstLine="436"/>
        <w:spacing w:after="0" w:line="267" w:lineRule="auto"/>
        <w:tabs>
          <w:tab w:leader="none" w:pos="678" w:val="left"/>
        </w:tabs>
        <w:numPr>
          <w:ilvl w:val="1"/>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 price of shares of Common Stock acquired pursuant to Purchase Rights will be specified by the Board prior to commencement of an Offering and will not be less than the lesser of:</w:t>
      </w:r>
    </w:p>
    <w:p>
      <w:pPr>
        <w:spacing w:after="0" w:line="64" w:lineRule="exact"/>
        <w:rPr>
          <w:rFonts w:ascii="Times New Roman" w:cs="Times New Roman" w:eastAsia="Times New Roman" w:hAnsi="Times New Roman"/>
          <w:sz w:val="18"/>
          <w:szCs w:val="18"/>
          <w:b w:val="1"/>
          <w:bCs w:val="1"/>
          <w:color w:val="auto"/>
        </w:rPr>
      </w:pPr>
    </w:p>
    <w:p>
      <w:pPr>
        <w:ind w:left="1172" w:hanging="208"/>
        <w:spacing w:after="0"/>
        <w:tabs>
          <w:tab w:leader="none" w:pos="1172" w:val="left"/>
        </w:tabs>
        <w:numPr>
          <w:ilvl w:val="2"/>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85% of the Fair Market Value of the shares of Common Stock on the Offering Date; or</w:t>
      </w:r>
    </w:p>
    <w:p>
      <w:pPr>
        <w:spacing w:after="0" w:line="108" w:lineRule="exact"/>
        <w:rPr>
          <w:rFonts w:ascii="Times New Roman" w:cs="Times New Roman" w:eastAsia="Times New Roman" w:hAnsi="Times New Roman"/>
          <w:sz w:val="18"/>
          <w:szCs w:val="18"/>
          <w:b w:val="1"/>
          <w:bCs w:val="1"/>
          <w:color w:val="auto"/>
        </w:rPr>
      </w:pPr>
    </w:p>
    <w:p>
      <w:pPr>
        <w:ind w:left="1212" w:hanging="248"/>
        <w:spacing w:after="0"/>
        <w:tabs>
          <w:tab w:leader="none" w:pos="1212" w:val="left"/>
        </w:tabs>
        <w:numPr>
          <w:ilvl w:val="2"/>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85% of the Fair Market Value of the shares of Common Stock on the applicable Purchase Date.</w:t>
      </w:r>
    </w:p>
    <w:p>
      <w:pPr>
        <w:spacing w:after="0" w:line="316"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ARTICIPATION</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4"/>
          <w:szCs w:val="14"/>
          <w:b w:val="1"/>
          <w:bCs w:val="1"/>
          <w:color w:val="auto"/>
        </w:rPr>
        <w:t>ITHDRAWAL</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left="-8" w:right="80" w:firstLine="436"/>
        <w:spacing w:after="0" w:line="247" w:lineRule="auto"/>
        <w:tabs>
          <w:tab w:leader="none" w:pos="668" w:val="left"/>
        </w:tabs>
        <w:numPr>
          <w:ilvl w:val="1"/>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w:t>
      </w:r>
    </w:p>
    <w:p>
      <w:pPr>
        <w:spacing w:after="0" w:line="12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52"/>
          </w:cols>
          <w:pgMar w:left="588" w:top="265" w:right="659" w:bottom="1440" w:gutter="0" w:footer="0" w:header="0"/>
        </w:sectPr>
      </w:pPr>
    </w:p>
    <w:bookmarkStart w:id="588" w:name="page589"/>
    <w:bookmarkEnd w:id="588"/>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increase his or her Contributions. If required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w:t>
      </w:r>
    </w:p>
    <w:p>
      <w:pPr>
        <w:spacing w:after="0" w:line="75" w:lineRule="exact"/>
        <w:rPr>
          <w:sz w:val="20"/>
          <w:szCs w:val="20"/>
          <w:color w:val="auto"/>
        </w:rPr>
      </w:pPr>
    </w:p>
    <w:p>
      <w:pPr>
        <w:ind w:firstLine="436"/>
        <w:spacing w:after="0" w:line="248" w:lineRule="auto"/>
        <w:tabs>
          <w:tab w:leader="none" w:pos="686" w:val="left"/>
        </w:tabs>
        <w:numPr>
          <w:ilvl w:val="1"/>
          <w:numId w:val="5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an Offering, a Participant may cease making Contributions and withdraw from the Offering by delivering to the Company or a 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82" w:lineRule="exact"/>
        <w:rPr>
          <w:rFonts w:ascii="Times New Roman" w:cs="Times New Roman" w:eastAsia="Times New Roman" w:hAnsi="Times New Roman"/>
          <w:sz w:val="18"/>
          <w:szCs w:val="18"/>
          <w:b w:val="1"/>
          <w:bCs w:val="1"/>
          <w:color w:val="auto"/>
        </w:rPr>
      </w:pPr>
    </w:p>
    <w:p>
      <w:pPr>
        <w:ind w:right="120" w:firstLine="436"/>
        <w:spacing w:after="0" w:line="251" w:lineRule="auto"/>
        <w:tabs>
          <w:tab w:leader="none" w:pos="666" w:val="left"/>
        </w:tabs>
        <w:numPr>
          <w:ilvl w:val="1"/>
          <w:numId w:val="5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Applicable Law) or (ii) is otherwise no longer eligible to participate. The Company will distribute as soon as practicable to such individual all of his or her accumulated but unused Contributions.</w:t>
      </w:r>
    </w:p>
    <w:p>
      <w:pPr>
        <w:spacing w:after="0" w:line="79" w:lineRule="exact"/>
        <w:rPr>
          <w:rFonts w:ascii="Times New Roman" w:cs="Times New Roman" w:eastAsia="Times New Roman" w:hAnsi="Times New Roman"/>
          <w:sz w:val="18"/>
          <w:szCs w:val="18"/>
          <w:b w:val="1"/>
          <w:bCs w:val="1"/>
          <w:color w:val="auto"/>
        </w:rPr>
      </w:pPr>
    </w:p>
    <w:p>
      <w:pPr>
        <w:ind w:right="260" w:firstLine="436"/>
        <w:spacing w:after="0" w:line="281" w:lineRule="auto"/>
        <w:tabs>
          <w:tab w:leader="none" w:pos="686" w:val="left"/>
        </w:tabs>
        <w:numPr>
          <w:ilvl w:val="1"/>
          <w:numId w:val="5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w:t>
      </w:r>
    </w:p>
    <w:p>
      <w:pPr>
        <w:spacing w:after="0" w:line="1" w:lineRule="exact"/>
        <w:rPr>
          <w:rFonts w:ascii="Times New Roman" w:cs="Times New Roman" w:eastAsia="Times New Roman" w:hAnsi="Times New Roman"/>
          <w:sz w:val="16"/>
          <w:szCs w:val="16"/>
          <w:b w:val="1"/>
          <w:bCs w:val="1"/>
          <w:color w:val="auto"/>
        </w:rPr>
      </w:pPr>
    </w:p>
    <w:p>
      <w:pPr>
        <w:ind w:right="80" w:firstLine="8"/>
        <w:spacing w:after="0" w:line="244" w:lineRule="auto"/>
        <w:tabs>
          <w:tab w:leader="none" w:pos="306"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spacing w:after="0" w:line="85" w:lineRule="exact"/>
        <w:rPr>
          <w:rFonts w:ascii="Times New Roman" w:cs="Times New Roman" w:eastAsia="Times New Roman" w:hAnsi="Times New Roman"/>
          <w:sz w:val="18"/>
          <w:szCs w:val="18"/>
          <w:color w:val="auto"/>
        </w:rPr>
      </w:pPr>
    </w:p>
    <w:p>
      <w:pPr>
        <w:jc w:val="both"/>
        <w:ind w:right="600" w:firstLine="436"/>
        <w:spacing w:after="0" w:line="255" w:lineRule="auto"/>
        <w:tabs>
          <w:tab w:leader="none" w:pos="666" w:val="left"/>
        </w:tabs>
        <w:numPr>
          <w:ilvl w:val="1"/>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75" w:lineRule="exact"/>
        <w:rPr>
          <w:rFonts w:ascii="Times New Roman" w:cs="Times New Roman" w:eastAsia="Times New Roman" w:hAnsi="Times New Roman"/>
          <w:sz w:val="18"/>
          <w:szCs w:val="18"/>
          <w:b w:val="1"/>
          <w:bCs w:val="1"/>
          <w:color w:val="auto"/>
        </w:rPr>
      </w:pPr>
    </w:p>
    <w:p>
      <w:pPr>
        <w:ind w:right="760" w:firstLine="436"/>
        <w:spacing w:after="0" w:line="267" w:lineRule="auto"/>
        <w:tabs>
          <w:tab w:leader="none" w:pos="647" w:val="left"/>
        </w:tabs>
        <w:numPr>
          <w:ilvl w:val="1"/>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specified in the Offering or as required by Applicable Law, the Company will have no obligation to pay interest on Contributions.</w:t>
      </w:r>
    </w:p>
    <w:p>
      <w:pPr>
        <w:spacing w:after="0" w:line="272"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5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right="240" w:firstLine="436"/>
        <w:spacing w:after="0" w:line="255" w:lineRule="auto"/>
        <w:tabs>
          <w:tab w:leader="none" w:pos="676" w:val="left"/>
        </w:tabs>
        <w:numPr>
          <w:ilvl w:val="1"/>
          <w:numId w:val="5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75" w:lineRule="exact"/>
        <w:rPr>
          <w:rFonts w:ascii="Times New Roman" w:cs="Times New Roman" w:eastAsia="Times New Roman" w:hAnsi="Times New Roman"/>
          <w:sz w:val="18"/>
          <w:szCs w:val="18"/>
          <w:b w:val="1"/>
          <w:bCs w:val="1"/>
          <w:color w:val="auto"/>
        </w:rPr>
      </w:pPr>
    </w:p>
    <w:p>
      <w:pPr>
        <w:ind w:firstLine="436"/>
        <w:spacing w:after="0" w:line="255" w:lineRule="auto"/>
        <w:tabs>
          <w:tab w:leader="none" w:pos="686" w:val="left"/>
        </w:tabs>
        <w:numPr>
          <w:ilvl w:val="1"/>
          <w:numId w:val="5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00"/>
          </w:cols>
          <w:pgMar w:left="580" w:top="265" w:right="619" w:bottom="1440" w:gutter="0" w:footer="0" w:header="0"/>
        </w:sectPr>
      </w:pPr>
    </w:p>
    <w:bookmarkStart w:id="589" w:name="page590"/>
    <w:bookmarkEnd w:id="589"/>
    <w:p>
      <w:pPr>
        <w:ind w:right="4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otherwise required by Applicable Law).</w:t>
      </w:r>
    </w:p>
    <w:p>
      <w:pPr>
        <w:spacing w:after="0" w:line="82" w:lineRule="exact"/>
        <w:rPr>
          <w:sz w:val="20"/>
          <w:szCs w:val="20"/>
          <w:color w:val="auto"/>
        </w:rPr>
      </w:pPr>
    </w:p>
    <w:p>
      <w:pPr>
        <w:ind w:firstLine="436"/>
        <w:spacing w:after="0" w:line="281" w:lineRule="auto"/>
        <w:tabs>
          <w:tab w:leader="none" w:pos="666" w:val="left"/>
        </w:tabs>
        <w:numPr>
          <w:ilvl w:val="1"/>
          <w:numId w:val="5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w:t>
      </w:r>
    </w:p>
    <w:p>
      <w:pPr>
        <w:spacing w:after="0" w:line="264" w:lineRule="exact"/>
        <w:rPr>
          <w:rFonts w:ascii="Times New Roman" w:cs="Times New Roman" w:eastAsia="Times New Roman" w:hAnsi="Times New Roman"/>
          <w:sz w:val="16"/>
          <w:szCs w:val="16"/>
          <w:b w:val="1"/>
          <w:bCs w:val="1"/>
          <w:color w:val="auto"/>
        </w:rPr>
      </w:pPr>
    </w:p>
    <w:p>
      <w:pPr>
        <w:ind w:left="180" w:hanging="172"/>
        <w:spacing w:after="0"/>
        <w:tabs>
          <w:tab w:leader="none" w:pos="180" w:val="left"/>
        </w:tabs>
        <w:numPr>
          <w:ilvl w:val="0"/>
          <w:numId w:val="5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10" w:lineRule="exact"/>
        <w:rPr>
          <w:sz w:val="20"/>
          <w:szCs w:val="20"/>
          <w:color w:val="auto"/>
        </w:rPr>
      </w:pPr>
    </w:p>
    <w:p>
      <w:pPr>
        <w:ind w:right="80" w:firstLine="428"/>
        <w:spacing w:after="0" w:line="285" w:lineRule="auto"/>
        <w:rPr>
          <w:sz w:val="20"/>
          <w:szCs w:val="20"/>
          <w:color w:val="auto"/>
        </w:rPr>
      </w:pPr>
      <w:r>
        <w:rPr>
          <w:rFonts w:ascii="Times New Roman" w:cs="Times New Roman" w:eastAsia="Times New Roman" w:hAnsi="Times New Roman"/>
          <w:sz w:val="16"/>
          <w:szCs w:val="16"/>
          <w:color w:val="auto"/>
        </w:rPr>
        <w:t>The Company will seek to obtain from each U.S. federal or state, foreign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263" w:lineRule="exact"/>
        <w:rPr>
          <w:sz w:val="20"/>
          <w:szCs w:val="20"/>
          <w:color w:val="auto"/>
        </w:rPr>
      </w:pPr>
    </w:p>
    <w:p>
      <w:pPr>
        <w:ind w:left="280" w:hanging="272"/>
        <w:spacing w:after="0"/>
        <w:tabs>
          <w:tab w:leader="none" w:pos="280" w:val="left"/>
        </w:tabs>
        <w:numPr>
          <w:ilvl w:val="0"/>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ESIGNATION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ENEFICIARY</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right="300" w:firstLine="436"/>
        <w:spacing w:after="0" w:line="251" w:lineRule="auto"/>
        <w:tabs>
          <w:tab w:leader="none" w:pos="676" w:val="left"/>
        </w:tabs>
        <w:numPr>
          <w:ilvl w:val="1"/>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79" w:lineRule="exact"/>
        <w:rPr>
          <w:rFonts w:ascii="Times New Roman" w:cs="Times New Roman" w:eastAsia="Times New Roman" w:hAnsi="Times New Roman"/>
          <w:sz w:val="18"/>
          <w:szCs w:val="18"/>
          <w:b w:val="1"/>
          <w:bCs w:val="1"/>
          <w:color w:val="auto"/>
        </w:rPr>
      </w:pPr>
    </w:p>
    <w:p>
      <w:pPr>
        <w:ind w:right="100" w:firstLine="436"/>
        <w:spacing w:after="0" w:line="249" w:lineRule="auto"/>
        <w:tabs>
          <w:tab w:leader="none" w:pos="686" w:val="left"/>
        </w:tabs>
        <w:numPr>
          <w:ilvl w:val="1"/>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580" w:top="266" w:right="599" w:bottom="1440" w:gutter="0" w:footer="0" w:header="0"/>
        </w:sectPr>
      </w:pPr>
    </w:p>
    <w:bookmarkStart w:id="590" w:name="page591"/>
    <w:bookmarkEnd w:id="590"/>
    <w:p>
      <w:pPr>
        <w:ind w:left="260" w:hanging="252"/>
        <w:spacing w:after="0"/>
        <w:tabs>
          <w:tab w:leader="none" w:pos="260" w:val="left"/>
        </w:tabs>
        <w:numPr>
          <w:ilvl w:val="0"/>
          <w:numId w:val="5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right="60" w:firstLine="436"/>
        <w:spacing w:after="0" w:line="249" w:lineRule="auto"/>
        <w:tabs>
          <w:tab w:leader="none" w:pos="676" w:val="left"/>
        </w:tabs>
        <w:numPr>
          <w:ilvl w:val="1"/>
          <w:numId w:val="5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81" w:lineRule="exact"/>
        <w:rPr>
          <w:rFonts w:ascii="Times New Roman" w:cs="Times New Roman" w:eastAsia="Times New Roman" w:hAnsi="Times New Roman"/>
          <w:sz w:val="18"/>
          <w:szCs w:val="18"/>
          <w:b w:val="1"/>
          <w:bCs w:val="1"/>
          <w:color w:val="auto"/>
        </w:rPr>
      </w:pPr>
    </w:p>
    <w:p>
      <w:pPr>
        <w:ind w:right="220" w:firstLine="436"/>
        <w:spacing w:after="0" w:line="247" w:lineRule="auto"/>
        <w:tabs>
          <w:tab w:leader="none" w:pos="686" w:val="left"/>
        </w:tabs>
        <w:numPr>
          <w:ilvl w:val="1"/>
          <w:numId w:val="5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w:t>
      </w:r>
    </w:p>
    <w:p>
      <w:pPr>
        <w:spacing w:after="0" w:line="292"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5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MENDMENT</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ERMINATION 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USPENSION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1"/>
          <w:numId w:val="5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amend the Plan at any time in any respect the Board deems necessary or advisable. However, except as provided in</w:t>
      </w:r>
    </w:p>
    <w:p>
      <w:pPr>
        <w:spacing w:after="0" w:line="21" w:lineRule="exact"/>
        <w:rPr>
          <w:sz w:val="20"/>
          <w:szCs w:val="20"/>
          <w:color w:val="auto"/>
        </w:rPr>
      </w:pPr>
    </w:p>
    <w:p>
      <w:pPr>
        <w:ind w:right="560"/>
        <w:spacing w:after="0" w:line="247" w:lineRule="auto"/>
        <w:rPr>
          <w:sz w:val="20"/>
          <w:szCs w:val="20"/>
          <w:color w:val="auto"/>
        </w:rPr>
      </w:pPr>
      <w:r>
        <w:rPr>
          <w:rFonts w:ascii="Times New Roman" w:cs="Times New Roman" w:eastAsia="Times New Roman" w:hAnsi="Times New Roman"/>
          <w:sz w:val="18"/>
          <w:szCs w:val="18"/>
          <w:color w:val="auto"/>
        </w:rPr>
        <w:t>Section 11(a) relating to Capitalization Adjustments, stockholder approval will be required for any amendment of the Plan for which stockholder approval is required by Applicable Law.</w:t>
      </w:r>
    </w:p>
    <w:p>
      <w:pPr>
        <w:spacing w:after="0" w:line="81" w:lineRule="exact"/>
        <w:rPr>
          <w:sz w:val="20"/>
          <w:szCs w:val="20"/>
          <w:color w:val="auto"/>
        </w:rPr>
      </w:pPr>
    </w:p>
    <w:p>
      <w:pPr>
        <w:ind w:right="160" w:firstLine="436"/>
        <w:spacing w:after="0" w:line="267" w:lineRule="auto"/>
        <w:tabs>
          <w:tab w:leader="none" w:pos="686" w:val="left"/>
        </w:tabs>
        <w:numPr>
          <w:ilvl w:val="0"/>
          <w:numId w:val="5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suspend or terminate the Plan at any time. No Purchase Rights may be granted under the Plan while the Plan is suspended or after it is terminated.</w:t>
      </w:r>
    </w:p>
    <w:p>
      <w:pPr>
        <w:spacing w:after="0" w:line="64" w:lineRule="exact"/>
        <w:rPr>
          <w:rFonts w:ascii="Times New Roman" w:cs="Times New Roman" w:eastAsia="Times New Roman" w:hAnsi="Times New Roman"/>
          <w:sz w:val="18"/>
          <w:szCs w:val="18"/>
          <w:b w:val="1"/>
          <w:bCs w:val="1"/>
          <w:color w:val="auto"/>
        </w:rPr>
      </w:pPr>
    </w:p>
    <w:p>
      <w:pPr>
        <w:ind w:firstLine="436"/>
        <w:spacing w:after="0" w:line="278" w:lineRule="auto"/>
        <w:tabs>
          <w:tab w:leader="none" w:pos="666" w:val="left"/>
        </w:tabs>
        <w:numPr>
          <w:ilvl w:val="0"/>
          <w:numId w:val="5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00"/>
          </w:cols>
          <w:pgMar w:left="580" w:top="263" w:right="619" w:bottom="1440" w:gutter="0" w:footer="0" w:header="0"/>
        </w:sectPr>
      </w:pPr>
    </w:p>
    <w:bookmarkStart w:id="591" w:name="page592"/>
    <w:bookmarkEnd w:id="591"/>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178" w:lineRule="exact"/>
        <w:rPr>
          <w:sz w:val="20"/>
          <w:szCs w:val="20"/>
          <w:color w:val="auto"/>
        </w:rPr>
      </w:pPr>
    </w:p>
    <w:p>
      <w:pPr>
        <w:ind w:left="280" w:hanging="272"/>
        <w:spacing w:after="0"/>
        <w:tabs>
          <w:tab w:leader="none" w:pos="280" w:val="left"/>
        </w:tabs>
        <w:numPr>
          <w:ilvl w:val="0"/>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4"/>
          <w:szCs w:val="14"/>
          <w:b w:val="1"/>
          <w:bCs w:val="1"/>
          <w:color w:val="auto"/>
        </w:rPr>
        <w:t>UALIFICATION</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right="60" w:firstLine="436"/>
        <w:spacing w:after="0" w:line="251" w:lineRule="auto"/>
        <w:tabs>
          <w:tab w:leader="none" w:pos="676" w:val="left"/>
        </w:tabs>
        <w:numPr>
          <w:ilvl w:val="1"/>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79" w:lineRule="exact"/>
        <w:rPr>
          <w:rFonts w:ascii="Times New Roman" w:cs="Times New Roman" w:eastAsia="Times New Roman" w:hAnsi="Times New Roman"/>
          <w:sz w:val="18"/>
          <w:szCs w:val="18"/>
          <w:b w:val="1"/>
          <w:bCs w:val="1"/>
          <w:color w:val="auto"/>
        </w:rPr>
      </w:pPr>
    </w:p>
    <w:p>
      <w:pPr>
        <w:ind w:right="20" w:firstLine="436"/>
        <w:spacing w:after="0" w:line="285" w:lineRule="auto"/>
        <w:tabs>
          <w:tab w:leader="none" w:pos="686" w:val="left"/>
        </w:tabs>
        <w:numPr>
          <w:ilvl w:val="1"/>
          <w:numId w:val="5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Each Participant will make arrangements, satisfactory to the Company and any applicable Related Corporation, to enable the Company or the Related Corporation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or a Related Corporation;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w:t>
      </w:r>
    </w:p>
    <w:p>
      <w:pPr>
        <w:spacing w:after="0" w:line="54" w:lineRule="exact"/>
        <w:rPr>
          <w:rFonts w:ascii="Times New Roman" w:cs="Times New Roman" w:eastAsia="Times New Roman" w:hAnsi="Times New Roman"/>
          <w:sz w:val="16"/>
          <w:szCs w:val="16"/>
          <w:b w:val="1"/>
          <w:bCs w:val="1"/>
          <w:color w:val="auto"/>
        </w:rPr>
      </w:pPr>
    </w:p>
    <w:p>
      <w:pPr>
        <w:ind w:firstLine="436"/>
        <w:spacing w:after="0" w:line="245" w:lineRule="auto"/>
        <w:tabs>
          <w:tab w:leader="none" w:pos="666" w:val="left"/>
        </w:tabs>
        <w:numPr>
          <w:ilvl w:val="1"/>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423 Component is exempt from the application of Section 409A of the Code, and any ambiguities herein 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w:t>
      </w:r>
    </w:p>
    <w:p>
      <w:pPr>
        <w:spacing w:after="0" w:line="299"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FFECTIVE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10" w:lineRule="exact"/>
        <w:rPr>
          <w:sz w:val="20"/>
          <w:szCs w:val="20"/>
          <w:color w:val="auto"/>
        </w:rPr>
      </w:pPr>
    </w:p>
    <w:p>
      <w:pPr>
        <w:jc w:val="both"/>
        <w:ind w:right="60" w:firstLine="428"/>
        <w:spacing w:after="0" w:line="255" w:lineRule="auto"/>
        <w:rPr>
          <w:sz w:val="20"/>
          <w:szCs w:val="20"/>
          <w:color w:val="auto"/>
        </w:rPr>
      </w:pPr>
      <w:r>
        <w:rPr>
          <w:rFonts w:ascii="Times New Roman" w:cs="Times New Roman" w:eastAsia="Times New Roman" w:hAnsi="Times New Roman"/>
          <w:sz w:val="18"/>
          <w:szCs w:val="18"/>
          <w:color w:val="auto"/>
        </w:rPr>
        <w:t>The Plan will become effective immediately prior to and contingent upon the IPO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283" w:lineRule="exact"/>
        <w:rPr>
          <w:sz w:val="20"/>
          <w:szCs w:val="20"/>
          <w:color w:val="auto"/>
        </w:rPr>
      </w:pPr>
    </w:p>
    <w:p>
      <w:pPr>
        <w:ind w:left="280" w:hanging="272"/>
        <w:spacing w:after="0"/>
        <w:tabs>
          <w:tab w:leader="none" w:pos="280" w:val="left"/>
        </w:tabs>
        <w:numPr>
          <w:ilvl w:val="0"/>
          <w:numId w:val="5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ROVISIONS</w:t>
      </w:r>
      <w:r>
        <w:rPr>
          <w:rFonts w:ascii="Times New Roman" w:cs="Times New Roman" w:eastAsia="Times New Roman" w:hAnsi="Times New Roman"/>
          <w:sz w:val="18"/>
          <w:szCs w:val="18"/>
          <w:b w:val="1"/>
          <w:bCs w:val="1"/>
          <w:color w:val="auto"/>
        </w:rPr>
        <w:t>.</w:t>
      </w:r>
    </w:p>
    <w:p>
      <w:pPr>
        <w:spacing w:after="0" w:line="110" w:lineRule="exact"/>
        <w:rPr>
          <w:rFonts w:ascii="Times New Roman" w:cs="Times New Roman" w:eastAsia="Times New Roman" w:hAnsi="Times New Roman"/>
          <w:sz w:val="18"/>
          <w:szCs w:val="18"/>
          <w:b w:val="1"/>
          <w:bCs w:val="1"/>
          <w:color w:val="auto"/>
        </w:rPr>
      </w:pPr>
    </w:p>
    <w:p>
      <w:pPr>
        <w:ind w:left="5320" w:right="1220" w:hanging="4884"/>
        <w:spacing w:after="0" w:line="435" w:lineRule="auto"/>
        <w:tabs>
          <w:tab w:leader="none" w:pos="683" w:val="left"/>
        </w:tabs>
        <w:numPr>
          <w:ilvl w:val="1"/>
          <w:numId w:val="5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Proceeds from the sale of shares of Common Stock pursuant to Purchase Rights will constitute general funds of the Company. 9</w:t>
      </w:r>
    </w:p>
    <w:p>
      <w:pPr>
        <w:sectPr>
          <w:pgSz w:w="11900" w:h="16838" w:orient="portrait"/>
          <w:cols w:equalWidth="0" w:num="1">
            <w:col w:w="10720"/>
          </w:cols>
          <w:pgMar w:left="580" w:top="264" w:right="599" w:bottom="1440" w:gutter="0" w:footer="0" w:header="0"/>
        </w:sectPr>
      </w:pPr>
    </w:p>
    <w:bookmarkStart w:id="592" w:name="page593"/>
    <w:bookmarkEnd w:id="592"/>
    <w:p>
      <w:pPr>
        <w:ind w:left="-8" w:right="140" w:firstLine="436"/>
        <w:spacing w:after="0" w:line="255" w:lineRule="auto"/>
        <w:tabs>
          <w:tab w:leader="none" w:pos="678" w:val="left"/>
        </w:tabs>
        <w:numPr>
          <w:ilvl w:val="0"/>
          <w:numId w:val="5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8040" cy="36830"/>
                    </a:xfrm>
                    <a:prstGeom prst="rect">
                      <a:avLst/>
                    </a:prstGeom>
                    <a:noFill/>
                  </pic:spPr>
                </pic:pic>
              </a:graphicData>
            </a:graphic>
          </wp:anchor>
        </w:drawing>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75" w:lineRule="exact"/>
        <w:rPr>
          <w:rFonts w:ascii="Times New Roman" w:cs="Times New Roman" w:eastAsia="Times New Roman" w:hAnsi="Times New Roman"/>
          <w:sz w:val="18"/>
          <w:szCs w:val="18"/>
          <w:b w:val="1"/>
          <w:bCs w:val="1"/>
          <w:color w:val="auto"/>
        </w:rPr>
      </w:pPr>
    </w:p>
    <w:p>
      <w:pPr>
        <w:ind w:left="-8" w:firstLine="436"/>
        <w:spacing w:after="0" w:line="251" w:lineRule="auto"/>
        <w:tabs>
          <w:tab w:leader="none" w:pos="658" w:val="left"/>
        </w:tabs>
        <w:numPr>
          <w:ilvl w:val="0"/>
          <w:numId w:val="5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and Offering do not constitute an employment contract. Nothing in the Plan or in the Offering will in any way alter the at will nature of a Participant’s employment or amend a Participant’s employment contract, if applicable, or be deemed to create in any way whatsoever any obligation on the part of any Participant to continue in the employ of the Company or a Related Corporation or an Affiliate, or on the part of the Company, a Related Corporation or an Affiliate to continue the employment of a Participant.</w:t>
      </w:r>
    </w:p>
    <w:p>
      <w:pPr>
        <w:spacing w:after="0" w:line="79" w:lineRule="exact"/>
        <w:rPr>
          <w:rFonts w:ascii="Times New Roman" w:cs="Times New Roman" w:eastAsia="Times New Roman" w:hAnsi="Times New Roman"/>
          <w:sz w:val="18"/>
          <w:szCs w:val="18"/>
          <w:b w:val="1"/>
          <w:bCs w:val="1"/>
          <w:color w:val="auto"/>
        </w:rPr>
      </w:pPr>
    </w:p>
    <w:p>
      <w:pPr>
        <w:ind w:left="692" w:hanging="264"/>
        <w:spacing w:after="0"/>
        <w:tabs>
          <w:tab w:leader="none" w:pos="692" w:val="left"/>
        </w:tabs>
        <w:numPr>
          <w:ilvl w:val="0"/>
          <w:numId w:val="5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the Plan will be governed by the laws of the State of Delaware without resort to that state’s conflicts of laws rules.</w:t>
      </w:r>
    </w:p>
    <w:p>
      <w:pPr>
        <w:spacing w:after="0" w:line="108" w:lineRule="exact"/>
        <w:rPr>
          <w:rFonts w:ascii="Times New Roman" w:cs="Times New Roman" w:eastAsia="Times New Roman" w:hAnsi="Times New Roman"/>
          <w:sz w:val="18"/>
          <w:szCs w:val="18"/>
          <w:b w:val="1"/>
          <w:bCs w:val="1"/>
          <w:color w:val="auto"/>
        </w:rPr>
      </w:pPr>
    </w:p>
    <w:p>
      <w:pPr>
        <w:ind w:left="-8" w:right="160" w:firstLine="436"/>
        <w:spacing w:after="0" w:line="267" w:lineRule="auto"/>
        <w:tabs>
          <w:tab w:leader="none" w:pos="658" w:val="left"/>
        </w:tabs>
        <w:numPr>
          <w:ilvl w:val="0"/>
          <w:numId w:val="5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64" w:lineRule="exact"/>
        <w:rPr>
          <w:rFonts w:ascii="Times New Roman" w:cs="Times New Roman" w:eastAsia="Times New Roman" w:hAnsi="Times New Roman"/>
          <w:sz w:val="18"/>
          <w:szCs w:val="18"/>
          <w:b w:val="1"/>
          <w:bCs w:val="1"/>
          <w:color w:val="auto"/>
        </w:rPr>
      </w:pPr>
    </w:p>
    <w:p>
      <w:pPr>
        <w:ind w:left="-8" w:right="460" w:firstLine="436"/>
        <w:spacing w:after="0" w:line="267" w:lineRule="auto"/>
        <w:tabs>
          <w:tab w:leader="none" w:pos="639" w:val="left"/>
        </w:tabs>
        <w:numPr>
          <w:ilvl w:val="0"/>
          <w:numId w:val="5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provision of the Plan does not comply with Applicable Law, such provision shall be construed in such a manner as to comply with Applicable Law.</w:t>
      </w:r>
    </w:p>
    <w:p>
      <w:pPr>
        <w:spacing w:after="0" w:line="273" w:lineRule="exact"/>
        <w:rPr>
          <w:sz w:val="20"/>
          <w:szCs w:val="20"/>
          <w:color w:val="auto"/>
        </w:rPr>
      </w:pPr>
    </w:p>
    <w:p>
      <w:pPr>
        <w:ind w:left="272" w:hanging="272"/>
        <w:spacing w:after="0"/>
        <w:tabs>
          <w:tab w:leader="none" w:pos="272" w:val="left"/>
        </w:tabs>
        <w:numPr>
          <w:ilvl w:val="0"/>
          <w:numId w:val="5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110"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104" w:lineRule="exact"/>
        <w:rPr>
          <w:sz w:val="20"/>
          <w:szCs w:val="20"/>
          <w:color w:val="auto"/>
        </w:rPr>
      </w:pPr>
    </w:p>
    <w:p>
      <w:pPr>
        <w:ind w:left="-8" w:right="320" w:firstLine="436"/>
        <w:spacing w:after="0" w:line="272" w:lineRule="auto"/>
        <w:tabs>
          <w:tab w:leader="none" w:pos="668"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423 Component</w:t>
      </w:r>
      <w:r>
        <w:rPr>
          <w:rFonts w:ascii="Times New Roman" w:cs="Times New Roman" w:eastAsia="Times New Roman" w:hAnsi="Times New Roman"/>
          <w:sz w:val="18"/>
          <w:szCs w:val="18"/>
          <w:color w:val="auto"/>
        </w:rPr>
        <w:t>” means the part of the Plan, which excludes the Non-423 Component, pursuant to which Purchase Rights that satisfy the requirements for an Employee Stock Purchase Plan may be granted to Eligible Employees.</w:t>
      </w:r>
    </w:p>
    <w:p>
      <w:pPr>
        <w:spacing w:after="0" w:line="55" w:lineRule="exact"/>
        <w:rPr>
          <w:rFonts w:ascii="Times New Roman" w:cs="Times New Roman" w:eastAsia="Times New Roman" w:hAnsi="Times New Roman"/>
          <w:sz w:val="18"/>
          <w:szCs w:val="18"/>
          <w:b w:val="1"/>
          <w:bCs w:val="1"/>
          <w:color w:val="auto"/>
        </w:rPr>
      </w:pPr>
    </w:p>
    <w:p>
      <w:pPr>
        <w:ind w:left="-8" w:firstLine="436"/>
        <w:spacing w:after="0" w:line="258" w:lineRule="auto"/>
        <w:tabs>
          <w:tab w:leader="none" w:pos="678"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w:t>
      </w:r>
    </w:p>
    <w:p>
      <w:pPr>
        <w:spacing w:after="0" w:line="67" w:lineRule="exact"/>
        <w:rPr>
          <w:rFonts w:ascii="Times New Roman" w:cs="Times New Roman" w:eastAsia="Times New Roman" w:hAnsi="Times New Roman"/>
          <w:sz w:val="18"/>
          <w:szCs w:val="18"/>
          <w:b w:val="1"/>
          <w:bCs w:val="1"/>
          <w:color w:val="auto"/>
        </w:rPr>
      </w:pPr>
    </w:p>
    <w:p>
      <w:pPr>
        <w:ind w:left="-8" w:right="200" w:firstLine="436"/>
        <w:spacing w:after="0" w:line="294" w:lineRule="auto"/>
        <w:tabs>
          <w:tab w:leader="none" w:pos="658" w:val="left"/>
        </w:tabs>
        <w:numPr>
          <w:ilvl w:val="0"/>
          <w:numId w:val="5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Applicable Law</w:t>
      </w:r>
      <w:r>
        <w:rPr>
          <w:rFonts w:ascii="Times New Roman" w:cs="Times New Roman" w:eastAsia="Times New Roman" w:hAnsi="Times New Roman"/>
          <w:sz w:val="16"/>
          <w:szCs w:val="16"/>
          <w:color w:val="auto"/>
        </w:rPr>
        <w:t>” means shall mean the Code and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w:t>
      </w:r>
    </w:p>
    <w:p>
      <w:pPr>
        <w:spacing w:after="0" w:line="43" w:lineRule="exact"/>
        <w:rPr>
          <w:rFonts w:ascii="Times New Roman" w:cs="Times New Roman" w:eastAsia="Times New Roman" w:hAnsi="Times New Roman"/>
          <w:sz w:val="16"/>
          <w:szCs w:val="16"/>
          <w:b w:val="1"/>
          <w:bCs w:val="1"/>
          <w:color w:val="auto"/>
        </w:rPr>
      </w:pPr>
    </w:p>
    <w:p>
      <w:pPr>
        <w:ind w:left="692" w:hanging="264"/>
        <w:spacing w:after="0"/>
        <w:tabs>
          <w:tab w:leader="none" w:pos="692"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108" w:lineRule="exact"/>
        <w:rPr>
          <w:rFonts w:ascii="Times New Roman" w:cs="Times New Roman" w:eastAsia="Times New Roman" w:hAnsi="Times New Roman"/>
          <w:sz w:val="18"/>
          <w:szCs w:val="18"/>
          <w:b w:val="1"/>
          <w:bCs w:val="1"/>
          <w:color w:val="auto"/>
        </w:rPr>
      </w:pPr>
    </w:p>
    <w:p>
      <w:pPr>
        <w:ind w:left="-8" w:right="60" w:firstLine="436"/>
        <w:spacing w:after="0" w:line="286" w:lineRule="auto"/>
        <w:tabs>
          <w:tab w:leader="none" w:pos="658" w:val="left"/>
        </w:tabs>
        <w:numPr>
          <w:ilvl w:val="0"/>
          <w:numId w:val="5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Capitalization Adjustment</w:t>
      </w:r>
      <w:r>
        <w:rPr>
          <w:rFonts w:ascii="Times New Roman" w:cs="Times New Roman" w:eastAsia="Times New Roman" w:hAnsi="Times New Roman"/>
          <w:sz w:val="16"/>
          <w:szCs w:val="16"/>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9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92"/>
          </w:cols>
          <w:pgMar w:left="588" w:top="264" w:right="619" w:bottom="1440" w:gutter="0" w:footer="0" w:header="0"/>
        </w:sectPr>
      </w:pPr>
    </w:p>
    <w:bookmarkStart w:id="593" w:name="page594"/>
    <w:bookmarkEnd w:id="593"/>
    <w:p>
      <w:pPr>
        <w:ind w:left="640" w:hanging="224"/>
        <w:spacing w:after="0"/>
        <w:tabs>
          <w:tab w:leader="none" w:pos="640"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including any applicable regulations and guidance thereunder.</w:t>
      </w:r>
    </w:p>
    <w:p>
      <w:pPr>
        <w:spacing w:after="0" w:line="108" w:lineRule="exact"/>
        <w:rPr>
          <w:rFonts w:ascii="Times New Roman" w:cs="Times New Roman" w:eastAsia="Times New Roman" w:hAnsi="Times New Roman"/>
          <w:sz w:val="18"/>
          <w:szCs w:val="18"/>
          <w:b w:val="1"/>
          <w:bCs w:val="1"/>
          <w:color w:val="auto"/>
        </w:rPr>
      </w:pPr>
    </w:p>
    <w:p>
      <w:pPr>
        <w:ind w:left="660" w:hanging="244"/>
        <w:spacing w:after="0"/>
        <w:tabs>
          <w:tab w:leader="none" w:pos="660"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Combined Common Stock</w:t>
      </w:r>
      <w:r>
        <w:rPr>
          <w:rFonts w:ascii="Times New Roman" w:cs="Times New Roman" w:eastAsia="Times New Roman" w:hAnsi="Times New Roman"/>
          <w:sz w:val="18"/>
          <w:szCs w:val="18"/>
          <w:color w:val="auto"/>
        </w:rPr>
        <w:t>” means the common stock of the Company of all classes.</w:t>
      </w:r>
    </w:p>
    <w:p>
      <w:pPr>
        <w:spacing w:after="0" w:line="108" w:lineRule="exact"/>
        <w:rPr>
          <w:rFonts w:ascii="Times New Roman" w:cs="Times New Roman" w:eastAsia="Times New Roman" w:hAnsi="Times New Roman"/>
          <w:sz w:val="18"/>
          <w:szCs w:val="18"/>
          <w:b w:val="1"/>
          <w:bCs w:val="1"/>
          <w:color w:val="auto"/>
        </w:rPr>
      </w:pPr>
    </w:p>
    <w:p>
      <w:pPr>
        <w:ind w:left="-20" w:firstLine="436"/>
        <w:spacing w:after="0" w:line="272" w:lineRule="auto"/>
        <w:tabs>
          <w:tab w:leader="none" w:pos="666"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members of the Board to whom authority has been delegated by the Board in accordance with Section 2(c).</w:t>
      </w:r>
    </w:p>
    <w:p>
      <w:pPr>
        <w:spacing w:after="0" w:line="55" w:lineRule="exact"/>
        <w:rPr>
          <w:rFonts w:ascii="Times New Roman" w:cs="Times New Roman" w:eastAsia="Times New Roman" w:hAnsi="Times New Roman"/>
          <w:sz w:val="18"/>
          <w:szCs w:val="18"/>
          <w:b w:val="1"/>
          <w:bCs w:val="1"/>
          <w:color w:val="auto"/>
        </w:rPr>
      </w:pPr>
    </w:p>
    <w:p>
      <w:pPr>
        <w:ind w:left="620" w:hanging="204"/>
        <w:spacing w:after="0"/>
        <w:tabs>
          <w:tab w:leader="none" w:pos="620"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Class A common stock of the Company.</w:t>
      </w:r>
    </w:p>
    <w:p>
      <w:pPr>
        <w:spacing w:after="0" w:line="108" w:lineRule="exact"/>
        <w:rPr>
          <w:rFonts w:ascii="Times New Roman" w:cs="Times New Roman" w:eastAsia="Times New Roman" w:hAnsi="Times New Roman"/>
          <w:sz w:val="18"/>
          <w:szCs w:val="18"/>
          <w:b w:val="1"/>
          <w:bCs w:val="1"/>
          <w:color w:val="auto"/>
        </w:rPr>
      </w:pPr>
    </w:p>
    <w:p>
      <w:pPr>
        <w:ind w:left="640" w:hanging="224"/>
        <w:spacing w:after="0"/>
        <w:tabs>
          <w:tab w:leader="none" w:pos="640"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Tempus Labs, Inc., a Delaware corporation.</w:t>
      </w:r>
    </w:p>
    <w:p>
      <w:pPr>
        <w:spacing w:after="0" w:line="108" w:lineRule="exact"/>
        <w:rPr>
          <w:rFonts w:ascii="Times New Roman" w:cs="Times New Roman" w:eastAsia="Times New Roman" w:hAnsi="Times New Roman"/>
          <w:sz w:val="18"/>
          <w:szCs w:val="18"/>
          <w:b w:val="1"/>
          <w:bCs w:val="1"/>
          <w:color w:val="auto"/>
        </w:rPr>
      </w:pPr>
    </w:p>
    <w:p>
      <w:pPr>
        <w:ind w:left="-20" w:right="160" w:firstLine="436"/>
        <w:spacing w:after="0" w:line="253" w:lineRule="auto"/>
        <w:tabs>
          <w:tab w:leader="none" w:pos="666"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“Contributions</w:t>
      </w:r>
      <w:r>
        <w:rPr>
          <w:rFonts w:ascii="Times New Roman" w:cs="Times New Roman" w:eastAsia="Times New Roman" w:hAnsi="Times New Roman"/>
          <w:sz w:val="18"/>
          <w:szCs w:val="18"/>
          <w:color w:val="auto"/>
        </w:rPr>
        <w:t>” means the payroll deductions and other additional payments specifically provided for in the Offering that a Participant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 and, with respect to the 423 Component, to the extent permitted by Section 423.</w:t>
      </w:r>
    </w:p>
    <w:p>
      <w:pPr>
        <w:spacing w:after="0" w:line="72" w:lineRule="exact"/>
        <w:rPr>
          <w:rFonts w:ascii="Times New Roman" w:cs="Times New Roman" w:eastAsia="Times New Roman" w:hAnsi="Times New Roman"/>
          <w:sz w:val="18"/>
          <w:szCs w:val="18"/>
          <w:b w:val="1"/>
          <w:bCs w:val="1"/>
          <w:color w:val="auto"/>
        </w:rPr>
      </w:pPr>
    </w:p>
    <w:p>
      <w:pPr>
        <w:ind w:left="-20" w:right="460" w:firstLine="436"/>
        <w:spacing w:after="0" w:line="272" w:lineRule="auto"/>
        <w:tabs>
          <w:tab w:leader="none" w:pos="617"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59" w:lineRule="exact"/>
        <w:rPr>
          <w:rFonts w:ascii="Times New Roman" w:cs="Times New Roman" w:eastAsia="Times New Roman" w:hAnsi="Times New Roman"/>
          <w:sz w:val="18"/>
          <w:szCs w:val="18"/>
          <w:b w:val="1"/>
          <w:bCs w:val="1"/>
          <w:color w:val="auto"/>
        </w:rPr>
      </w:pPr>
    </w:p>
    <w:p>
      <w:pPr>
        <w:ind w:left="-20" w:right="220" w:firstLine="972"/>
        <w:spacing w:after="0" w:line="267" w:lineRule="auto"/>
        <w:tabs>
          <w:tab w:leader="none" w:pos="1153" w:val="left"/>
        </w:tabs>
        <w:numPr>
          <w:ilvl w:val="1"/>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 the Company and its subsidiaries;</w:t>
      </w:r>
    </w:p>
    <w:p>
      <w:pPr>
        <w:spacing w:after="0" w:line="64" w:lineRule="exact"/>
        <w:rPr>
          <w:rFonts w:ascii="Times New Roman" w:cs="Times New Roman" w:eastAsia="Times New Roman" w:hAnsi="Times New Roman"/>
          <w:sz w:val="18"/>
          <w:szCs w:val="18"/>
          <w:b w:val="1"/>
          <w:bCs w:val="1"/>
          <w:color w:val="auto"/>
        </w:rPr>
      </w:pPr>
    </w:p>
    <w:p>
      <w:pPr>
        <w:ind w:left="1200" w:hanging="248"/>
        <w:spacing w:after="0"/>
        <w:tabs>
          <w:tab w:leader="none" w:pos="1200" w:val="left"/>
        </w:tabs>
        <w:numPr>
          <w:ilvl w:val="1"/>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more than 50% of the outstanding securities of the Company;</w:t>
      </w:r>
    </w:p>
    <w:p>
      <w:pPr>
        <w:spacing w:after="0" w:line="108" w:lineRule="exact"/>
        <w:rPr>
          <w:rFonts w:ascii="Times New Roman" w:cs="Times New Roman" w:eastAsia="Times New Roman" w:hAnsi="Times New Roman"/>
          <w:sz w:val="18"/>
          <w:szCs w:val="18"/>
          <w:b w:val="1"/>
          <w:bCs w:val="1"/>
          <w:color w:val="auto"/>
        </w:rPr>
      </w:pPr>
    </w:p>
    <w:p>
      <w:pPr>
        <w:ind w:left="1260" w:hanging="308"/>
        <w:spacing w:after="0"/>
        <w:tabs>
          <w:tab w:leader="none" w:pos="1260" w:val="left"/>
        </w:tabs>
        <w:numPr>
          <w:ilvl w:val="1"/>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108" w:lineRule="exact"/>
        <w:rPr>
          <w:rFonts w:ascii="Times New Roman" w:cs="Times New Roman" w:eastAsia="Times New Roman" w:hAnsi="Times New Roman"/>
          <w:sz w:val="18"/>
          <w:szCs w:val="18"/>
          <w:b w:val="1"/>
          <w:bCs w:val="1"/>
          <w:color w:val="auto"/>
        </w:rPr>
      </w:pPr>
    </w:p>
    <w:p>
      <w:pPr>
        <w:ind w:left="-20" w:right="240" w:firstLine="972"/>
        <w:spacing w:after="0" w:line="255" w:lineRule="auto"/>
        <w:tabs>
          <w:tab w:leader="none" w:pos="1240" w:val="left"/>
        </w:tabs>
        <w:numPr>
          <w:ilvl w:val="1"/>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71" w:lineRule="exact"/>
        <w:rPr>
          <w:rFonts w:ascii="Times New Roman" w:cs="Times New Roman" w:eastAsia="Times New Roman" w:hAnsi="Times New Roman"/>
          <w:sz w:val="18"/>
          <w:szCs w:val="18"/>
          <w:b w:val="1"/>
          <w:bCs w:val="1"/>
          <w:color w:val="auto"/>
        </w:rPr>
      </w:pPr>
    </w:p>
    <w:p>
      <w:pPr>
        <w:ind w:left="720" w:hanging="304"/>
        <w:spacing w:after="0"/>
        <w:tabs>
          <w:tab w:leader="none" w:pos="720"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423 Company</w:t>
      </w:r>
      <w:r>
        <w:rPr>
          <w:rFonts w:ascii="Times New Roman" w:cs="Times New Roman" w:eastAsia="Times New Roman" w:hAnsi="Times New Roman"/>
          <w:sz w:val="18"/>
          <w:szCs w:val="18"/>
          <w:color w:val="auto"/>
        </w:rPr>
        <w:t>” means any Related Corporation selected by the Board as participating in the 423 Component.</w:t>
      </w:r>
    </w:p>
    <w:p>
      <w:pPr>
        <w:spacing w:after="0" w:line="108" w:lineRule="exact"/>
        <w:rPr>
          <w:rFonts w:ascii="Times New Roman" w:cs="Times New Roman" w:eastAsia="Times New Roman" w:hAnsi="Times New Roman"/>
          <w:sz w:val="18"/>
          <w:szCs w:val="18"/>
          <w:b w:val="1"/>
          <w:bCs w:val="1"/>
          <w:color w:val="auto"/>
        </w:rPr>
      </w:pPr>
    </w:p>
    <w:p>
      <w:pPr>
        <w:ind w:left="-20" w:right="80" w:firstLine="436"/>
        <w:spacing w:after="0" w:line="272" w:lineRule="auto"/>
        <w:tabs>
          <w:tab w:leader="none" w:pos="666"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Company</w:t>
      </w:r>
      <w:r>
        <w:rPr>
          <w:rFonts w:ascii="Times New Roman" w:cs="Times New Roman" w:eastAsia="Times New Roman" w:hAnsi="Times New Roman"/>
          <w:sz w:val="18"/>
          <w:szCs w:val="18"/>
          <w:color w:val="auto"/>
        </w:rPr>
        <w:t>” means any Designated Non-423 Corporation or Designated 423 Company, provided, however, that at any given time, a Related Corporation participating in the 423 Component shall not be a Related Corporation participating in the Non-423 Component.</w:t>
      </w:r>
    </w:p>
    <w:p>
      <w:pPr>
        <w:spacing w:after="0" w:line="55" w:lineRule="exact"/>
        <w:rPr>
          <w:rFonts w:ascii="Times New Roman" w:cs="Times New Roman" w:eastAsia="Times New Roman" w:hAnsi="Times New Roman"/>
          <w:sz w:val="18"/>
          <w:szCs w:val="18"/>
          <w:b w:val="1"/>
          <w:bCs w:val="1"/>
          <w:color w:val="auto"/>
        </w:rPr>
      </w:pPr>
    </w:p>
    <w:p>
      <w:pPr>
        <w:ind w:left="-20" w:right="820" w:firstLine="436"/>
        <w:spacing w:after="0" w:line="272" w:lineRule="auto"/>
        <w:tabs>
          <w:tab w:leader="none" w:pos="656"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Non-423 Company</w:t>
      </w:r>
      <w:r>
        <w:rPr>
          <w:rFonts w:ascii="Times New Roman" w:cs="Times New Roman" w:eastAsia="Times New Roman" w:hAnsi="Times New Roman"/>
          <w:sz w:val="18"/>
          <w:szCs w:val="18"/>
          <w:color w:val="auto"/>
        </w:rPr>
        <w:t>” means any Related Corporation or Affiliate selected by the Board as participating in the Non-423 Component.</w:t>
      </w:r>
    </w:p>
    <w:p>
      <w:pPr>
        <w:spacing w:after="0" w:line="55" w:lineRule="exact"/>
        <w:rPr>
          <w:rFonts w:ascii="Times New Roman" w:cs="Times New Roman" w:eastAsia="Times New Roman" w:hAnsi="Times New Roman"/>
          <w:sz w:val="18"/>
          <w:szCs w:val="18"/>
          <w:b w:val="1"/>
          <w:bCs w:val="1"/>
          <w:color w:val="auto"/>
        </w:rPr>
      </w:pPr>
    </w:p>
    <w:p>
      <w:pPr>
        <w:ind w:left="680" w:hanging="264"/>
        <w:spacing w:after="0"/>
        <w:tabs>
          <w:tab w:leader="none" w:pos="680"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00"/>
          </w:cols>
          <w:pgMar w:left="600" w:top="261" w:right="599" w:bottom="1440" w:gutter="0" w:footer="0" w:header="0"/>
        </w:sectPr>
      </w:pPr>
    </w:p>
    <w:bookmarkStart w:id="594" w:name="page595"/>
    <w:bookmarkEnd w:id="594"/>
    <w:p>
      <w:pPr>
        <w:ind w:left="-80" w:right="240" w:firstLine="436"/>
        <w:spacing w:after="0" w:line="336" w:lineRule="auto"/>
        <w:tabs>
          <w:tab w:leader="none" w:pos="606" w:val="left"/>
        </w:tabs>
        <w:numPr>
          <w:ilvl w:val="0"/>
          <w:numId w:val="5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b w:val="1"/>
          <w:bCs w:val="1"/>
          <w:i w:val="1"/>
          <w:iCs w:val="1"/>
          <w:color w:val="auto"/>
        </w:rPr>
        <w:t>Eligible Employee</w:t>
      </w:r>
      <w:r>
        <w:rPr>
          <w:rFonts w:ascii="Times New Roman" w:cs="Times New Roman" w:eastAsia="Times New Roman" w:hAnsi="Times New Roman"/>
          <w:sz w:val="16"/>
          <w:szCs w:val="16"/>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9" w:lineRule="exact"/>
        <w:rPr>
          <w:rFonts w:ascii="Times New Roman" w:cs="Times New Roman" w:eastAsia="Times New Roman" w:hAnsi="Times New Roman"/>
          <w:sz w:val="16"/>
          <w:szCs w:val="16"/>
          <w:b w:val="1"/>
          <w:bCs w:val="1"/>
          <w:color w:val="auto"/>
        </w:rPr>
      </w:pPr>
    </w:p>
    <w:p>
      <w:pPr>
        <w:ind w:left="-80" w:right="40" w:firstLine="436"/>
        <w:spacing w:after="0" w:line="258" w:lineRule="auto"/>
        <w:tabs>
          <w:tab w:leader="none" w:pos="586" w:val="left"/>
        </w:tabs>
        <w:numPr>
          <w:ilvl w:val="0"/>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w:t>
      </w:r>
    </w:p>
    <w:p>
      <w:pPr>
        <w:spacing w:after="0" w:line="67" w:lineRule="exact"/>
        <w:rPr>
          <w:rFonts w:ascii="Times New Roman" w:cs="Times New Roman" w:eastAsia="Times New Roman" w:hAnsi="Times New Roman"/>
          <w:sz w:val="18"/>
          <w:szCs w:val="18"/>
          <w:b w:val="1"/>
          <w:bCs w:val="1"/>
          <w:color w:val="auto"/>
        </w:rPr>
      </w:pPr>
    </w:p>
    <w:p>
      <w:pPr>
        <w:ind w:left="-80" w:right="60" w:firstLine="436"/>
        <w:spacing w:after="0" w:line="272" w:lineRule="auto"/>
        <w:tabs>
          <w:tab w:leader="none" w:pos="577" w:val="left"/>
        </w:tabs>
        <w:numPr>
          <w:ilvl w:val="0"/>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Stock Purchase Plan</w:t>
      </w:r>
      <w:r>
        <w:rPr>
          <w:rFonts w:ascii="Times New Roman" w:cs="Times New Roman" w:eastAsia="Times New Roman" w:hAnsi="Times New Roman"/>
          <w:sz w:val="18"/>
          <w:szCs w:val="18"/>
          <w:color w:val="auto"/>
        </w:rPr>
        <w:t>” means a plan that grants Purchase Rights intended to be options issued under an “employee stock purchase plan,” as that term is defined in Section 423(b) of the Code.</w:t>
      </w:r>
    </w:p>
    <w:p>
      <w:pPr>
        <w:spacing w:after="0" w:line="55" w:lineRule="exact"/>
        <w:rPr>
          <w:rFonts w:ascii="Times New Roman" w:cs="Times New Roman" w:eastAsia="Times New Roman" w:hAnsi="Times New Roman"/>
          <w:sz w:val="18"/>
          <w:szCs w:val="18"/>
          <w:b w:val="1"/>
          <w:bCs w:val="1"/>
          <w:color w:val="auto"/>
        </w:rPr>
      </w:pPr>
    </w:p>
    <w:p>
      <w:pPr>
        <w:ind w:left="580" w:hanging="224"/>
        <w:spacing w:after="0"/>
        <w:tabs>
          <w:tab w:leader="none" w:pos="580" w:val="left"/>
        </w:tabs>
        <w:numPr>
          <w:ilvl w:val="0"/>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108" w:lineRule="exact"/>
        <w:rPr>
          <w:rFonts w:ascii="Times New Roman" w:cs="Times New Roman" w:eastAsia="Times New Roman" w:hAnsi="Times New Roman"/>
          <w:sz w:val="18"/>
          <w:szCs w:val="18"/>
          <w:b w:val="1"/>
          <w:bCs w:val="1"/>
          <w:color w:val="auto"/>
        </w:rPr>
      </w:pPr>
    </w:p>
    <w:p>
      <w:pPr>
        <w:ind w:left="620" w:hanging="264"/>
        <w:spacing w:after="0"/>
        <w:tabs>
          <w:tab w:leader="none" w:pos="620" w:val="left"/>
        </w:tabs>
        <w:numPr>
          <w:ilvl w:val="0"/>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112" w:lineRule="exact"/>
        <w:rPr>
          <w:rFonts w:ascii="Times New Roman" w:cs="Times New Roman" w:eastAsia="Times New Roman" w:hAnsi="Times New Roman"/>
          <w:sz w:val="18"/>
          <w:szCs w:val="18"/>
          <w:b w:val="1"/>
          <w:bCs w:val="1"/>
          <w:color w:val="auto"/>
        </w:rPr>
      </w:pPr>
    </w:p>
    <w:p>
      <w:pPr>
        <w:ind w:left="-80" w:right="60" w:firstLine="972"/>
        <w:spacing w:after="0" w:line="249" w:lineRule="auto"/>
        <w:tabs>
          <w:tab w:leader="none" w:pos="1093" w:val="left"/>
        </w:tabs>
        <w:numPr>
          <w:ilvl w:val="1"/>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Common Stock is listed on any established stock exchange or traded on any established market, the Fair Market Value of a share of Common Stock will be, unless otherwise determined by the Board, the </w:t>
      </w:r>
      <w:r>
        <w:rPr>
          <w:rFonts w:ascii="Times New Roman" w:cs="Times New Roman" w:eastAsia="Times New Roman" w:hAnsi="Times New Roman"/>
          <w:sz w:val="18"/>
          <w:szCs w:val="18"/>
          <w:b w:val="1"/>
          <w:bCs w:val="1"/>
          <w:u w:val="single" w:color="auto"/>
          <w:color w:val="auto"/>
        </w:rPr>
        <w:t>closing sales price</w:t>
      </w:r>
      <w:r>
        <w:rPr>
          <w:rFonts w:ascii="Times New Roman" w:cs="Times New Roman" w:eastAsia="Times New Roman" w:hAnsi="Times New Roman"/>
          <w:sz w:val="18"/>
          <w:szCs w:val="18"/>
          <w:color w:val="auto"/>
        </w:rPr>
        <w:t xml:space="preserve"> for such stock as quoted on such exchange or market (or the exchange or market with the greatest volume of trading in the Common Stock) </w:t>
      </w:r>
      <w:r>
        <w:rPr>
          <w:rFonts w:ascii="Times New Roman" w:cs="Times New Roman" w:eastAsia="Times New Roman" w:hAnsi="Times New Roman"/>
          <w:sz w:val="18"/>
          <w:szCs w:val="18"/>
          <w:b w:val="1"/>
          <w:bCs w:val="1"/>
          <w:u w:val="single" w:color="auto"/>
          <w:color w:val="auto"/>
        </w:rPr>
        <w:t>on the date of determination</w:t>
      </w:r>
      <w:r>
        <w:rPr>
          <w:rFonts w:ascii="Times New Roman" w:cs="Times New Roman" w:eastAsia="Times New Roman" w:hAnsi="Times New Roman"/>
          <w:sz w:val="18"/>
          <w:szCs w:val="18"/>
          <w:color w:val="auto"/>
        </w:rPr>
        <w:t>,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81" w:lineRule="exact"/>
        <w:rPr>
          <w:rFonts w:ascii="Times New Roman" w:cs="Times New Roman" w:eastAsia="Times New Roman" w:hAnsi="Times New Roman"/>
          <w:sz w:val="18"/>
          <w:szCs w:val="18"/>
          <w:b w:val="1"/>
          <w:bCs w:val="1"/>
          <w:color w:val="auto"/>
        </w:rPr>
      </w:pPr>
    </w:p>
    <w:p>
      <w:pPr>
        <w:ind w:left="-80" w:right="480" w:firstLine="972"/>
        <w:spacing w:after="0" w:line="255" w:lineRule="auto"/>
        <w:tabs>
          <w:tab w:leader="none" w:pos="1142" w:val="left"/>
        </w:tabs>
        <w:numPr>
          <w:ilvl w:val="1"/>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w:t>
      </w:r>
    </w:p>
    <w:p>
      <w:pPr>
        <w:spacing w:after="0" w:line="75" w:lineRule="exact"/>
        <w:rPr>
          <w:rFonts w:ascii="Times New Roman" w:cs="Times New Roman" w:eastAsia="Times New Roman" w:hAnsi="Times New Roman"/>
          <w:sz w:val="18"/>
          <w:szCs w:val="18"/>
          <w:b w:val="1"/>
          <w:bCs w:val="1"/>
          <w:color w:val="auto"/>
        </w:rPr>
      </w:pPr>
    </w:p>
    <w:p>
      <w:pPr>
        <w:ind w:left="-80" w:right="80" w:firstLine="972"/>
        <w:spacing w:after="0" w:line="255" w:lineRule="auto"/>
        <w:tabs>
          <w:tab w:leader="none" w:pos="1190" w:val="left"/>
        </w:tabs>
        <w:numPr>
          <w:ilvl w:val="1"/>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for any Offering that commences on the IPO Date, the Fair Market Value of the shares of Common Stock on the Offering Date will be the price per share at which shares are first sold to the public in the Company’s initial public offering as specified in the final prospectus for that initial public offering.</w:t>
      </w:r>
    </w:p>
    <w:p>
      <w:pPr>
        <w:spacing w:after="0" w:line="71" w:lineRule="exact"/>
        <w:rPr>
          <w:rFonts w:ascii="Times New Roman" w:cs="Times New Roman" w:eastAsia="Times New Roman" w:hAnsi="Times New Roman"/>
          <w:sz w:val="18"/>
          <w:szCs w:val="18"/>
          <w:b w:val="1"/>
          <w:bCs w:val="1"/>
          <w:color w:val="auto"/>
        </w:rPr>
      </w:pPr>
    </w:p>
    <w:p>
      <w:pPr>
        <w:ind w:left="-80" w:firstLine="436"/>
        <w:spacing w:after="0" w:line="249" w:lineRule="auto"/>
        <w:tabs>
          <w:tab w:leader="none" w:pos="596" w:val="left"/>
        </w:tabs>
        <w:numPr>
          <w:ilvl w:val="0"/>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New York Stock Exchange, the Nasdaq Stock Market and the Financial Industry Regulatory Authority).</w:t>
      </w:r>
    </w:p>
    <w:p>
      <w:pPr>
        <w:spacing w:after="0" w:line="76" w:lineRule="exact"/>
        <w:rPr>
          <w:rFonts w:ascii="Times New Roman" w:cs="Times New Roman" w:eastAsia="Times New Roman" w:hAnsi="Times New Roman"/>
          <w:sz w:val="18"/>
          <w:szCs w:val="18"/>
          <w:b w:val="1"/>
          <w:bCs w:val="1"/>
          <w:color w:val="auto"/>
        </w:rPr>
      </w:pPr>
    </w:p>
    <w:p>
      <w:pPr>
        <w:ind w:left="-80" w:right="120" w:firstLine="436"/>
        <w:spacing w:after="0" w:line="272" w:lineRule="auto"/>
        <w:tabs>
          <w:tab w:leader="none" w:pos="635" w:val="left"/>
        </w:tabs>
        <w:numPr>
          <w:ilvl w:val="0"/>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0"/>
          </w:cols>
          <w:pgMar w:left="660" w:top="261" w:right="659" w:bottom="1440" w:gutter="0" w:footer="0" w:header="0"/>
        </w:sectPr>
      </w:pPr>
    </w:p>
    <w:bookmarkStart w:id="595" w:name="page596"/>
    <w:bookmarkEnd w:id="595"/>
    <w:p>
      <w:pPr>
        <w:ind w:left="-40" w:right="560" w:firstLine="436"/>
        <w:spacing w:after="0" w:line="267" w:lineRule="auto"/>
        <w:tabs>
          <w:tab w:leader="none" w:pos="636" w:val="left"/>
        </w:tabs>
        <w:numPr>
          <w:ilvl w:val="0"/>
          <w:numId w:val="5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“Non-423 Component” means the part of the Plan, which excludes the 423 Component, pursuant to which Purchase Rights that are not intended to satisfy the requirements for an Employee Stock Purchase Plan may be granted to Eligible Employees.</w:t>
      </w:r>
    </w:p>
    <w:p>
      <w:pPr>
        <w:spacing w:after="0" w:line="60" w:lineRule="exact"/>
        <w:rPr>
          <w:rFonts w:ascii="Times New Roman" w:cs="Times New Roman" w:eastAsia="Times New Roman" w:hAnsi="Times New Roman"/>
          <w:sz w:val="18"/>
          <w:szCs w:val="18"/>
          <w:b w:val="1"/>
          <w:bCs w:val="1"/>
          <w:color w:val="auto"/>
        </w:rPr>
      </w:pPr>
    </w:p>
    <w:p>
      <w:pPr>
        <w:jc w:val="both"/>
        <w:ind w:left="-40" w:right="160" w:firstLine="436"/>
        <w:spacing w:after="0" w:line="258" w:lineRule="auto"/>
        <w:tabs>
          <w:tab w:leader="none" w:pos="636" w:val="left"/>
        </w:tabs>
        <w:numPr>
          <w:ilvl w:val="0"/>
          <w:numId w:val="5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approved by the Board for that Offering.</w:t>
      </w:r>
    </w:p>
    <w:p>
      <w:pPr>
        <w:spacing w:after="0" w:line="67" w:lineRule="exact"/>
        <w:rPr>
          <w:rFonts w:ascii="Times New Roman" w:cs="Times New Roman" w:eastAsia="Times New Roman" w:hAnsi="Times New Roman"/>
          <w:sz w:val="18"/>
          <w:szCs w:val="18"/>
          <w:b w:val="1"/>
          <w:bCs w:val="1"/>
          <w:color w:val="auto"/>
        </w:rPr>
      </w:pPr>
    </w:p>
    <w:p>
      <w:pPr>
        <w:ind w:left="640" w:hanging="244"/>
        <w:spacing w:after="0"/>
        <w:tabs>
          <w:tab w:leader="none" w:pos="640" w:val="left"/>
        </w:tabs>
        <w:numPr>
          <w:ilvl w:val="0"/>
          <w:numId w:val="5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 Date</w:t>
      </w:r>
      <w:r>
        <w:rPr>
          <w:rFonts w:ascii="Times New Roman" w:cs="Times New Roman" w:eastAsia="Times New Roman" w:hAnsi="Times New Roman"/>
          <w:sz w:val="18"/>
          <w:szCs w:val="18"/>
          <w:color w:val="auto"/>
        </w:rPr>
        <w:t>” means a date selected by the Board for an Offering to commence.</w:t>
      </w:r>
    </w:p>
    <w:p>
      <w:pPr>
        <w:spacing w:after="0" w:line="108" w:lineRule="exact"/>
        <w:rPr>
          <w:sz w:val="20"/>
          <w:szCs w:val="20"/>
          <w:color w:val="auto"/>
        </w:rPr>
      </w:pPr>
    </w:p>
    <w:p>
      <w:pPr>
        <w:ind w:left="740" w:hanging="344"/>
        <w:spacing w:after="0"/>
        <w:tabs>
          <w:tab w:leader="none" w:pos="740" w:val="left"/>
        </w:tabs>
        <w:numPr>
          <w:ilvl w:val="0"/>
          <w:numId w:val="5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Officer</w:t>
      </w:r>
      <w:r>
        <w:rPr>
          <w:rFonts w:ascii="Times New Roman" w:cs="Times New Roman" w:eastAsia="Times New Roman" w:hAnsi="Times New Roman"/>
          <w:sz w:val="16"/>
          <w:szCs w:val="16"/>
          <w:color w:val="auto"/>
        </w:rPr>
        <w:t>” means a person who is an officer of the Company or a Related Corporation within the meaning of Section 16 of the Exchange Act.</w:t>
      </w:r>
    </w:p>
    <w:p>
      <w:pPr>
        <w:spacing w:after="0" w:line="131" w:lineRule="exact"/>
        <w:rPr>
          <w:rFonts w:ascii="Times New Roman" w:cs="Times New Roman" w:eastAsia="Times New Roman" w:hAnsi="Times New Roman"/>
          <w:sz w:val="16"/>
          <w:szCs w:val="16"/>
          <w:b w:val="1"/>
          <w:bCs w:val="1"/>
          <w:color w:val="auto"/>
        </w:rPr>
      </w:pPr>
    </w:p>
    <w:p>
      <w:pPr>
        <w:ind w:left="760" w:hanging="364"/>
        <w:spacing w:after="0"/>
        <w:tabs>
          <w:tab w:leader="none" w:pos="760" w:val="left"/>
        </w:tabs>
        <w:numPr>
          <w:ilvl w:val="0"/>
          <w:numId w:val="5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Eligible Employee who holds an outstanding Purchase Right.</w:t>
      </w:r>
    </w:p>
    <w:p>
      <w:pPr>
        <w:spacing w:after="0" w:line="108" w:lineRule="exact"/>
        <w:rPr>
          <w:rFonts w:ascii="Times New Roman" w:cs="Times New Roman" w:eastAsia="Times New Roman" w:hAnsi="Times New Roman"/>
          <w:sz w:val="18"/>
          <w:szCs w:val="18"/>
          <w:b w:val="1"/>
          <w:bCs w:val="1"/>
          <w:color w:val="auto"/>
        </w:rPr>
      </w:pPr>
    </w:p>
    <w:p>
      <w:pPr>
        <w:ind w:left="-40" w:firstLine="436"/>
        <w:spacing w:after="0" w:line="272" w:lineRule="auto"/>
        <w:tabs>
          <w:tab w:leader="none" w:pos="704" w:val="left"/>
        </w:tabs>
        <w:numPr>
          <w:ilvl w:val="0"/>
          <w:numId w:val="5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Tempus Labs, Inc. 2022 Employee Stock Purchase Plan, as amended from time to time, including both the 423 Component and the Non-423 Component.</w:t>
      </w:r>
    </w:p>
    <w:p>
      <w:pPr>
        <w:spacing w:after="0" w:line="55" w:lineRule="exact"/>
        <w:rPr>
          <w:rFonts w:ascii="Times New Roman" w:cs="Times New Roman" w:eastAsia="Times New Roman" w:hAnsi="Times New Roman"/>
          <w:sz w:val="18"/>
          <w:szCs w:val="18"/>
          <w:b w:val="1"/>
          <w:bCs w:val="1"/>
          <w:color w:val="auto"/>
        </w:rPr>
      </w:pPr>
    </w:p>
    <w:p>
      <w:pPr>
        <w:ind w:left="-40" w:right="380" w:firstLine="436"/>
        <w:spacing w:after="0" w:line="272" w:lineRule="auto"/>
        <w:tabs>
          <w:tab w:leader="none" w:pos="743" w:val="left"/>
        </w:tabs>
        <w:numPr>
          <w:ilvl w:val="0"/>
          <w:numId w:val="5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55" w:lineRule="exact"/>
        <w:rPr>
          <w:rFonts w:ascii="Times New Roman" w:cs="Times New Roman" w:eastAsia="Times New Roman" w:hAnsi="Times New Roman"/>
          <w:sz w:val="18"/>
          <w:szCs w:val="18"/>
          <w:b w:val="1"/>
          <w:bCs w:val="1"/>
          <w:color w:val="auto"/>
        </w:rPr>
      </w:pPr>
    </w:p>
    <w:p>
      <w:pPr>
        <w:ind w:left="-40" w:right="40" w:firstLine="436"/>
        <w:spacing w:after="0" w:line="272" w:lineRule="auto"/>
        <w:tabs>
          <w:tab w:leader="none" w:pos="704" w:val="left"/>
        </w:tabs>
        <w:numPr>
          <w:ilvl w:val="0"/>
          <w:numId w:val="5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55" w:lineRule="exact"/>
        <w:rPr>
          <w:rFonts w:ascii="Times New Roman" w:cs="Times New Roman" w:eastAsia="Times New Roman" w:hAnsi="Times New Roman"/>
          <w:sz w:val="18"/>
          <w:szCs w:val="18"/>
          <w:b w:val="1"/>
          <w:bCs w:val="1"/>
          <w:color w:val="auto"/>
        </w:rPr>
      </w:pPr>
    </w:p>
    <w:p>
      <w:pPr>
        <w:ind w:left="680" w:hanging="284"/>
        <w:spacing w:after="0"/>
        <w:tabs>
          <w:tab w:leader="none" w:pos="680" w:val="left"/>
        </w:tabs>
        <w:numPr>
          <w:ilvl w:val="0"/>
          <w:numId w:val="5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Right</w:t>
      </w:r>
      <w:r>
        <w:rPr>
          <w:rFonts w:ascii="Times New Roman" w:cs="Times New Roman" w:eastAsia="Times New Roman" w:hAnsi="Times New Roman"/>
          <w:sz w:val="18"/>
          <w:szCs w:val="18"/>
          <w:color w:val="auto"/>
        </w:rPr>
        <w:t>” means an option to purchase shares of Common Stock granted pursuant to the Plan.</w:t>
      </w:r>
    </w:p>
    <w:p>
      <w:pPr>
        <w:spacing w:after="0" w:line="108" w:lineRule="exact"/>
        <w:rPr>
          <w:rFonts w:ascii="Times New Roman" w:cs="Times New Roman" w:eastAsia="Times New Roman" w:hAnsi="Times New Roman"/>
          <w:sz w:val="18"/>
          <w:szCs w:val="18"/>
          <w:b w:val="1"/>
          <w:bCs w:val="1"/>
          <w:color w:val="auto"/>
        </w:rPr>
      </w:pPr>
    </w:p>
    <w:p>
      <w:pPr>
        <w:ind w:left="-40" w:right="800" w:firstLine="436"/>
        <w:spacing w:after="0" w:line="272" w:lineRule="auto"/>
        <w:tabs>
          <w:tab w:leader="none" w:pos="723" w:val="left"/>
        </w:tabs>
        <w:numPr>
          <w:ilvl w:val="0"/>
          <w:numId w:val="5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Corporation</w:t>
      </w:r>
      <w:r>
        <w:rPr>
          <w:rFonts w:ascii="Times New Roman" w:cs="Times New Roman" w:eastAsia="Times New Roman" w:hAnsi="Times New Roman"/>
          <w:sz w:val="18"/>
          <w:szCs w:val="18"/>
          <w:color w:val="auto"/>
        </w:rPr>
        <w:t>” means any “parent corporation” or “subsidiary corporation” of the Company whether now or subsequently established, as those terms are defined in Sections 424(e) and (f), respectively, of the Code.</w:t>
      </w:r>
    </w:p>
    <w:p>
      <w:pPr>
        <w:spacing w:after="0" w:line="55" w:lineRule="exact"/>
        <w:rPr>
          <w:rFonts w:ascii="Times New Roman" w:cs="Times New Roman" w:eastAsia="Times New Roman" w:hAnsi="Times New Roman"/>
          <w:sz w:val="18"/>
          <w:szCs w:val="18"/>
          <w:b w:val="1"/>
          <w:bCs w:val="1"/>
          <w:color w:val="auto"/>
        </w:rPr>
      </w:pPr>
    </w:p>
    <w:p>
      <w:pPr>
        <w:ind w:left="760" w:hanging="364"/>
        <w:spacing w:after="0"/>
        <w:tabs>
          <w:tab w:leader="none" w:pos="760" w:val="left"/>
        </w:tabs>
        <w:numPr>
          <w:ilvl w:val="0"/>
          <w:numId w:val="5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108" w:lineRule="exact"/>
        <w:rPr>
          <w:rFonts w:ascii="Times New Roman" w:cs="Times New Roman" w:eastAsia="Times New Roman" w:hAnsi="Times New Roman"/>
          <w:sz w:val="18"/>
          <w:szCs w:val="18"/>
          <w:b w:val="1"/>
          <w:bCs w:val="1"/>
          <w:color w:val="auto"/>
        </w:rPr>
      </w:pPr>
    </w:p>
    <w:p>
      <w:pPr>
        <w:ind w:left="-40" w:right="220" w:firstLine="436"/>
        <w:spacing w:after="0" w:line="258" w:lineRule="auto"/>
        <w:tabs>
          <w:tab w:leader="none" w:pos="646" w:val="left"/>
        </w:tabs>
        <w:numPr>
          <w:ilvl w:val="0"/>
          <w:numId w:val="5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spacing w:after="0" w:line="67" w:lineRule="exact"/>
        <w:rPr>
          <w:rFonts w:ascii="Times New Roman" w:cs="Times New Roman" w:eastAsia="Times New Roman" w:hAnsi="Times New Roman"/>
          <w:sz w:val="18"/>
          <w:szCs w:val="18"/>
          <w:b w:val="1"/>
          <w:bCs w:val="1"/>
          <w:color w:val="auto"/>
        </w:rPr>
      </w:pPr>
    </w:p>
    <w:p>
      <w:pPr>
        <w:ind w:left="-40" w:right="100" w:firstLine="436"/>
        <w:spacing w:after="0" w:line="258" w:lineRule="auto"/>
        <w:tabs>
          <w:tab w:leader="none" w:pos="665" w:val="left"/>
        </w:tabs>
        <w:numPr>
          <w:ilvl w:val="0"/>
          <w:numId w:val="5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exchange(s) or market(s) on which shares of Common Stock are listed, including but not limited to the New York Stock Exchange, Nasdaq Global Select Market, the Nasdaq Global Market, the Nasdaq Capital Market or any successors thereto, is open for trading.</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60"/>
          </w:cols>
          <w:pgMar w:left="620" w:top="266" w:right="619" w:bottom="1440" w:gutter="0" w:footer="0" w:header="0"/>
        </w:sectPr>
      </w:pPr>
    </w:p>
    <w:bookmarkStart w:id="596" w:name="page597"/>
    <w:bookmarkEnd w:id="596"/>
    <w:p>
      <w:pPr>
        <w:ind w:right="540"/>
        <w:spacing w:after="0" w:line="25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TEMPUS LABS, INC. HAS DETERMINED THE INFORMATION (I) IS NOT MATERIAL AND (II) IS THE TYPE THAT TEMPUS LABS, INC. TREATS AS PRIVATE OR CONFIDENTIAL.</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10.18</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COPY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STRATEGIC COLLABORATION AGREEMENT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GLAXOSMITHKLINE LLC</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TEMPUS LABS, INC.</w:t>
      </w:r>
    </w:p>
    <w:p>
      <w:pPr>
        <w:sectPr>
          <w:pgSz w:w="11900" w:h="16838" w:orient="portrait"/>
          <w:cols w:equalWidth="0" w:num="1">
            <w:col w:w="10720"/>
          </w:cols>
          <w:pgMar w:left="580" w:top="118" w:right="599" w:bottom="1440" w:gutter="0" w:footer="0" w:header="0"/>
        </w:sectPr>
      </w:pPr>
    </w:p>
    <w:bookmarkStart w:id="597" w:name="page598"/>
    <w:bookmarkEnd w:id="5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STRATEGIC COLLABORATION AGREEMENT</w:t>
      </w:r>
    </w:p>
    <w:p>
      <w:pPr>
        <w:spacing w:after="0" w:line="213"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THIS STRATEGIC COLLABORATION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August 1</w:t>
      </w:r>
      <w:r>
        <w:rPr>
          <w:rFonts w:ascii="Times New Roman" w:cs="Times New Roman" w:eastAsia="Times New Roman" w:hAnsi="Times New Roman"/>
          <w:sz w:val="18"/>
          <w:szCs w:val="18"/>
          <w:color w:val="auto"/>
        </w:rPr>
        <w:t>, 2022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between </w:t>
      </w:r>
      <w:r>
        <w:rPr>
          <w:rFonts w:ascii="Times New Roman" w:cs="Times New Roman" w:eastAsia="Times New Roman" w:hAnsi="Times New Roman"/>
          <w:sz w:val="18"/>
          <w:szCs w:val="18"/>
          <w:b w:val="1"/>
          <w:bCs w:val="1"/>
          <w:color w:val="auto"/>
        </w:rPr>
        <w:t>GLAXOSMITHKLINE LLC</w:t>
      </w:r>
      <w:r>
        <w:rPr>
          <w:rFonts w:ascii="Times New Roman" w:cs="Times New Roman" w:eastAsia="Times New Roman" w:hAnsi="Times New Roman"/>
          <w:sz w:val="18"/>
          <w:szCs w:val="18"/>
          <w:color w:val="auto"/>
        </w:rPr>
        <w:t>, a limited liability company with its principal place of business located at 5 Crescent Drive, Philadelphia, PA 19112, United States (“</w:t>
      </w:r>
      <w:r>
        <w:rPr>
          <w:rFonts w:ascii="Times New Roman" w:cs="Times New Roman" w:eastAsia="Times New Roman" w:hAnsi="Times New Roman"/>
          <w:sz w:val="18"/>
          <w:szCs w:val="18"/>
          <w:b w:val="1"/>
          <w:bCs w:val="1"/>
          <w:color w:val="auto"/>
        </w:rPr>
        <w:t>GSK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TEMPUS LABS, INC.</w:t>
      </w:r>
      <w:r>
        <w:rPr>
          <w:rFonts w:ascii="Times New Roman" w:cs="Times New Roman" w:eastAsia="Times New Roman" w:hAnsi="Times New Roman"/>
          <w:sz w:val="18"/>
          <w:szCs w:val="18"/>
          <w:color w:val="auto"/>
        </w:rPr>
        <w:t>, a corporation with its principal place of business located at 600 West Chicago Avenue, Chicago, Illinois 60654 (“</w:t>
      </w:r>
      <w:r>
        <w:rPr>
          <w:rFonts w:ascii="Times New Roman" w:cs="Times New Roman" w:eastAsia="Times New Roman" w:hAnsi="Times New Roman"/>
          <w:sz w:val="18"/>
          <w:szCs w:val="18"/>
          <w:b w:val="1"/>
          <w:bCs w:val="1"/>
          <w:color w:val="auto"/>
        </w:rPr>
        <w:t>Tempus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GSK and its Affiliates research, develop, manufacture, distribute and sell pharmaceutical and healthcare products;</w:t>
      </w:r>
    </w:p>
    <w:p>
      <w:pPr>
        <w:spacing w:after="0" w:line="213" w:lineRule="exact"/>
        <w:rPr>
          <w:sz w:val="20"/>
          <w:szCs w:val="20"/>
          <w:color w:val="auto"/>
        </w:rPr>
      </w:pPr>
    </w:p>
    <w:p>
      <w:pPr>
        <w:ind w:right="2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Tempus maintains the Tempus Biotechnology Platform and provides contract laboratory research and clinical testing services,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include sample management, laboratory analysis, assay development and validation services, and organoid screening services, clinical trial recruitment services, and other services and technology to advance precision medicine; and</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GSK and Tempus desire to enter into a strategic arrangement to collaborate on activities under the following three pillars:</w:t>
      </w:r>
    </w:p>
    <w:p>
      <w:pPr>
        <w:spacing w:after="0" w:line="23" w:lineRule="exact"/>
        <w:rPr>
          <w:sz w:val="20"/>
          <w:szCs w:val="20"/>
          <w:color w:val="auto"/>
        </w:rPr>
      </w:pPr>
    </w:p>
    <w:p>
      <w:pPr>
        <w:ind w:right="20" w:firstLine="8"/>
        <w:spacing w:after="0" w:line="244" w:lineRule="auto"/>
        <w:tabs>
          <w:tab w:leader="none" w:pos="245"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providing access to and use of Tempus Software (LENS), the Licensed Data and the Tempus TO Screening Platform, and certain technology support services under the body of this Agreement; (2) access to and use of the Tempus TIME Program, and certain Supported Collaborative Studies, under Task Orders to be called off under this Agreement or a separate GSK-SCS Agreement as applicable; and (3) one or more GSK Research Programs under Task Orders to be called off under this Agreement, in each case upon the terms and conditions set forth herein.</w:t>
      </w:r>
    </w:p>
    <w:p>
      <w:pPr>
        <w:spacing w:after="0" w:line="189" w:lineRule="exact"/>
        <w:rPr>
          <w:sz w:val="20"/>
          <w:szCs w:val="20"/>
          <w:color w:val="auto"/>
        </w:rPr>
      </w:pPr>
    </w:p>
    <w:p>
      <w:pPr>
        <w:ind w:right="26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premises and the covenants and promises contained herein, the Parties intending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bound, hereby agree as follows:</w:t>
      </w:r>
    </w:p>
    <w:p>
      <w:pPr>
        <w:spacing w:after="0" w:line="1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6"/>
          <w:szCs w:val="16"/>
          <w:b w:val="1"/>
          <w:bCs w:val="1"/>
          <w:color w:val="auto"/>
        </w:rPr>
        <w:t>Definitions</w:t>
      </w:r>
      <w:r>
        <w:rPr>
          <w:rFonts w:ascii="Times New Roman" w:cs="Times New Roman" w:eastAsia="Times New Roman" w:hAnsi="Times New Roman"/>
          <w:sz w:val="16"/>
          <w:szCs w:val="16"/>
          <w:color w:val="auto"/>
        </w:rPr>
        <w:t>. In this Agreement, the following terms have the following meanings unless the context otherwise expressly requires:</w:t>
      </w:r>
    </w:p>
    <w:p>
      <w:pPr>
        <w:spacing w:after="0" w:line="213" w:lineRule="exact"/>
        <w:rPr>
          <w:sz w:val="20"/>
          <w:szCs w:val="20"/>
          <w:color w:val="auto"/>
        </w:rPr>
      </w:pPr>
    </w:p>
    <w:p>
      <w:pPr>
        <w:ind w:firstLine="42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Activities</w:t>
      </w:r>
      <w:r>
        <w:rPr>
          <w:rFonts w:ascii="Times New Roman" w:cs="Times New Roman" w:eastAsia="Times New Roman" w:hAnsi="Times New Roman"/>
          <w:sz w:val="18"/>
          <w:szCs w:val="18"/>
          <w:color w:val="auto"/>
        </w:rPr>
        <w:t>” means the activities to be or which may be performed by either Party under this Agreement or any Task Order, as applicable, and the performance of the obligations of the Parties hereunder and thereunder, including the GSK Data Activities and, in the case of Tempus and its Affiliates and Personnel, including the Data Licensing Services and any services, functions and responsibilities not specified herein or therein but which are within the scope of Tempus’s responsibilities because they are required for the proper performance under this Agreement.</w:t>
      </w:r>
    </w:p>
    <w:p>
      <w:pPr>
        <w:spacing w:after="0" w:line="181" w:lineRule="exact"/>
        <w:rPr>
          <w:sz w:val="20"/>
          <w:szCs w:val="20"/>
          <w:color w:val="auto"/>
        </w:rPr>
      </w:pPr>
    </w:p>
    <w:p>
      <w:pPr>
        <w:jc w:val="both"/>
        <w:ind w:firstLine="42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Agreement</w:t>
      </w:r>
      <w:r>
        <w:rPr>
          <w:rFonts w:ascii="Times New Roman" w:cs="Times New Roman" w:eastAsia="Times New Roman" w:hAnsi="Times New Roman"/>
          <w:sz w:val="18"/>
          <w:szCs w:val="18"/>
          <w:color w:val="auto"/>
        </w:rPr>
        <w:t>” means each of (i)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(ii) [***], and (iii) any other agreement, task order, purchase order or other similar arrangement in effect between the Parties or any of their respective Affiliates as of the date hereof or entered into at any time during the Term that the Parties agree is independent of the Strategic Collaboration.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263" w:right="599" w:bottom="1440" w:gutter="0" w:footer="0" w:header="0"/>
        </w:sectPr>
      </w:pPr>
    </w:p>
    <w:bookmarkStart w:id="598" w:name="page599"/>
    <w:bookmarkEnd w:id="598"/>
    <w:p>
      <w:pPr>
        <w:ind w:right="20" w:firstLine="428"/>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means, with respect to a Person, any Person which controls, is controlled by, or is under common control with such first Person. For purposes of this definition, “control” shall mean (a) ownership by one Person, directly or indirectly, of at least 50% of the voting stock or other ownership interests of such other Person, (b) power of one Person to direct the management or policies of such other Person, by contract or otherwise or</w:t>
      </w:r>
    </w:p>
    <w:p>
      <w:pPr>
        <w:spacing w:after="0" w:line="1" w:lineRule="exact"/>
        <w:rPr>
          <w:sz w:val="20"/>
          <w:szCs w:val="20"/>
          <w:color w:val="auto"/>
        </w:rPr>
      </w:pPr>
    </w:p>
    <w:p>
      <w:pPr>
        <w:ind w:right="240" w:firstLine="8"/>
        <w:spacing w:after="0" w:line="247" w:lineRule="auto"/>
        <w:tabs>
          <w:tab w:leader="none" w:pos="238"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relationship between a Party and any Person which both GSK and Tempus have agreed in writing may be considered an “Affiliate” of a Party.</w:t>
      </w:r>
    </w:p>
    <w:p>
      <w:pPr>
        <w:spacing w:after="0" w:line="184" w:lineRule="exact"/>
        <w:rPr>
          <w:sz w:val="20"/>
          <w:szCs w:val="20"/>
          <w:color w:val="auto"/>
        </w:rPr>
      </w:pPr>
    </w:p>
    <w:p>
      <w:pPr>
        <w:ind w:right="120" w:firstLine="42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Analytical Plan</w:t>
      </w:r>
      <w:r>
        <w:rPr>
          <w:rFonts w:ascii="Times New Roman" w:cs="Times New Roman" w:eastAsia="Times New Roman" w:hAnsi="Times New Roman"/>
          <w:sz w:val="18"/>
          <w:szCs w:val="18"/>
          <w:color w:val="auto"/>
        </w:rPr>
        <w:t>” means the document attached under Schedule 1 (Services) to any Task Order (as agreed by the Parties) that describes all aspects, requirements and specifications of the Activities to be performed by Tempus in the framework of a GSK Research Program and in accordance with the Study Protocol and/or Study proposal (to the extent applicable).</w:t>
      </w:r>
    </w:p>
    <w:p>
      <w:pPr>
        <w:spacing w:after="0" w:line="178" w:lineRule="exact"/>
        <w:rPr>
          <w:sz w:val="20"/>
          <w:szCs w:val="20"/>
          <w:color w:val="auto"/>
        </w:rPr>
      </w:pPr>
    </w:p>
    <w:p>
      <w:pPr>
        <w:ind w:right="60" w:firstLine="42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applicable provisions of any and all statutes, laws, instruments, rules, regulations, administrative codes, ordinances, decrees, orders, decisions, injunctions, awards, judgments, permits and licenses of or from i) any federal, national, state, provincial or local governmental authority, agency, undertaking or body (whether present or future and in any territory), ii) ICH, or iii) CAP, which has any jurisdiction in respect of or relevance to the applicable Party (or its Affiliates) and its business and/or the relevant provisions of this Agreement, in each case, as may be in effect from time to time.</w:t>
      </w:r>
    </w:p>
    <w:p>
      <w:pPr>
        <w:spacing w:after="0" w:line="182" w:lineRule="exact"/>
        <w:rPr>
          <w:sz w:val="20"/>
          <w:szCs w:val="20"/>
          <w:color w:val="auto"/>
        </w:rPr>
      </w:pPr>
    </w:p>
    <w:p>
      <w:pPr>
        <w:ind w:right="32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Subcontractor</w:t>
      </w:r>
      <w:r>
        <w:rPr>
          <w:rFonts w:ascii="Times New Roman" w:cs="Times New Roman" w:eastAsia="Times New Roman" w:hAnsi="Times New Roman"/>
          <w:sz w:val="18"/>
          <w:szCs w:val="18"/>
          <w:color w:val="auto"/>
        </w:rPr>
        <w:t>” means a third-party subcontractor of Tempus approved by GSK in accordance with Section 20 (Subcontracting), including any Tempus Affiliate.</w:t>
      </w:r>
    </w:p>
    <w:p>
      <w:pPr>
        <w:spacing w:after="0" w:line="164" w:lineRule="exact"/>
        <w:rPr>
          <w:sz w:val="20"/>
          <w:szCs w:val="20"/>
          <w:color w:val="auto"/>
        </w:rPr>
      </w:pPr>
    </w:p>
    <w:p>
      <w:pPr>
        <w:ind w:right="68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Arising IP</w:t>
      </w:r>
      <w:r>
        <w:rPr>
          <w:rFonts w:ascii="Times New Roman" w:cs="Times New Roman" w:eastAsia="Times New Roman" w:hAnsi="Times New Roman"/>
          <w:sz w:val="18"/>
          <w:szCs w:val="18"/>
          <w:color w:val="auto"/>
        </w:rPr>
        <w:t>” means any and all Intellectual Property Rights arising in or from, or conceived or reduced to practice or writing during, the performance of the Activities under this Agreement or any Task Order.</w:t>
      </w:r>
    </w:p>
    <w:p>
      <w:pPr>
        <w:spacing w:after="0" w:line="164"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Associated Party</w:t>
      </w:r>
      <w:r>
        <w:rPr>
          <w:rFonts w:ascii="Times New Roman" w:cs="Times New Roman" w:eastAsia="Times New Roman" w:hAnsi="Times New Roman"/>
          <w:sz w:val="18"/>
          <w:szCs w:val="18"/>
          <w:color w:val="auto"/>
        </w:rPr>
        <w:t>” means any third party individual or entity associated with GSK and with whom GSK has a contractual relationship, including (without limitation) for the purposes of collaboration, provided that the primary purpose of such contractual relationship is not to provide access to the Tempus Licensed Data or Tempus Software except in furtherance of its collaboration with GSK, that GSK or its Affiliate does not charge any fee or otherwise require the exchange of value as consideration for such access, and such Associated Party is only permitted to use the Licensed Data or Tempus Software for purposes of its collaboration with GSK and not for any independent or unrelated purpose.</w:t>
      </w:r>
    </w:p>
    <w:p>
      <w:pPr>
        <w:spacing w:after="0" w:line="182" w:lineRule="exact"/>
        <w:rPr>
          <w:sz w:val="20"/>
          <w:szCs w:val="20"/>
          <w:color w:val="auto"/>
        </w:rPr>
      </w:pPr>
    </w:p>
    <w:p>
      <w:pPr>
        <w:ind w:right="26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or Sunday, or holidays observed by GSK on which commercial banks are required to be closed for business in New York, US or London, UK.</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80"/>
          </w:cols>
          <w:pgMar w:left="580" w:top="263" w:right="639" w:bottom="1440" w:gutter="0" w:footer="0" w:header="0"/>
        </w:sectPr>
      </w:pPr>
    </w:p>
    <w:bookmarkStart w:id="599" w:name="page600"/>
    <w:bookmarkEnd w:id="59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CAP</w:t>
      </w:r>
      <w:r>
        <w:rPr>
          <w:rFonts w:ascii="Times New Roman" w:cs="Times New Roman" w:eastAsia="Times New Roman" w:hAnsi="Times New Roman"/>
          <w:sz w:val="18"/>
          <w:szCs w:val="18"/>
          <w:color w:val="auto"/>
        </w:rPr>
        <w:t>” means the College of American Pathologists.</w:t>
      </w:r>
    </w:p>
    <w:p>
      <w:pPr>
        <w:spacing w:after="0" w:line="213" w:lineRule="exact"/>
        <w:rPr>
          <w:sz w:val="20"/>
          <w:szCs w:val="20"/>
          <w:color w:val="auto"/>
        </w:rPr>
      </w:pPr>
    </w:p>
    <w:p>
      <w:pPr>
        <w:ind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CLIA</w:t>
      </w:r>
      <w:r>
        <w:rPr>
          <w:rFonts w:ascii="Times New Roman" w:cs="Times New Roman" w:eastAsia="Times New Roman" w:hAnsi="Times New Roman"/>
          <w:sz w:val="18"/>
          <w:szCs w:val="18"/>
          <w:color w:val="auto"/>
        </w:rPr>
        <w:t>” means Clinical Laboratory Improvement Amendments Act of 1988, its implementing regulations and guidance, including with respect to in-house laboratory tests/diagnostic kits, or similar laws and regulations in jurisdictions other than the United States.</w:t>
      </w:r>
    </w:p>
    <w:p>
      <w:pPr>
        <w:spacing w:after="0" w:line="164" w:lineRule="exact"/>
        <w:rPr>
          <w:sz w:val="20"/>
          <w:szCs w:val="20"/>
          <w:color w:val="auto"/>
        </w:rPr>
      </w:pPr>
    </w:p>
    <w:p>
      <w:pPr>
        <w:ind w:right="52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means any and all activities associated with marketing, promoting, communicating (including medical communications and publications), distributing, importing, exporting or selling a GSK Asset.</w:t>
      </w:r>
    </w:p>
    <w:p>
      <w:pPr>
        <w:spacing w:after="0" w:line="164" w:lineRule="exact"/>
        <w:rPr>
          <w:sz w:val="20"/>
          <w:szCs w:val="20"/>
          <w:color w:val="auto"/>
        </w:rPr>
      </w:pPr>
    </w:p>
    <w:p>
      <w:pPr>
        <w:ind w:right="40" w:firstLine="428"/>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with respect to an objective,: (i) in the case of Tempus, the exercise of its reasonable business discretion in a reasonable, diligent, and good faith manner to accomplish such objective that it would normally use to accomplish a similar objective taking into account all applicable scientific, developmental and commercial factors; and (ii) in the case of GSK, those efforts and resources commensurate with efforts commonly used by GSK in the exercise of its reasonable business discretion in connection with the research, development, manufacture, or commercialization of pharmaceutical products owned or controlled by it, taking into account factors such as patent coverage, competitiveness of the marketplace, commercial potential, the proprietary position of the product, the regulatory status and approval process, the probable profitability of the applicable product (including pricing and reimbursement status achieved or to be achieved), and other relevant factors such as technical, legal, scientific, or medical factors.</w:t>
      </w:r>
    </w:p>
    <w:p>
      <w:pPr>
        <w:spacing w:after="0" w:line="186" w:lineRule="exact"/>
        <w:rPr>
          <w:sz w:val="20"/>
          <w:szCs w:val="20"/>
          <w:color w:val="auto"/>
        </w:rPr>
      </w:pPr>
    </w:p>
    <w:p>
      <w:pPr>
        <w:ind w:right="20" w:firstLine="42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Control(s)(led)</w:t>
      </w:r>
      <w:r>
        <w:rPr>
          <w:rFonts w:ascii="Times New Roman" w:cs="Times New Roman" w:eastAsia="Times New Roman" w:hAnsi="Times New Roman"/>
          <w:sz w:val="18"/>
          <w:szCs w:val="18"/>
          <w:color w:val="auto"/>
        </w:rPr>
        <w:t>” means with respect to any item of information, regulatory documentation, material, Patents or other Intellectual Property, that a Party has the right to grant a license, sublicense or other right (including a right of reference) to such assets without violating the terms of any written agreement with any Third Party.</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Critical</w:t>
      </w:r>
      <w:r>
        <w:rPr>
          <w:rFonts w:ascii="Times New Roman" w:cs="Times New Roman" w:eastAsia="Times New Roman" w:hAnsi="Times New Roman"/>
          <w:sz w:val="16"/>
          <w:szCs w:val="16"/>
          <w:color w:val="auto"/>
        </w:rPr>
        <w:t>” means anything which has direct, material, and adverse impact on the Results and/or on GSK HBS from a GSK Research Program.</w:t>
      </w:r>
    </w:p>
    <w:p>
      <w:pPr>
        <w:spacing w:after="0" w:line="2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Critical Change</w:t>
      </w:r>
      <w:r>
        <w:rPr>
          <w:rFonts w:ascii="Times New Roman" w:cs="Times New Roman" w:eastAsia="Times New Roman" w:hAnsi="Times New Roman"/>
          <w:sz w:val="18"/>
          <w:szCs w:val="18"/>
          <w:color w:val="auto"/>
        </w:rPr>
        <w:t>” means any change that is Critical.</w:t>
      </w:r>
    </w:p>
    <w:p>
      <w:pPr>
        <w:spacing w:after="0" w:line="213" w:lineRule="exact"/>
        <w:rPr>
          <w:sz w:val="20"/>
          <w:szCs w:val="20"/>
          <w:color w:val="auto"/>
        </w:rPr>
      </w:pPr>
    </w:p>
    <w:p>
      <w:pPr>
        <w:ind w:right="8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Critical Deviation</w:t>
      </w:r>
      <w:r>
        <w:rPr>
          <w:rFonts w:ascii="Times New Roman" w:cs="Times New Roman" w:eastAsia="Times New Roman" w:hAnsi="Times New Roman"/>
          <w:sz w:val="18"/>
          <w:szCs w:val="18"/>
          <w:color w:val="auto"/>
        </w:rPr>
        <w:t>” means a deviation comprising any GSK Research Program conduct and when the validity and/or integrity of Study Related Data are affected, which may render the Study Related Data, a regulated Study, submission or facility invalid.</w:t>
      </w:r>
    </w:p>
    <w:p>
      <w:pPr>
        <w:spacing w:after="0" w:line="164" w:lineRule="exact"/>
        <w:rPr>
          <w:sz w:val="20"/>
          <w:szCs w:val="20"/>
          <w:color w:val="auto"/>
        </w:rPr>
      </w:pPr>
    </w:p>
    <w:p>
      <w:pPr>
        <w:ind w:right="2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means all reports, writings, results of experimentation and testing, laboratory records, clinical data, manufacturing data, and data recorded in any form, including, without limitation, all case report forms, data transfer forms, and source documents.</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60"/>
          </w:cols>
          <w:pgMar w:left="580" w:top="263" w:right="659" w:bottom="1440" w:gutter="0" w:footer="0" w:header="0"/>
        </w:sectPr>
      </w:pPr>
    </w:p>
    <w:bookmarkStart w:id="600" w:name="page601"/>
    <w:bookmarkEnd w:id="600"/>
    <w:p>
      <w:pPr>
        <w:ind w:right="100" w:firstLine="428"/>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Data Protection Law</w:t>
      </w:r>
      <w:r>
        <w:rPr>
          <w:rFonts w:ascii="Times New Roman" w:cs="Times New Roman" w:eastAsia="Times New Roman" w:hAnsi="Times New Roman"/>
          <w:sz w:val="18"/>
          <w:szCs w:val="18"/>
          <w:color w:val="auto"/>
        </w:rPr>
        <w:t>” means all applicable laws, rules and regulations relating to privacy and data protection, direct marketing or the interception or communication of electronic messages, including but not limited to the United States Health Insurance Portability and Accountability Act of 1996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the California Consumer Privacy Act of 2018 (“</w:t>
      </w:r>
      <w:r>
        <w:rPr>
          <w:rFonts w:ascii="Times New Roman" w:cs="Times New Roman" w:eastAsia="Times New Roman" w:hAnsi="Times New Roman"/>
          <w:sz w:val="18"/>
          <w:szCs w:val="18"/>
          <w:b w:val="1"/>
          <w:bCs w:val="1"/>
          <w:color w:val="auto"/>
        </w:rPr>
        <w:t>CCPA</w:t>
      </w:r>
      <w:r>
        <w:rPr>
          <w:rFonts w:ascii="Times New Roman" w:cs="Times New Roman" w:eastAsia="Times New Roman" w:hAnsi="Times New Roman"/>
          <w:sz w:val="18"/>
          <w:szCs w:val="18"/>
          <w:color w:val="auto"/>
        </w:rPr>
        <w:t>”), where applicable, and European Data Protection Laws, in each case as amended, consolidated, re-enacted or replaced from time to time.</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w:t>
      </w:r>
    </w:p>
    <w:p>
      <w:pPr>
        <w:spacing w:after="0" w:line="213" w:lineRule="exact"/>
        <w:rPr>
          <w:sz w:val="20"/>
          <w:szCs w:val="20"/>
          <w:color w:val="auto"/>
        </w:rPr>
      </w:pPr>
    </w:p>
    <w:p>
      <w:pPr>
        <w:jc w:val="both"/>
        <w:ind w:right="160" w:firstLine="42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De-Identified Records</w:t>
      </w:r>
      <w:r>
        <w:rPr>
          <w:rFonts w:ascii="Times New Roman" w:cs="Times New Roman" w:eastAsia="Times New Roman" w:hAnsi="Times New Roman"/>
          <w:sz w:val="18"/>
          <w:szCs w:val="18"/>
          <w:color w:val="auto"/>
        </w:rPr>
        <w:t>” means any Data included within the Tempus Dataset that is (a) de-identified in accordance with the HIPAA Rules that meet the standard and implementation specifications for de-identification under 45 C.F.R § 164.514(a) and (b) in which there is no reasonable basis to believe nor is there any actual knowledge that such information can be used to identify an individual.</w:t>
      </w:r>
    </w:p>
    <w:p>
      <w:pPr>
        <w:spacing w:after="0" w:line="178" w:lineRule="exact"/>
        <w:rPr>
          <w:sz w:val="20"/>
          <w:szCs w:val="20"/>
          <w:color w:val="auto"/>
        </w:rPr>
      </w:pPr>
    </w:p>
    <w:p>
      <w:pPr>
        <w:ind w:right="58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Deliverables</w:t>
      </w:r>
      <w:r>
        <w:rPr>
          <w:rFonts w:ascii="Times New Roman" w:cs="Times New Roman" w:eastAsia="Times New Roman" w:hAnsi="Times New Roman"/>
          <w:sz w:val="18"/>
          <w:szCs w:val="18"/>
          <w:color w:val="auto"/>
        </w:rPr>
        <w:t>” means, with respect to a given Task Order, any GSK Derivative Works or work product to be provided by Tempus to GSK pursuant to and as specified in such Task Order. For clarity, Licensed Data is never in and of itself a Deliverable.</w:t>
      </w:r>
    </w:p>
    <w:p>
      <w:pPr>
        <w:spacing w:after="0" w:line="164" w:lineRule="exact"/>
        <w:rPr>
          <w:sz w:val="20"/>
          <w:szCs w:val="20"/>
          <w:color w:val="auto"/>
        </w:rPr>
      </w:pPr>
    </w:p>
    <w:p>
      <w:pPr>
        <w:ind w:right="40" w:firstLine="42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Develop</w:t>
      </w:r>
      <w:r>
        <w:rPr>
          <w:rFonts w:ascii="Times New Roman" w:cs="Times New Roman" w:eastAsia="Times New Roman" w:hAnsi="Times New Roman"/>
          <w:sz w:val="18"/>
          <w:szCs w:val="18"/>
          <w:color w:val="auto"/>
        </w:rPr>
        <w:t>” means all preclinical research and development activities and all clinical development activities with respect to any GSK Asset, including, among other things: drug discovery, toxicology, formulation, statistical analysis and report writing, conducting clinical trials for the purpose of obtaining and maintaining any applicable regulatory approvals (including without limitation, post-marketing studies), and regulatory affairs related to all of the foregoing.</w:t>
      </w:r>
    </w:p>
    <w:p>
      <w:pPr>
        <w:spacing w:after="0" w:line="181"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European Data Protection Laws</w:t>
      </w:r>
      <w:r>
        <w:rPr>
          <w:rFonts w:ascii="Times New Roman" w:cs="Times New Roman" w:eastAsia="Times New Roman" w:hAnsi="Times New Roman"/>
          <w:sz w:val="18"/>
          <w:szCs w:val="18"/>
          <w:color w:val="auto"/>
        </w:rPr>
        <w:t>” means the General Data Protection Regulation 2016/679 (the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the e-Privacy Directive 2002/58/EC, the e-Privacy Regulation 2017/003 (once it takes effect), and any relevant law, statute, declaration, decree, directive, legislative enactment, order, ordinance, regulation, rule or other binding instrument which implements, replaces, adds to, amends, extends, reconstitutes or consolidates such laws from time to time, including the Data Protection Act 2018 of the United Kingdom, in each case as amended, consolidated, re-enacted or replaced from time to time.</w:t>
      </w:r>
    </w:p>
    <w:p>
      <w:pPr>
        <w:spacing w:after="0" w:line="182" w:lineRule="exact"/>
        <w:rPr>
          <w:sz w:val="20"/>
          <w:szCs w:val="20"/>
          <w:color w:val="auto"/>
        </w:rPr>
      </w:pPr>
    </w:p>
    <w:p>
      <w:pPr>
        <w:ind w:right="16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means any use or purpose, including, without limitation, the cure, treatment, palliation, prevention, understanding, prediction, prognosis or diagnosis (including diagnostics or companion diagnostics) of any human or animal disease, disorder or condition.</w:t>
      </w:r>
    </w:p>
    <w:p>
      <w:pPr>
        <w:spacing w:after="0" w:line="164" w:lineRule="exact"/>
        <w:rPr>
          <w:sz w:val="20"/>
          <w:szCs w:val="20"/>
          <w:color w:val="auto"/>
        </w:rPr>
      </w:pPr>
    </w:p>
    <w:p>
      <w:pPr>
        <w:ind w:right="360" w:firstLine="428"/>
        <w:spacing w:after="0" w:line="33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Good Clinical Laboratory Practice</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GLCP</w:t>
      </w:r>
      <w:r>
        <w:rPr>
          <w:rFonts w:ascii="Times New Roman" w:cs="Times New Roman" w:eastAsia="Times New Roman" w:hAnsi="Times New Roman"/>
          <w:sz w:val="16"/>
          <w:szCs w:val="16"/>
          <w:color w:val="auto"/>
        </w:rPr>
        <w:t>” means as per World Health Organization (“</w:t>
      </w:r>
      <w:r>
        <w:rPr>
          <w:rFonts w:ascii="Times New Roman" w:cs="Times New Roman" w:eastAsia="Times New Roman" w:hAnsi="Times New Roman"/>
          <w:sz w:val="16"/>
          <w:szCs w:val="16"/>
          <w:b w:val="1"/>
          <w:bCs w:val="1"/>
          <w:color w:val="auto"/>
        </w:rPr>
        <w:t>WHO</w:t>
      </w:r>
      <w:r>
        <w:rPr>
          <w:rFonts w:ascii="Times New Roman" w:cs="Times New Roman" w:eastAsia="Times New Roman" w:hAnsi="Times New Roman"/>
          <w:sz w:val="16"/>
          <w:szCs w:val="16"/>
          <w:color w:val="auto"/>
        </w:rPr>
        <w:t>”) under ISBN 978-924159785 2, those principles established under GLP for data generation used in regulatory submissions relevant to the analysis of samples from a clinical trial.</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00"/>
          </w:cols>
          <w:pgMar w:left="580" w:top="263" w:right="619" w:bottom="1440" w:gutter="0" w:footer="0" w:header="0"/>
        </w:sectPr>
      </w:pPr>
    </w:p>
    <w:bookmarkStart w:id="601" w:name="page602"/>
    <w:bookmarkEnd w:id="601"/>
    <w:p>
      <w:pPr>
        <w:ind w:firstLine="428"/>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8040" cy="3683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Good Clinical Practice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GCP</w:t>
      </w:r>
      <w:r>
        <w:rPr>
          <w:rFonts w:ascii="Times New Roman" w:cs="Times New Roman" w:eastAsia="Times New Roman" w:hAnsi="Times New Roman"/>
          <w:sz w:val="18"/>
          <w:szCs w:val="18"/>
          <w:color w:val="auto"/>
        </w:rPr>
        <w:t>” means, as applicable to the bio-analysis of clinical samples or Real World Data collection, a standard for the auditing, recording, analyses and reporting of clinical samples and/or data that provides assurance that the data and reported results are credible and accurate and that the rights, integrity and confidentiality of subjects are protected and includes, as applicable:</w:t>
      </w:r>
    </w:p>
    <w:p>
      <w:pPr>
        <w:spacing w:after="0" w:line="88" w:lineRule="exact"/>
        <w:rPr>
          <w:sz w:val="20"/>
          <w:szCs w:val="20"/>
          <w:color w:val="auto"/>
        </w:rPr>
      </w:pPr>
    </w:p>
    <w:p>
      <w:pPr>
        <w:ind w:left="1060" w:right="160" w:hanging="632"/>
        <w:spacing w:after="0" w:line="267" w:lineRule="auto"/>
        <w:tabs>
          <w:tab w:leader="none" w:pos="106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regulations, guidelines or directives applicable in any country in which any laboratory services are provided pursuant to this Agreement;</w:t>
      </w:r>
    </w:p>
    <w:p>
      <w:pPr>
        <w:spacing w:after="0" w:line="77"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ICH guidelines on good clinical practice;</w:t>
      </w:r>
    </w:p>
    <w:p>
      <w:pPr>
        <w:spacing w:after="0" w:line="121" w:lineRule="exact"/>
        <w:rPr>
          <w:rFonts w:ascii="Times New Roman" w:cs="Times New Roman" w:eastAsia="Times New Roman" w:hAnsi="Times New Roman"/>
          <w:sz w:val="18"/>
          <w:szCs w:val="18"/>
          <w:color w:val="auto"/>
        </w:rPr>
      </w:pPr>
    </w:p>
    <w:p>
      <w:pPr>
        <w:ind w:left="1060" w:hanging="632"/>
        <w:spacing w:after="0" w:line="251" w:lineRule="auto"/>
        <w:tabs>
          <w:tab w:leader="none" w:pos="106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guidelines of the European Union and Directives 91/507/EEC modifying the Annex to Council Directive 75/318 on the approximation of the laws of Member States relating to analytical, pharmacotoxicological and clinical standards and protocols in respect of the testing of medicinal products and 2001/20 and 2005/28 relating to the implementation of good clinical practice in the conduct of clinical trials on medicinal products for human use and with any law implementing these Directives; and</w:t>
      </w:r>
    </w:p>
    <w:p>
      <w:pPr>
        <w:spacing w:after="0" w:line="92" w:lineRule="exact"/>
        <w:rPr>
          <w:rFonts w:ascii="Times New Roman" w:cs="Times New Roman" w:eastAsia="Times New Roman" w:hAnsi="Times New Roman"/>
          <w:sz w:val="18"/>
          <w:szCs w:val="18"/>
          <w:color w:val="auto"/>
        </w:rPr>
      </w:pPr>
    </w:p>
    <w:p>
      <w:pPr>
        <w:ind w:left="1060" w:right="800" w:hanging="632"/>
        <w:spacing w:after="0" w:line="267" w:lineRule="auto"/>
        <w:tabs>
          <w:tab w:leader="none" w:pos="106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Title 21 of the Code of Federal Regulations (including, without limitation, Parts 310, 312 and 314) and all rules, regulations, orders and guidance published thereunder;</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other applicable legal and ethical requirements and professional standards.</w:t>
      </w:r>
    </w:p>
    <w:p>
      <w:pPr>
        <w:spacing w:after="0" w:line="211" w:lineRule="exact"/>
        <w:rPr>
          <w:sz w:val="20"/>
          <w:szCs w:val="20"/>
          <w:color w:val="auto"/>
        </w:rPr>
      </w:pPr>
    </w:p>
    <w:p>
      <w:pPr>
        <w:jc w:val="both"/>
        <w:ind w:firstLine="42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Laboratory Practice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GLP</w:t>
      </w:r>
      <w:r>
        <w:rPr>
          <w:rFonts w:ascii="Times New Roman" w:cs="Times New Roman" w:eastAsia="Times New Roman" w:hAnsi="Times New Roman"/>
          <w:sz w:val="18"/>
          <w:szCs w:val="18"/>
          <w:color w:val="auto"/>
        </w:rPr>
        <w:t>” means, as applicable to the bio-analysis of clinical samples or Real World Data collection, a standard for the auditing, recording, analyses and reporting of clinical samples and/or data that provides assurance that the data and reported results are credible and accurate and that the rights, integrity and confidentiality of subjects are protected and includes, as applicable:</w:t>
      </w:r>
    </w:p>
    <w:p>
      <w:pPr>
        <w:spacing w:after="0" w:line="88" w:lineRule="exact"/>
        <w:rPr>
          <w:sz w:val="20"/>
          <w:szCs w:val="20"/>
          <w:color w:val="auto"/>
        </w:rPr>
      </w:pPr>
    </w:p>
    <w:p>
      <w:pPr>
        <w:ind w:left="1060" w:right="160" w:hanging="632"/>
        <w:spacing w:after="0" w:line="267" w:lineRule="auto"/>
        <w:tabs>
          <w:tab w:leader="none" w:pos="106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regulations, guidelines or directives applicable in any country in which any laboratory services are provided pursuant to this Agreement;</w:t>
      </w:r>
    </w:p>
    <w:p>
      <w:pPr>
        <w:spacing w:after="0" w:line="77"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ICH guidelines on good clinical practice;</w:t>
      </w:r>
    </w:p>
    <w:p>
      <w:pPr>
        <w:spacing w:after="0" w:line="121" w:lineRule="exact"/>
        <w:rPr>
          <w:rFonts w:ascii="Times New Roman" w:cs="Times New Roman" w:eastAsia="Times New Roman" w:hAnsi="Times New Roman"/>
          <w:sz w:val="18"/>
          <w:szCs w:val="18"/>
          <w:color w:val="auto"/>
        </w:rPr>
      </w:pPr>
    </w:p>
    <w:p>
      <w:pPr>
        <w:ind w:left="1060" w:hanging="632"/>
        <w:spacing w:after="0" w:line="251" w:lineRule="auto"/>
        <w:tabs>
          <w:tab w:leader="none" w:pos="106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guidelines of the European Union and Directives 91/507/EEC modifying the Annex to Council Directive 75/318 on the approximation of the laws of Member States relating to analytical, pharmacotoxicological and clinical standards and protocols in respect of the testing of medicinal products and 2001/20 and 2005/28 relating to the implementation of good clinical practice in the conduct of clinical trials on medicinal products for human use and with any law implementing these Directives; and</w:t>
      </w:r>
    </w:p>
    <w:p>
      <w:pPr>
        <w:spacing w:after="0" w:line="92" w:lineRule="exact"/>
        <w:rPr>
          <w:rFonts w:ascii="Times New Roman" w:cs="Times New Roman" w:eastAsia="Times New Roman" w:hAnsi="Times New Roman"/>
          <w:sz w:val="18"/>
          <w:szCs w:val="18"/>
          <w:color w:val="auto"/>
        </w:rPr>
      </w:pPr>
    </w:p>
    <w:p>
      <w:pPr>
        <w:ind w:left="1060" w:right="800" w:hanging="632"/>
        <w:spacing w:after="0" w:line="267" w:lineRule="auto"/>
        <w:tabs>
          <w:tab w:leader="none" w:pos="106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Title 21 of the Code of Federal Regulations (including, without limitation, Parts 310, 312 and 314) and all rules, regulations, orders and guidance published thereunder;</w:t>
      </w:r>
    </w:p>
    <w:p>
      <w:pPr>
        <w:spacing w:after="0" w:line="77"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applicable legal and ethical requirements and professional standards.</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Manufacturing Practice</w:t>
      </w:r>
      <w:r>
        <w:rPr>
          <w:rFonts w:ascii="Times New Roman" w:cs="Times New Roman" w:eastAsia="Times New Roman" w:hAnsi="Times New Roman"/>
          <w:sz w:val="18"/>
          <w:szCs w:val="18"/>
          <w:color w:val="auto"/>
        </w:rPr>
        <w:t>” means current practices required by:</w:t>
      </w:r>
    </w:p>
    <w:p>
      <w:pPr>
        <w:spacing w:after="0" w:line="123" w:lineRule="exact"/>
        <w:rPr>
          <w:sz w:val="20"/>
          <w:szCs w:val="20"/>
          <w:color w:val="auto"/>
        </w:rPr>
      </w:pPr>
    </w:p>
    <w:p>
      <w:pPr>
        <w:ind w:left="1060" w:right="40" w:hanging="632"/>
        <w:spacing w:after="0" w:line="331" w:lineRule="auto"/>
        <w:tabs>
          <w:tab w:leader="none" w:pos="1060" w:val="left"/>
        </w:tabs>
        <w:numPr>
          <w:ilvl w:val="0"/>
          <w:numId w:val="5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principles of ICH Harmonised Tripartite Guideline for Good Clinical Practice (CPMP/ICH/135/95) E6 relating to the manufacturing, packaging, labelling and coding of investigational medicinal products and Good Manufacturing Practice (CPMP/ICH/4106/00) Q7;</w:t>
      </w:r>
    </w:p>
    <w:p>
      <w:pPr>
        <w:spacing w:after="0" w:line="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60"/>
          </w:cols>
          <w:pgMar w:left="580" w:top="262" w:right="659" w:bottom="1440" w:gutter="0" w:footer="0" w:header="0"/>
        </w:sectPr>
      </w:pPr>
    </w:p>
    <w:bookmarkStart w:id="602" w:name="page603"/>
    <w:bookmarkEnd w:id="602"/>
    <w:p>
      <w:pPr>
        <w:ind w:left="1060" w:hanging="632"/>
        <w:spacing w:after="0" w:line="331" w:lineRule="auto"/>
        <w:tabs>
          <w:tab w:leader="none" w:pos="1060" w:val="left"/>
        </w:tabs>
        <w:numPr>
          <w:ilvl w:val="0"/>
          <w:numId w:val="5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the Eudralex – Volume 4 Good Manufacturing Practice Guidelines (GMP) of the European Union and in guidance published by the European Commission in relation to such Directive and any local laws, rules and regulations that implement such Directive and guidance;</w:t>
      </w:r>
    </w:p>
    <w:p>
      <w:pPr>
        <w:spacing w:after="0" w:line="30" w:lineRule="exact"/>
        <w:rPr>
          <w:rFonts w:ascii="Times New Roman" w:cs="Times New Roman" w:eastAsia="Times New Roman" w:hAnsi="Times New Roman"/>
          <w:sz w:val="16"/>
          <w:szCs w:val="16"/>
          <w:color w:val="auto"/>
        </w:rPr>
      </w:pPr>
    </w:p>
    <w:p>
      <w:pPr>
        <w:ind w:left="1060" w:right="320" w:hanging="632"/>
        <w:spacing w:after="0" w:line="267" w:lineRule="auto"/>
        <w:tabs>
          <w:tab w:leader="none" w:pos="106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Title 21 of the Code of Federal Regulations (including, without limitation, Part 820, Quality System Regulation) and all rules, regulations, order and guidance’s published thereunder; and</w:t>
      </w:r>
    </w:p>
    <w:p>
      <w:pPr>
        <w:spacing w:after="0" w:line="77"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country in which the Activities are performed.</w:t>
      </w:r>
    </w:p>
    <w:p>
      <w:pPr>
        <w:spacing w:after="0" w:line="211" w:lineRule="exact"/>
        <w:rPr>
          <w:sz w:val="20"/>
          <w:szCs w:val="20"/>
          <w:color w:val="auto"/>
        </w:rPr>
      </w:pPr>
    </w:p>
    <w:p>
      <w:pPr>
        <w:ind w:right="40" w:firstLine="428"/>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(where “government” means all levels and subdivisions of governments, i.e. local, regional, national, administrative, legislative, executive, or judicial, and royal or ruling families) means any officer or employee of a government or any department, agency or instrumentality of a government (including public enterprises, and entities owned or controlled by the state); any officer or employee of a public international organisation such as the World Bank or United Nations; any officer or employee of a political party, or any candidate for public office; any person defined as a government or public official under Applicable Laws (including anti-bribery and corruption laws) and not already covered by any of the above; or any person acting in an official capacity for or on behalf of any of the above. “Government Official” will include any person with close family members who are Government Officials (as defined above) with the capacity, actual or perceived, to influence or take official decisions affecting GSK business.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GSK Asset</w:t>
      </w:r>
      <w:r>
        <w:rPr>
          <w:rFonts w:ascii="Times New Roman" w:cs="Times New Roman" w:eastAsia="Times New Roman" w:hAnsi="Times New Roman"/>
          <w:sz w:val="18"/>
          <w:szCs w:val="18"/>
          <w:color w:val="auto"/>
        </w:rPr>
        <w:t>” means [***].</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GSK Background IP</w:t>
      </w:r>
      <w:r>
        <w:rPr>
          <w:rFonts w:ascii="Times New Roman" w:cs="Times New Roman" w:eastAsia="Times New Roman" w:hAnsi="Times New Roman"/>
          <w:sz w:val="16"/>
          <w:szCs w:val="16"/>
          <w:color w:val="auto"/>
        </w:rPr>
        <w:t>” means all Intellectual Property, [***] that is owned or Controlled by GSK, its Affiliates, or its Third Party collaborators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92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GSK Background Know-How</w:t>
      </w:r>
      <w:r>
        <w:rPr>
          <w:rFonts w:ascii="Times New Roman" w:cs="Times New Roman" w:eastAsia="Times New Roman" w:hAnsi="Times New Roman"/>
          <w:sz w:val="18"/>
          <w:szCs w:val="18"/>
          <w:color w:val="auto"/>
        </w:rPr>
        <w:t>” means any and all Know-How that is owned, or Controlled by GSK, its Affiliates or its Third Party collaborators: [***].</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GSK Background Patents</w:t>
      </w:r>
      <w:r>
        <w:rPr>
          <w:rFonts w:ascii="Times New Roman" w:cs="Times New Roman" w:eastAsia="Times New Roman" w:hAnsi="Times New Roman"/>
          <w:sz w:val="16"/>
          <w:szCs w:val="16"/>
          <w:color w:val="auto"/>
        </w:rPr>
        <w:t>” means any and all Patents that are owned or Controlled by GSK, its Affiliates or its Third Party collaborators: [***].</w:t>
      </w:r>
    </w:p>
    <w:p>
      <w:pPr>
        <w:spacing w:after="0" w:line="236" w:lineRule="exact"/>
        <w:rPr>
          <w:sz w:val="20"/>
          <w:szCs w:val="20"/>
          <w:color w:val="auto"/>
        </w:rPr>
      </w:pPr>
    </w:p>
    <w:p>
      <w:pPr>
        <w:ind w:right="260" w:firstLine="428"/>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GSK Confidential Information</w:t>
      </w:r>
      <w:r>
        <w:rPr>
          <w:rFonts w:ascii="Times New Roman" w:cs="Times New Roman" w:eastAsia="Times New Roman" w:hAnsi="Times New Roman"/>
          <w:sz w:val="18"/>
          <w:szCs w:val="18"/>
          <w:color w:val="auto"/>
        </w:rPr>
        <w:t>” means any confidential or proprietary information, including inventions, methods, plans, processes, specifications, Know-How, Trade Secrets, compounds, materials, Materials, GSK Data, business plans, business proposals, financial statements, cost information, Personal Information of GSK Personnel, software, models (including model parameters) and technical information, disclosed by or on behalf of GSK or any of its Affiliates to Tempus or any of its Affiliates or representatives or obtained from GSK or its Affiliates or their Personnel by Tempus or Tempus Personnel in connection with the performance of the Activities; provided, that “GSK Confidential Information” shall not include information which (i) at the time of disclosure or discovery is in the public domain; (ii) after disclosure, becomes part of the public domain by publication or otherwise, except by breach by Tempus or any of its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20"/>
          </w:cols>
          <w:pgMar w:left="580" w:top="265" w:right="599" w:bottom="1440" w:gutter="0" w:footer="0" w:header="0"/>
        </w:sectPr>
      </w:pPr>
    </w:p>
    <w:bookmarkStart w:id="603" w:name="page604"/>
    <w:bookmarkEnd w:id="603"/>
    <w:p>
      <w:pPr>
        <w:ind w:right="16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8040" cy="36830"/>
                    </a:xfrm>
                    <a:prstGeom prst="rect">
                      <a:avLst/>
                    </a:prstGeom>
                    <a:noFill/>
                  </pic:spPr>
                </pic:pic>
              </a:graphicData>
            </a:graphic>
          </wp:anchor>
        </w:drawing>
        <w:t>Affiliates or representatives of the terms of this Agreement or a Task Order; (iii) Tempus can establish by reasonable proof was in its possession at the time of disclosure by GSK or its Affiliates and was not acquired, directly or indirectly, from GSK; (iv) Tempus receives from a third party that has the legal right to disclose such information, free of any confidentiality obligation; or (v) Tempus can establish by reasonable proof was independently developed by Tempus without any use of or reference to GSK Confidential Information. GSK Confidential Information includes the GSK Background Intellectual Property, GSK Arising IP, and all GSK Work Product.</w:t>
      </w:r>
    </w:p>
    <w:p>
      <w:pPr>
        <w:spacing w:after="0" w:line="185" w:lineRule="exact"/>
        <w:rPr>
          <w:sz w:val="20"/>
          <w:szCs w:val="20"/>
          <w:color w:val="auto"/>
        </w:rPr>
      </w:pPr>
    </w:p>
    <w:p>
      <w:pPr>
        <w:ind w:firstLine="428"/>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GSK Data</w:t>
      </w:r>
      <w:r>
        <w:rPr>
          <w:rFonts w:ascii="Times New Roman" w:cs="Times New Roman" w:eastAsia="Times New Roman" w:hAnsi="Times New Roman"/>
          <w:sz w:val="18"/>
          <w:szCs w:val="18"/>
          <w:color w:val="auto"/>
        </w:rPr>
        <w:t>” means all text, files, images, graphics, illustrations, information, Data (including any GSK Personal Information), audio, video, photographs and any other content and materials, in any format, that is provided by or on behalf of GSK under this Agreement, or generated or collected by GSK Personnel or [***] in connection with the GSK Data Activities or otherwise under this Agreement, including any copies, reproductions, translations, excerpts or alternative representations of such Data or information. For clarity, “GSK Data” shall not include any Data or information solely to the extent any such Data or information constitutes Licensed Data, the Tempus Background IP, the Tempus Arising IP or the Tempus Confidential Information.</w:t>
      </w:r>
    </w:p>
    <w:p>
      <w:pPr>
        <w:spacing w:after="0" w:line="187" w:lineRule="exact"/>
        <w:rPr>
          <w:sz w:val="20"/>
          <w:szCs w:val="20"/>
          <w:color w:val="auto"/>
        </w:rPr>
      </w:pPr>
    </w:p>
    <w:p>
      <w:pPr>
        <w:ind w:right="180" w:firstLine="428"/>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GSK Data Activities</w:t>
      </w:r>
      <w:r>
        <w:rPr>
          <w:rFonts w:ascii="Times New Roman" w:cs="Times New Roman" w:eastAsia="Times New Roman" w:hAnsi="Times New Roman"/>
          <w:sz w:val="16"/>
          <w:szCs w:val="16"/>
          <w:color w:val="auto"/>
        </w:rPr>
        <w:t>” means any use by GSK or any of its Affiliates or its or their Personnel (or [***]) of the Tempus Software or the Tempus Dataset permitted by this Agreement or any Task Order. For clarity, the output of GSK Data Activities constitutes GSK Data, with the exclusion of</w:t>
      </w:r>
    </w:p>
    <w:p>
      <w:pPr>
        <w:spacing w:after="0" w:line="1" w:lineRule="exact"/>
        <w:rPr>
          <w:sz w:val="20"/>
          <w:szCs w:val="20"/>
          <w:color w:val="auto"/>
        </w:rPr>
      </w:pPr>
    </w:p>
    <w:p>
      <w:pPr>
        <w:ind w:left="260" w:hanging="252"/>
        <w:spacing w:after="0"/>
        <w:tabs>
          <w:tab w:leader="none" w:pos="260" w:val="left"/>
        </w:tabs>
        <w:numPr>
          <w:ilvl w:val="0"/>
          <w:numId w:val="5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Data or information solely to the extent any such Data or information constitutes Licensed Data (including any individual De-Identified Record),</w:t>
      </w:r>
    </w:p>
    <w:p>
      <w:pPr>
        <w:spacing w:after="0" w:line="26"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Background IP, (3) Tempus Arising IP, and (4) Tempus Confidential Information.</w:t>
      </w:r>
    </w:p>
    <w:p>
      <w:pPr>
        <w:spacing w:after="0" w:line="193" w:lineRule="exact"/>
        <w:rPr>
          <w:sz w:val="20"/>
          <w:szCs w:val="20"/>
          <w:color w:val="auto"/>
        </w:rPr>
      </w:pPr>
    </w:p>
    <w:p>
      <w:pPr>
        <w:jc w:val="both"/>
        <w:ind w:right="120" w:firstLine="42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GSK Derivative Works</w:t>
      </w:r>
      <w:r>
        <w:rPr>
          <w:rFonts w:ascii="Times New Roman" w:cs="Times New Roman" w:eastAsia="Times New Roman" w:hAnsi="Times New Roman"/>
          <w:sz w:val="18"/>
          <w:szCs w:val="18"/>
          <w:color w:val="auto"/>
        </w:rPr>
        <w:t>” means any Works created by GSK and/or [***] in connection with the performance the Activities, including the GSK Data Activities, GSK’s or [***] use of the Data Licensing Services, Tempus Software or the Tempus TO Screening Platform, or any Activities by GSK or [***], in either case, as a result of [***].</w:t>
      </w:r>
    </w:p>
    <w:p>
      <w:pPr>
        <w:spacing w:after="0" w:line="178" w:lineRule="exact"/>
        <w:rPr>
          <w:sz w:val="20"/>
          <w:szCs w:val="20"/>
          <w:color w:val="auto"/>
        </w:rPr>
      </w:pPr>
    </w:p>
    <w:p>
      <w:pPr>
        <w:ind w:right="100" w:firstLine="42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GSK Equipment</w:t>
      </w:r>
      <w:r>
        <w:rPr>
          <w:rFonts w:ascii="Times New Roman" w:cs="Times New Roman" w:eastAsia="Times New Roman" w:hAnsi="Times New Roman"/>
          <w:sz w:val="18"/>
          <w:szCs w:val="18"/>
          <w:color w:val="auto"/>
        </w:rPr>
        <w:t>” means any equipment (a) that will be provided to Tempus by or on behalf of GSK or any of its Affiliates or (b) that will be purchased by Tempus on behalf of and paid by GSK or any of its Affiliates during the Term to perform the applicable Activities and that shall be listed, if applicable, within the applicable Task Order.</w:t>
      </w:r>
    </w:p>
    <w:p>
      <w:pPr>
        <w:spacing w:after="0" w:line="178" w:lineRule="exact"/>
        <w:rPr>
          <w:sz w:val="20"/>
          <w:szCs w:val="20"/>
          <w:color w:val="auto"/>
        </w:rPr>
      </w:pPr>
    </w:p>
    <w:p>
      <w:pPr>
        <w:ind w:right="24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GSK HBS</w:t>
      </w:r>
      <w:r>
        <w:rPr>
          <w:rFonts w:ascii="Times New Roman" w:cs="Times New Roman" w:eastAsia="Times New Roman" w:hAnsi="Times New Roman"/>
          <w:sz w:val="18"/>
          <w:szCs w:val="18"/>
          <w:color w:val="auto"/>
        </w:rPr>
        <w:t>” means any and all Human Biological Samples that may be provided by or on behalf of GSK or its Affiliates to Tempus, as well as HBS Data related thereto, for the sole purpose of performing the Activities in connection with any applicable Task Order.</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GSK Personal Information</w:t>
      </w:r>
      <w:r>
        <w:rPr>
          <w:rFonts w:ascii="Times New Roman" w:cs="Times New Roman" w:eastAsia="Times New Roman" w:hAnsi="Times New Roman"/>
          <w:sz w:val="18"/>
          <w:szCs w:val="18"/>
          <w:color w:val="auto"/>
        </w:rPr>
        <w:t>” means any Personal Information that is:</w:t>
      </w:r>
    </w:p>
    <w:p>
      <w:pPr>
        <w:spacing w:after="0" w:line="123" w:lineRule="exact"/>
        <w:rPr>
          <w:sz w:val="20"/>
          <w:szCs w:val="20"/>
          <w:color w:val="auto"/>
        </w:rPr>
      </w:pPr>
    </w:p>
    <w:p>
      <w:pPr>
        <w:ind w:left="5320" w:right="4340" w:hanging="4892"/>
        <w:spacing w:after="0" w:line="435" w:lineRule="auto"/>
        <w:tabs>
          <w:tab w:leader="none" w:pos="1057"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by GSK to Tempus or collected by Tempus on behalf of GSK; and 7</w:t>
      </w:r>
    </w:p>
    <w:p>
      <w:pPr>
        <w:sectPr>
          <w:pgSz w:w="11900" w:h="16838" w:orient="portrait"/>
          <w:cols w:equalWidth="0" w:num="1">
            <w:col w:w="10720"/>
          </w:cols>
          <w:pgMar w:left="580" w:top="265" w:right="599" w:bottom="1440" w:gutter="0" w:footer="0" w:header="0"/>
        </w:sectPr>
      </w:pPr>
    </w:p>
    <w:bookmarkStart w:id="604" w:name="page605"/>
    <w:bookmarkEnd w:id="604"/>
    <w:p>
      <w:pPr>
        <w:ind w:left="1060" w:hanging="632"/>
        <w:spacing w:after="0"/>
        <w:tabs>
          <w:tab w:leader="none" w:pos="1060"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Processed by Tempus for the purpose of providing the Activities.</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GSK Personal Information includes any copies of, materials derived from or incorporating, such Personal Information, in any medium.</w:t>
      </w:r>
    </w:p>
    <w:p>
      <w:pPr>
        <w:spacing w:after="0" w:line="211" w:lineRule="exact"/>
        <w:rPr>
          <w:sz w:val="20"/>
          <w:szCs w:val="20"/>
          <w:color w:val="auto"/>
        </w:rPr>
      </w:pPr>
    </w:p>
    <w:p>
      <w:pPr>
        <w:ind w:right="20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GSK Research Program</w:t>
      </w:r>
      <w:r>
        <w:rPr>
          <w:rFonts w:ascii="Times New Roman" w:cs="Times New Roman" w:eastAsia="Times New Roman" w:hAnsi="Times New Roman"/>
          <w:sz w:val="18"/>
          <w:szCs w:val="18"/>
          <w:color w:val="auto"/>
        </w:rPr>
        <w:t>” means each scientific research and Development project or Study conducted jointly by GSK and Tempus under this Agreement (collectively, the “</w:t>
      </w:r>
      <w:r>
        <w:rPr>
          <w:rFonts w:ascii="Times New Roman" w:cs="Times New Roman" w:eastAsia="Times New Roman" w:hAnsi="Times New Roman"/>
          <w:sz w:val="18"/>
          <w:szCs w:val="18"/>
          <w:b w:val="1"/>
          <w:bCs w:val="1"/>
          <w:color w:val="auto"/>
        </w:rPr>
        <w:t>GSK Research Programs</w:t>
      </w:r>
      <w:r>
        <w:rPr>
          <w:rFonts w:ascii="Times New Roman" w:cs="Times New Roman" w:eastAsia="Times New Roman" w:hAnsi="Times New Roman"/>
          <w:sz w:val="18"/>
          <w:szCs w:val="18"/>
          <w:color w:val="auto"/>
        </w:rPr>
        <w:t>”), in each case, as set forth in any Task Order.</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GSK Work Product</w:t>
      </w:r>
      <w:r>
        <w:rPr>
          <w:rFonts w:ascii="Times New Roman" w:cs="Times New Roman" w:eastAsia="Times New Roman" w:hAnsi="Times New Roman"/>
          <w:sz w:val="16"/>
          <w:szCs w:val="16"/>
          <w:color w:val="auto"/>
        </w:rPr>
        <w:t>” means any and all Results, Deliverables, GSK Data and GSK Derivative Works and all GSK Confidential Information.</w:t>
      </w:r>
    </w:p>
    <w:p>
      <w:pPr>
        <w:spacing w:after="0" w:line="236" w:lineRule="exact"/>
        <w:rPr>
          <w:sz w:val="20"/>
          <w:szCs w:val="20"/>
          <w:color w:val="auto"/>
        </w:rPr>
      </w:pPr>
    </w:p>
    <w:p>
      <w:pPr>
        <w:ind w:right="22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HBS Data</w:t>
      </w:r>
      <w:r>
        <w:rPr>
          <w:rFonts w:ascii="Times New Roman" w:cs="Times New Roman" w:eastAsia="Times New Roman" w:hAnsi="Times New Roman"/>
          <w:sz w:val="18"/>
          <w:szCs w:val="18"/>
          <w:color w:val="auto"/>
        </w:rPr>
        <w:t>” means information about the Human Biological Samples such as pathology information and information regarding the integrity of the Human Biological Samples. For clarity, this definition does not include Personal Information.</w:t>
      </w:r>
    </w:p>
    <w:p>
      <w:pPr>
        <w:spacing w:after="0" w:line="164" w:lineRule="exact"/>
        <w:rPr>
          <w:sz w:val="20"/>
          <w:szCs w:val="20"/>
          <w:color w:val="auto"/>
        </w:rPr>
      </w:pPr>
    </w:p>
    <w:p>
      <w:pPr>
        <w:ind w:right="28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Human Biological Samples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HBS</w:t>
      </w:r>
      <w:r>
        <w:rPr>
          <w:rFonts w:ascii="Times New Roman" w:cs="Times New Roman" w:eastAsia="Times New Roman" w:hAnsi="Times New Roman"/>
          <w:sz w:val="18"/>
          <w:szCs w:val="18"/>
          <w:color w:val="auto"/>
        </w:rPr>
        <w:t>” means any human biological material (including any derivative or progeny thereof), including [***], which shall be used by Tempus to carry out the applicable Activities under any Task Order.</w:t>
      </w:r>
    </w:p>
    <w:p>
      <w:pPr>
        <w:spacing w:after="0" w:line="164" w:lineRule="exact"/>
        <w:rPr>
          <w:sz w:val="20"/>
          <w:szCs w:val="20"/>
          <w:color w:val="auto"/>
        </w:rPr>
      </w:pPr>
    </w:p>
    <w:p>
      <w:pPr>
        <w:ind w:right="6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IP</w:t>
      </w:r>
      <w:r>
        <w:rPr>
          <w:rFonts w:ascii="Times New Roman" w:cs="Times New Roman" w:eastAsia="Times New Roman" w:hAnsi="Times New Roman"/>
          <w:sz w:val="18"/>
          <w:szCs w:val="18"/>
          <w:color w:val="auto"/>
        </w:rPr>
        <w:t>” means any and all industrial and intellectual property rights of any kind granted or recognised under the laws of any country including without limitation:</w:t>
      </w:r>
    </w:p>
    <w:p>
      <w:pPr>
        <w:spacing w:after="0" w:line="75" w:lineRule="exact"/>
        <w:rPr>
          <w:sz w:val="20"/>
          <w:szCs w:val="20"/>
          <w:color w:val="auto"/>
        </w:rPr>
      </w:pPr>
    </w:p>
    <w:p>
      <w:pPr>
        <w:ind w:left="1060" w:hanging="632"/>
        <w:spacing w:after="0" w:line="267" w:lineRule="auto"/>
        <w:tabs>
          <w:tab w:leader="none" w:pos="106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Trademarks, logos, business names or signs, domain names copyright, moral rights, database rights, design rights and copyrights; and</w:t>
      </w:r>
    </w:p>
    <w:p>
      <w:pPr>
        <w:spacing w:after="0" w:line="77" w:lineRule="exact"/>
        <w:rPr>
          <w:rFonts w:ascii="Times New Roman" w:cs="Times New Roman" w:eastAsia="Times New Roman" w:hAnsi="Times New Roman"/>
          <w:sz w:val="18"/>
          <w:szCs w:val="18"/>
          <w:color w:val="auto"/>
        </w:rPr>
      </w:pPr>
    </w:p>
    <w:p>
      <w:pPr>
        <w:ind w:left="1060" w:right="120" w:hanging="632"/>
        <w:spacing w:after="0" w:line="251" w:lineRule="auto"/>
        <w:tabs>
          <w:tab w:leader="none" w:pos="106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subsisting in undisclosed or confidential information, Know-How, Trade Secrets, discoveries, developments, software, semiconductor topographies, formulae, processes, inventions, drawings, improvements, specifications, compositions of matter, cell lines and progeny, formulations, methods of use or delivery and works of authorship, and the rights to establish, and priority under, the Paris Convention for the Protection of Industrial Property or other similar arrangement;</w:t>
      </w:r>
    </w:p>
    <w:p>
      <w:pPr>
        <w:spacing w:after="0" w:line="92" w:lineRule="exact"/>
        <w:rPr>
          <w:rFonts w:ascii="Times New Roman" w:cs="Times New Roman" w:eastAsia="Times New Roman" w:hAnsi="Times New Roman"/>
          <w:sz w:val="18"/>
          <w:szCs w:val="18"/>
          <w:color w:val="auto"/>
        </w:rPr>
      </w:pPr>
    </w:p>
    <w:p>
      <w:pPr>
        <w:ind w:left="1060" w:right="200" w:hanging="632"/>
        <w:spacing w:after="0" w:line="267" w:lineRule="auto"/>
        <w:tabs>
          <w:tab w:leader="none" w:pos="106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(a) whether registered or not (b) including any applications to protect or register such rights, (c) including all renewals and extensions of such rights or applications, (d) whether vested, contingent or future and (e) wherever existing.</w:t>
      </w:r>
    </w:p>
    <w:p>
      <w:pPr>
        <w:spacing w:after="0" w:line="168" w:lineRule="exact"/>
        <w:rPr>
          <w:sz w:val="20"/>
          <w:szCs w:val="20"/>
          <w:color w:val="auto"/>
        </w:rPr>
      </w:pPr>
    </w:p>
    <w:p>
      <w:pPr>
        <w:ind w:right="480" w:firstLine="42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Performance Indicators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KPIs</w:t>
      </w:r>
      <w:r>
        <w:rPr>
          <w:rFonts w:ascii="Times New Roman" w:cs="Times New Roman" w:eastAsia="Times New Roman" w:hAnsi="Times New Roman"/>
          <w:sz w:val="18"/>
          <w:szCs w:val="18"/>
          <w:color w:val="auto"/>
        </w:rPr>
        <w:t>” mean the metrics and measures that will allow evaluation of the performance by Tempus and its Affiliates of the Activities according to the terms of this Agreement and, to the extent applicable, as specified in Schedule 7 (Key Performance Indicators).</w:t>
      </w:r>
    </w:p>
    <w:p>
      <w:pPr>
        <w:spacing w:after="0" w:line="178" w:lineRule="exact"/>
        <w:rPr>
          <w:sz w:val="20"/>
          <w:szCs w:val="20"/>
          <w:color w:val="auto"/>
        </w:rPr>
      </w:pPr>
    </w:p>
    <w:p>
      <w:pPr>
        <w:ind w:right="280" w:firstLine="428"/>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Know-How</w:t>
      </w:r>
      <w:r>
        <w:rPr>
          <w:rFonts w:ascii="Times New Roman" w:cs="Times New Roman" w:eastAsia="Times New Roman" w:hAnsi="Times New Roman"/>
          <w:sz w:val="16"/>
          <w:szCs w:val="16"/>
          <w:color w:val="auto"/>
        </w:rPr>
        <w:t>” means technical information, ideas, designs and methods (including Data and other technical information relating to inventions, methods, systems, processes, discoveries, concepts, methodologies, models, research, development and testing procedures, tests and trials, manufacturing processes, techniques and specifications, quality control data, analyses, reports and submissions) which is not in the public domain.</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20"/>
          </w:cols>
          <w:pgMar w:left="580" w:top="265" w:right="599" w:bottom="1440" w:gutter="0" w:footer="0" w:header="0"/>
        </w:sectPr>
      </w:pPr>
    </w:p>
    <w:bookmarkStart w:id="605" w:name="page606"/>
    <w:bookmarkEnd w:id="605"/>
    <w:p>
      <w:pPr>
        <w:ind w:firstLine="428"/>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Laboratory Director</w:t>
      </w:r>
      <w:r>
        <w:rPr>
          <w:rFonts w:ascii="Times New Roman" w:cs="Times New Roman" w:eastAsia="Times New Roman" w:hAnsi="Times New Roman"/>
          <w:sz w:val="18"/>
          <w:szCs w:val="18"/>
          <w:color w:val="auto"/>
        </w:rPr>
        <w:t>” means the applicable individual with ultimate accountability for conducting or overseeing of testing activities provided as part of Tempus’s Activities.</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Laboratory Quality Assessment Action Plan</w:t>
      </w:r>
      <w:r>
        <w:rPr>
          <w:rFonts w:ascii="Times New Roman" w:cs="Times New Roman" w:eastAsia="Times New Roman" w:hAnsi="Times New Roman"/>
          <w:sz w:val="18"/>
          <w:szCs w:val="18"/>
          <w:color w:val="auto"/>
        </w:rPr>
        <w:t>” has the meaning given to that term in paragraph (d) of Section 9 (Quality assurance).</w:t>
      </w:r>
    </w:p>
    <w:p>
      <w:pPr>
        <w:spacing w:after="0" w:line="213" w:lineRule="exact"/>
        <w:rPr>
          <w:sz w:val="20"/>
          <w:szCs w:val="20"/>
          <w:color w:val="auto"/>
        </w:rPr>
      </w:pPr>
    </w:p>
    <w:p>
      <w:pPr>
        <w:ind w:right="64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Laboratory Services</w:t>
      </w:r>
      <w:r>
        <w:rPr>
          <w:rFonts w:ascii="Times New Roman" w:cs="Times New Roman" w:eastAsia="Times New Roman" w:hAnsi="Times New Roman"/>
          <w:sz w:val="18"/>
          <w:szCs w:val="18"/>
          <w:color w:val="auto"/>
        </w:rPr>
        <w:t>” means any clinical testing activities and Samples Management Services that shall be performed by Tempus or its Affiliates in accordance with the terms of this Agreement or any Task Order.</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Large Pharmaceutical Company</w:t>
      </w:r>
      <w:r>
        <w:rPr>
          <w:rFonts w:ascii="Times New Roman" w:cs="Times New Roman" w:eastAsia="Times New Roman" w:hAnsi="Times New Roman"/>
          <w:sz w:val="18"/>
          <w:szCs w:val="18"/>
          <w:color w:val="auto"/>
        </w:rPr>
        <w:t>” means [***].</w:t>
      </w:r>
    </w:p>
    <w:p>
      <w:pPr>
        <w:spacing w:after="0" w:line="213" w:lineRule="exact"/>
        <w:rPr>
          <w:sz w:val="20"/>
          <w:szCs w:val="20"/>
          <w:color w:val="auto"/>
        </w:rPr>
      </w:pPr>
    </w:p>
    <w:p>
      <w:pPr>
        <w:ind w:right="40" w:firstLine="42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Data</w:t>
      </w:r>
      <w:r>
        <w:rPr>
          <w:rFonts w:ascii="Times New Roman" w:cs="Times New Roman" w:eastAsia="Times New Roman" w:hAnsi="Times New Roman"/>
          <w:sz w:val="18"/>
          <w:szCs w:val="18"/>
          <w:color w:val="auto"/>
        </w:rPr>
        <w:t>” means clinical and/or molecular data that is Controlled by Tempus, including but not limited to [***]. “Licensed Data” includes any Data available within the Tempus Dataset and any extract from the Licensed Data (including any individual De-Identified Record) or any copies, reproductions, or mere translations thereof.</w:t>
      </w:r>
    </w:p>
    <w:p>
      <w:pPr>
        <w:spacing w:after="0" w:line="178" w:lineRule="exact"/>
        <w:rPr>
          <w:sz w:val="20"/>
          <w:szCs w:val="20"/>
          <w:color w:val="auto"/>
        </w:rPr>
      </w:pPr>
    </w:p>
    <w:p>
      <w:pPr>
        <w:ind w:right="20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means all losses, claims, liabilities, judgments, costs, awards, fines, penalties, expenses (including reasonable legal fees, witness fees, and other professional expenses) and damages of any nature whatsoever and whether or not reasonably foreseeable or avoidable.</w:t>
      </w:r>
    </w:p>
    <w:p>
      <w:pPr>
        <w:spacing w:after="0" w:line="164" w:lineRule="exact"/>
        <w:rPr>
          <w:sz w:val="20"/>
          <w:szCs w:val="20"/>
          <w:color w:val="auto"/>
        </w:rPr>
      </w:pPr>
    </w:p>
    <w:p>
      <w:pPr>
        <w:ind w:right="180" w:firstLine="42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Alert</w:t>
      </w:r>
      <w:r>
        <w:rPr>
          <w:rFonts w:ascii="Times New Roman" w:cs="Times New Roman" w:eastAsia="Times New Roman" w:hAnsi="Times New Roman"/>
          <w:sz w:val="18"/>
          <w:szCs w:val="18"/>
          <w:color w:val="auto"/>
        </w:rPr>
        <w:t>” is a deviation relative to the data integrity principles set out in Sections 8.2 to 8.5, the principles of Good Clinical Laboratory Practice, or to a GSK Research Program procedure or other standard operating procedures applicable to the audited activity. This deviation is either major or frequent or has an important impact on the Activities. Corrective action related to each “Major Alert” finding is requested to be completed at the latest [***] after the final audit report or at a date / period indicated in the action plan.</w:t>
      </w:r>
    </w:p>
    <w:p>
      <w:pPr>
        <w:spacing w:after="0" w:line="181" w:lineRule="exact"/>
        <w:rPr>
          <w:sz w:val="20"/>
          <w:szCs w:val="20"/>
          <w:color w:val="auto"/>
        </w:rPr>
      </w:pPr>
    </w:p>
    <w:p>
      <w:pPr>
        <w:ind w:right="80" w:firstLine="42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means all Test Materials, test material standards, putative metabolite standards, and related Data (including without limitation material safety data sheets) as maybe reasonably required by Tempus concerning stability, safety or storage requirements and which will be provided to Tempus or its Affiliates by GSK or its Affiliates during the Term for use in connection with Tempus’s Activities pursuant to any Task Order, as applicable.</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Transfer Record</w:t>
      </w:r>
      <w:r>
        <w:rPr>
          <w:rFonts w:ascii="Times New Roman" w:cs="Times New Roman" w:eastAsia="Times New Roman" w:hAnsi="Times New Roman"/>
          <w:sz w:val="18"/>
          <w:szCs w:val="18"/>
          <w:color w:val="auto"/>
        </w:rPr>
        <w:t>” the record to be completed in relation to transfers of Supplied Materials in the form set out in Schedule 5.</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either Tempus or GSK as the context may require.</w:t>
      </w:r>
    </w:p>
    <w:p>
      <w:pPr>
        <w:spacing w:after="0" w:line="213" w:lineRule="exact"/>
        <w:rPr>
          <w:sz w:val="20"/>
          <w:szCs w:val="20"/>
          <w:color w:val="auto"/>
        </w:rPr>
      </w:pPr>
    </w:p>
    <w:p>
      <w:pPr>
        <w:ind w:right="400" w:firstLine="42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w:t>
      </w:r>
      <w:r>
        <w:rPr>
          <w:rFonts w:ascii="Times New Roman" w:cs="Times New Roman" w:eastAsia="Times New Roman" w:hAnsi="Times New Roman"/>
          <w:sz w:val="18"/>
          <w:szCs w:val="18"/>
          <w:color w:val="auto"/>
        </w:rPr>
        <w:t>” means any existing or future (a) national, regional or international patent or patent application in the Territory (including any provisional, divisional, continuation, continuation-in-part, non-provisional, converted provisional, or continued prosecution application, any utility model, petty patent,</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80"/>
          </w:cols>
          <w:pgMar w:left="580" w:top="263" w:right="639" w:bottom="1440" w:gutter="0" w:footer="0" w:header="0"/>
        </w:sectPr>
      </w:pPr>
    </w:p>
    <w:bookmarkStart w:id="606" w:name="page607"/>
    <w:bookmarkEnd w:id="606"/>
    <w:p>
      <w:pPr>
        <w:ind w:right="3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8040" cy="36830"/>
                    </a:xfrm>
                    <a:prstGeom prst="rect">
                      <a:avLst/>
                    </a:prstGeom>
                    <a:noFill/>
                  </pic:spPr>
                </pic:pic>
              </a:graphicData>
            </a:graphic>
          </wp:anchor>
        </w:drawing>
        <w:t>design patent or certificate of invention), (b) any restoration, revalidation, reissue, re-examination and extension (including any supplementary protection certificate and the like) of any of the foregoing patents or patent applications, and (c) any ex-U.S. equivalents corresponding to any of the foregoing.</w:t>
      </w:r>
    </w:p>
    <w:p>
      <w:pPr>
        <w:spacing w:after="0" w:line="178" w:lineRule="exact"/>
        <w:rPr>
          <w:sz w:val="20"/>
          <w:szCs w:val="20"/>
          <w:color w:val="auto"/>
        </w:rPr>
      </w:pPr>
    </w:p>
    <w:p>
      <w:pPr>
        <w:ind w:right="600" w:firstLine="428"/>
        <w:spacing w:after="0" w:line="33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Permissive Open Source Software</w:t>
      </w:r>
      <w:r>
        <w:rPr>
          <w:rFonts w:ascii="Times New Roman" w:cs="Times New Roman" w:eastAsia="Times New Roman" w:hAnsi="Times New Roman"/>
          <w:sz w:val="16"/>
          <w:szCs w:val="16"/>
          <w:color w:val="auto"/>
        </w:rPr>
        <w:t>” means any open source software which is licensed under the MIT, 2 or 3 clause BSD or Apache 2.0 licences terms or any other license listed on the Blue Oak Council list in the Bronze or a higher category (see https://blueoakcouncil.org/list).</w:t>
      </w:r>
    </w:p>
    <w:p>
      <w:pPr>
        <w:spacing w:after="0" w:line="120" w:lineRule="exact"/>
        <w:rPr>
          <w:sz w:val="20"/>
          <w:szCs w:val="20"/>
          <w:color w:val="auto"/>
        </w:rPr>
      </w:pPr>
    </w:p>
    <w:p>
      <w:pPr>
        <w:ind w:right="62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firm, corporation, partnership, limited liability company, trust, business trust, joint venture, governmental authority, association or other entity.</w:t>
      </w:r>
    </w:p>
    <w:p>
      <w:pPr>
        <w:spacing w:after="0" w:line="164" w:lineRule="exact"/>
        <w:rPr>
          <w:sz w:val="20"/>
          <w:szCs w:val="20"/>
          <w:color w:val="auto"/>
        </w:rPr>
      </w:pPr>
    </w:p>
    <w:p>
      <w:pPr>
        <w:ind w:right="220" w:firstLine="42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means any information or set of information relating to a person that identifies such person (directly or indirectly) or could reasonably be used to identify such person regardless of the medium in which such information is displayed, including, without limitation, Sensitive Personal Information and including by reference to an identification number, to one or more factors specific to their physical, physiological, mental, economic, cultural or social identity.</w:t>
      </w:r>
    </w:p>
    <w:p>
      <w:pPr>
        <w:spacing w:after="0" w:line="181" w:lineRule="exact"/>
        <w:rPr>
          <w:sz w:val="20"/>
          <w:szCs w:val="20"/>
          <w:color w:val="auto"/>
        </w:rPr>
      </w:pPr>
    </w:p>
    <w:p>
      <w:pPr>
        <w:jc w:val="both"/>
        <w:ind w:right="260" w:firstLine="42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Personnel</w:t>
      </w:r>
      <w:r>
        <w:rPr>
          <w:rFonts w:ascii="Times New Roman" w:cs="Times New Roman" w:eastAsia="Times New Roman" w:hAnsi="Times New Roman"/>
          <w:sz w:val="18"/>
          <w:szCs w:val="18"/>
          <w:color w:val="auto"/>
        </w:rPr>
        <w:t>” means any Person acting on behalf of a Party (or on behalf of an Affiliate of such Party, as applicable), including a Party’s (or, as applicable, an Affiliate of such Party’s) employees, subcontractors, consultants, students, research staff (including post-doctoral fellows and the like), directors and advisors.</w:t>
      </w:r>
    </w:p>
    <w:p>
      <w:pPr>
        <w:spacing w:after="0" w:line="178" w:lineRule="exact"/>
        <w:rPr>
          <w:sz w:val="20"/>
          <w:szCs w:val="20"/>
          <w:color w:val="auto"/>
        </w:rPr>
      </w:pPr>
    </w:p>
    <w:p>
      <w:pPr>
        <w:ind w:right="80" w:firstLine="42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Procedure</w:t>
      </w:r>
      <w:r>
        <w:rPr>
          <w:rFonts w:ascii="Times New Roman" w:cs="Times New Roman" w:eastAsia="Times New Roman" w:hAnsi="Times New Roman"/>
          <w:sz w:val="18"/>
          <w:szCs w:val="18"/>
          <w:color w:val="auto"/>
        </w:rPr>
        <w:t>” means any specificities, processes and/or analytical methods pertaining to the Activities to be carried out by Tempus or its Affiliates under this Agreement, including (without limitation) the conditions under which Tempus’s Activities are to be carried out, which has been accepted by both Tempus (and, applicable, its Affiliates) and GSK (and, as applicable, its Affiliates).</w:t>
      </w:r>
    </w:p>
    <w:p>
      <w:pPr>
        <w:spacing w:after="0" w:line="178" w:lineRule="exact"/>
        <w:rPr>
          <w:sz w:val="20"/>
          <w:szCs w:val="20"/>
          <w:color w:val="auto"/>
        </w:rPr>
      </w:pPr>
    </w:p>
    <w:p>
      <w:pPr>
        <w:ind w:right="620" w:firstLine="428"/>
        <w:spacing w:after="0" w:line="33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Processing</w:t>
      </w:r>
      <w:r>
        <w:rPr>
          <w:rFonts w:ascii="Times New Roman" w:cs="Times New Roman" w:eastAsia="Times New Roman" w:hAnsi="Times New Roman"/>
          <w:sz w:val="16"/>
          <w:szCs w:val="16"/>
          <w:color w:val="auto"/>
        </w:rPr>
        <w:t>” (and its conjugates, including without limitation “Process”) means any operation or set of operations that is performed upon Personal Information, including without limitation collection, recording, retention, alteration, use, disclosure, access, transfer, or destruction.</w:t>
      </w:r>
    </w:p>
    <w:p>
      <w:pPr>
        <w:spacing w:after="0" w:line="120" w:lineRule="exact"/>
        <w:rPr>
          <w:sz w:val="20"/>
          <w:szCs w:val="20"/>
          <w:color w:val="auto"/>
        </w:rPr>
      </w:pPr>
    </w:p>
    <w:p>
      <w:pPr>
        <w:ind w:right="320" w:firstLine="42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 Change Form</w:t>
      </w:r>
      <w:r>
        <w:rPr>
          <w:rFonts w:ascii="Times New Roman" w:cs="Times New Roman" w:eastAsia="Times New Roman" w:hAnsi="Times New Roman"/>
          <w:sz w:val="18"/>
          <w:szCs w:val="18"/>
          <w:color w:val="auto"/>
        </w:rPr>
        <w:t>” means a written agreement between the Parties in respect of a required modification to the Activities or assumptions under a Task Order which is substantially in the form set out in Schedule 3 (Project Change Form) and includes (without limitation) details of the changes in respect of milestone dates, target dates and other timelines, fees and costs described in the Task Order.</w:t>
      </w:r>
    </w:p>
    <w:p>
      <w:pPr>
        <w:spacing w:after="0" w:line="178" w:lineRule="exact"/>
        <w:rPr>
          <w:sz w:val="20"/>
          <w:szCs w:val="20"/>
          <w:color w:val="auto"/>
        </w:rPr>
      </w:pPr>
    </w:p>
    <w:p>
      <w:pPr>
        <w:ind w:right="18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Protected Medical Information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PMI</w:t>
      </w:r>
      <w:r>
        <w:rPr>
          <w:rFonts w:ascii="Times New Roman" w:cs="Times New Roman" w:eastAsia="Times New Roman" w:hAnsi="Times New Roman"/>
          <w:sz w:val="18"/>
          <w:szCs w:val="18"/>
          <w:color w:val="auto"/>
        </w:rPr>
        <w:t>” means information, which tends to identify a specific individual’s clinical and medical conditions, genetic status, pathology information, treatments of conditions, health status, ethnic origin, age, encoded clinical trial data, etc.</w:t>
      </w:r>
    </w:p>
    <w:p>
      <w:pPr>
        <w:spacing w:after="0" w:line="164" w:lineRule="exact"/>
        <w:rPr>
          <w:sz w:val="20"/>
          <w:szCs w:val="20"/>
          <w:color w:val="auto"/>
        </w:rPr>
      </w:pPr>
    </w:p>
    <w:p>
      <w:pPr>
        <w:ind w:firstLine="42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Raw Data</w:t>
      </w:r>
      <w:r>
        <w:rPr>
          <w:rFonts w:ascii="Times New Roman" w:cs="Times New Roman" w:eastAsia="Times New Roman" w:hAnsi="Times New Roman"/>
          <w:sz w:val="18"/>
          <w:szCs w:val="18"/>
          <w:color w:val="auto"/>
        </w:rPr>
        <w:t>” means data, including, any information and results as originally collected or arising from the performance of the Activities and which have not been subject to processing or any other manipulation, such as records of original observations, measurements, laboratory notes, evaluations, data recorded by automated instruments without conclusions or interpretations.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20"/>
          </w:cols>
          <w:pgMar w:left="580" w:top="264" w:right="599" w:bottom="1440" w:gutter="0" w:footer="0" w:header="0"/>
        </w:sectPr>
      </w:pPr>
    </w:p>
    <w:bookmarkStart w:id="607" w:name="page608"/>
    <w:bookmarkEnd w:id="607"/>
    <w:p>
      <w:pPr>
        <w:ind w:right="20" w:firstLine="428"/>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Real World Data</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RWD</w:t>
      </w:r>
      <w:r>
        <w:rPr>
          <w:rFonts w:ascii="Times New Roman" w:cs="Times New Roman" w:eastAsia="Times New Roman" w:hAnsi="Times New Roman"/>
          <w:sz w:val="18"/>
          <w:szCs w:val="18"/>
          <w:color w:val="auto"/>
        </w:rPr>
        <w:t>” means Data relating to patient health status and/or the delivery of health care routinely collected from a variety of sources.</w:t>
      </w:r>
    </w:p>
    <w:p>
      <w:pPr>
        <w:spacing w:after="0" w:line="164" w:lineRule="exact"/>
        <w:rPr>
          <w:sz w:val="20"/>
          <w:szCs w:val="20"/>
          <w:color w:val="auto"/>
        </w:rPr>
      </w:pPr>
    </w:p>
    <w:p>
      <w:pPr>
        <w:ind w:right="24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Values</w:t>
      </w:r>
      <w:r>
        <w:rPr>
          <w:rFonts w:ascii="Times New Roman" w:cs="Times New Roman" w:eastAsia="Times New Roman" w:hAnsi="Times New Roman"/>
          <w:sz w:val="18"/>
          <w:szCs w:val="18"/>
          <w:color w:val="auto"/>
        </w:rPr>
        <w:t>” means the variations of a measurement or value in healthy individuals. The range originates in what is most prevalent in a reference group taken from the population.</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Referral Lab Interface</w:t>
      </w:r>
      <w:r>
        <w:rPr>
          <w:rFonts w:ascii="Times New Roman" w:cs="Times New Roman" w:eastAsia="Times New Roman" w:hAnsi="Times New Roman"/>
          <w:sz w:val="18"/>
          <w:szCs w:val="18"/>
          <w:color w:val="auto"/>
        </w:rPr>
        <w:t>” means an integration process between an Approved Subcontractor’s database and Tempus’s database.</w:t>
      </w:r>
    </w:p>
    <w:p>
      <w:pPr>
        <w:spacing w:after="0" w:line="213" w:lineRule="exact"/>
        <w:rPr>
          <w:sz w:val="20"/>
          <w:szCs w:val="20"/>
          <w:color w:val="auto"/>
        </w:rPr>
      </w:pPr>
    </w:p>
    <w:p>
      <w:pPr>
        <w:ind w:right="80" w:firstLine="42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 applicable body (regional, national or supranational) anywhere in the world having regulatory, supervisory or governmental authority enforceable by law over all or any part of the Activities or all or part of GSK’s or Tempus’s respective business, assets, resources, employees or members.</w:t>
      </w:r>
    </w:p>
    <w:p>
      <w:pPr>
        <w:spacing w:after="0" w:line="178" w:lineRule="exact"/>
        <w:rPr>
          <w:sz w:val="20"/>
          <w:szCs w:val="20"/>
          <w:color w:val="auto"/>
        </w:rPr>
      </w:pPr>
    </w:p>
    <w:p>
      <w:pPr>
        <w:ind w:right="10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Requirements</w:t>
      </w:r>
      <w:r>
        <w:rPr>
          <w:rFonts w:ascii="Times New Roman" w:cs="Times New Roman" w:eastAsia="Times New Roman" w:hAnsi="Times New Roman"/>
          <w:sz w:val="18"/>
          <w:szCs w:val="18"/>
          <w:color w:val="auto"/>
        </w:rPr>
        <w:t>” means all Applicable Law and all relevant rules, regulations and federal guidance applicable to the performance of the Activities, including without limitation, relating to the collection, storage, use and disposal of Human Biological Samples.</w:t>
      </w:r>
    </w:p>
    <w:p>
      <w:pPr>
        <w:spacing w:after="0" w:line="164" w:lineRule="exact"/>
        <w:rPr>
          <w:sz w:val="20"/>
          <w:szCs w:val="20"/>
          <w:color w:val="auto"/>
        </w:rPr>
      </w:pPr>
    </w:p>
    <w:p>
      <w:pPr>
        <w:ind w:right="40" w:firstLine="428"/>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Results</w:t>
      </w:r>
      <w:r>
        <w:rPr>
          <w:rFonts w:ascii="Times New Roman" w:cs="Times New Roman" w:eastAsia="Times New Roman" w:hAnsi="Times New Roman"/>
          <w:sz w:val="18"/>
          <w:szCs w:val="18"/>
          <w:color w:val="auto"/>
        </w:rPr>
        <w:t>” means any and all materials, Know-How and other information or data and other results that are generated in connection with the performance of this Agreement, including the performance of GSK Data Activities or any Activities pursuant to any Task Order, by (1) GSK, GSK’s Affiliates or any of their respective Associated Parties, (2) [***], or (3) Tempus, Tempus’s Affiliates, Approved Subcontractors or a Third Party associated with Tempus or any of Tempus’s Affiliates (including any Personnel of Tempus or any of its Affiliates), in each case if and to the extent included in a Deliverable. “Results” shall not include any materials, Know-How or other information or Data or other results solely to the extent any such materials, Know-How or other information or Data or other results constitute Licensed Data, the Tempus Background IP, the Tempus Arising IP or the Tempus Confidential Information.</w:t>
      </w:r>
    </w:p>
    <w:p>
      <w:pPr>
        <w:spacing w:after="0" w:line="189" w:lineRule="exact"/>
        <w:rPr>
          <w:sz w:val="20"/>
          <w:szCs w:val="20"/>
          <w:color w:val="auto"/>
        </w:rPr>
      </w:pPr>
    </w:p>
    <w:p>
      <w:pPr>
        <w:ind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Samples</w:t>
      </w:r>
      <w:r>
        <w:rPr>
          <w:rFonts w:ascii="Times New Roman" w:cs="Times New Roman" w:eastAsia="Times New Roman" w:hAnsi="Times New Roman"/>
          <w:sz w:val="18"/>
          <w:szCs w:val="18"/>
          <w:color w:val="auto"/>
        </w:rPr>
        <w:t>” means any biological materials (including any derivatives or progeny thereof) that shall be transferred to Tempus or its Affiliates by or on behalf of GSK or its Affiliates under this Agreement as well as HBS Data related thereto. Samples include GSK HBS.</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Samples Retention Period</w:t>
      </w:r>
      <w:r>
        <w:rPr>
          <w:rFonts w:ascii="Times New Roman" w:cs="Times New Roman" w:eastAsia="Times New Roman" w:hAnsi="Times New Roman"/>
          <w:sz w:val="18"/>
          <w:szCs w:val="18"/>
          <w:color w:val="auto"/>
        </w:rPr>
        <w:t>” has the meaning given to that term in Section 23.6 (Retention periods).</w:t>
      </w:r>
    </w:p>
    <w:p>
      <w:pPr>
        <w:spacing w:after="0" w:line="213" w:lineRule="exact"/>
        <w:rPr>
          <w:sz w:val="20"/>
          <w:szCs w:val="20"/>
          <w:color w:val="auto"/>
        </w:rPr>
      </w:pPr>
    </w:p>
    <w:p>
      <w:pPr>
        <w:ind w:right="20" w:firstLine="428"/>
        <w:spacing w:after="0" w:line="29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Sensitive Personal Information</w:t>
      </w:r>
      <w:r>
        <w:rPr>
          <w:rFonts w:ascii="Times New Roman" w:cs="Times New Roman" w:eastAsia="Times New Roman" w:hAnsi="Times New Roman"/>
          <w:sz w:val="16"/>
          <w:szCs w:val="16"/>
          <w:color w:val="auto"/>
        </w:rPr>
        <w:t>” means any Personal Information related to the racial or ethnic origin political opinions religious or philosophical beliefs, trade-union membership, health or sex life and any other Personal Information relating to a person where the unauthorised disclosure or use of such Personal Information could reasonably entail or result in enhanced potential risk to such person, including without limitation, a person’s Social Security number (or equivalent), passport number, driver’s license number or similar identifier, or credit or debit card number.</w:t>
      </w:r>
    </w:p>
    <w:p>
      <w:pPr>
        <w:spacing w:after="0" w:line="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80"/>
          </w:cols>
          <w:pgMar w:left="580" w:top="263" w:right="639" w:bottom="1440" w:gutter="0" w:footer="0" w:header="0"/>
        </w:sectPr>
      </w:pPr>
    </w:p>
    <w:bookmarkStart w:id="608" w:name="page609"/>
    <w:bookmarkEnd w:id="608"/>
    <w:p>
      <w:pPr>
        <w:ind w:right="180" w:firstLine="428"/>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Service Fees</w:t>
      </w:r>
      <w:r>
        <w:rPr>
          <w:rFonts w:ascii="Times New Roman" w:cs="Times New Roman" w:eastAsia="Times New Roman" w:hAnsi="Times New Roman"/>
          <w:sz w:val="18"/>
          <w:szCs w:val="18"/>
          <w:color w:val="auto"/>
        </w:rPr>
        <w:t>” means the aggregate amount of all fees and costs payable by GSK to Tempus, including all Data Access and License Fees, [***] and all fees and expenses payable to Tempus pursuant to this Agreement or any Task Order or other document or agreement contemplated hereby or entered into in connection herewith.</w:t>
      </w:r>
    </w:p>
    <w:p>
      <w:pPr>
        <w:spacing w:after="0" w:line="178" w:lineRule="exact"/>
        <w:rPr>
          <w:sz w:val="20"/>
          <w:szCs w:val="20"/>
          <w:color w:val="auto"/>
        </w:rPr>
      </w:pPr>
    </w:p>
    <w:p>
      <w:pPr>
        <w:ind w:right="18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Study</w:t>
      </w:r>
      <w:r>
        <w:rPr>
          <w:rFonts w:ascii="Times New Roman" w:cs="Times New Roman" w:eastAsia="Times New Roman" w:hAnsi="Times New Roman"/>
          <w:sz w:val="18"/>
          <w:szCs w:val="18"/>
          <w:color w:val="auto"/>
        </w:rPr>
        <w:t>” means any study or other investigation identified by GSK under this Agreement in connection with any GSK Research Program, which may be described in a Study Protocol and/or Study proposal and in respect of which Tempus may provide Services.</w:t>
      </w:r>
    </w:p>
    <w:p>
      <w:pPr>
        <w:spacing w:after="0" w:line="164" w:lineRule="exact"/>
        <w:rPr>
          <w:sz w:val="20"/>
          <w:szCs w:val="20"/>
          <w:color w:val="auto"/>
        </w:rPr>
      </w:pPr>
    </w:p>
    <w:p>
      <w:pPr>
        <w:ind w:right="20" w:firstLine="428"/>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Study Protocol</w:t>
      </w:r>
      <w:r>
        <w:rPr>
          <w:rFonts w:ascii="Times New Roman" w:cs="Times New Roman" w:eastAsia="Times New Roman" w:hAnsi="Times New Roman"/>
          <w:sz w:val="18"/>
          <w:szCs w:val="18"/>
          <w:color w:val="auto"/>
        </w:rPr>
        <w:t>” means, to the extent applicable to any GSK Research Program, a document that describes the objective(s), design, methodology, statistical considerations, and organization of a GSK Research Program, including the conditions under which the Study is conducted and that may include any specificities or methodologies pertaining to the Activities. The Study Protocol usually also gives the background and rationale for the Study, but these could be provided in other protocol referenced documents. The term Study Protocol shall refer to Study Protocol and Study Protocol amendments. The Study Protocol can be amended from time to time. To the extent required in connection with any GSK Research Program, the Study Protocol or a synopsis of the Study Protocol in which the Activities are described as well as their corresponding amendments (where applicable) shall be attached to the applicable Task Order for those testing projects where the result will be used for an enrolment decision or other primary or secondary endpoint.</w:t>
      </w:r>
    </w:p>
    <w:p>
      <w:pPr>
        <w:spacing w:after="0" w:line="186" w:lineRule="exact"/>
        <w:rPr>
          <w:sz w:val="20"/>
          <w:szCs w:val="20"/>
          <w:color w:val="auto"/>
        </w:rPr>
      </w:pPr>
    </w:p>
    <w:p>
      <w:pPr>
        <w:ind w:right="8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Study Records</w:t>
      </w:r>
      <w:r>
        <w:rPr>
          <w:rFonts w:ascii="Times New Roman" w:cs="Times New Roman" w:eastAsia="Times New Roman" w:hAnsi="Times New Roman"/>
          <w:sz w:val="18"/>
          <w:szCs w:val="18"/>
          <w:color w:val="auto"/>
        </w:rPr>
        <w:t>” means the Services Record and Study Related Data relating to a GSK Research Program that have to be retained as required by Applicable Law or upon GSK’s written request.</w:t>
      </w:r>
    </w:p>
    <w:p>
      <w:pPr>
        <w:spacing w:after="0" w:line="164" w:lineRule="exact"/>
        <w:rPr>
          <w:sz w:val="20"/>
          <w:szCs w:val="20"/>
          <w:color w:val="auto"/>
        </w:rPr>
      </w:pPr>
    </w:p>
    <w:p>
      <w:pPr>
        <w:ind w:right="14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Study Related Data</w:t>
      </w:r>
      <w:r>
        <w:rPr>
          <w:rFonts w:ascii="Times New Roman" w:cs="Times New Roman" w:eastAsia="Times New Roman" w:hAnsi="Times New Roman"/>
          <w:sz w:val="18"/>
          <w:szCs w:val="18"/>
          <w:color w:val="auto"/>
        </w:rPr>
        <w:t>” means (i) any GSK Data or (ii) any and all Deliverables. Study Related Data shall not include Licensed Records, Tempus Background IP, or Tempus Arising IP, unless specifically agreed to in a mutually acceptable Task Order.</w:t>
      </w:r>
    </w:p>
    <w:p>
      <w:pPr>
        <w:spacing w:after="0" w:line="164" w:lineRule="exact"/>
        <w:rPr>
          <w:sz w:val="20"/>
          <w:szCs w:val="20"/>
          <w:color w:val="auto"/>
        </w:rPr>
      </w:pPr>
    </w:p>
    <w:p>
      <w:pPr>
        <w:ind w:right="6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Supplied Materials</w:t>
      </w:r>
      <w:r>
        <w:rPr>
          <w:rFonts w:ascii="Times New Roman" w:cs="Times New Roman" w:eastAsia="Times New Roman" w:hAnsi="Times New Roman"/>
          <w:sz w:val="18"/>
          <w:szCs w:val="18"/>
          <w:color w:val="auto"/>
        </w:rPr>
        <w:t>” means any GSK Equipment or Materials or software which provided by GSK or its Affiliates for use in the performance of the Activities.</w:t>
      </w:r>
    </w:p>
    <w:p>
      <w:pPr>
        <w:spacing w:after="0" w:line="164" w:lineRule="exact"/>
        <w:rPr>
          <w:sz w:val="20"/>
          <w:szCs w:val="20"/>
          <w:color w:val="auto"/>
        </w:rPr>
      </w:pPr>
    </w:p>
    <w:p>
      <w:pPr>
        <w:ind w:right="200" w:firstLine="42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Task Order</w:t>
      </w:r>
      <w:r>
        <w:rPr>
          <w:rFonts w:ascii="Times New Roman" w:cs="Times New Roman" w:eastAsia="Times New Roman" w:hAnsi="Times New Roman"/>
          <w:sz w:val="18"/>
          <w:szCs w:val="18"/>
          <w:color w:val="auto"/>
        </w:rPr>
        <w:t>” means a written agreement between the Parties substantially in the form set out in Schedule 1 - Form of Task Order which incorporates by reference the terms of this Agreement and also contains terms specifically applicable to the performance of Activities by Tempus with respect to the applicable Activities under that Task Order.</w:t>
      </w:r>
    </w:p>
    <w:p>
      <w:pPr>
        <w:spacing w:after="0" w:line="178" w:lineRule="exact"/>
        <w:rPr>
          <w:sz w:val="20"/>
          <w:szCs w:val="20"/>
          <w:color w:val="auto"/>
        </w:rPr>
      </w:pPr>
    </w:p>
    <w:p>
      <w:pPr>
        <w:ind w:firstLine="428"/>
        <w:spacing w:after="0" w:line="33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Task Order Amendment</w:t>
      </w:r>
      <w:r>
        <w:rPr>
          <w:rFonts w:ascii="Times New Roman" w:cs="Times New Roman" w:eastAsia="Times New Roman" w:hAnsi="Times New Roman"/>
          <w:sz w:val="16"/>
          <w:szCs w:val="16"/>
          <w:color w:val="auto"/>
        </w:rPr>
        <w:t>” means a written agreement between the Parties substantially in the form set out in Schedule 1 - Form of Task Order in respect of a required modification to the Activities under a prior Task Order and includes details of the changes with respect to such prior Task Order.</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20"/>
          </w:cols>
          <w:pgMar w:left="580" w:top="264" w:right="599" w:bottom="1440" w:gutter="0" w:footer="0" w:header="0"/>
        </w:sectPr>
      </w:pPr>
    </w:p>
    <w:bookmarkStart w:id="609" w:name="page610"/>
    <w:bookmarkEnd w:id="609"/>
    <w:p>
      <w:pPr>
        <w:ind w:right="420" w:firstLine="428"/>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Tempus Background IP</w:t>
      </w:r>
      <w:r>
        <w:rPr>
          <w:rFonts w:ascii="Times New Roman" w:cs="Times New Roman" w:eastAsia="Times New Roman" w:hAnsi="Times New Roman"/>
          <w:sz w:val="18"/>
          <w:szCs w:val="18"/>
          <w:color w:val="auto"/>
        </w:rPr>
        <w:t>” means all Intellectual Property, including [***] that is owned or Controlled by Tempus, its Affiliates, or its Third Party collaborators: [***].</w:t>
      </w:r>
    </w:p>
    <w:p>
      <w:pPr>
        <w:spacing w:after="0" w:line="164" w:lineRule="exact"/>
        <w:rPr>
          <w:sz w:val="20"/>
          <w:szCs w:val="20"/>
          <w:color w:val="auto"/>
        </w:rPr>
      </w:pPr>
    </w:p>
    <w:p>
      <w:pPr>
        <w:ind w:right="54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Tempus Background Know-How</w:t>
      </w:r>
      <w:r>
        <w:rPr>
          <w:rFonts w:ascii="Times New Roman" w:cs="Times New Roman" w:eastAsia="Times New Roman" w:hAnsi="Times New Roman"/>
          <w:sz w:val="18"/>
          <w:szCs w:val="18"/>
          <w:color w:val="auto"/>
        </w:rPr>
        <w:t>” means any and all Know-How that is owned or Controlled by Tempus, its Affiliates or its Third Party collaborators: [***].</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Tempus Background Patents</w:t>
      </w:r>
      <w:r>
        <w:rPr>
          <w:rFonts w:ascii="Times New Roman" w:cs="Times New Roman" w:eastAsia="Times New Roman" w:hAnsi="Times New Roman"/>
          <w:sz w:val="16"/>
          <w:szCs w:val="16"/>
          <w:color w:val="auto"/>
        </w:rPr>
        <w:t>” means any and all Patents that are owned or Controlled by Tempus, its Affiliates or its Third Party collaborators: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Tempus Biotechnology Platform</w:t>
      </w:r>
      <w:r>
        <w:rPr>
          <w:rFonts w:ascii="Times New Roman" w:cs="Times New Roman" w:eastAsia="Times New Roman" w:hAnsi="Times New Roman"/>
          <w:sz w:val="18"/>
          <w:szCs w:val="18"/>
          <w:color w:val="auto"/>
        </w:rPr>
        <w:t>” means, collectively, the Tempus Software and the Tempus Dataset.</w:t>
      </w:r>
    </w:p>
    <w:p>
      <w:pPr>
        <w:spacing w:after="0" w:line="213" w:lineRule="exact"/>
        <w:rPr>
          <w:sz w:val="20"/>
          <w:szCs w:val="20"/>
          <w:color w:val="auto"/>
        </w:rPr>
      </w:pPr>
    </w:p>
    <w:p>
      <w:pPr>
        <w:ind w:firstLine="428"/>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Tempus Confidential Information</w:t>
      </w:r>
      <w:r>
        <w:rPr>
          <w:rFonts w:ascii="Times New Roman" w:cs="Times New Roman" w:eastAsia="Times New Roman" w:hAnsi="Times New Roman"/>
          <w:sz w:val="16"/>
          <w:szCs w:val="16"/>
          <w:color w:val="auto"/>
        </w:rPr>
        <w:t>” means any confidential or proprietary information, including inventions, methods, plans, processes, specifications, Know-How, Trade Secrets, compounds, materials, Data (other than GSK Data), business plans, business proposals, financial statements, cost information, Personal Information of Tempus Personnel, software, models (including model parameters) and technical information, disclosed by or on behalf of Tempus or any of its Affiliates to GSK or any of its Affiliates or representatives; provided, that “Tempus Confidential Information” shall not include (a) any GSK Work Product, GSK Background IP or GSK Arising IP or (b) any information which (i) at the time of disclosure or discovery is in the public domain; (ii) after disclosure, becomes part of the public domain by publication or otherwise, except by breach by GSK or any of its Affiliates or representatives of the terms of this Agreement or a Task Order; (iii) GSK can establish by reasonable proof was in its possession at the time of disclosure by Tempus or its Affiliates and was not acquired, directly or indirectly, from Tempus; (iv) GSK receives from a third party that has the legal right to disclose such information, free of any confidentiality obligation; or (v) GSK can establish by reasonable proof was independently developed by or on behalf of GSK without any use or reference to Tempus Confidential Information. Tempus Confidential Information includes, without limitation, the Tempus Biotechnology Platform, Tempus Background IP, Tempus Arising IP and the Licensed Data.</w:t>
      </w:r>
    </w:p>
    <w:p>
      <w:pPr>
        <w:spacing w:after="0" w:line="3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Tempus Dataset</w:t>
      </w:r>
      <w:r>
        <w:rPr>
          <w:rFonts w:ascii="Times New Roman" w:cs="Times New Roman" w:eastAsia="Times New Roman" w:hAnsi="Times New Roman"/>
          <w:sz w:val="18"/>
          <w:szCs w:val="18"/>
          <w:color w:val="auto"/>
        </w:rPr>
        <w:t>” means the proprietary dataset maintained by Tempus and accessible through the Tempus Software [***].</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Tempus Facility</w:t>
      </w:r>
      <w:r>
        <w:rPr>
          <w:rFonts w:ascii="Times New Roman" w:cs="Times New Roman" w:eastAsia="Times New Roman" w:hAnsi="Times New Roman"/>
          <w:sz w:val="18"/>
          <w:szCs w:val="18"/>
          <w:color w:val="auto"/>
        </w:rPr>
        <w:t>” means any and all premises of Tempus or any Affiliate of Tempus where Activities shall be carried out.</w:t>
      </w:r>
    </w:p>
    <w:p>
      <w:pPr>
        <w:spacing w:after="0" w:line="213" w:lineRule="exact"/>
        <w:rPr>
          <w:sz w:val="20"/>
          <w:szCs w:val="20"/>
          <w:color w:val="auto"/>
        </w:rPr>
      </w:pPr>
    </w:p>
    <w:p>
      <w:pPr>
        <w:ind w:right="34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Tempus FTE</w:t>
      </w:r>
      <w:r>
        <w:rPr>
          <w:rFonts w:ascii="Times New Roman" w:cs="Times New Roman" w:eastAsia="Times New Roman" w:hAnsi="Times New Roman"/>
          <w:sz w:val="18"/>
          <w:szCs w:val="18"/>
          <w:color w:val="auto"/>
        </w:rPr>
        <w:t>” means one (1) person or the equivalent of one (1) person working full time for one (1) twelve (12) month period employed or contracted by Tempus and assigned to perform specified work [***].</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Tempus [***]</w:t>
      </w:r>
      <w:r>
        <w:rPr>
          <w:rFonts w:ascii="Times New Roman" w:cs="Times New Roman" w:eastAsia="Times New Roman" w:hAnsi="Times New Roman"/>
          <w:sz w:val="18"/>
          <w:szCs w:val="18"/>
          <w:color w:val="auto"/>
        </w:rPr>
        <w:t>” means [***].</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20"/>
          </w:cols>
          <w:pgMar w:left="580" w:top="263" w:right="599" w:bottom="1440" w:gutter="0" w:footer="0" w:header="0"/>
        </w:sectPr>
      </w:pPr>
    </w:p>
    <w:bookmarkStart w:id="610" w:name="page611"/>
    <w:bookmarkEnd w:id="610"/>
    <w:p>
      <w:pPr>
        <w:ind w:right="640" w:firstLine="428"/>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Tempus Personnel</w:t>
      </w:r>
      <w:r>
        <w:rPr>
          <w:rFonts w:ascii="Times New Roman" w:cs="Times New Roman" w:eastAsia="Times New Roman" w:hAnsi="Times New Roman"/>
          <w:sz w:val="18"/>
          <w:szCs w:val="18"/>
          <w:color w:val="auto"/>
        </w:rPr>
        <w:t>” means any and all Personnel furnished or engaged by Tempus to perform any part of the Activities [***], including employees and independent contractors of Tempus and the Approved Subcontractors.</w:t>
      </w:r>
    </w:p>
    <w:p>
      <w:pPr>
        <w:spacing w:after="0" w:line="164" w:lineRule="exact"/>
        <w:rPr>
          <w:sz w:val="20"/>
          <w:szCs w:val="20"/>
          <w:color w:val="auto"/>
        </w:rPr>
      </w:pPr>
    </w:p>
    <w:p>
      <w:pPr>
        <w:ind w:right="480" w:firstLine="42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Tempus Software</w:t>
      </w:r>
      <w:r>
        <w:rPr>
          <w:rFonts w:ascii="Times New Roman" w:cs="Times New Roman" w:eastAsia="Times New Roman" w:hAnsi="Times New Roman"/>
          <w:sz w:val="18"/>
          <w:szCs w:val="18"/>
          <w:color w:val="auto"/>
        </w:rPr>
        <w:t>” means Tempus’s proprietary real-world data (“</w:t>
      </w:r>
      <w:r>
        <w:rPr>
          <w:rFonts w:ascii="Times New Roman" w:cs="Times New Roman" w:eastAsia="Times New Roman" w:hAnsi="Times New Roman"/>
          <w:sz w:val="18"/>
          <w:szCs w:val="18"/>
          <w:b w:val="1"/>
          <w:bCs w:val="1"/>
          <w:color w:val="auto"/>
        </w:rPr>
        <w:t>RWD</w:t>
      </w:r>
      <w:r>
        <w:rPr>
          <w:rFonts w:ascii="Times New Roman" w:cs="Times New Roman" w:eastAsia="Times New Roman" w:hAnsi="Times New Roman"/>
          <w:sz w:val="18"/>
          <w:szCs w:val="18"/>
          <w:color w:val="auto"/>
        </w:rPr>
        <w:t>”)-driven biotechnology platform for interfacing with the Tempus Dataset, known as the “LENS” platform, including all backend architecture, tools, and other software needed to power, administer, and run such platform.</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Materials</w:t>
      </w:r>
      <w:r>
        <w:rPr>
          <w:rFonts w:ascii="Times New Roman" w:cs="Times New Roman" w:eastAsia="Times New Roman" w:hAnsi="Times New Roman"/>
          <w:sz w:val="18"/>
          <w:szCs w:val="18"/>
          <w:color w:val="auto"/>
        </w:rPr>
        <w:t>” means [***].</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other than GSK or Tempus or their respective Affiliates.</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Software</w:t>
      </w:r>
      <w:r>
        <w:rPr>
          <w:rFonts w:ascii="Times New Roman" w:cs="Times New Roman" w:eastAsia="Times New Roman" w:hAnsi="Times New Roman"/>
          <w:sz w:val="18"/>
          <w:szCs w:val="18"/>
          <w:color w:val="auto"/>
        </w:rPr>
        <w:t>” means any third party proprietary software embedded in the Tempus Software, [***].</w:t>
      </w:r>
    </w:p>
    <w:p>
      <w:pPr>
        <w:spacing w:after="0" w:line="213" w:lineRule="exact"/>
        <w:rPr>
          <w:sz w:val="20"/>
          <w:szCs w:val="20"/>
          <w:color w:val="auto"/>
        </w:rPr>
      </w:pPr>
    </w:p>
    <w:p>
      <w:pPr>
        <w:ind w:right="46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any trademark, service mark, trade name or logo, whether registered or not, as well as all applications thereto, and all goodwill associated therewith.</w:t>
      </w:r>
    </w:p>
    <w:p>
      <w:pPr>
        <w:spacing w:after="0" w:line="164" w:lineRule="exact"/>
        <w:rPr>
          <w:sz w:val="20"/>
          <w:szCs w:val="20"/>
          <w:color w:val="auto"/>
        </w:rPr>
      </w:pPr>
    </w:p>
    <w:p>
      <w:pPr>
        <w:ind w:right="42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Secret</w:t>
      </w:r>
      <w:r>
        <w:rPr>
          <w:rFonts w:ascii="Times New Roman" w:cs="Times New Roman" w:eastAsia="Times New Roman" w:hAnsi="Times New Roman"/>
          <w:sz w:val="18"/>
          <w:szCs w:val="18"/>
          <w:color w:val="auto"/>
        </w:rPr>
        <w:t>” means any form or type of information or data that is (i) not generally known to persons within the field concerned with that information or data, (ii) subject to reasonable measures to keep it secret, and (iii) of commercial value due to it being secret.</w:t>
      </w:r>
    </w:p>
    <w:p>
      <w:pPr>
        <w:spacing w:after="0" w:line="164" w:lineRule="exact"/>
        <w:rPr>
          <w:sz w:val="20"/>
          <w:szCs w:val="20"/>
          <w:color w:val="auto"/>
        </w:rPr>
      </w:pPr>
    </w:p>
    <w:p>
      <w:pPr>
        <w:ind w:right="50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Unexpected Personal Information</w:t>
      </w:r>
      <w:r>
        <w:rPr>
          <w:rFonts w:ascii="Times New Roman" w:cs="Times New Roman" w:eastAsia="Times New Roman" w:hAnsi="Times New Roman"/>
          <w:sz w:val="18"/>
          <w:szCs w:val="18"/>
          <w:color w:val="auto"/>
        </w:rPr>
        <w:t>” means protected health information or Personal Information received by Tempus which has not been de-identified or key-coded or is not provided in compliance with a study subject informed consent.</w:t>
      </w:r>
    </w:p>
    <w:p>
      <w:pPr>
        <w:spacing w:after="0" w:line="164" w:lineRule="exact"/>
        <w:rPr>
          <w:sz w:val="20"/>
          <w:szCs w:val="20"/>
          <w:color w:val="auto"/>
        </w:rPr>
      </w:pPr>
    </w:p>
    <w:p>
      <w:pPr>
        <w:ind w:right="120" w:firstLine="428"/>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VAT &amp; Indirect Taxes</w:t>
      </w:r>
      <w:r>
        <w:rPr>
          <w:rFonts w:ascii="Times New Roman" w:cs="Times New Roman" w:eastAsia="Times New Roman" w:hAnsi="Times New Roman"/>
          <w:sz w:val="18"/>
          <w:szCs w:val="18"/>
          <w:color w:val="auto"/>
        </w:rPr>
        <w:t>” means any value added, sales, purchase, turnover or consumption tax as may be applicable in any relevant jurisdiction, including but not limited to value added tax chargeable under legislation implementing Council Directive 2006/112/EC.</w:t>
      </w:r>
    </w:p>
    <w:p>
      <w:pPr>
        <w:spacing w:after="0" w:line="164" w:lineRule="exact"/>
        <w:rPr>
          <w:sz w:val="20"/>
          <w:szCs w:val="20"/>
          <w:color w:val="auto"/>
        </w:rPr>
      </w:pPr>
    </w:p>
    <w:p>
      <w:pPr>
        <w:ind w:right="320" w:firstLine="428"/>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Viral Open Source Software</w:t>
      </w:r>
      <w:r>
        <w:rPr>
          <w:rFonts w:ascii="Times New Roman" w:cs="Times New Roman" w:eastAsia="Times New Roman" w:hAnsi="Times New Roman"/>
          <w:sz w:val="16"/>
          <w:szCs w:val="16"/>
          <w:color w:val="auto"/>
        </w:rPr>
        <w:t>” means any software which is not Permissive Open Source Software and which is licensed or has terms of use which would (i) subject any of GSK’s software or systems to a requirement (including a conditional requirement) that such software or systems be</w:t>
      </w:r>
    </w:p>
    <w:p>
      <w:pPr>
        <w:spacing w:after="0" w:line="1" w:lineRule="exact"/>
        <w:rPr>
          <w:sz w:val="20"/>
          <w:szCs w:val="20"/>
          <w:color w:val="auto"/>
        </w:rPr>
      </w:pPr>
    </w:p>
    <w:p>
      <w:pPr>
        <w:ind w:firstLine="8"/>
        <w:spacing w:after="0" w:line="274" w:lineRule="auto"/>
        <w:tabs>
          <w:tab w:leader="none" w:pos="238" w:val="left"/>
        </w:tabs>
        <w:numPr>
          <w:ilvl w:val="0"/>
          <w:numId w:val="5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made accessible or disclosed or distributed in source code form or (b) licensed for the purpose of making derivative works; or (ii) impose any restriction or control on the distribution, making accessible, disclosure or use of any GSK software or systems; or (iii) create, or purport to create, any obligation for GSK or its Affiliates with respect to any of GSK’s software or systems or any other software; or (iv) grant, or purport to grant, to any third party, any rights or immunities under any GSK Background IP or any GSK Work Product or GSK Arising IP allocated to GSK under this Agreement; or</w:t>
      </w:r>
    </w:p>
    <w:p>
      <w:pPr>
        <w:ind w:left="260" w:hanging="252"/>
        <w:spacing w:after="0"/>
        <w:tabs>
          <w:tab w:leader="none" w:pos="26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any other material limitation, restriction, or condition on the ability of GSK or its Affiliates to exercise its rights under this Agreement.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00"/>
          </w:cols>
          <w:pgMar w:left="580" w:top="264" w:right="619" w:bottom="1440" w:gutter="0" w:footer="0" w:header="0"/>
        </w:sectPr>
      </w:pPr>
    </w:p>
    <w:bookmarkStart w:id="611" w:name="page612"/>
    <w:bookmarkEnd w:id="611"/>
    <w:p>
      <w:pPr>
        <w:ind w:firstLine="428"/>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Works</w:t>
      </w:r>
      <w:r>
        <w:rPr>
          <w:rFonts w:ascii="Times New Roman" w:cs="Times New Roman" w:eastAsia="Times New Roman" w:hAnsi="Times New Roman"/>
          <w:sz w:val="18"/>
          <w:szCs w:val="18"/>
          <w:color w:val="auto"/>
        </w:rPr>
        <w:t>” means ideas, inventions, discoveries, processes, methods, designs, know how, strategies, techniques, formulas, specifications, algorithms, computer programs including software (in source code or object code), algorithms, meta analyses, derivative datasets, models (including any computational, simulation and ML models), model parameters, model architectures, model training methods, inferences or hypotheses, firmware and related operating instructions and documentation, trademarks, service marks, and work products and works of authorship of all kinds, including notes, reports, memoranda, writings, plans, outlines, research, data, datasets, data structures, search parameters, search queries, sum operation or other operations or functions, figures, descriptions, drawings, diagrams, charts, sketches, patterns, compilations, lists, surveys, interview guides, and recordings (in each case, in any form or medium and whether or not patentable, reduced to practice, or copyrightable).</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in this Agreement not defined above shall have the meaning set forth in the corresponding section listed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900" w:type="dxa"/>
            <w:vAlign w:val="bottom"/>
          </w:tcPr>
          <w:p>
            <w:pPr>
              <w:spacing w:after="0"/>
              <w:rPr>
                <w:sz w:val="14"/>
                <w:szCs w:val="14"/>
                <w:color w:val="auto"/>
              </w:rPr>
            </w:pPr>
          </w:p>
        </w:tc>
        <w:tc>
          <w:tcPr>
            <w:tcW w:w="4140" w:type="dxa"/>
            <w:vAlign w:val="bottom"/>
            <w:gridSpan w:val="2"/>
          </w:tcPr>
          <w:p>
            <w:pPr>
              <w:ind w:left="3700"/>
              <w:spacing w:after="0"/>
              <w:rPr>
                <w:sz w:val="20"/>
                <w:szCs w:val="20"/>
                <w:color w:val="auto"/>
              </w:rPr>
            </w:pPr>
            <w:r>
              <w:rPr>
                <w:rFonts w:ascii="Times New Roman" w:cs="Times New Roman" w:eastAsia="Times New Roman" w:hAnsi="Times New Roman"/>
                <w:sz w:val="14"/>
                <w:szCs w:val="14"/>
                <w:b w:val="1"/>
                <w:bCs w:val="1"/>
                <w:color w:val="auto"/>
                <w:w w:val="96"/>
              </w:rPr>
              <w:t>Section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700" w:type="dxa"/>
            <w:vAlign w:val="bottom"/>
            <w:vMerge w:val="restart"/>
          </w:tcPr>
          <w:p>
            <w:pPr>
              <w:ind w:left="1340"/>
              <w:spacing w:after="0" w:line="203" w:lineRule="exact"/>
              <w:rPr>
                <w:sz w:val="20"/>
                <w:szCs w:val="20"/>
                <w:color w:val="auto"/>
              </w:rPr>
            </w:pPr>
            <w:r>
              <w:rPr>
                <w:rFonts w:ascii="Times New Roman" w:cs="Times New Roman" w:eastAsia="Times New Roman" w:hAnsi="Times New Roman"/>
                <w:sz w:val="18"/>
                <w:szCs w:val="18"/>
                <w:color w:val="auto"/>
              </w:rPr>
              <w:t>Section 24.4iv))</w:t>
            </w:r>
          </w:p>
        </w:tc>
        <w:tc>
          <w:tcPr>
            <w:tcW w:w="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Actual Calendar Year Costs</w:t>
            </w:r>
            <w:r>
              <w:rPr>
                <w:rFonts w:ascii="Times New Roman" w:cs="Times New Roman" w:eastAsia="Times New Roman" w:hAnsi="Times New Roman"/>
                <w:sz w:val="18"/>
                <w:szCs w:val="18"/>
                <w:color w:val="auto"/>
              </w:rPr>
              <w:t>”</w:t>
            </w:r>
          </w:p>
        </w:tc>
        <w:tc>
          <w:tcPr>
            <w:tcW w:w="3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Actual Quarterly Costs</w:t>
            </w:r>
            <w:r>
              <w:rPr>
                <w:rFonts w:ascii="Times New Roman" w:cs="Times New Roman" w:eastAsia="Times New Roman" w:hAnsi="Times New Roman"/>
                <w:sz w:val="18"/>
                <w:szCs w:val="18"/>
                <w:color w:val="auto"/>
              </w:rPr>
              <w:t>”</w:t>
            </w:r>
          </w:p>
        </w:tc>
        <w:tc>
          <w:tcPr>
            <w:tcW w:w="41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24.4ii)a)</w:t>
            </w: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Funding Commitment</w:t>
            </w:r>
            <w:r>
              <w:rPr>
                <w:rFonts w:ascii="Times New Roman" w:cs="Times New Roman" w:eastAsia="Times New Roman" w:hAnsi="Times New Roman"/>
                <w:sz w:val="18"/>
                <w:szCs w:val="18"/>
                <w:color w:val="auto"/>
              </w:rPr>
              <w:t>”</w:t>
            </w:r>
          </w:p>
        </w:tc>
        <w:tc>
          <w:tcPr>
            <w:tcW w:w="41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24.3</w:t>
            </w: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Funding Term</w:t>
            </w:r>
            <w:r>
              <w:rPr>
                <w:rFonts w:ascii="Times New Roman" w:cs="Times New Roman" w:eastAsia="Times New Roman" w:hAnsi="Times New Roman"/>
                <w:sz w:val="18"/>
                <w:szCs w:val="18"/>
                <w:color w:val="auto"/>
              </w:rPr>
              <w:t>”</w:t>
            </w:r>
          </w:p>
        </w:tc>
        <w:tc>
          <w:tcPr>
            <w:tcW w:w="41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24.3</w:t>
            </w: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Committed Funding</w:t>
            </w:r>
            <w:r>
              <w:rPr>
                <w:rFonts w:ascii="Times New Roman" w:cs="Times New Roman" w:eastAsia="Times New Roman" w:hAnsi="Times New Roman"/>
                <w:sz w:val="18"/>
                <w:szCs w:val="18"/>
                <w:color w:val="auto"/>
              </w:rPr>
              <w:t>”</w:t>
            </w:r>
          </w:p>
        </w:tc>
        <w:tc>
          <w:tcPr>
            <w:tcW w:w="41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24.4iii)b)</w:t>
            </w: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tc>
        <w:tc>
          <w:tcPr>
            <w:tcW w:w="41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AI/ML Lead</w:t>
            </w:r>
            <w:r>
              <w:rPr>
                <w:rFonts w:ascii="Times New Roman" w:cs="Times New Roman" w:eastAsia="Times New Roman" w:hAnsi="Times New Roman"/>
                <w:sz w:val="18"/>
                <w:szCs w:val="18"/>
                <w:color w:val="auto"/>
              </w:rPr>
              <w:t>”</w:t>
            </w:r>
          </w:p>
        </w:tc>
        <w:tc>
          <w:tcPr>
            <w:tcW w:w="41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5.9iii)</w:t>
            </w: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Alliance Director</w:t>
            </w:r>
            <w:r>
              <w:rPr>
                <w:rFonts w:ascii="Times New Roman" w:cs="Times New Roman" w:eastAsia="Times New Roman" w:hAnsi="Times New Roman"/>
                <w:sz w:val="18"/>
                <w:szCs w:val="18"/>
                <w:color w:val="auto"/>
              </w:rPr>
              <w:t>”</w:t>
            </w:r>
          </w:p>
        </w:tc>
        <w:tc>
          <w:tcPr>
            <w:tcW w:w="41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5.9i)</w:t>
            </w: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Fee Statement</w:t>
            </w:r>
            <w:r>
              <w:rPr>
                <w:rFonts w:ascii="Times New Roman" w:cs="Times New Roman" w:eastAsia="Times New Roman" w:hAnsi="Times New Roman"/>
                <w:sz w:val="18"/>
                <w:szCs w:val="18"/>
                <w:color w:val="auto"/>
              </w:rPr>
              <w:t>”</w:t>
            </w:r>
          </w:p>
        </w:tc>
        <w:tc>
          <w:tcPr>
            <w:tcW w:w="41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24.4iv))</w:t>
            </w: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w:t>
            </w:r>
          </w:p>
        </w:tc>
        <w:tc>
          <w:tcPr>
            <w:tcW w:w="41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5</w:t>
            </w: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Catch-Up Payment</w:t>
            </w:r>
            <w:r>
              <w:rPr>
                <w:rFonts w:ascii="Times New Roman" w:cs="Times New Roman" w:eastAsia="Times New Roman" w:hAnsi="Times New Roman"/>
                <w:sz w:val="18"/>
                <w:szCs w:val="18"/>
                <w:color w:val="auto"/>
              </w:rPr>
              <w:t>”</w:t>
            </w:r>
          </w:p>
        </w:tc>
        <w:tc>
          <w:tcPr>
            <w:tcW w:w="41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24.4ii)b)</w:t>
            </w: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w:t>
            </w:r>
            <w:r>
              <w:rPr>
                <w:rFonts w:ascii="Times New Roman" w:cs="Times New Roman" w:eastAsia="Times New Roman" w:hAnsi="Times New Roman"/>
                <w:sz w:val="18"/>
                <w:szCs w:val="18"/>
                <w:color w:val="auto"/>
              </w:rPr>
              <w:t>”</w:t>
            </w:r>
          </w:p>
        </w:tc>
        <w:tc>
          <w:tcPr>
            <w:tcW w:w="41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4.5i)</w:t>
            </w: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tc>
        <w:tc>
          <w:tcPr>
            <w:tcW w:w="41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1</w:t>
            </w: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Committed Funding Payment Pause</w:t>
            </w:r>
            <w:r>
              <w:rPr>
                <w:rFonts w:ascii="Times New Roman" w:cs="Times New Roman" w:eastAsia="Times New Roman" w:hAnsi="Times New Roman"/>
                <w:sz w:val="18"/>
                <w:szCs w:val="18"/>
                <w:color w:val="auto"/>
              </w:rPr>
              <w:t>”</w:t>
            </w:r>
          </w:p>
        </w:tc>
        <w:tc>
          <w:tcPr>
            <w:tcW w:w="41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24.4ii)a)</w:t>
            </w: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CPR</w:t>
            </w:r>
            <w:r>
              <w:rPr>
                <w:rFonts w:ascii="Times New Roman" w:cs="Times New Roman" w:eastAsia="Times New Roman" w:hAnsi="Times New Roman"/>
                <w:sz w:val="18"/>
                <w:szCs w:val="18"/>
                <w:color w:val="auto"/>
              </w:rPr>
              <w:t>”</w:t>
            </w:r>
          </w:p>
        </w:tc>
        <w:tc>
          <w:tcPr>
            <w:tcW w:w="41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48.1ii)</w:t>
            </w: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Exchange Subscription Fee</w:t>
            </w:r>
            <w:r>
              <w:rPr>
                <w:rFonts w:ascii="Times New Roman" w:cs="Times New Roman" w:eastAsia="Times New Roman" w:hAnsi="Times New Roman"/>
                <w:sz w:val="18"/>
                <w:szCs w:val="18"/>
                <w:color w:val="auto"/>
              </w:rPr>
              <w:t>”</w:t>
            </w:r>
          </w:p>
        </w:tc>
        <w:tc>
          <w:tcPr>
            <w:tcW w:w="41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6.4</w:t>
            </w: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Overview Committee</w:t>
            </w:r>
            <w:r>
              <w:rPr>
                <w:rFonts w:ascii="Times New Roman" w:cs="Times New Roman" w:eastAsia="Times New Roman" w:hAnsi="Times New Roman"/>
                <w:sz w:val="18"/>
                <w:szCs w:val="18"/>
                <w:color w:val="auto"/>
              </w:rPr>
              <w:t>”</w:t>
            </w:r>
          </w:p>
        </w:tc>
        <w:tc>
          <w:tcPr>
            <w:tcW w:w="41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5.7</w:t>
            </w: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Licensing Services</w:t>
            </w:r>
            <w:r>
              <w:rPr>
                <w:rFonts w:ascii="Times New Roman" w:cs="Times New Roman" w:eastAsia="Times New Roman" w:hAnsi="Times New Roman"/>
                <w:sz w:val="18"/>
                <w:szCs w:val="18"/>
                <w:color w:val="auto"/>
              </w:rPr>
              <w:t>”</w:t>
            </w:r>
          </w:p>
        </w:tc>
        <w:tc>
          <w:tcPr>
            <w:tcW w:w="41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6.4</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Database Access and Expansion Criteria</w:t>
            </w:r>
            <w:r>
              <w:rPr>
                <w:rFonts w:ascii="Times New Roman" w:cs="Times New Roman" w:eastAsia="Times New Roman" w:hAnsi="Times New Roman"/>
                <w:sz w:val="18"/>
                <w:szCs w:val="18"/>
                <w:color w:val="auto"/>
              </w:rPr>
              <w:t>”</w:t>
            </w:r>
          </w:p>
        </w:tc>
        <w:tc>
          <w:tcPr>
            <w:tcW w:w="41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5.10</w:t>
            </w:r>
          </w:p>
        </w:tc>
        <w:tc>
          <w:tcPr>
            <w:tcW w:w="0" w:type="dxa"/>
            <w:vAlign w:val="bottom"/>
          </w:tcPr>
          <w:p>
            <w:pPr>
              <w:spacing w:after="0"/>
              <w:rPr>
                <w:sz w:val="1"/>
                <w:szCs w:val="1"/>
                <w:color w:val="auto"/>
              </w:rPr>
            </w:pPr>
          </w:p>
        </w:tc>
      </w:tr>
      <w:tr>
        <w:trPr>
          <w:trHeight w:val="354"/>
        </w:trPr>
        <w:tc>
          <w:tcPr>
            <w:tcW w:w="3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580" w:top="264" w:right="619" w:bottom="1440" w:gutter="0" w:footer="0" w:header="0"/>
        </w:sectPr>
      </w:pPr>
    </w:p>
    <w:bookmarkStart w:id="612" w:name="page613"/>
    <w:bookmarkEnd w:id="612"/>
    <w:p>
      <w:pPr>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Documentation</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Representative</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Milestone</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Shortfall</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Term</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GSK</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GSK Arising IP</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GSK Dedicated Library</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GSK Indemnitees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GSK Payment Procedures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GSK Policies and Procedures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GSK-SCS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IDE</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Improvements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Funding Commitment</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Term</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Claim</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Committee</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JSC</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Laboratory Practices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Laboratory Quality Assessment Action Plan</w:t>
      </w: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LENS License Fee</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Records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Terms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Program Lead</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Quarterly Fee Statement</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Quarterly Funding Payments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Quarterly Funding Surplus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Quarterly Funding Trigger</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Renewal Term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Section 7.1i)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-210185</wp:posOffset>
            </wp:positionV>
            <wp:extent cx="7178040" cy="3746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48.1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6.1ii)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Preamble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5.9(v)</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24.4i)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24.4ii)b)</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24.2ii)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Preamble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17.3ii)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6.4ii)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25.2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24.1i)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8.1l)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6.6ii)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9.8</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29.8iii)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24.2iii)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25.3i)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5.7ii)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9.5</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9.5</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6.4iii)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24.6iii)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5.9iv)</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24.4ii)a)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24.2i)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24.4ii)a)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24.1ii)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w:t>
      </w:r>
    </w:p>
    <w:p>
      <w:pPr>
        <w:spacing w:after="0" w:line="130" w:lineRule="exact"/>
        <w:rPr>
          <w:sz w:val="20"/>
          <w:szCs w:val="20"/>
          <w:color w:val="auto"/>
        </w:rPr>
      </w:pPr>
    </w:p>
    <w:p>
      <w:pPr>
        <w:sectPr>
          <w:pgSz w:w="11900" w:h="16838" w:orient="portrait"/>
          <w:cols w:equalWidth="0" w:num="2">
            <w:col w:w="4860" w:space="720"/>
            <w:col w:w="4299"/>
          </w:cols>
          <w:pgMar w:left="580" w:top="265" w:right="1440" w:bottom="1440" w:gutter="0" w:footer="0" w:header="0"/>
        </w:sectPr>
      </w:pPr>
    </w:p>
    <w:p>
      <w:pPr>
        <w:ind w:left="52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879"/>
          </w:cols>
          <w:pgMar w:left="580" w:top="265" w:right="1440" w:bottom="1440" w:gutter="0" w:footer="0" w:header="0"/>
          <w:type w:val="continuous"/>
        </w:sectPr>
      </w:pPr>
    </w:p>
    <w:bookmarkStart w:id="613" w:name="page614"/>
    <w:bookmarkEnd w:id="61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Retention Period</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Return Date</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Scientific Lead</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 Records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Strategic Collaboration</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Study Related Data Retention Period</w:t>
      </w: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Surplus Funding Credit</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Task Order Term</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Tempus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Tempus Arising IP</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Tempus Claim</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Tempus Indemnitee</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Tempus Indemnitee</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Tempus Indemnitees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Tempus TIME Program</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Tempus TO Screening Platform</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Tempus Standard Terms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Tracking Records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Date</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Upfront Payment</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Workstream Lead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Section 23.6ii)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-210185</wp:posOffset>
            </wp:positionV>
            <wp:extent cx="7178040" cy="3746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15.2iv)</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5.9ii)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23.6iii)f)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23.6iii)b)</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24.4ii)a)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Preamble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17.3i)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25.1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25.2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25.2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25.1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6.6i)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6.7i)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23.3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24.2ii)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24.1i)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5.9</w:t>
      </w:r>
    </w:p>
    <w:p>
      <w:pPr>
        <w:spacing w:after="0" w:line="200" w:lineRule="exact"/>
        <w:rPr>
          <w:sz w:val="20"/>
          <w:szCs w:val="20"/>
          <w:color w:val="auto"/>
        </w:rPr>
      </w:pPr>
    </w:p>
    <w:p>
      <w:pPr>
        <w:sectPr>
          <w:pgSz w:w="11900" w:h="16838" w:orient="portrait"/>
          <w:cols w:equalWidth="0" w:num="2">
            <w:col w:w="4860" w:space="720"/>
            <w:col w:w="4720"/>
          </w:cols>
          <w:pgMar w:left="580" w:top="263" w:right="1019" w:bottom="1440" w:gutter="0" w:footer="0" w:header="0"/>
        </w:sectPr>
      </w:pPr>
    </w:p>
    <w:p>
      <w:pPr>
        <w:spacing w:after="0" w:line="138" w:lineRule="exact"/>
        <w:rPr>
          <w:sz w:val="20"/>
          <w:szCs w:val="20"/>
          <w:color w:val="auto"/>
        </w:rPr>
      </w:pPr>
    </w:p>
    <w:p>
      <w:pPr>
        <w:ind w:left="420" w:hanging="412"/>
        <w:spacing w:after="0"/>
        <w:tabs>
          <w:tab w:leader="none" w:pos="42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w:t>
      </w:r>
    </w:p>
    <w:p>
      <w:pPr>
        <w:spacing w:after="0" w:line="123"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6"/>
          <w:szCs w:val="16"/>
          <w:color w:val="auto"/>
        </w:rPr>
        <w:t>Unless a contrary indication appears, in this Agreement:</w:t>
      </w:r>
    </w:p>
    <w:p>
      <w:pPr>
        <w:spacing w:after="0" w:line="121"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for ease of reference only;</w:t>
      </w:r>
    </w:p>
    <w:p>
      <w:pPr>
        <w:spacing w:after="0" w:line="121"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gender includes each other gender;</w:t>
      </w:r>
    </w:p>
    <w:p>
      <w:pPr>
        <w:spacing w:after="0" w:line="121"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vice versa;</w:t>
      </w:r>
    </w:p>
    <w:p>
      <w:pPr>
        <w:spacing w:after="0" w:line="121" w:lineRule="exact"/>
        <w:rPr>
          <w:rFonts w:ascii="Times New Roman" w:cs="Times New Roman" w:eastAsia="Times New Roman" w:hAnsi="Times New Roman"/>
          <w:sz w:val="18"/>
          <w:szCs w:val="18"/>
          <w:color w:val="auto"/>
        </w:rPr>
      </w:pPr>
    </w:p>
    <w:p>
      <w:pPr>
        <w:ind w:left="1060" w:right="180" w:hanging="632"/>
        <w:spacing w:after="0" w:line="267" w:lineRule="auto"/>
        <w:tabs>
          <w:tab w:leader="none" w:pos="1060"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 agreement (including this Agreement) or instrument is a reference to that agreement or instrument as amended, novated, supplemented, extended or restated;</w:t>
      </w:r>
    </w:p>
    <w:p>
      <w:pPr>
        <w:spacing w:after="0" w:line="77" w:lineRule="exact"/>
        <w:rPr>
          <w:rFonts w:ascii="Times New Roman" w:cs="Times New Roman" w:eastAsia="Times New Roman" w:hAnsi="Times New Roman"/>
          <w:sz w:val="18"/>
          <w:szCs w:val="18"/>
          <w:color w:val="auto"/>
        </w:rPr>
      </w:pPr>
    </w:p>
    <w:p>
      <w:pPr>
        <w:ind w:left="1060" w:hanging="632"/>
        <w:spacing w:after="0" w:line="267" w:lineRule="auto"/>
        <w:tabs>
          <w:tab w:leader="none" w:pos="1060"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words following the terms “including”, “include”, “for example”, “in particular” or any similar expression shall be construed as illustrative and shall not limit the sense of the words preceding those terms; and</w:t>
      </w:r>
    </w:p>
    <w:p>
      <w:pPr>
        <w:spacing w:after="0" w:line="77"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used, the word “or” is used in the inclusive sense (“and/or”).</w:t>
      </w:r>
    </w:p>
    <w:p>
      <w:pPr>
        <w:spacing w:after="0" w:line="14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300"/>
          </w:cols>
          <w:pgMar w:left="580" w:top="263" w:right="1019" w:bottom="1440" w:gutter="0" w:footer="0" w:header="0"/>
          <w:type w:val="continuous"/>
        </w:sectPr>
      </w:pPr>
    </w:p>
    <w:bookmarkStart w:id="614" w:name="page615"/>
    <w:bookmarkEnd w:id="614"/>
    <w:p>
      <w:pPr>
        <w:ind w:left="1052" w:hanging="632"/>
        <w:spacing w:after="0"/>
        <w:tabs>
          <w:tab w:leader="none" w:pos="1052"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8040" cy="38100"/>
                    </a:xfrm>
                    <a:prstGeom prst="rect">
                      <a:avLst/>
                    </a:prstGeom>
                    <a:noFill/>
                  </pic:spPr>
                </pic:pic>
              </a:graphicData>
            </a:graphic>
          </wp:anchor>
        </w:drawing>
        <w:t>In Section 13 (Auditing and recordkeeping), references to:</w:t>
      </w:r>
    </w:p>
    <w:p>
      <w:pPr>
        <w:spacing w:after="0" w:line="121" w:lineRule="exact"/>
        <w:rPr>
          <w:rFonts w:ascii="Times New Roman" w:cs="Times New Roman" w:eastAsia="Times New Roman" w:hAnsi="Times New Roman"/>
          <w:sz w:val="18"/>
          <w:szCs w:val="18"/>
          <w:color w:val="auto"/>
        </w:rPr>
      </w:pPr>
    </w:p>
    <w:p>
      <w:pPr>
        <w:ind w:left="1492" w:right="520" w:hanging="429"/>
        <w:spacing w:after="0" w:line="267" w:lineRule="auto"/>
        <w:tabs>
          <w:tab w:leader="none" w:pos="1492" w:val="left"/>
        </w:tabs>
        <w:numPr>
          <w:ilvl w:val="2"/>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“audit” includes (without limitation) the right to examine and make copies of or obtain extracts from the information and documents referred to in that Section;</w:t>
      </w:r>
    </w:p>
    <w:p>
      <w:pPr>
        <w:spacing w:after="0" w:line="77" w:lineRule="exact"/>
        <w:rPr>
          <w:rFonts w:ascii="Times New Roman" w:cs="Times New Roman" w:eastAsia="Times New Roman" w:hAnsi="Times New Roman"/>
          <w:sz w:val="18"/>
          <w:szCs w:val="18"/>
          <w:color w:val="auto"/>
        </w:rPr>
      </w:pPr>
    </w:p>
    <w:p>
      <w:pPr>
        <w:ind w:left="1492" w:right="200" w:hanging="429"/>
        <w:spacing w:after="0" w:line="267" w:lineRule="auto"/>
        <w:tabs>
          <w:tab w:leader="none" w:pos="1492" w:val="left"/>
        </w:tabs>
        <w:numPr>
          <w:ilvl w:val="2"/>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“authorised third party” are references to any representative appointed by GSK to conduct audit activities on its behalf and/or any independent third party engaged for the purposes of an audit; and</w:t>
      </w:r>
    </w:p>
    <w:p>
      <w:pPr>
        <w:spacing w:after="0" w:line="77" w:lineRule="exact"/>
        <w:rPr>
          <w:rFonts w:ascii="Times New Roman" w:cs="Times New Roman" w:eastAsia="Times New Roman" w:hAnsi="Times New Roman"/>
          <w:sz w:val="18"/>
          <w:szCs w:val="18"/>
          <w:color w:val="auto"/>
        </w:rPr>
      </w:pPr>
    </w:p>
    <w:p>
      <w:pPr>
        <w:ind w:left="1492" w:hanging="429"/>
        <w:spacing w:after="0"/>
        <w:tabs>
          <w:tab w:leader="none" w:pos="1492" w:val="left"/>
        </w:tabs>
        <w:numPr>
          <w:ilvl w:val="2"/>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 for the purposes of any audit include references to any authorised third party.</w:t>
      </w:r>
    </w:p>
    <w:p>
      <w:pPr>
        <w:spacing w:after="0" w:line="355"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Order of Precedence</w:t>
      </w:r>
    </w:p>
    <w:p>
      <w:pPr>
        <w:spacing w:after="0" w:line="123" w:lineRule="exact"/>
        <w:rPr>
          <w:rFonts w:ascii="Times New Roman" w:cs="Times New Roman" w:eastAsia="Times New Roman" w:hAnsi="Times New Roman"/>
          <w:sz w:val="18"/>
          <w:szCs w:val="18"/>
          <w:color w:val="auto"/>
        </w:rPr>
      </w:pPr>
    </w:p>
    <w:p>
      <w:pPr>
        <w:ind w:left="1052" w:hanging="63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3.1The Schedules form part of the Agreement and shall have the same force and effect as if expressly set out in the body of the Agreement, and any reference to the Agreement shall include the Schedules. The Agreement, the Schedules, and Task Orders shall be read wherever possible as an integrated whole. In the event of a conflict between or among such documents and provided such order of precedence does not contradict the clear intent of the Parties, the documents shall govern in this order:</w:t>
      </w:r>
    </w:p>
    <w:p>
      <w:pPr>
        <w:spacing w:after="0" w:line="92"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executed Task Order; and</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GSK purchase order, save that any standard terms and conditions of such GSK purchase order shall not be applicable.</w:t>
      </w:r>
    </w:p>
    <w:p>
      <w:pPr>
        <w:spacing w:after="0" w:line="355"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Task Orders.</w:t>
      </w:r>
    </w:p>
    <w:p>
      <w:pPr>
        <w:spacing w:after="0" w:line="121" w:lineRule="exact"/>
        <w:rPr>
          <w:rFonts w:ascii="Times New Roman" w:cs="Times New Roman" w:eastAsia="Times New Roman" w:hAnsi="Times New Roman"/>
          <w:sz w:val="18"/>
          <w:szCs w:val="18"/>
          <w:color w:val="auto"/>
        </w:rPr>
      </w:pPr>
    </w:p>
    <w:p>
      <w:pPr>
        <w:ind w:left="4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6"/>
          <w:szCs w:val="16"/>
          <w:b w:val="1"/>
          <w:bCs w:val="1"/>
          <w:color w:val="auto"/>
        </w:rPr>
        <w:t>Overview</w:t>
      </w:r>
    </w:p>
    <w:p>
      <w:pPr>
        <w:spacing w:after="0" w:line="110" w:lineRule="exact"/>
        <w:rPr>
          <w:rFonts w:ascii="Times New Roman" w:cs="Times New Roman" w:eastAsia="Times New Roman" w:hAnsi="Times New Roman"/>
          <w:sz w:val="18"/>
          <w:szCs w:val="18"/>
          <w:color w:val="auto"/>
        </w:rPr>
      </w:pPr>
    </w:p>
    <w:p>
      <w:pPr>
        <w:ind w:left="432"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this Agreement is to leverage Tempus’s existing and future capabilities to support the Development and Commercialization of GSK Assets (the “</w:t>
      </w:r>
      <w:r>
        <w:rPr>
          <w:rFonts w:ascii="Times New Roman" w:cs="Times New Roman" w:eastAsia="Times New Roman" w:hAnsi="Times New Roman"/>
          <w:sz w:val="18"/>
          <w:szCs w:val="18"/>
          <w:b w:val="1"/>
          <w:bCs w:val="1"/>
          <w:color w:val="auto"/>
        </w:rPr>
        <w:t>Strategic Collaboration</w:t>
      </w:r>
      <w:r>
        <w:rPr>
          <w:rFonts w:ascii="Times New Roman" w:cs="Times New Roman" w:eastAsia="Times New Roman" w:hAnsi="Times New Roman"/>
          <w:sz w:val="18"/>
          <w:szCs w:val="18"/>
          <w:color w:val="auto"/>
        </w:rPr>
        <w:t>”). This Agreement is intended to facilitate the Strategic Collaboration by creating a legal framework which sets forth the general terms and conditions applicable to the Activities to be undertaken pursuant to this Agreement and the applicable Task Order.</w:t>
      </w:r>
    </w:p>
    <w:p>
      <w:pPr>
        <w:spacing w:after="0" w:line="326" w:lineRule="exact"/>
        <w:rPr>
          <w:rFonts w:ascii="Times New Roman" w:cs="Times New Roman" w:eastAsia="Times New Roman" w:hAnsi="Times New Roman"/>
          <w:sz w:val="18"/>
          <w:szCs w:val="18"/>
          <w:color w:val="auto"/>
        </w:rPr>
      </w:pPr>
    </w:p>
    <w:p>
      <w:pPr>
        <w:ind w:left="4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6"/>
          <w:szCs w:val="16"/>
          <w:b w:val="1"/>
          <w:bCs w:val="1"/>
          <w:color w:val="auto"/>
        </w:rPr>
        <w:t>Initiation of Task Orders</w:t>
      </w:r>
    </w:p>
    <w:p>
      <w:pPr>
        <w:spacing w:after="0" w:line="110" w:lineRule="exact"/>
        <w:rPr>
          <w:rFonts w:ascii="Times New Roman" w:cs="Times New Roman" w:eastAsia="Times New Roman" w:hAnsi="Times New Roman"/>
          <w:sz w:val="18"/>
          <w:szCs w:val="18"/>
          <w:color w:val="auto"/>
        </w:rPr>
      </w:pPr>
    </w:p>
    <w:p>
      <w:pPr>
        <w:ind w:left="432" w:right="2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the Parties will jointly conduct one or more GSK Research Programs. At any time during the Term, GSK may propose a research project by providing written notice to Tempus. Upon mutual agreement of the Parties, a proposed research project will become a GSK Research Program and be conducted by the Parties pursuant to this Agreement and as set forth in the</w:t>
      </w:r>
    </w:p>
    <w:p>
      <w:pPr>
        <w:spacing w:after="0" w:line="11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672"/>
          </w:cols>
          <w:pgMar w:left="588" w:top="266" w:right="639" w:bottom="1440" w:gutter="0" w:footer="0" w:header="0"/>
        </w:sectPr>
      </w:pPr>
    </w:p>
    <w:bookmarkStart w:id="615" w:name="page616"/>
    <w:bookmarkEnd w:id="615"/>
    <w:p>
      <w:pPr>
        <w:ind w:left="432"/>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applicable Task Order(s) for such GSK Research Program. The Parties shall prepare such additional Task Order(s) in accordance with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the specific details of which shall be negotiated separately and specified in writing and substantially in the form attached as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Once executed by the Parties, each Task Order shall be incorporated in its entirety into this Agreement. Nothing herein shall create an express or implied obligation on the part of either Party to execute any particular Task Order or to perform any particular activities that are not the subject of a Task Order executed by authorized representatives of both Parties. If either Party desires to amend the scope or other terms or provisions of any Task Order, either Party may submit such proposed amendment to the JSC for discussion. If the JSC reaches an agreement with respect to such proposed amendment, then the Parties shall prepare and execute a written amendment to such Task Order. No amendment shall be binding upon the Parties unless in writing and duly executed by authorized representatives of both Parties.</w:t>
      </w:r>
    </w:p>
    <w:p>
      <w:pPr>
        <w:spacing w:after="0" w:line="329"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6"/>
          <w:szCs w:val="16"/>
          <w:b w:val="1"/>
          <w:bCs w:val="1"/>
          <w:color w:val="auto"/>
        </w:rPr>
        <w:t>Conduct of Task Orders</w:t>
      </w:r>
    </w:p>
    <w:p>
      <w:pPr>
        <w:spacing w:after="0" w:line="110" w:lineRule="exact"/>
        <w:rPr>
          <w:sz w:val="20"/>
          <w:szCs w:val="20"/>
          <w:color w:val="auto"/>
        </w:rPr>
      </w:pPr>
    </w:p>
    <w:p>
      <w:pPr>
        <w:ind w:left="432"/>
        <w:spacing w:after="0" w:line="247" w:lineRule="auto"/>
        <w:rPr>
          <w:sz w:val="20"/>
          <w:szCs w:val="20"/>
          <w:color w:val="auto"/>
        </w:rPr>
      </w:pPr>
      <w:r>
        <w:rPr>
          <w:rFonts w:ascii="Times New Roman" w:cs="Times New Roman" w:eastAsia="Times New Roman" w:hAnsi="Times New Roman"/>
          <w:sz w:val="18"/>
          <w:szCs w:val="18"/>
          <w:color w:val="auto"/>
        </w:rPr>
        <w:t>Following the designation of a GSK Research Program, the Parties will conduct the Activities to be performed pursuant to the applicable Task Order under the direction of the JSC and in accordance with such Task Order and the terms of this Agreement. The Parties will conduct the Activities in good scientific manner in compliance with Applicable Laws. Each Party shall use Commercially Reasonable Efforts to conduct the Activities that are allocated to it in the applicable Task Order, and devote sufficient resources to timely perform such Activities. Each of GSK and Tempus agrees that it will perform the Activities assigned to it under the applicable Task Order in a professional manner and in accordance with the highest industry standards. GSK and Tempus shall keep the JSC fully informed of the progress of the Activities to be performed under this Agreement or any Task Order.</w:t>
      </w:r>
    </w:p>
    <w:p>
      <w:pPr>
        <w:spacing w:after="0" w:line="332"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6"/>
          <w:szCs w:val="16"/>
          <w:b w:val="1"/>
          <w:bCs w:val="1"/>
          <w:color w:val="auto"/>
        </w:rPr>
        <w:t>Task Orders</w:t>
      </w:r>
    </w:p>
    <w:p>
      <w:pPr>
        <w:spacing w:after="0" w:line="123" w:lineRule="exact"/>
        <w:rPr>
          <w:sz w:val="20"/>
          <w:szCs w:val="20"/>
          <w:color w:val="auto"/>
        </w:rPr>
      </w:pPr>
    </w:p>
    <w:p>
      <w:pPr>
        <w:ind w:left="412" w:right="100" w:hanging="412"/>
        <w:spacing w:after="0" w:line="251" w:lineRule="auto"/>
        <w:tabs>
          <w:tab w:leader="none" w:pos="412"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from time to time, GSK and Tempus agree that Tempus will perform any Activities not specified in this Agreement, the Parties shall enter into a Task Order which shall describe the Activities to be performed under the Task Order and any necessary technology transfer terms. Each Task Order shall be a standalone agreement with respect to any other Task Order unless otherwise expressly specified in such Task Order.</w:t>
      </w:r>
    </w:p>
    <w:p>
      <w:pPr>
        <w:spacing w:after="0" w:line="92" w:lineRule="exact"/>
        <w:rPr>
          <w:rFonts w:ascii="Times New Roman" w:cs="Times New Roman" w:eastAsia="Times New Roman" w:hAnsi="Times New Roman"/>
          <w:sz w:val="18"/>
          <w:szCs w:val="18"/>
          <w:color w:val="auto"/>
        </w:rPr>
      </w:pPr>
    </w:p>
    <w:p>
      <w:pPr>
        <w:ind w:left="412" w:right="220" w:hanging="412"/>
        <w:spacing w:after="0" w:line="255" w:lineRule="auto"/>
        <w:tabs>
          <w:tab w:leader="none" w:pos="412"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 and Tempus intend that their Affiliates may also execute Task Orders. Unless the context requires otherwise, references to “GSK” or “Tempus” in this Agreement (and the related rights and obligations) as incorporated into such a Task Order, shall apply to the GSK Affiliate or Tempus Affiliate that has executed the Task Order.</w:t>
      </w:r>
    </w:p>
    <w:p>
      <w:pPr>
        <w:spacing w:after="0" w:line="115"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632"/>
          </w:cols>
          <w:pgMar w:left="588" w:top="266" w:right="679" w:bottom="1440" w:gutter="0" w:footer="0" w:header="0"/>
        </w:sectPr>
      </w:pPr>
    </w:p>
    <w:bookmarkStart w:id="616" w:name="page617"/>
    <w:bookmarkEnd w:id="616"/>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4.5</w:t>
      </w:r>
      <w:r>
        <w:rPr>
          <w:sz w:val="20"/>
          <w:szCs w:val="20"/>
          <w:color w:val="auto"/>
        </w:rPr>
        <w:tab/>
      </w:r>
      <w:r>
        <w:rPr>
          <w:rFonts w:ascii="Times New Roman" w:cs="Times New Roman" w:eastAsia="Times New Roman" w:hAnsi="Times New Roman"/>
          <w:sz w:val="16"/>
          <w:szCs w:val="16"/>
          <w:b w:val="1"/>
          <w:bCs w:val="1"/>
          <w:color w:val="auto"/>
        </w:rPr>
        <w:t>Changes to Activities</w:t>
      </w:r>
    </w:p>
    <w:p>
      <w:pPr>
        <w:spacing w:after="0" w:line="123" w:lineRule="exact"/>
        <w:rPr>
          <w:sz w:val="20"/>
          <w:szCs w:val="20"/>
          <w:color w:val="auto"/>
        </w:rPr>
      </w:pPr>
    </w:p>
    <w:p>
      <w:pPr>
        <w:ind w:left="412" w:right="80" w:hanging="412"/>
        <w:spacing w:after="0" w:line="251" w:lineRule="auto"/>
        <w:tabs>
          <w:tab w:leader="none" w:pos="412"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agrees that it will not, without the prior written consent of GSK, which consent shall not be unreasonably withheld or delayed, materially change any Procedure, assay methodology, reagent, and/or reference range for the duration of the term of any applicable Task Order (a “</w:t>
      </w:r>
      <w:r>
        <w:rPr>
          <w:rFonts w:ascii="Times New Roman" w:cs="Times New Roman" w:eastAsia="Times New Roman" w:hAnsi="Times New Roman"/>
          <w:sz w:val="18"/>
          <w:szCs w:val="18"/>
          <w:b w:val="1"/>
          <w:bCs w:val="1"/>
          <w:color w:val="auto"/>
        </w:rPr>
        <w:t>Change</w:t>
      </w:r>
      <w:r>
        <w:rPr>
          <w:rFonts w:ascii="Times New Roman" w:cs="Times New Roman" w:eastAsia="Times New Roman" w:hAnsi="Times New Roman"/>
          <w:sz w:val="18"/>
          <w:szCs w:val="18"/>
          <w:color w:val="auto"/>
        </w:rPr>
        <w:t>”), unless the Task Order permits Tempus to make such Change. GSK acknowledges that many services Tempus provides may involve the changes to Procedures, assay methodology, reagent, and/or reference range as a matter of Tempus’s ordinary practices.</w:t>
      </w:r>
    </w:p>
    <w:p>
      <w:pPr>
        <w:spacing w:after="0" w:line="92" w:lineRule="exact"/>
        <w:rPr>
          <w:rFonts w:ascii="Times New Roman" w:cs="Times New Roman" w:eastAsia="Times New Roman" w:hAnsi="Times New Roman"/>
          <w:sz w:val="18"/>
          <w:szCs w:val="18"/>
          <w:color w:val="auto"/>
        </w:rPr>
      </w:pPr>
    </w:p>
    <w:p>
      <w:pPr>
        <w:ind w:left="412" w:right="40" w:hanging="412"/>
        <w:spacing w:after="0" w:line="251" w:lineRule="auto"/>
        <w:tabs>
          <w:tab w:leader="none" w:pos="412"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permitted by a Task Order, Tempus shall use Commercially Reasonable Efforts to give GSK prior written notice of any such Change at least [***] before its implementation and shall promptly make available to GSK upon GSK’s written request all reasonably available comparison data at GSK’s reasonable expense so that GSK can assess the impact of such Change on the Activities performed under the applicable Task Order.</w:t>
      </w:r>
    </w:p>
    <w:p>
      <w:pPr>
        <w:spacing w:after="0" w:line="92" w:lineRule="exact"/>
        <w:rPr>
          <w:rFonts w:ascii="Times New Roman" w:cs="Times New Roman" w:eastAsia="Times New Roman" w:hAnsi="Times New Roman"/>
          <w:sz w:val="18"/>
          <w:szCs w:val="18"/>
          <w:color w:val="auto"/>
        </w:rPr>
      </w:pPr>
    </w:p>
    <w:p>
      <w:pPr>
        <w:ind w:left="412" w:right="40" w:hanging="412"/>
        <w:spacing w:after="0" w:line="267" w:lineRule="auto"/>
        <w:tabs>
          <w:tab w:leader="none" w:pos="412"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(Failure to Perform), modifications to the Activities or the assumptions on which a Task Order is based shall be made either by:</w:t>
      </w:r>
    </w:p>
    <w:p>
      <w:pPr>
        <w:spacing w:after="0" w:line="77"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Project Change Form used to document minor modifications, (as discussed and agreed by both parties), executed by both Parties, or</w:t>
      </w:r>
    </w:p>
    <w:p>
      <w:pPr>
        <w:spacing w:after="0" w:line="121" w:lineRule="exact"/>
        <w:rPr>
          <w:rFonts w:ascii="Times New Roman" w:cs="Times New Roman" w:eastAsia="Times New Roman" w:hAnsi="Times New Roman"/>
          <w:sz w:val="18"/>
          <w:szCs w:val="18"/>
          <w:color w:val="auto"/>
        </w:rPr>
      </w:pPr>
    </w:p>
    <w:p>
      <w:pPr>
        <w:ind w:left="1052" w:right="40" w:hanging="632"/>
        <w:spacing w:after="0" w:line="267" w:lineRule="auto"/>
        <w:tabs>
          <w:tab w:leader="none" w:pos="1052"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Task Order Amendment for significant modifications and changes in fees and costs, (as discussed and agreed by both parties), executed by both Parties.</w:t>
      </w:r>
    </w:p>
    <w:p>
      <w:pPr>
        <w:spacing w:after="0" w:line="65" w:lineRule="exact"/>
        <w:rPr>
          <w:sz w:val="20"/>
          <w:szCs w:val="20"/>
          <w:color w:val="auto"/>
        </w:rPr>
      </w:pPr>
    </w:p>
    <w:p>
      <w:pPr>
        <w:ind w:left="432" w:right="220"/>
        <w:spacing w:after="0" w:line="331" w:lineRule="auto"/>
        <w:rPr>
          <w:sz w:val="20"/>
          <w:szCs w:val="20"/>
          <w:color w:val="auto"/>
        </w:rPr>
      </w:pPr>
      <w:r>
        <w:rPr>
          <w:rFonts w:ascii="Times New Roman" w:cs="Times New Roman" w:eastAsia="Times New Roman" w:hAnsi="Times New Roman"/>
          <w:sz w:val="16"/>
          <w:szCs w:val="16"/>
          <w:color w:val="auto"/>
        </w:rPr>
        <w:t>Each Party shall respond promptly to a Project Change Form or Task Order Amendment proposed by the other Party. Details of any necessary changes to the milestone dates, target dates and other timelines, fees and costs shall be detailed by Tempus in any proposal or response to GSK.</w:t>
      </w:r>
    </w:p>
    <w:p>
      <w:pPr>
        <w:spacing w:after="0" w:line="265"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6"/>
          <w:szCs w:val="16"/>
          <w:b w:val="1"/>
          <w:bCs w:val="1"/>
          <w:color w:val="auto"/>
        </w:rPr>
        <w:t>Critical changes</w:t>
      </w:r>
    </w:p>
    <w:p>
      <w:pPr>
        <w:spacing w:after="0" w:line="110" w:lineRule="exact"/>
        <w:rPr>
          <w:sz w:val="20"/>
          <w:szCs w:val="20"/>
          <w:color w:val="auto"/>
        </w:rPr>
      </w:pPr>
    </w:p>
    <w:p>
      <w:pPr>
        <w:ind w:left="432" w:right="320"/>
        <w:spacing w:after="0" w:line="255" w:lineRule="auto"/>
        <w:rPr>
          <w:sz w:val="20"/>
          <w:szCs w:val="20"/>
          <w:color w:val="auto"/>
        </w:rPr>
      </w:pPr>
      <w:r>
        <w:rPr>
          <w:rFonts w:ascii="Times New Roman" w:cs="Times New Roman" w:eastAsia="Times New Roman" w:hAnsi="Times New Roman"/>
          <w:sz w:val="18"/>
          <w:szCs w:val="18"/>
          <w:color w:val="auto"/>
        </w:rPr>
        <w:t>Tempus shall notify GSK within [***] of any Critical Changes that occur on Tempus’s premises (including any Tempus Facility), or to any equipment, reagents used to carry out the Activities or any of its Procedures used in performance of the Activities and, where practicable, will seek GSK’s written agreement prior to such change being introduced.</w:t>
      </w:r>
    </w:p>
    <w:p>
      <w:pPr>
        <w:spacing w:after="0" w:line="323"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6"/>
          <w:szCs w:val="16"/>
          <w:b w:val="1"/>
          <w:bCs w:val="1"/>
          <w:color w:val="auto"/>
        </w:rPr>
        <w:t>Changes to information</w:t>
      </w:r>
    </w:p>
    <w:p>
      <w:pPr>
        <w:spacing w:after="0" w:line="110"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8"/>
          <w:szCs w:val="18"/>
          <w:color w:val="auto"/>
        </w:rPr>
        <w:t>GSK shall ensure that Tempus is informed within [***] of any changes to any of the information supplied to Tempus regarding the Activities.</w:t>
      </w:r>
    </w:p>
    <w:p>
      <w:pPr>
        <w:spacing w:after="0" w:line="356" w:lineRule="exact"/>
        <w:rPr>
          <w:sz w:val="20"/>
          <w:szCs w:val="20"/>
          <w:color w:val="auto"/>
        </w:rPr>
      </w:pPr>
    </w:p>
    <w:p>
      <w:pPr>
        <w:ind w:left="412" w:hanging="412"/>
        <w:spacing w:after="0"/>
        <w:tabs>
          <w:tab w:leader="none" w:pos="412"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Governance Operation and Management of Tempus</w:t>
      </w:r>
    </w:p>
    <w:p>
      <w:pPr>
        <w:spacing w:after="0" w:line="108" w:lineRule="exact"/>
        <w:rPr>
          <w:rFonts w:ascii="Times New Roman" w:cs="Times New Roman" w:eastAsia="Times New Roman" w:hAnsi="Times New Roman"/>
          <w:sz w:val="18"/>
          <w:szCs w:val="18"/>
          <w:color w:val="auto"/>
        </w:rPr>
      </w:pPr>
    </w:p>
    <w:p>
      <w:pPr>
        <w:ind w:left="432"/>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Tempus (under the direction and supervision of its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its officers shall have the responsibility for the day-to-day management of its activities performed pursuant to this Agreement.</w:t>
      </w:r>
    </w:p>
    <w:p>
      <w:pPr>
        <w:spacing w:after="0" w:line="10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692"/>
          </w:cols>
          <w:pgMar w:left="588" w:top="264" w:right="619" w:bottom="1440" w:gutter="0" w:footer="0" w:header="0"/>
        </w:sectPr>
      </w:pPr>
    </w:p>
    <w:bookmarkStart w:id="617" w:name="page618"/>
    <w:bookmarkEnd w:id="617"/>
    <w:p>
      <w:pPr>
        <w:spacing w:after="0"/>
        <w:tabs>
          <w:tab w:leader="none" w:pos="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8040" cy="36830"/>
                    </a:xfrm>
                    <a:prstGeom prst="rect">
                      <a:avLst/>
                    </a:prstGeom>
                    <a:noFill/>
                  </pic:spPr>
                </pic:pic>
              </a:graphicData>
            </a:graphic>
          </wp:anchor>
        </w:drawing>
        <w:t>5.2</w:t>
      </w:r>
      <w:r>
        <w:rPr>
          <w:sz w:val="20"/>
          <w:szCs w:val="20"/>
          <w:color w:val="auto"/>
        </w:rPr>
        <w:tab/>
      </w:r>
      <w:r>
        <w:rPr>
          <w:rFonts w:ascii="Times New Roman" w:cs="Times New Roman" w:eastAsia="Times New Roman" w:hAnsi="Times New Roman"/>
          <w:sz w:val="16"/>
          <w:szCs w:val="16"/>
          <w:b w:val="1"/>
          <w:bCs w:val="1"/>
          <w:color w:val="auto"/>
        </w:rPr>
        <w:t>Joint Steering Committee</w:t>
      </w:r>
    </w:p>
    <w:p>
      <w:pPr>
        <w:spacing w:after="0" w:line="108" w:lineRule="exact"/>
        <w:rPr>
          <w:sz w:val="20"/>
          <w:szCs w:val="20"/>
          <w:color w:val="auto"/>
        </w:rPr>
      </w:pPr>
    </w:p>
    <w:p>
      <w:pPr>
        <w:ind w:left="20" w:right="200"/>
        <w:spacing w:after="0" w:line="270" w:lineRule="auto"/>
        <w:rPr>
          <w:sz w:val="20"/>
          <w:szCs w:val="20"/>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within [***] of the Effective Date, the Parties shall establish a joint steering committee (the “</w:t>
      </w:r>
      <w:r>
        <w:rPr>
          <w:rFonts w:ascii="Times New Roman" w:cs="Times New Roman" w:eastAsia="Times New Roman" w:hAnsi="Times New Roman"/>
          <w:sz w:val="18"/>
          <w:szCs w:val="18"/>
          <w:b w:val="1"/>
          <w:bCs w:val="1"/>
          <w:color w:val="auto"/>
        </w:rPr>
        <w:t>JSC</w:t>
      </w:r>
      <w:r>
        <w:rPr>
          <w:rFonts w:ascii="Times New Roman" w:cs="Times New Roman" w:eastAsia="Times New Roman" w:hAnsi="Times New Roman"/>
          <w:sz w:val="18"/>
          <w:szCs w:val="18"/>
          <w:color w:val="auto"/>
        </w:rPr>
        <w:t>”) for purposes of, among other things:</w:t>
      </w:r>
    </w:p>
    <w:p>
      <w:pPr>
        <w:spacing w:after="0" w:line="75" w:lineRule="exact"/>
        <w:rPr>
          <w:sz w:val="20"/>
          <w:szCs w:val="20"/>
          <w:color w:val="auto"/>
        </w:rPr>
      </w:pPr>
    </w:p>
    <w:p>
      <w:pPr>
        <w:ind w:left="640" w:right="780" w:hanging="632"/>
        <w:spacing w:after="0" w:line="267" w:lineRule="auto"/>
        <w:tabs>
          <w:tab w:leader="none" w:pos="640"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defining and guiding ways of working, and otherwise overseeing and guiding the activities to be performed under the Strategic Collaboration, including the Activities [***];</w:t>
      </w:r>
    </w:p>
    <w:p>
      <w:pPr>
        <w:spacing w:after="0" w:line="77" w:lineRule="exact"/>
        <w:rPr>
          <w:rFonts w:ascii="Times New Roman" w:cs="Times New Roman" w:eastAsia="Times New Roman" w:hAnsi="Times New Roman"/>
          <w:sz w:val="18"/>
          <w:szCs w:val="18"/>
          <w:color w:val="auto"/>
        </w:rPr>
      </w:pPr>
    </w:p>
    <w:p>
      <w:pPr>
        <w:ind w:left="640" w:right="40" w:hanging="632"/>
        <w:spacing w:after="0" w:line="267" w:lineRule="auto"/>
        <w:tabs>
          <w:tab w:leader="none" w:pos="640"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communication regarding the identification and evaluation of one or more GSK Research Programs and the execution of Task Order related thereto;</w:t>
      </w:r>
    </w:p>
    <w:p>
      <w:pPr>
        <w:spacing w:after="0" w:line="7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prioritizing planned and ongoing GSK Research Programs;</w:t>
      </w:r>
    </w:p>
    <w:p>
      <w:pPr>
        <w:spacing w:after="0" w:line="12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Workstream Leads in connection with the performance of the Activities;</w:t>
      </w:r>
    </w:p>
    <w:p>
      <w:pPr>
        <w:spacing w:after="0" w:line="12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subcommittees of the JSC; and</w:t>
      </w:r>
    </w:p>
    <w:p>
      <w:pPr>
        <w:spacing w:after="0" w:line="12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any issues arising in connection with the Activities.</w:t>
      </w:r>
    </w:p>
    <w:p>
      <w:pPr>
        <w:spacing w:after="0" w:line="1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6"/>
          <w:szCs w:val="16"/>
          <w:color w:val="auto"/>
        </w:rPr>
        <w:t>The JSC shall be comprised of representatives (or such other number of representatives as the Parties may mutually agree), including</w:t>
      </w:r>
    </w:p>
    <w:p>
      <w:pPr>
        <w:spacing w:after="0" w:line="21" w:lineRule="exact"/>
        <w:rPr>
          <w:sz w:val="20"/>
          <w:szCs w:val="20"/>
          <w:color w:val="auto"/>
        </w:rPr>
      </w:pPr>
    </w:p>
    <w:p>
      <w:pPr>
        <w:ind w:left="640" w:right="20" w:hanging="2"/>
        <w:spacing w:after="0" w:line="244" w:lineRule="auto"/>
        <w:tabs>
          <w:tab w:leader="none" w:pos="1063"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color w:val="auto"/>
        </w:rPr>
        <w:t>GSK Representative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Tempus Representative</w:t>
      </w:r>
      <w:r>
        <w:rPr>
          <w:rFonts w:ascii="Times New Roman" w:cs="Times New Roman" w:eastAsia="Times New Roman" w:hAnsi="Times New Roman"/>
          <w:sz w:val="18"/>
          <w:szCs w:val="18"/>
          <w:color w:val="auto"/>
        </w:rPr>
        <w:t xml:space="preserve">”, as applicable). Each Party may replace any or all of its representatives on the JSC at any time upon written notice to the other Party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(Notices). Each representative of a Party shall have sufficient seniority and expertise to participate on the JSC. Each Party may, subject to the other Party’s prior approval, invite non-member representatives (including the Alliance Directors, the Scientific Leads, the AI/ML Leads and the Program Leads) of such Party to attend meetings of the JSC as non-voting participants, subject to the confidentiality obligations of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(Confidentiality).</w:t>
      </w:r>
    </w:p>
    <w:p>
      <w:pPr>
        <w:spacing w:after="0" w:line="33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6"/>
          <w:szCs w:val="16"/>
          <w:b w:val="1"/>
          <w:bCs w:val="1"/>
          <w:color w:val="auto"/>
        </w:rPr>
        <w:t>Frequency of JSC Meetings</w:t>
      </w:r>
    </w:p>
    <w:p>
      <w:pPr>
        <w:spacing w:after="0" w:line="110" w:lineRule="exact"/>
        <w:rPr>
          <w:sz w:val="20"/>
          <w:szCs w:val="20"/>
          <w:color w:val="auto"/>
        </w:rPr>
      </w:pPr>
    </w:p>
    <w:p>
      <w:pPr>
        <w:ind w:left="20"/>
        <w:spacing w:after="0" w:line="281" w:lineRule="auto"/>
        <w:rPr>
          <w:sz w:val="20"/>
          <w:szCs w:val="20"/>
          <w:color w:val="auto"/>
        </w:rPr>
      </w:pPr>
      <w:r>
        <w:rPr>
          <w:rFonts w:ascii="Times New Roman" w:cs="Times New Roman" w:eastAsia="Times New Roman" w:hAnsi="Times New Roman"/>
          <w:sz w:val="16"/>
          <w:szCs w:val="16"/>
          <w:color w:val="auto"/>
        </w:rPr>
        <w:t>During the Term, the JSC shall regularly meet at least [***] times each calendar year, either in person or by means of telecommunications or video conferences, as mutually agreed by Tempus and GSK; provided, that at least [***] shall be conducted in person unless otherwise agreed between the Parties. The members of the JSC may also convene or be consulted from time to time by means of telecommunications, video conferences, electronic mail or other correspondence, as deemed necessary or appropriate by mutual agreement of Tempus and GSK. Special meetings may be convened on a more frequent basis as mutually determined by Tempus and GSK. The Parties will rotate on an annual basis the responsibility for preparation of written minutes of the meetings of the JSC, with GSK taking responsibility for the first year, and the responsible Party shall provide such minutes to the other Party for review no later than [***] after the date of the meeting to which the minutes pertain, which minutes shall become official if the other Party does not provide any comments to such minutes within [***] (or such additional period of time as mutually agreed by the Parties) after the responsible Party provides such minutes to the other Party for review. In the</w:t>
      </w:r>
    </w:p>
    <w:p>
      <w:pPr>
        <w:spacing w:after="0" w:line="3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300"/>
          </w:cols>
          <w:pgMar w:left="1000" w:top="263" w:right="599" w:bottom="1440" w:gutter="0" w:footer="0" w:header="0"/>
        </w:sectPr>
      </w:pPr>
    </w:p>
    <w:bookmarkStart w:id="618" w:name="page619"/>
    <w:bookmarkEnd w:id="618"/>
    <w:p>
      <w:pPr>
        <w:jc w:val="both"/>
        <w:ind w:left="20"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event the other Party provides comments to the minutes within such [***] period (or such additional period of time as mutually agreed by the Parties), the JSC will discuss such comments in good faith and resolve any discrepancies within [***] after receipt of such comments from the other Party.</w:t>
      </w:r>
    </w:p>
    <w:p>
      <w:pPr>
        <w:spacing w:after="0" w:line="32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6"/>
          <w:szCs w:val="16"/>
          <w:b w:val="1"/>
          <w:bCs w:val="1"/>
          <w:color w:val="auto"/>
        </w:rPr>
        <w:t>JSC Voting</w:t>
      </w:r>
    </w:p>
    <w:p>
      <w:pPr>
        <w:spacing w:after="0" w:line="110" w:lineRule="exact"/>
        <w:rPr>
          <w:sz w:val="20"/>
          <w:szCs w:val="20"/>
          <w:color w:val="auto"/>
        </w:rPr>
      </w:pPr>
    </w:p>
    <w:p>
      <w:pPr>
        <w:ind w:left="20" w:right="60"/>
        <w:spacing w:after="0" w:line="285" w:lineRule="auto"/>
        <w:rPr>
          <w:sz w:val="20"/>
          <w:szCs w:val="20"/>
          <w:color w:val="auto"/>
        </w:rPr>
      </w:pPr>
      <w:r>
        <w:rPr>
          <w:rFonts w:ascii="Times New Roman" w:cs="Times New Roman" w:eastAsia="Times New Roman" w:hAnsi="Times New Roman"/>
          <w:sz w:val="16"/>
          <w:szCs w:val="16"/>
          <w:color w:val="auto"/>
        </w:rPr>
        <w:t xml:space="preserve">Decisions, determinations, approvals, or consents of the JSC shall be by unanimous vote memorialized in writing, with the then-serving representatives of GSK, on the one hand [***], and the then-serving representatives of Tempus, on the other hand, [***]. In order to have a quorum for the conduct of business at any JSC meeting, at least [***] must be present and remain present during the transaction of business at such meeting. Subject to the dispute resolution provisions of </w:t>
      </w:r>
      <w:r>
        <w:rPr>
          <w:rFonts w:ascii="Times New Roman" w:cs="Times New Roman" w:eastAsia="Times New Roman" w:hAnsi="Times New Roman"/>
          <w:sz w:val="16"/>
          <w:szCs w:val="16"/>
          <w:u w:val="single" w:color="auto"/>
          <w:color w:val="auto"/>
        </w:rPr>
        <w:t>Section 48</w:t>
      </w:r>
      <w:r>
        <w:rPr>
          <w:rFonts w:ascii="Times New Roman" w:cs="Times New Roman" w:eastAsia="Times New Roman" w:hAnsi="Times New Roman"/>
          <w:sz w:val="16"/>
          <w:szCs w:val="16"/>
          <w:color w:val="auto"/>
        </w:rPr>
        <w:t>, in the event of a deadlock or other inability to reach a unanimous decision on any matter before the JSC, the status quo shall be maintained until the JSC reaches a unanimous decision; provided, however, [***]. Notwithstanding anything to the contrary, the JSC will not have the authority to amend this Agreement, including any Task Order.</w:t>
      </w:r>
    </w:p>
    <w:p>
      <w:pPr>
        <w:spacing w:after="0" w:line="3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6"/>
          <w:szCs w:val="16"/>
          <w:b w:val="1"/>
          <w:bCs w:val="1"/>
          <w:color w:val="auto"/>
        </w:rPr>
        <w:t>Scope of JSC Authority</w:t>
      </w:r>
    </w:p>
    <w:p>
      <w:pPr>
        <w:spacing w:after="0" w:line="110" w:lineRule="exact"/>
        <w:rPr>
          <w:sz w:val="20"/>
          <w:szCs w:val="20"/>
          <w:color w:val="auto"/>
        </w:rPr>
      </w:pPr>
    </w:p>
    <w:p>
      <w:pPr>
        <w:jc w:val="both"/>
        <w:ind w:left="20"/>
        <w:spacing w:after="0" w:line="302" w:lineRule="auto"/>
        <w:rPr>
          <w:sz w:val="20"/>
          <w:szCs w:val="20"/>
          <w:color w:val="auto"/>
        </w:rPr>
      </w:pPr>
      <w:r>
        <w:rPr>
          <w:rFonts w:ascii="Times New Roman" w:cs="Times New Roman" w:eastAsia="Times New Roman" w:hAnsi="Times New Roman"/>
          <w:sz w:val="16"/>
          <w:szCs w:val="16"/>
          <w:color w:val="auto"/>
        </w:rPr>
        <w:t xml:space="preserve">Subject to the foregoing and to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each Party shall be entitled to rely conclusively (without further evidence of any kind whatsoever) on any determination made by the JSC in accordance with this Agreement, and no Party shall assert or attempt to assert that any action taken by the JSC that is within such scope of authority granted to the JSC under this Agreement is invalid or not binding on such Party.</w:t>
      </w:r>
    </w:p>
    <w:p>
      <w:pPr>
        <w:spacing w:after="0" w:line="28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6"/>
          <w:szCs w:val="16"/>
          <w:b w:val="1"/>
          <w:bCs w:val="1"/>
          <w:color w:val="auto"/>
        </w:rPr>
        <w:t>Subcommittees of the JSC</w:t>
      </w:r>
    </w:p>
    <w:p>
      <w:pPr>
        <w:spacing w:after="0" w:line="110" w:lineRule="exact"/>
        <w:rPr>
          <w:sz w:val="20"/>
          <w:szCs w:val="20"/>
          <w:color w:val="auto"/>
        </w:rPr>
      </w:pPr>
    </w:p>
    <w:p>
      <w:pPr>
        <w:ind w:left="20" w:right="480"/>
        <w:spacing w:after="0" w:line="331" w:lineRule="auto"/>
        <w:rPr>
          <w:sz w:val="20"/>
          <w:szCs w:val="20"/>
          <w:color w:val="auto"/>
        </w:rPr>
      </w:pPr>
      <w:r>
        <w:rPr>
          <w:rFonts w:ascii="Times New Roman" w:cs="Times New Roman" w:eastAsia="Times New Roman" w:hAnsi="Times New Roman"/>
          <w:sz w:val="16"/>
          <w:szCs w:val="16"/>
          <w:color w:val="auto"/>
        </w:rPr>
        <w:t xml:space="preserve">The JSC may establish subcommittees from time to time to oversee particular projects or activities, as it deems necessary or advisable and otherwise in accordance with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Without limitation of the foregoing, the JSC shall establish the following subcommittees:</w:t>
      </w:r>
    </w:p>
    <w:p>
      <w:pPr>
        <w:spacing w:after="0" w:line="29" w:lineRule="exact"/>
        <w:rPr>
          <w:sz w:val="20"/>
          <w:szCs w:val="20"/>
          <w:color w:val="auto"/>
        </w:rPr>
      </w:pPr>
    </w:p>
    <w:p>
      <w:pPr>
        <w:ind w:left="640" w:hanging="632"/>
        <w:spacing w:after="0" w:line="288" w:lineRule="auto"/>
        <w:tabs>
          <w:tab w:leader="none" w:pos="640" w:val="left"/>
        </w:tabs>
        <w:numPr>
          <w:ilvl w:val="0"/>
          <w:numId w:val="5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Data Overview Committee</w:t>
      </w:r>
      <w:r>
        <w:rPr>
          <w:rFonts w:ascii="Times New Roman" w:cs="Times New Roman" w:eastAsia="Times New Roman" w:hAnsi="Times New Roman"/>
          <w:sz w:val="16"/>
          <w:szCs w:val="16"/>
          <w:color w:val="auto"/>
        </w:rPr>
        <w:t>. As soon as practicable following the Effective Date, the JSC shall establish a data governance subcommittee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Data Overview Committee</w:t>
      </w:r>
      <w:r>
        <w:rPr>
          <w:rFonts w:ascii="Times New Roman" w:cs="Times New Roman" w:eastAsia="Times New Roman" w:hAnsi="Times New Roman"/>
          <w:sz w:val="16"/>
          <w:szCs w:val="16"/>
          <w:color w:val="auto"/>
        </w:rPr>
        <w:t xml:space="preserve">”) consisting of at least [***] (or such other number as may be mutually agreed by the Parties) to oversee (a) the establishment and implementation of data access between the Parties pursuant to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(b) the establishment of the Database Access and Expansion Criteria as set forth in </w:t>
      </w:r>
      <w:r>
        <w:rPr>
          <w:rFonts w:ascii="Times New Roman" w:cs="Times New Roman" w:eastAsia="Times New Roman" w:hAnsi="Times New Roman"/>
          <w:sz w:val="16"/>
          <w:szCs w:val="16"/>
          <w:u w:val="single" w:color="auto"/>
          <w:color w:val="auto"/>
        </w:rPr>
        <w:t>Section 5.10</w:t>
      </w:r>
      <w:r>
        <w:rPr>
          <w:rFonts w:ascii="Times New Roman" w:cs="Times New Roman" w:eastAsia="Times New Roman" w:hAnsi="Times New Roman"/>
          <w:sz w:val="16"/>
          <w:szCs w:val="16"/>
          <w:color w:val="auto"/>
        </w:rPr>
        <w:t xml:space="preserve"> and (c) support the activities and decisions of any Workstream Lead and the JSC related to the Data Licensing Services or any related Activities to be performed pursuant to a Task Order.</w:t>
      </w:r>
    </w:p>
    <w:p>
      <w:pPr>
        <w:spacing w:after="0" w:line="64" w:lineRule="exact"/>
        <w:rPr>
          <w:rFonts w:ascii="Times New Roman" w:cs="Times New Roman" w:eastAsia="Times New Roman" w:hAnsi="Times New Roman"/>
          <w:sz w:val="16"/>
          <w:szCs w:val="16"/>
          <w:color w:val="auto"/>
        </w:rPr>
      </w:pPr>
    </w:p>
    <w:p>
      <w:pPr>
        <w:ind w:left="640" w:right="340" w:hanging="632"/>
        <w:spacing w:after="0" w:line="333" w:lineRule="auto"/>
        <w:tabs>
          <w:tab w:leader="none" w:pos="640" w:val="left"/>
        </w:tabs>
        <w:numPr>
          <w:ilvl w:val="0"/>
          <w:numId w:val="5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IP Committee</w:t>
      </w:r>
      <w:r>
        <w:rPr>
          <w:rFonts w:ascii="Times New Roman" w:cs="Times New Roman" w:eastAsia="Times New Roman" w:hAnsi="Times New Roman"/>
          <w:sz w:val="16"/>
          <w:szCs w:val="16"/>
          <w:color w:val="auto"/>
        </w:rPr>
        <w:t>. The JSC shall establish an intellectual property subcommittee (the “</w:t>
      </w:r>
      <w:r>
        <w:rPr>
          <w:rFonts w:ascii="Times New Roman" w:cs="Times New Roman" w:eastAsia="Times New Roman" w:hAnsi="Times New Roman"/>
          <w:sz w:val="16"/>
          <w:szCs w:val="16"/>
          <w:b w:val="1"/>
          <w:bCs w:val="1"/>
          <w:color w:val="auto"/>
        </w:rPr>
        <w:t>IP Committee</w:t>
      </w:r>
      <w:r>
        <w:rPr>
          <w:rFonts w:ascii="Times New Roman" w:cs="Times New Roman" w:eastAsia="Times New Roman" w:hAnsi="Times New Roman"/>
          <w:sz w:val="16"/>
          <w:szCs w:val="16"/>
          <w:color w:val="auto"/>
        </w:rPr>
        <w:t>”) consisting of such number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representatives of each Party as may be mutually agreed by the Parties to oversee all matters relating to Intellectual Property Rights</w:t>
      </w:r>
    </w:p>
    <w:p>
      <w:pPr>
        <w:spacing w:after="0" w:line="5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180"/>
          </w:cols>
          <w:pgMar w:left="1000" w:top="265" w:right="719" w:bottom="1440" w:gutter="0" w:footer="0" w:header="0"/>
        </w:sectPr>
      </w:pPr>
    </w:p>
    <w:bookmarkStart w:id="619" w:name="page620"/>
    <w:bookmarkEnd w:id="619"/>
    <w:p>
      <w:pPr>
        <w:ind w:left="660" w:right="38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of the Parties arising in connection with this Agreement or any Activities. The IP Committee shall have no authority to bind GSK or Tempus, as applicable, and shall act in an advisory capacity to the JSC only.</w:t>
      </w:r>
    </w:p>
    <w:p>
      <w:pPr>
        <w:spacing w:after="0" w:line="31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6"/>
          <w:szCs w:val="16"/>
          <w:b w:val="1"/>
          <w:bCs w:val="1"/>
          <w:color w:val="auto"/>
        </w:rPr>
        <w:t>[***]</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40" w:hanging="632"/>
        <w:spacing w:after="0"/>
        <w:tabs>
          <w:tab w:leader="none" w:pos="64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3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6"/>
          <w:szCs w:val="16"/>
          <w:b w:val="1"/>
          <w:bCs w:val="1"/>
          <w:color w:val="auto"/>
        </w:rPr>
        <w:t>Workstream Leads</w:t>
      </w:r>
    </w:p>
    <w:p>
      <w:pPr>
        <w:spacing w:after="0" w:line="110" w:lineRule="exact"/>
        <w:rPr>
          <w:sz w:val="20"/>
          <w:szCs w:val="20"/>
          <w:color w:val="auto"/>
        </w:rPr>
      </w:pPr>
    </w:p>
    <w:p>
      <w:pPr>
        <w:ind w:left="20" w:right="80"/>
        <w:spacing w:after="0" w:line="251"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5.10(i)</w:t>
      </w:r>
      <w:r>
        <w:rPr>
          <w:rFonts w:ascii="Times New Roman" w:cs="Times New Roman" w:eastAsia="Times New Roman" w:hAnsi="Times New Roman"/>
          <w:sz w:val="18"/>
          <w:szCs w:val="18"/>
          <w:color w:val="auto"/>
        </w:rPr>
        <w:t>, within [***] of the Effective Date (or, in the case of the Program Lead, in connection with the execution of any Task Order), each of Tempus and GSK shall appoint a representative to serve as workstream lead (each, a “</w:t>
      </w:r>
      <w:r>
        <w:rPr>
          <w:rFonts w:ascii="Times New Roman" w:cs="Times New Roman" w:eastAsia="Times New Roman" w:hAnsi="Times New Roman"/>
          <w:sz w:val="18"/>
          <w:szCs w:val="18"/>
          <w:b w:val="1"/>
          <w:bCs w:val="1"/>
          <w:color w:val="auto"/>
        </w:rPr>
        <w:t>Workstream Lead</w:t>
      </w:r>
      <w:r>
        <w:rPr>
          <w:rFonts w:ascii="Times New Roman" w:cs="Times New Roman" w:eastAsia="Times New Roman" w:hAnsi="Times New Roman"/>
          <w:sz w:val="18"/>
          <w:szCs w:val="18"/>
          <w:color w:val="auto"/>
        </w:rPr>
        <w:t>”) for each of the workstreams outlined below. The Workstream Leads described below shall have no authority to bind GSK or Tempus, as applicable, and shall act in an advisory capacity to the JSC only.</w:t>
      </w:r>
    </w:p>
    <w:p>
      <w:pPr>
        <w:spacing w:after="0" w:line="327" w:lineRule="exact"/>
        <w:rPr>
          <w:sz w:val="20"/>
          <w:szCs w:val="20"/>
          <w:color w:val="auto"/>
        </w:rPr>
      </w:pPr>
    </w:p>
    <w:p>
      <w:pPr>
        <w:ind w:left="640" w:hanging="632"/>
        <w:spacing w:after="0"/>
        <w:tabs>
          <w:tab w:leader="none" w:pos="64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Alliance Director</w:t>
      </w:r>
    </w:p>
    <w:p>
      <w:pPr>
        <w:spacing w:after="0" w:line="108" w:lineRule="exact"/>
        <w:rPr>
          <w:sz w:val="20"/>
          <w:szCs w:val="20"/>
          <w:color w:val="auto"/>
        </w:rPr>
      </w:pPr>
    </w:p>
    <w:p>
      <w:pPr>
        <w:ind w:left="660" w:right="120"/>
        <w:spacing w:after="0" w:line="256" w:lineRule="auto"/>
        <w:rPr>
          <w:sz w:val="20"/>
          <w:szCs w:val="20"/>
          <w:color w:val="auto"/>
        </w:rPr>
      </w:pPr>
      <w:r>
        <w:rPr>
          <w:rFonts w:ascii="Times New Roman" w:cs="Times New Roman" w:eastAsia="Times New Roman" w:hAnsi="Times New Roman"/>
          <w:sz w:val="18"/>
          <w:szCs w:val="18"/>
          <w:color w:val="auto"/>
        </w:rPr>
        <w:t>Each of Tempus and GSK shall appoint an alliance director (each, an “</w:t>
      </w:r>
      <w:r>
        <w:rPr>
          <w:rFonts w:ascii="Times New Roman" w:cs="Times New Roman" w:eastAsia="Times New Roman" w:hAnsi="Times New Roman"/>
          <w:sz w:val="18"/>
          <w:szCs w:val="18"/>
          <w:b w:val="1"/>
          <w:bCs w:val="1"/>
          <w:color w:val="auto"/>
        </w:rPr>
        <w:t>Alliance Director</w:t>
      </w:r>
      <w:r>
        <w:rPr>
          <w:rFonts w:ascii="Times New Roman" w:cs="Times New Roman" w:eastAsia="Times New Roman" w:hAnsi="Times New Roman"/>
          <w:sz w:val="18"/>
          <w:szCs w:val="18"/>
          <w:color w:val="auto"/>
        </w:rPr>
        <w:t>”) to act as the principal point of contact between the Parties on all matters relating to the Activities and to facilitate communication between the Parties regarding the Activities. The Alliance Directors shall be appointed within [***] of the Effective Date.</w:t>
      </w:r>
    </w:p>
    <w:p>
      <w:pPr>
        <w:spacing w:after="0" w:line="322" w:lineRule="exact"/>
        <w:rPr>
          <w:sz w:val="20"/>
          <w:szCs w:val="20"/>
          <w:color w:val="auto"/>
        </w:rPr>
      </w:pPr>
    </w:p>
    <w:p>
      <w:pPr>
        <w:ind w:left="640" w:hanging="632"/>
        <w:spacing w:after="0"/>
        <w:tabs>
          <w:tab w:leader="none" w:pos="64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Scientific Lead</w:t>
      </w:r>
    </w:p>
    <w:p>
      <w:pPr>
        <w:spacing w:after="0" w:line="108" w:lineRule="exact"/>
        <w:rPr>
          <w:sz w:val="20"/>
          <w:szCs w:val="20"/>
          <w:color w:val="auto"/>
        </w:rPr>
      </w:pPr>
    </w:p>
    <w:p>
      <w:pPr>
        <w:ind w:left="660" w:right="180"/>
        <w:spacing w:after="0" w:line="270" w:lineRule="auto"/>
        <w:rPr>
          <w:sz w:val="20"/>
          <w:szCs w:val="20"/>
          <w:color w:val="auto"/>
        </w:rPr>
      </w:pPr>
      <w:r>
        <w:rPr>
          <w:rFonts w:ascii="Times New Roman" w:cs="Times New Roman" w:eastAsia="Times New Roman" w:hAnsi="Times New Roman"/>
          <w:sz w:val="18"/>
          <w:szCs w:val="18"/>
          <w:color w:val="auto"/>
        </w:rPr>
        <w:t>Each of Tempus and GSK shall appoint a scientific lead (each, a “</w:t>
      </w:r>
      <w:r>
        <w:rPr>
          <w:rFonts w:ascii="Times New Roman" w:cs="Times New Roman" w:eastAsia="Times New Roman" w:hAnsi="Times New Roman"/>
          <w:sz w:val="18"/>
          <w:szCs w:val="18"/>
          <w:b w:val="1"/>
          <w:bCs w:val="1"/>
          <w:color w:val="auto"/>
        </w:rPr>
        <w:t>Scientific Lead</w:t>
      </w:r>
      <w:r>
        <w:rPr>
          <w:rFonts w:ascii="Times New Roman" w:cs="Times New Roman" w:eastAsia="Times New Roman" w:hAnsi="Times New Roman"/>
          <w:sz w:val="18"/>
          <w:szCs w:val="18"/>
          <w:color w:val="auto"/>
        </w:rPr>
        <w:t>”) to act as the principal point of contact between the Parties on all matters relating to the scientific planning of GSK Research Programs and inform decisions of the JSC.</w:t>
      </w:r>
    </w:p>
    <w:p>
      <w:pPr>
        <w:spacing w:after="0" w:line="309" w:lineRule="exact"/>
        <w:rPr>
          <w:sz w:val="20"/>
          <w:szCs w:val="20"/>
          <w:color w:val="auto"/>
        </w:rPr>
      </w:pPr>
    </w:p>
    <w:p>
      <w:pPr>
        <w:ind w:left="640" w:hanging="632"/>
        <w:spacing w:after="0"/>
        <w:tabs>
          <w:tab w:leader="none" w:pos="640"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AI/ML Lead</w:t>
      </w:r>
    </w:p>
    <w:p>
      <w:pPr>
        <w:spacing w:after="0" w:line="108" w:lineRule="exact"/>
        <w:rPr>
          <w:sz w:val="20"/>
          <w:szCs w:val="20"/>
          <w:color w:val="auto"/>
        </w:rPr>
      </w:pPr>
    </w:p>
    <w:p>
      <w:pPr>
        <w:ind w:left="660" w:right="320"/>
        <w:spacing w:after="0" w:line="333" w:lineRule="auto"/>
        <w:rPr>
          <w:sz w:val="20"/>
          <w:szCs w:val="20"/>
          <w:color w:val="auto"/>
        </w:rPr>
      </w:pPr>
      <w:r>
        <w:rPr>
          <w:rFonts w:ascii="Times New Roman" w:cs="Times New Roman" w:eastAsia="Times New Roman" w:hAnsi="Times New Roman"/>
          <w:sz w:val="16"/>
          <w:szCs w:val="16"/>
          <w:color w:val="auto"/>
        </w:rPr>
        <w:t>Each of Tempus and GSK shall appoint an AI/ML lead (each, an “</w:t>
      </w:r>
      <w:r>
        <w:rPr>
          <w:rFonts w:ascii="Times New Roman" w:cs="Times New Roman" w:eastAsia="Times New Roman" w:hAnsi="Times New Roman"/>
          <w:sz w:val="16"/>
          <w:szCs w:val="16"/>
          <w:b w:val="1"/>
          <w:bCs w:val="1"/>
          <w:color w:val="auto"/>
        </w:rPr>
        <w:t>AI/ML Lead</w:t>
      </w:r>
      <w:r>
        <w:rPr>
          <w:rFonts w:ascii="Times New Roman" w:cs="Times New Roman" w:eastAsia="Times New Roman" w:hAnsi="Times New Roman"/>
          <w:sz w:val="16"/>
          <w:szCs w:val="16"/>
          <w:color w:val="auto"/>
        </w:rPr>
        <w:t>”) to act as the principal point of contact between the Parties on all matters relating to the use, development or improvement of AI/ML matters pursuant to any Task Order.</w:t>
      </w:r>
    </w:p>
    <w:p>
      <w:pPr>
        <w:spacing w:after="0" w:line="264" w:lineRule="exact"/>
        <w:rPr>
          <w:sz w:val="20"/>
          <w:szCs w:val="20"/>
          <w:color w:val="auto"/>
        </w:rPr>
      </w:pPr>
    </w:p>
    <w:p>
      <w:pPr>
        <w:ind w:left="640" w:hanging="632"/>
        <w:spacing w:after="0"/>
        <w:tabs>
          <w:tab w:leader="none" w:pos="64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Program Lead</w:t>
      </w:r>
    </w:p>
    <w:p>
      <w:pPr>
        <w:spacing w:after="0" w:line="108" w:lineRule="exact"/>
        <w:rPr>
          <w:sz w:val="20"/>
          <w:szCs w:val="20"/>
          <w:color w:val="auto"/>
        </w:rPr>
      </w:pPr>
    </w:p>
    <w:p>
      <w:pPr>
        <w:ind w:left="660"/>
        <w:spacing w:after="0" w:line="270" w:lineRule="auto"/>
        <w:rPr>
          <w:sz w:val="20"/>
          <w:szCs w:val="20"/>
          <w:color w:val="auto"/>
        </w:rPr>
      </w:pPr>
      <w:r>
        <w:rPr>
          <w:rFonts w:ascii="Times New Roman" w:cs="Times New Roman" w:eastAsia="Times New Roman" w:hAnsi="Times New Roman"/>
          <w:sz w:val="18"/>
          <w:szCs w:val="18"/>
          <w:color w:val="auto"/>
        </w:rPr>
        <w:t>In connection with the execution of any Task Order, each of GSK and Tempus shall appoint a program lead (each, a “</w:t>
      </w:r>
      <w:r>
        <w:rPr>
          <w:rFonts w:ascii="Times New Roman" w:cs="Times New Roman" w:eastAsia="Times New Roman" w:hAnsi="Times New Roman"/>
          <w:sz w:val="18"/>
          <w:szCs w:val="18"/>
          <w:b w:val="1"/>
          <w:bCs w:val="1"/>
          <w:color w:val="auto"/>
        </w:rPr>
        <w:t>Program Lead</w:t>
      </w:r>
      <w:r>
        <w:rPr>
          <w:rFonts w:ascii="Times New Roman" w:cs="Times New Roman" w:eastAsia="Times New Roman" w:hAnsi="Times New Roman"/>
          <w:sz w:val="18"/>
          <w:szCs w:val="18"/>
          <w:color w:val="auto"/>
        </w:rPr>
        <w:t>”) to act as the principal point of contact between the Parties with respect to a given Task Order.</w:t>
      </w:r>
    </w:p>
    <w:p>
      <w:pPr>
        <w:spacing w:after="0" w:line="10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280"/>
          </w:cols>
          <w:pgMar w:left="1000" w:top="266" w:right="619" w:bottom="1440" w:gutter="0" w:footer="0" w:header="0"/>
        </w:sectPr>
      </w:pPr>
    </w:p>
    <w:bookmarkStart w:id="620" w:name="page621"/>
    <w:bookmarkEnd w:id="620"/>
    <w:p>
      <w:pPr>
        <w:ind w:left="1060" w:hanging="632"/>
        <w:spacing w:after="0"/>
        <w:tabs>
          <w:tab w:leader="none" w:pos="1060"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Finance Representative</w:t>
      </w:r>
    </w:p>
    <w:p>
      <w:pPr>
        <w:spacing w:after="0" w:line="108" w:lineRule="exact"/>
        <w:rPr>
          <w:sz w:val="20"/>
          <w:szCs w:val="20"/>
          <w:color w:val="auto"/>
        </w:rPr>
      </w:pPr>
    </w:p>
    <w:p>
      <w:pPr>
        <w:ind w:left="1080" w:right="100"/>
        <w:spacing w:after="0" w:line="247" w:lineRule="auto"/>
        <w:rPr>
          <w:sz w:val="20"/>
          <w:szCs w:val="20"/>
          <w:color w:val="auto"/>
        </w:rPr>
      </w:pPr>
      <w:r>
        <w:rPr>
          <w:rFonts w:ascii="Times New Roman" w:cs="Times New Roman" w:eastAsia="Times New Roman" w:hAnsi="Times New Roman"/>
          <w:sz w:val="18"/>
          <w:szCs w:val="18"/>
          <w:color w:val="auto"/>
        </w:rPr>
        <w:t>Each of Tempus and GSK shall appoint a finance representative (each, a “</w:t>
      </w:r>
      <w:r>
        <w:rPr>
          <w:rFonts w:ascii="Times New Roman" w:cs="Times New Roman" w:eastAsia="Times New Roman" w:hAnsi="Times New Roman"/>
          <w:sz w:val="18"/>
          <w:szCs w:val="18"/>
          <w:b w:val="1"/>
          <w:bCs w:val="1"/>
          <w:color w:val="auto"/>
        </w:rPr>
        <w:t>Finance Representative</w:t>
      </w:r>
      <w:r>
        <w:rPr>
          <w:rFonts w:ascii="Times New Roman" w:cs="Times New Roman" w:eastAsia="Times New Roman" w:hAnsi="Times New Roman"/>
          <w:sz w:val="18"/>
          <w:szCs w:val="18"/>
          <w:color w:val="auto"/>
        </w:rPr>
        <w:t xml:space="preserve">”) to act as the principal point of contact between the Parties on all financial matters under this Agreement, including relating to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Section 24, Schedule 4 and Schedule 10. Tempus’s Finance Representative will provide the reports described in Section 24, and otherwise report periodically each calendar quarter to the JSC on certain financial matters; provided, however, that the Finance Representatives shall have no authority to bind GSK or Tempus, as applicable, and shall act in an advisory capacity to the JSC only. Each Party may replace their Finance Representative at any time by informing the other Party’s Finance Representative and the Alliance Directors in writing, including the name and contact information for any such replacement Finance Representative.</w:t>
      </w:r>
    </w:p>
    <w:p>
      <w:pPr>
        <w:spacing w:after="0" w:line="334"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6"/>
          <w:szCs w:val="16"/>
          <w:b w:val="1"/>
          <w:bCs w:val="1"/>
          <w:color w:val="auto"/>
        </w:rPr>
        <w:t>Database Access and Expansion Criteria</w:t>
      </w:r>
    </w:p>
    <w:p>
      <w:pPr>
        <w:spacing w:after="0" w:line="110" w:lineRule="exact"/>
        <w:rPr>
          <w:sz w:val="20"/>
          <w:szCs w:val="20"/>
          <w:color w:val="auto"/>
        </w:rPr>
      </w:pPr>
    </w:p>
    <w:p>
      <w:pPr>
        <w:ind w:left="440" w:right="60"/>
        <w:spacing w:after="0" w:line="251" w:lineRule="auto"/>
        <w:rPr>
          <w:sz w:val="20"/>
          <w:szCs w:val="20"/>
          <w:color w:val="auto"/>
        </w:rPr>
      </w:pPr>
      <w:r>
        <w:rPr>
          <w:rFonts w:ascii="Times New Roman" w:cs="Times New Roman" w:eastAsia="Times New Roman" w:hAnsi="Times New Roman"/>
          <w:sz w:val="18"/>
          <w:szCs w:val="18"/>
          <w:color w:val="auto"/>
        </w:rPr>
        <w:t xml:space="preserve">Within [***] of the Effective Date, the Data Overview Committee of the JSC shall recommend to the JSC for approval specified criteria related to the optimization and improvement of the Data Licensing Services as described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Database Access and Expansion Criteria</w:t>
      </w:r>
      <w:r>
        <w:rPr>
          <w:rFonts w:ascii="Times New Roman" w:cs="Times New Roman" w:eastAsia="Times New Roman" w:hAnsi="Times New Roman"/>
          <w:sz w:val="18"/>
          <w:szCs w:val="18"/>
          <w:color w:val="auto"/>
        </w:rPr>
        <w:t>”). The Database Access and Expansion Criteria shall define specific milestones to be achieved by the Parties during the Term, including [***]. The Database Access and Expansion Criteria may include, without limitation, milestones defining criteria for:</w:t>
      </w:r>
    </w:p>
    <w:p>
      <w:pPr>
        <w:spacing w:after="0" w:line="92" w:lineRule="exact"/>
        <w:rPr>
          <w:sz w:val="20"/>
          <w:szCs w:val="20"/>
          <w:color w:val="auto"/>
        </w:rPr>
      </w:pPr>
    </w:p>
    <w:p>
      <w:pPr>
        <w:ind w:left="1060" w:hanging="632"/>
        <w:spacing w:after="0"/>
        <w:tabs>
          <w:tab w:leader="none" w:pos="1060"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31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6"/>
          <w:szCs w:val="16"/>
          <w:b w:val="1"/>
          <w:bCs w:val="1"/>
          <w:color w:val="auto"/>
        </w:rPr>
        <w:t>Tempus Software and Services</w:t>
      </w:r>
    </w:p>
    <w:p>
      <w:pPr>
        <w:spacing w:after="0" w:line="121"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6"/>
          <w:szCs w:val="16"/>
          <w:b w:val="1"/>
          <w:bCs w:val="1"/>
          <w:color w:val="auto"/>
        </w:rPr>
        <w:t>License Grant to LENS</w:t>
      </w:r>
    </w:p>
    <w:p>
      <w:pPr>
        <w:spacing w:after="0" w:line="123" w:lineRule="exact"/>
        <w:rPr>
          <w:sz w:val="20"/>
          <w:szCs w:val="20"/>
          <w:color w:val="auto"/>
        </w:rPr>
      </w:pPr>
    </w:p>
    <w:p>
      <w:pPr>
        <w:ind w:left="1060" w:hanging="632"/>
        <w:spacing w:after="0" w:line="285" w:lineRule="auto"/>
        <w:tabs>
          <w:tab w:leader="none" w:pos="1060" w:val="left"/>
        </w:tabs>
        <w:numPr>
          <w:ilvl w:val="0"/>
          <w:numId w:val="5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Tempus hereby grants to GSK a non-exclusive, limited, revocable license (sublicensable to GSK Affiliates and Associated Parties) to access and use the Tempus Software during the Term to enable GSK and its Affiliates and their respective Personnel, and [***], to exploit the Tempus Dataset for any purpose or use by GSK in the Field in the Territory in accordance with the terms of this Agreement, including the activities permitted in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The license contemplated by this </w:t>
      </w:r>
      <w:r>
        <w:rPr>
          <w:rFonts w:ascii="Times New Roman" w:cs="Times New Roman" w:eastAsia="Times New Roman" w:hAnsi="Times New Roman"/>
          <w:sz w:val="16"/>
          <w:szCs w:val="16"/>
          <w:u w:val="single" w:color="auto"/>
          <w:color w:val="auto"/>
        </w:rPr>
        <w:t>Section 6.1i)</w:t>
      </w:r>
      <w:r>
        <w:rPr>
          <w:rFonts w:ascii="Times New Roman" w:cs="Times New Roman" w:eastAsia="Times New Roman" w:hAnsi="Times New Roman"/>
          <w:sz w:val="16"/>
          <w:szCs w:val="16"/>
          <w:color w:val="auto"/>
        </w:rPr>
        <w:t xml:space="preserve"> includes the right to use, display, and access all Licensed Data within the Tempus Dataset, or compilations based upon the Licensed Data, in each case solely within the Tempus Software. The license granted under this </w:t>
      </w:r>
      <w:r>
        <w:rPr>
          <w:rFonts w:ascii="Times New Roman" w:cs="Times New Roman" w:eastAsia="Times New Roman" w:hAnsi="Times New Roman"/>
          <w:sz w:val="16"/>
          <w:szCs w:val="16"/>
          <w:u w:val="single" w:color="auto"/>
          <w:color w:val="auto"/>
        </w:rPr>
        <w:t>Section 6.1i)</w:t>
      </w:r>
      <w:r>
        <w:rPr>
          <w:rFonts w:ascii="Times New Roman" w:cs="Times New Roman" w:eastAsia="Times New Roman" w:hAnsi="Times New Roman"/>
          <w:sz w:val="16"/>
          <w:szCs w:val="16"/>
          <w:color w:val="auto"/>
        </w:rPr>
        <w:t xml:space="preserve"> also includes the right to download, store, copy, and compile a subset 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20"/>
          </w:cols>
          <w:pgMar w:left="580" w:top="263" w:right="599" w:bottom="1440" w:gutter="0" w:footer="0" w:header="0"/>
        </w:sectPr>
      </w:pPr>
    </w:p>
    <w:bookmarkStart w:id="621" w:name="page622"/>
    <w:bookmarkEnd w:id="621"/>
    <w:p>
      <w:pPr>
        <w:ind w:left="660" w:right="40"/>
        <w:spacing w:after="0" w:line="28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683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8040" cy="36830"/>
                    </a:xfrm>
                    <a:prstGeom prst="rect">
                      <a:avLst/>
                    </a:prstGeom>
                    <a:noFill/>
                  </pic:spPr>
                </pic:pic>
              </a:graphicData>
            </a:graphic>
          </wp:anchor>
        </w:drawing>
        <w:t>such Licensed Data within the Tempus Dataset as and to the extent expressly set forth below in this Section 6. With respect to Associated Parties, GSK may provide Associated Parties with access to Licensed Data in a manner consistent with the terms of this Agreement, but may not transfer any downloaded or otherwise extracted copy or excerpt of Licensed Data to any Associated Party. In the event GSK would like to provide an Associated Party with access to the Tempus Software, such Associated Party must enter into a direct access agreement with Tempus in the form set out in Schedule 15 prior to being provided access to the Tempus Software.</w:t>
      </w:r>
    </w:p>
    <w:p>
      <w:pPr>
        <w:spacing w:after="0" w:line="65" w:lineRule="exact"/>
        <w:rPr>
          <w:sz w:val="20"/>
          <w:szCs w:val="20"/>
          <w:color w:val="auto"/>
        </w:rPr>
      </w:pPr>
    </w:p>
    <w:p>
      <w:pPr>
        <w:ind w:left="640" w:right="220" w:hanging="632"/>
        <w:spacing w:after="0" w:line="251" w:lineRule="auto"/>
        <w:tabs>
          <w:tab w:leader="none" w:pos="640"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Tempus delivers executable code to GSK that may be necessary to access the Tempus Software and/or provides any user instructions, manuals or other materials, and on-line help files regarding the use of the Tempus Software that are made available by Tempus to GSK (“</w:t>
      </w:r>
      <w:r>
        <w:rPr>
          <w:rFonts w:ascii="Times New Roman" w:cs="Times New Roman" w:eastAsia="Times New Roman" w:hAnsi="Times New Roman"/>
          <w:sz w:val="18"/>
          <w:szCs w:val="18"/>
          <w:b w:val="1"/>
          <w:bCs w:val="1"/>
          <w:color w:val="auto"/>
        </w:rPr>
        <w:t>Documentation</w:t>
      </w:r>
      <w:r>
        <w:rPr>
          <w:rFonts w:ascii="Times New Roman" w:cs="Times New Roman" w:eastAsia="Times New Roman" w:hAnsi="Times New Roman"/>
          <w:sz w:val="18"/>
          <w:szCs w:val="18"/>
          <w:color w:val="auto"/>
        </w:rPr>
        <w:t>”), Tempus hereby grants to GSK during the Term a non-exclusive, limited license (sublicensable to GSK Affiliates and Associated Parties) under copyright to [***] as permitted in this Agreement. [***].</w:t>
      </w:r>
    </w:p>
    <w:p>
      <w:pPr>
        <w:spacing w:after="0" w:line="32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6"/>
          <w:szCs w:val="16"/>
          <w:b w:val="1"/>
          <w:bCs w:val="1"/>
          <w:color w:val="auto"/>
        </w:rPr>
        <w:t>Access to Tempus Software (LENS) and Services</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GSK’s access to the Tempus Software shall enable GSK and its Affiliates and their respective Personnel, and [***], to:</w:t>
      </w:r>
    </w:p>
    <w:p>
      <w:pPr>
        <w:spacing w:after="0" w:line="121" w:lineRule="exact"/>
        <w:rPr>
          <w:sz w:val="20"/>
          <w:szCs w:val="20"/>
          <w:color w:val="auto"/>
        </w:rPr>
      </w:pPr>
    </w:p>
    <w:p>
      <w:pPr>
        <w:ind w:left="640" w:right="100" w:hanging="632"/>
        <w:spacing w:after="0" w:line="267" w:lineRule="auto"/>
        <w:tabs>
          <w:tab w:leader="none" w:pos="64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cohorts of interest and explore the Licensed Data, including [***] De-Identified Records within the Tempus Dataset, and including [***];</w:t>
      </w:r>
    </w:p>
    <w:p>
      <w:pPr>
        <w:spacing w:after="0" w:line="7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access [***] De-Identified Records as and to the extent set forth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w:t>
      </w:r>
    </w:p>
    <w:p>
      <w:pPr>
        <w:spacing w:after="0" w:line="12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download up to [***] De-Identified Records, in accordance with the pricing set forth in </w:t>
      </w:r>
      <w:r>
        <w:rPr>
          <w:rFonts w:ascii="Times New Roman" w:cs="Times New Roman" w:eastAsia="Times New Roman" w:hAnsi="Times New Roman"/>
          <w:sz w:val="18"/>
          <w:szCs w:val="18"/>
          <w:u w:val="single" w:color="auto"/>
          <w:color w:val="auto"/>
        </w:rPr>
        <w:t>Section 6.4(iii)</w:t>
      </w:r>
      <w:r>
        <w:rPr>
          <w:rFonts w:ascii="Times New Roman" w:cs="Times New Roman" w:eastAsia="Times New Roman" w:hAnsi="Times New Roman"/>
          <w:sz w:val="18"/>
          <w:szCs w:val="18"/>
          <w:color w:val="auto"/>
        </w:rPr>
        <w:t>; and</w:t>
      </w:r>
    </w:p>
    <w:p>
      <w:pPr>
        <w:spacing w:after="0" w:line="11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access [***] De-Identified Records in </w:t>
      </w:r>
      <w:r>
        <w:rPr>
          <w:rFonts w:ascii="Times New Roman" w:cs="Times New Roman" w:eastAsia="Times New Roman" w:hAnsi="Times New Roman"/>
          <w:sz w:val="18"/>
          <w:szCs w:val="18"/>
          <w:i w:val="1"/>
          <w:iCs w:val="1"/>
          <w:color w:val="auto"/>
        </w:rPr>
        <w:t>ipython</w:t>
      </w:r>
      <w:r>
        <w:rPr>
          <w:rFonts w:ascii="Times New Roman" w:cs="Times New Roman" w:eastAsia="Times New Roman" w:hAnsi="Times New Roman"/>
          <w:sz w:val="18"/>
          <w:szCs w:val="18"/>
          <w:color w:val="auto"/>
        </w:rPr>
        <w:t xml:space="preserve"> notebooks hosted by Tempus, [***];</w:t>
      </w:r>
    </w:p>
    <w:p>
      <w:pPr>
        <w:spacing w:after="0" w:line="123" w:lineRule="exact"/>
        <w:rPr>
          <w:rFonts w:ascii="Times New Roman" w:cs="Times New Roman" w:eastAsia="Times New Roman" w:hAnsi="Times New Roman"/>
          <w:sz w:val="18"/>
          <w:szCs w:val="18"/>
          <w:color w:val="auto"/>
        </w:rPr>
      </w:pPr>
    </w:p>
    <w:p>
      <w:pPr>
        <w:ind w:left="640" w:hanging="632"/>
        <w:spacing w:after="0" w:line="285" w:lineRule="auto"/>
        <w:tabs>
          <w:tab w:leader="none" w:pos="640" w:val="left"/>
        </w:tabs>
        <w:numPr>
          <w:ilvl w:val="0"/>
          <w:numId w:val="5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run, use, train, re-train, improve, build, develop, validate or otherwise exploit algorithms, software and models (including any machine-learning (ML) models) (collectively, the “</w:t>
      </w:r>
      <w:r>
        <w:rPr>
          <w:rFonts w:ascii="Times New Roman" w:cs="Times New Roman" w:eastAsia="Times New Roman" w:hAnsi="Times New Roman"/>
          <w:sz w:val="16"/>
          <w:szCs w:val="16"/>
          <w:b w:val="1"/>
          <w:bCs w:val="1"/>
          <w:color w:val="auto"/>
        </w:rPr>
        <w:t>ML Models</w:t>
      </w:r>
      <w:r>
        <w:rPr>
          <w:rFonts w:ascii="Times New Roman" w:cs="Times New Roman" w:eastAsia="Times New Roman" w:hAnsi="Times New Roman"/>
          <w:sz w:val="16"/>
          <w:szCs w:val="16"/>
          <w:color w:val="auto"/>
        </w:rPr>
        <w:t xml:space="preserve">”) within the Tempus Software or any other cloud-based data analytics platform maintained by or on behalf of Tempus in connection with the Tempus Software; provided, that use of the ML Models shall be charged at a fee of $[***] for each week during which a De-Identified Record is used within an ML Model by GSK (subject to a minimum of $[***] per ML Model) in accordance with Schedule 10 (Pricing [***]) or such lower cost as may be agreed between the Parties based on the achievement of the applicable milestones set forth in the Database Access and Expansion Criteria in accordance with </w:t>
      </w:r>
      <w:r>
        <w:rPr>
          <w:rFonts w:ascii="Times New Roman" w:cs="Times New Roman" w:eastAsia="Times New Roman" w:hAnsi="Times New Roman"/>
          <w:sz w:val="16"/>
          <w:szCs w:val="16"/>
          <w:u w:val="single" w:color="auto"/>
          <w:color w:val="auto"/>
        </w:rPr>
        <w:t>Section 5.10</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300"/>
          </w:cols>
          <w:pgMar w:left="1000" w:top="266" w:right="599" w:bottom="1440" w:gutter="0" w:footer="0" w:header="0"/>
        </w:sectPr>
      </w:pPr>
    </w:p>
    <w:bookmarkStart w:id="622" w:name="page623"/>
    <w:bookmarkEnd w:id="622"/>
    <w:p>
      <w:pPr>
        <w:ind w:left="640" w:hanging="632"/>
        <w:spacing w:after="0"/>
        <w:tabs>
          <w:tab w:leader="none" w:pos="64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export ML Models developed or accessed by GSK into an environment controlled or maintained by GSK, [***]; and</w:t>
      </w:r>
    </w:p>
    <w:p>
      <w:pPr>
        <w:spacing w:after="0" w:line="12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additional data functionality, processing and storage available via [***], [***].</w:t>
      </w:r>
    </w:p>
    <w:p>
      <w:pPr>
        <w:spacing w:after="0" w:line="3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6"/>
          <w:szCs w:val="16"/>
          <w:b w:val="1"/>
          <w:bCs w:val="1"/>
          <w:color w:val="auto"/>
        </w:rPr>
        <w:t>LENS License Fee</w:t>
      </w:r>
    </w:p>
    <w:p>
      <w:pPr>
        <w:spacing w:after="0" w:line="110" w:lineRule="exact"/>
        <w:rPr>
          <w:sz w:val="20"/>
          <w:szCs w:val="20"/>
          <w:color w:val="auto"/>
        </w:rPr>
      </w:pPr>
    </w:p>
    <w:p>
      <w:pPr>
        <w:ind w:left="20" w:right="240"/>
        <w:spacing w:after="0" w:line="255" w:lineRule="auto"/>
        <w:rPr>
          <w:sz w:val="20"/>
          <w:szCs w:val="20"/>
          <w:color w:val="auto"/>
        </w:rPr>
      </w:pPr>
      <w:r>
        <w:rPr>
          <w:rFonts w:ascii="Times New Roman" w:cs="Times New Roman" w:eastAsia="Times New Roman" w:hAnsi="Times New Roman"/>
          <w:sz w:val="18"/>
          <w:szCs w:val="18"/>
          <w:color w:val="auto"/>
        </w:rPr>
        <w:t xml:space="preserve">Access to the Tempus Software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be billed at $[***] per seat license per year, subject to a minimum of [***] seat licenses per year (the “</w:t>
      </w:r>
      <w:r>
        <w:rPr>
          <w:rFonts w:ascii="Times New Roman" w:cs="Times New Roman" w:eastAsia="Times New Roman" w:hAnsi="Times New Roman"/>
          <w:sz w:val="18"/>
          <w:szCs w:val="18"/>
          <w:b w:val="1"/>
          <w:bCs w:val="1"/>
          <w:color w:val="auto"/>
        </w:rPr>
        <w:t>LENS License Fee</w:t>
      </w:r>
      <w:r>
        <w:rPr>
          <w:rFonts w:ascii="Times New Roman" w:cs="Times New Roman" w:eastAsia="Times New Roman" w:hAnsi="Times New Roman"/>
          <w:sz w:val="18"/>
          <w:szCs w:val="18"/>
          <w:color w:val="auto"/>
        </w:rPr>
        <w:t>”) in accordance with Schedule 10 (Pricing [***]). There shall be no limitation on the number of seat licenses GSK may request.</w:t>
      </w:r>
    </w:p>
    <w:p>
      <w:pPr>
        <w:spacing w:after="0" w:line="32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6"/>
          <w:szCs w:val="16"/>
          <w:b w:val="1"/>
          <w:bCs w:val="1"/>
          <w:color w:val="auto"/>
        </w:rPr>
        <w:t>Data Access and Licensing Services</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Without limitation of the foregoing, Tempus shall provide the following data access and licensing services to GSK (the “</w:t>
      </w:r>
      <w:r>
        <w:rPr>
          <w:rFonts w:ascii="Times New Roman" w:cs="Times New Roman" w:eastAsia="Times New Roman" w:hAnsi="Times New Roman"/>
          <w:sz w:val="18"/>
          <w:szCs w:val="18"/>
          <w:b w:val="1"/>
          <w:bCs w:val="1"/>
          <w:color w:val="auto"/>
        </w:rPr>
        <w:t>Data Licensing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and its Affiliates and their respective Personnel (and [***]) during the Term, subject to payment of an annual subscription fee (the</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Data Exchange Subscription Fee</w:t>
      </w:r>
      <w:r>
        <w:rPr>
          <w:rFonts w:ascii="Times New Roman" w:cs="Times New Roman" w:eastAsia="Times New Roman" w:hAnsi="Times New Roman"/>
          <w:sz w:val="16"/>
          <w:szCs w:val="16"/>
          <w:color w:val="auto"/>
        </w:rPr>
        <w:t>”) of $[***] per year (pro-rated for any period during the Term that is less than a full calendar year) (provided,</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that the applicable portion of the Data Exchange Subscription Fee shall be waived for any quarter during which GSK, its Affiliates, and their</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respective Personnel (including [***]) does not access any Licensed Data included within the Tempus Dataset and does not have any Licensed</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Data in its possession or the possession of its Affiliates or their respective Personnel, except to the extent any retention of Licensed Data is</w:t>
      </w:r>
    </w:p>
    <w:p>
      <w:pPr>
        <w:spacing w:after="0" w:line="3" w:lineRule="exact"/>
        <w:rPr>
          <w:sz w:val="20"/>
          <w:szCs w:val="20"/>
          <w:color w:val="auto"/>
        </w:rPr>
      </w:pPr>
    </w:p>
    <w:p>
      <w:pPr>
        <w:ind w:left="20" w:right="180" w:hanging="4"/>
        <w:spacing w:after="0" w:line="245" w:lineRule="auto"/>
        <w:tabs>
          <w:tab w:leader="none" w:pos="229" w:val="left"/>
        </w:tabs>
        <w:numPr>
          <w:ilvl w:val="1"/>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required by Applicable Law or any document retention or other obligations applicable to GSK under this Agreement or (ii) permitted by </w:t>
      </w:r>
      <w:r>
        <w:rPr>
          <w:rFonts w:ascii="Times New Roman" w:cs="Times New Roman" w:eastAsia="Times New Roman" w:hAnsi="Times New Roman"/>
          <w:sz w:val="18"/>
          <w:szCs w:val="18"/>
          <w:u w:val="single" w:color="auto"/>
          <w:color w:val="auto"/>
        </w:rPr>
        <w:t>Section 15.3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Tempus Confidential Information</w:t>
      </w:r>
      <w:r>
        <w:rPr>
          <w:rFonts w:ascii="Times New Roman" w:cs="Times New Roman" w:eastAsia="Times New Roman" w:hAnsi="Times New Roman"/>
          <w:sz w:val="18"/>
          <w:szCs w:val="18"/>
          <w:color w:val="auto"/>
        </w:rPr>
        <w:t>) under circumstances where the Termination Date has occurred (but for purposes of this proviso, regardless of whether or not the Termination Date has occurred)):</w:t>
      </w:r>
    </w:p>
    <w:p>
      <w:pPr>
        <w:spacing w:after="0" w:line="96"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on a non-exclusive basis to Tempus’s multimodal datasets of De-Identified Records, including [***];</w:t>
      </w:r>
    </w:p>
    <w:p>
      <w:pPr>
        <w:spacing w:after="0" w:line="121" w:lineRule="exact"/>
        <w:rPr>
          <w:rFonts w:ascii="Times New Roman" w:cs="Times New Roman" w:eastAsia="Times New Roman" w:hAnsi="Times New Roman"/>
          <w:sz w:val="18"/>
          <w:szCs w:val="18"/>
          <w:color w:val="auto"/>
        </w:rPr>
      </w:pPr>
    </w:p>
    <w:p>
      <w:pPr>
        <w:ind w:left="640" w:hanging="632"/>
        <w:spacing w:after="0" w:line="255" w:lineRule="auto"/>
        <w:tabs>
          <w:tab w:leader="none" w:pos="64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or permit GSK and its Affiliates and their respective Personnel to establish and maintain, a confidential library within an environment hosted on Tempus’s cloud-based data and analytics platform infrastructure within the Tempus Software (the “</w:t>
      </w:r>
      <w:r>
        <w:rPr>
          <w:rFonts w:ascii="Times New Roman" w:cs="Times New Roman" w:eastAsia="Times New Roman" w:hAnsi="Times New Roman"/>
          <w:sz w:val="18"/>
          <w:szCs w:val="18"/>
          <w:b w:val="1"/>
          <w:bCs w:val="1"/>
          <w:color w:val="auto"/>
        </w:rPr>
        <w:t>GSK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Dedicated Library</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640" w:right="280" w:hanging="632"/>
        <w:spacing w:after="0" w:line="252" w:lineRule="auto"/>
        <w:tabs>
          <w:tab w:leader="none" w:pos="64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the downloading and maintenance of up to [***] De-Identified Patient Records selected by GSK (the “</w:t>
      </w:r>
      <w:r>
        <w:rPr>
          <w:rFonts w:ascii="Times New Roman" w:cs="Times New Roman" w:eastAsia="Times New Roman" w:hAnsi="Times New Roman"/>
          <w:sz w:val="18"/>
          <w:szCs w:val="18"/>
          <w:b w:val="1"/>
          <w:bCs w:val="1"/>
          <w:color w:val="auto"/>
        </w:rPr>
        <w:t>Licensed Records</w:t>
      </w:r>
      <w:r>
        <w:rPr>
          <w:rFonts w:ascii="Times New Roman" w:cs="Times New Roman" w:eastAsia="Times New Roman" w:hAnsi="Times New Roman"/>
          <w:sz w:val="18"/>
          <w:szCs w:val="18"/>
          <w:color w:val="auto"/>
        </w:rPr>
        <w:t>”) within the GSK Dedicated Library for use within Tempus’s cloud-based data and analytics platform infrastructure; provided that GSK may select additional De-Identified Patient Records for inclusion among the Licensed Records at an additional cost of $[***] per De-Identified Patient Record per year (which such pricing reflects [***];</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300"/>
          </w:cols>
          <w:pgMar w:left="1000" w:top="265" w:right="599" w:bottom="1440" w:gutter="0" w:footer="0" w:header="0"/>
        </w:sectPr>
      </w:pPr>
    </w:p>
    <w:bookmarkStart w:id="623" w:name="page624"/>
    <w:bookmarkEnd w:id="623"/>
    <w:p>
      <w:pPr>
        <w:ind w:left="640" w:hanging="632"/>
        <w:spacing w:after="0" w:line="251" w:lineRule="auto"/>
        <w:tabs>
          <w:tab w:leader="none" w:pos="64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support and facilitate the exchange of any unwanted De-Identified Patient Records included within the Licensed Records identified by GSK and replacement with alternative De-Identified Patient Records selected by GSK, no more than [***] times in any calendar year or more frequently based on the achievement of the applicable milestones set forth in the Database Access and Expansion Criteria in accordance with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access to additional data functionality, processing and storage for the GSK Dedicated Library available via [***], [***];</w:t>
      </w:r>
    </w:p>
    <w:p>
      <w:pPr>
        <w:spacing w:after="0" w:line="121" w:lineRule="exact"/>
        <w:rPr>
          <w:rFonts w:ascii="Times New Roman" w:cs="Times New Roman" w:eastAsia="Times New Roman" w:hAnsi="Times New Roman"/>
          <w:sz w:val="18"/>
          <w:szCs w:val="18"/>
          <w:color w:val="auto"/>
        </w:rPr>
      </w:pPr>
    </w:p>
    <w:p>
      <w:pPr>
        <w:ind w:left="640" w:hanging="632"/>
        <w:spacing w:after="0" w:line="249" w:lineRule="auto"/>
        <w:tabs>
          <w:tab w:leader="none" w:pos="64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downloading and transferring of the Licensed Records downloaded in accordance with Section 6.4(iii) in the GSK Dedicated Library to an environment controlled or maintained by GSK, [***] (provided that such Licensed Records and all copies thereof must be returned or destroyed in the event the applicable De-Identified Patient Records are exchanged, and provided GSK is solely responsible for the maintenance and security of such records while stored in an environment controlled or maintained by GSK, as well as the cost of maintaining and administering such environment); and</w:t>
      </w:r>
    </w:p>
    <w:p>
      <w:pPr>
        <w:spacing w:after="0" w:line="94" w:lineRule="exact"/>
        <w:rPr>
          <w:rFonts w:ascii="Times New Roman" w:cs="Times New Roman" w:eastAsia="Times New Roman" w:hAnsi="Times New Roman"/>
          <w:sz w:val="18"/>
          <w:szCs w:val="18"/>
          <w:color w:val="auto"/>
        </w:rPr>
      </w:pPr>
    </w:p>
    <w:p>
      <w:pPr>
        <w:ind w:left="640" w:hanging="632"/>
        <w:spacing w:after="0" w:line="267" w:lineRule="auto"/>
        <w:tabs>
          <w:tab w:leader="none" w:pos="64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all updates, enhancements, modifications and improvements, if any, made to the Tempus Software, including any “bug fixes” or other error corrections.</w:t>
      </w:r>
    </w:p>
    <w:p>
      <w:pPr>
        <w:spacing w:after="0" w:line="31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6"/>
          <w:szCs w:val="16"/>
          <w:b w:val="1"/>
          <w:bCs w:val="1"/>
          <w:color w:val="auto"/>
        </w:rPr>
        <w:t>Evaluation and Feedback</w:t>
      </w:r>
    </w:p>
    <w:p>
      <w:pPr>
        <w:spacing w:after="0" w:line="110" w:lineRule="exact"/>
        <w:rPr>
          <w:sz w:val="20"/>
          <w:szCs w:val="20"/>
          <w:color w:val="auto"/>
        </w:rPr>
      </w:pPr>
    </w:p>
    <w:p>
      <w:pPr>
        <w:jc w:val="both"/>
        <w:ind w:left="20" w:right="440"/>
        <w:spacing w:after="0" w:line="255" w:lineRule="auto"/>
        <w:rPr>
          <w:sz w:val="20"/>
          <w:szCs w:val="20"/>
          <w:color w:val="auto"/>
        </w:rPr>
      </w:pPr>
      <w:r>
        <w:rPr>
          <w:rFonts w:ascii="Times New Roman" w:cs="Times New Roman" w:eastAsia="Times New Roman" w:hAnsi="Times New Roman"/>
          <w:sz w:val="18"/>
          <w:szCs w:val="18"/>
          <w:color w:val="auto"/>
        </w:rPr>
        <w:t>Tempus shall consider in good faith any feedback proposed by GSK related to Tempus’s design decisions in connection its evaluation and development of multimodal datasets covering new therapeutic areas, geographies or demographics that would impact the scope of the Data Licensing Services available to GSK under this Agreement.</w:t>
      </w:r>
    </w:p>
    <w:p>
      <w:pPr>
        <w:spacing w:after="0" w:line="32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b w:val="1"/>
          <w:bCs w:val="1"/>
          <w:color w:val="auto"/>
        </w:rPr>
        <w:t>Tempus TIME Trial</w:t>
      </w:r>
      <w:r>
        <w:rPr>
          <w:rFonts w:ascii="Times New Roman" w:cs="Times New Roman" w:eastAsia="Times New Roman" w:hAnsi="Times New Roman"/>
          <w:sz w:val="25"/>
          <w:szCs w:val="25"/>
          <w:b w:val="1"/>
          <w:bCs w:val="1"/>
          <w:color w:val="auto"/>
          <w:vertAlign w:val="superscript"/>
        </w:rPr>
        <w:t>TM</w:t>
      </w:r>
      <w:r>
        <w:rPr>
          <w:rFonts w:ascii="Times New Roman" w:cs="Times New Roman" w:eastAsia="Times New Roman" w:hAnsi="Times New Roman"/>
          <w:sz w:val="17"/>
          <w:szCs w:val="17"/>
          <w:b w:val="1"/>
          <w:bCs w:val="1"/>
          <w:color w:val="auto"/>
        </w:rPr>
        <w:t xml:space="preserve"> Program; Supported Collaborative Studies</w:t>
      </w:r>
    </w:p>
    <w:p>
      <w:pPr>
        <w:spacing w:after="0" w:line="63" w:lineRule="exact"/>
        <w:rPr>
          <w:sz w:val="20"/>
          <w:szCs w:val="20"/>
          <w:color w:val="auto"/>
        </w:rPr>
      </w:pPr>
    </w:p>
    <w:p>
      <w:pPr>
        <w:ind w:left="640" w:right="300" w:hanging="632"/>
        <w:spacing w:after="0" w:line="223" w:lineRule="auto"/>
        <w:tabs>
          <w:tab w:leader="none" w:pos="64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upon GSK’s request at any time during the Term, provide GSK and its Affiliates with access to its Tempus Integrated Molecular Evaluation (TIME) Trial</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Program (the “</w:t>
      </w:r>
      <w:r>
        <w:rPr>
          <w:rFonts w:ascii="Times New Roman" w:cs="Times New Roman" w:eastAsia="Times New Roman" w:hAnsi="Times New Roman"/>
          <w:sz w:val="18"/>
          <w:szCs w:val="18"/>
          <w:b w:val="1"/>
          <w:bCs w:val="1"/>
          <w:color w:val="auto"/>
        </w:rPr>
        <w:t>Tempus TIME Program</w:t>
      </w:r>
      <w:r>
        <w:rPr>
          <w:rFonts w:ascii="Times New Roman" w:cs="Times New Roman" w:eastAsia="Times New Roman" w:hAnsi="Times New Roman"/>
          <w:sz w:val="18"/>
          <w:szCs w:val="18"/>
          <w:color w:val="auto"/>
        </w:rPr>
        <w:t>”) for any GSK Asset that is the subject of any GSK Research Program, including by facilitating collaboration with research sites and other partners within the Tempus TIME Program network, [***], facilitating rapid site activation, patient screening and initiation of clinical studies, and assisting with the design and implementation of clinical trials and research protocols.</w:t>
      </w:r>
    </w:p>
    <w:p>
      <w:pPr>
        <w:spacing w:after="0" w:line="101" w:lineRule="exact"/>
        <w:rPr>
          <w:rFonts w:ascii="Times New Roman" w:cs="Times New Roman" w:eastAsia="Times New Roman" w:hAnsi="Times New Roman"/>
          <w:sz w:val="18"/>
          <w:szCs w:val="18"/>
          <w:color w:val="auto"/>
        </w:rPr>
      </w:pPr>
    </w:p>
    <w:p>
      <w:pPr>
        <w:ind w:left="640" w:right="40" w:hanging="632"/>
        <w:spacing w:after="0" w:line="251" w:lineRule="auto"/>
        <w:tabs>
          <w:tab w:leader="none" w:pos="64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GSK and Tempus mutually agree to undertake an externally sponsored collaborative study with respect to one or more clinical development programs (“</w:t>
      </w:r>
      <w:r>
        <w:rPr>
          <w:rFonts w:ascii="Times New Roman" w:cs="Times New Roman" w:eastAsia="Times New Roman" w:hAnsi="Times New Roman"/>
          <w:sz w:val="18"/>
          <w:szCs w:val="18"/>
          <w:b w:val="1"/>
          <w:bCs w:val="1"/>
          <w:color w:val="auto"/>
        </w:rPr>
        <w:t>GSK-SCS</w:t>
      </w:r>
      <w:r>
        <w:rPr>
          <w:rFonts w:ascii="Times New Roman" w:cs="Times New Roman" w:eastAsia="Times New Roman" w:hAnsi="Times New Roman"/>
          <w:sz w:val="18"/>
          <w:szCs w:val="18"/>
          <w:color w:val="auto"/>
        </w:rPr>
        <w:t>”), with Tempus as the principal investigator, GSK and Tempus will enter into a separate Supported Collaborative Study Agreement with respect to any such study (a “</w:t>
      </w:r>
      <w:r>
        <w:rPr>
          <w:rFonts w:ascii="Times New Roman" w:cs="Times New Roman" w:eastAsia="Times New Roman" w:hAnsi="Times New Roman"/>
          <w:sz w:val="18"/>
          <w:szCs w:val="18"/>
          <w:b w:val="1"/>
          <w:bCs w:val="1"/>
          <w:color w:val="auto"/>
        </w:rPr>
        <w:t>GSK-SCS Agreement</w:t>
      </w:r>
      <w:r>
        <w:rPr>
          <w:rFonts w:ascii="Times New Roman" w:cs="Times New Roman" w:eastAsia="Times New Roman" w:hAnsi="Times New Roman"/>
          <w:sz w:val="18"/>
          <w:szCs w:val="18"/>
          <w:color w:val="auto"/>
        </w:rPr>
        <w:t>”), with any fees payable by GSK thereunder subject to the preferential pricing</w:t>
      </w:r>
    </w:p>
    <w:p>
      <w:pPr>
        <w:spacing w:after="0" w:line="11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180"/>
          </w:cols>
          <w:pgMar w:left="1000" w:top="266" w:right="719" w:bottom="1440" w:gutter="0" w:footer="0" w:header="0"/>
        </w:sectPr>
      </w:pPr>
    </w:p>
    <w:bookmarkStart w:id="624" w:name="page625"/>
    <w:bookmarkEnd w:id="624"/>
    <w:p>
      <w:pPr>
        <w:ind w:left="660" w:right="52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provisions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Any GSK-SCS Agreement shall provide that Tempus has the responsibility to contract with the relevant principal investigator and/or participating sites in connection therewith.</w:t>
      </w:r>
    </w:p>
    <w:p>
      <w:pPr>
        <w:spacing w:after="0" w:line="78" w:lineRule="exact"/>
        <w:rPr>
          <w:sz w:val="20"/>
          <w:szCs w:val="20"/>
          <w:color w:val="auto"/>
        </w:rPr>
      </w:pPr>
    </w:p>
    <w:p>
      <w:pPr>
        <w:jc w:val="both"/>
        <w:ind w:left="640" w:right="60" w:hanging="632"/>
        <w:spacing w:after="0" w:line="255" w:lineRule="auto"/>
        <w:tabs>
          <w:tab w:leader="none" w:pos="64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participation in the Tempus TIME Program shall be subject to a Task Order or parallel GSK-SCS Agreement, as applicable, to be agreed among the Parties, which Task Order shall set forth, among other things, the fees and expenses for the applicable services to be performed within the Tempus TIME Program, [***].</w:t>
      </w:r>
    </w:p>
    <w:p>
      <w:pPr>
        <w:spacing w:after="0" w:line="88" w:lineRule="exact"/>
        <w:rPr>
          <w:rFonts w:ascii="Times New Roman" w:cs="Times New Roman" w:eastAsia="Times New Roman" w:hAnsi="Times New Roman"/>
          <w:sz w:val="18"/>
          <w:szCs w:val="18"/>
          <w:color w:val="auto"/>
        </w:rPr>
      </w:pPr>
    </w:p>
    <w:p>
      <w:pPr>
        <w:ind w:left="640" w:right="600" w:hanging="632"/>
        <w:spacing w:after="0" w:line="331" w:lineRule="auto"/>
        <w:tabs>
          <w:tab w:leader="none" w:pos="640" w:val="left"/>
        </w:tabs>
        <w:numPr>
          <w:ilvl w:val="0"/>
          <w:numId w:val="5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Tempus expands the Tempus TIME Program to include additional territories or jurisdictions within the Tempus TIME Program network, GSK’s right to access the Tempus TIME Program shall extend to any such additional territories or jurisdictions.</w:t>
      </w:r>
    </w:p>
    <w:p>
      <w:pPr>
        <w:spacing w:after="0" w:line="2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6"/>
          <w:szCs w:val="16"/>
          <w:b w:val="1"/>
          <w:bCs w:val="1"/>
          <w:color w:val="auto"/>
        </w:rPr>
        <w:t>Tempus TO Screening Platform</w:t>
      </w:r>
    </w:p>
    <w:p>
      <w:pPr>
        <w:spacing w:after="0" w:line="123" w:lineRule="exact"/>
        <w:rPr>
          <w:sz w:val="20"/>
          <w:szCs w:val="20"/>
          <w:color w:val="auto"/>
        </w:rPr>
      </w:pPr>
    </w:p>
    <w:p>
      <w:pPr>
        <w:ind w:left="640" w:right="80" w:hanging="632"/>
        <w:spacing w:after="0" w:line="255" w:lineRule="auto"/>
        <w:tabs>
          <w:tab w:leader="none" w:pos="64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upon GSK’s request at any time during the Term, provide GSK and its Affiliates and their respective Personnel, and [***], with access to its patient-derived tumor organoid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platform (the “</w:t>
      </w:r>
      <w:r>
        <w:rPr>
          <w:rFonts w:ascii="Times New Roman" w:cs="Times New Roman" w:eastAsia="Times New Roman" w:hAnsi="Times New Roman"/>
          <w:sz w:val="18"/>
          <w:szCs w:val="18"/>
          <w:b w:val="1"/>
          <w:bCs w:val="1"/>
          <w:color w:val="auto"/>
        </w:rPr>
        <w:t>Tempus TO Screening Platform</w:t>
      </w:r>
      <w:r>
        <w:rPr>
          <w:rFonts w:ascii="Times New Roman" w:cs="Times New Roman" w:eastAsia="Times New Roman" w:hAnsi="Times New Roman"/>
          <w:sz w:val="18"/>
          <w:szCs w:val="18"/>
          <w:color w:val="auto"/>
        </w:rPr>
        <w:t>”) for purposes of drug screening and testing as orthogonal models for target validation and Data generation, [***].</w:t>
      </w:r>
    </w:p>
    <w:p>
      <w:pPr>
        <w:spacing w:after="0" w:line="88" w:lineRule="exact"/>
        <w:rPr>
          <w:rFonts w:ascii="Times New Roman" w:cs="Times New Roman" w:eastAsia="Times New Roman" w:hAnsi="Times New Roman"/>
          <w:sz w:val="18"/>
          <w:szCs w:val="18"/>
          <w:color w:val="auto"/>
        </w:rPr>
      </w:pPr>
    </w:p>
    <w:p>
      <w:pPr>
        <w:ind w:left="640" w:right="280" w:hanging="632"/>
        <w:spacing w:after="0" w:line="267" w:lineRule="auto"/>
        <w:tabs>
          <w:tab w:leader="none" w:pos="64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use Commercially Reasonable Efforts to continue to expand and improve the Tempus TO Screening Platform, including [***].</w:t>
      </w:r>
    </w:p>
    <w:p>
      <w:pPr>
        <w:spacing w:after="0" w:line="77" w:lineRule="exact"/>
        <w:rPr>
          <w:rFonts w:ascii="Times New Roman" w:cs="Times New Roman" w:eastAsia="Times New Roman" w:hAnsi="Times New Roman"/>
          <w:sz w:val="18"/>
          <w:szCs w:val="18"/>
          <w:color w:val="auto"/>
        </w:rPr>
      </w:pPr>
    </w:p>
    <w:p>
      <w:pPr>
        <w:ind w:left="640" w:right="200" w:hanging="632"/>
        <w:spacing w:after="0" w:line="267" w:lineRule="auto"/>
        <w:tabs>
          <w:tab w:leader="none" w:pos="64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Activities will be subject to a Task Order to be agreed upon among the Parties, which Task Order shall set forth, among other things, the fees and expenses for the applicable Activities to be performed, representing [***].</w:t>
      </w:r>
    </w:p>
    <w:p>
      <w:pPr>
        <w:spacing w:after="0" w:line="31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6"/>
          <w:szCs w:val="16"/>
          <w:b w:val="1"/>
          <w:bCs w:val="1"/>
          <w:color w:val="auto"/>
        </w:rPr>
        <w:t>Technology Support Services</w:t>
      </w:r>
    </w:p>
    <w:p>
      <w:pPr>
        <w:spacing w:after="0" w:line="110" w:lineRule="exact"/>
        <w:rPr>
          <w:sz w:val="20"/>
          <w:szCs w:val="20"/>
          <w:color w:val="auto"/>
        </w:rPr>
      </w:pPr>
    </w:p>
    <w:p>
      <w:pPr>
        <w:ind w:left="20" w:right="40"/>
        <w:spacing w:after="0" w:line="255" w:lineRule="auto"/>
        <w:rPr>
          <w:sz w:val="20"/>
          <w:szCs w:val="20"/>
          <w:color w:val="auto"/>
        </w:rPr>
      </w:pPr>
      <w:r>
        <w:rPr>
          <w:rFonts w:ascii="Times New Roman" w:cs="Times New Roman" w:eastAsia="Times New Roman" w:hAnsi="Times New Roman"/>
          <w:sz w:val="18"/>
          <w:szCs w:val="18"/>
          <w:color w:val="auto"/>
        </w:rPr>
        <w:t>Tempus shall provide GSK and its Affiliates and their respective Personnel with up to [***] hours per year of access to technology support services, including applicable training activities, maintained by Tempus in support of the Tempus Software [***] for purposes of supporting to the Data Overview Committee and as otherwise reasonably requested by GSK.</w:t>
      </w:r>
    </w:p>
    <w:p>
      <w:pPr>
        <w:spacing w:after="0" w:line="32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6"/>
          <w:szCs w:val="16"/>
          <w:b w:val="1"/>
          <w:bCs w:val="1"/>
          <w:color w:val="auto"/>
        </w:rPr>
        <w:t>Pricing [***]</w:t>
      </w:r>
    </w:p>
    <w:p>
      <w:pPr>
        <w:spacing w:after="0" w:line="123" w:lineRule="exact"/>
        <w:rPr>
          <w:sz w:val="20"/>
          <w:szCs w:val="20"/>
          <w:color w:val="auto"/>
        </w:rPr>
      </w:pPr>
    </w:p>
    <w:p>
      <w:pPr>
        <w:ind w:left="640" w:hanging="632"/>
        <w:spacing w:after="0" w:line="255" w:lineRule="auto"/>
        <w:tabs>
          <w:tab w:leader="none" w:pos="640"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 Fees payable by GSK pursuant to the Activities described in this Section 6 shall be as set forth on Schedule 10 (Pricing [***]) but shall in any event be consistent with the terms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including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Services shall be provided at no additional cost to GSK unless otherwise expressly set forth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on Schedule 10 (Pricing [***]).</w:t>
      </w:r>
    </w:p>
    <w:p>
      <w:pPr>
        <w:spacing w:after="0" w:line="88" w:lineRule="exact"/>
        <w:rPr>
          <w:rFonts w:ascii="Times New Roman" w:cs="Times New Roman" w:eastAsia="Times New Roman" w:hAnsi="Times New Roman"/>
          <w:sz w:val="18"/>
          <w:szCs w:val="18"/>
          <w:color w:val="auto"/>
        </w:rPr>
      </w:pPr>
    </w:p>
    <w:p>
      <w:pPr>
        <w:ind w:left="640" w:right="100" w:hanging="632"/>
        <w:spacing w:after="0" w:line="255" w:lineRule="auto"/>
        <w:tabs>
          <w:tab w:leader="none" w:pos="640"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Tempus agrees to provide GSK with [***] pricing for all other products and services not described above or elsewhere in the Agreement (including Schedule 10 (Pricing [***])) in accordance with the following schedule, which schedule may be amended or supplemented from time to time in accordance with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300"/>
          </w:cols>
          <w:pgMar w:left="1000" w:top="265" w:right="599" w:bottom="1440" w:gutter="0" w:footer="0" w:header="0"/>
        </w:sectPr>
      </w:pPr>
    </w:p>
    <w:bookmarkStart w:id="625" w:name="page626"/>
    <w:bookmarkEnd w:id="625"/>
    <w:p>
      <w:pPr>
        <w:ind w:left="66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8040" cy="36830"/>
                    </a:xfrm>
                    <a:prstGeom prst="rect">
                      <a:avLst/>
                    </a:prstGeom>
                    <a:noFill/>
                  </pic:spPr>
                </pic:pic>
              </a:graphicData>
            </a:graphic>
          </wp:anchor>
        </w:drawing>
        <w: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2760" w:type="dxa"/>
            <w:vAlign w:val="bottom"/>
          </w:tcPr>
          <w:p>
            <w:pPr>
              <w:jc w:val="right"/>
              <w:ind w:right="2052"/>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0" w:type="dxa"/>
            <w:vAlign w:val="bottom"/>
          </w:tcPr>
          <w:p>
            <w:pPr>
              <w:spacing w:after="0"/>
              <w:rPr>
                <w:sz w:val="18"/>
                <w:szCs w:val="18"/>
                <w:color w:val="auto"/>
              </w:rPr>
            </w:pPr>
          </w:p>
        </w:tc>
        <w:tc>
          <w:tcPr>
            <w:tcW w:w="2760" w:type="dxa"/>
            <w:vAlign w:val="bottom"/>
          </w:tcPr>
          <w:p>
            <w:pPr>
              <w:jc w:val="right"/>
              <w:ind w:right="2052"/>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0" w:type="dxa"/>
            <w:vAlign w:val="bottom"/>
          </w:tcPr>
          <w:p>
            <w:pPr>
              <w:spacing w:after="0"/>
              <w:rPr>
                <w:sz w:val="18"/>
                <w:szCs w:val="18"/>
                <w:color w:val="auto"/>
              </w:rPr>
            </w:pPr>
          </w:p>
        </w:tc>
        <w:tc>
          <w:tcPr>
            <w:tcW w:w="2760" w:type="dxa"/>
            <w:vAlign w:val="bottom"/>
          </w:tcPr>
          <w:p>
            <w:pPr>
              <w:jc w:val="right"/>
              <w:ind w:right="2052"/>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0" w:type="dxa"/>
            <w:vAlign w:val="bottom"/>
          </w:tcPr>
          <w:p>
            <w:pPr>
              <w:spacing w:after="0"/>
              <w:rPr>
                <w:sz w:val="18"/>
                <w:szCs w:val="18"/>
                <w:color w:val="auto"/>
              </w:rPr>
            </w:pPr>
          </w:p>
        </w:tc>
        <w:tc>
          <w:tcPr>
            <w:tcW w:w="2760" w:type="dxa"/>
            <w:vAlign w:val="bottom"/>
          </w:tcPr>
          <w:p>
            <w:pPr>
              <w:jc w:val="right"/>
              <w:ind w:right="2052"/>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0" w:type="dxa"/>
            <w:vAlign w:val="bottom"/>
          </w:tcPr>
          <w:p>
            <w:pPr>
              <w:spacing w:after="0"/>
              <w:rPr>
                <w:sz w:val="18"/>
                <w:szCs w:val="18"/>
                <w:color w:val="auto"/>
              </w:rPr>
            </w:pPr>
          </w:p>
        </w:tc>
        <w:tc>
          <w:tcPr>
            <w:tcW w:w="2760" w:type="dxa"/>
            <w:vAlign w:val="bottom"/>
          </w:tcPr>
          <w:p>
            <w:pPr>
              <w:jc w:val="right"/>
              <w:ind w:right="2052"/>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0" w:type="dxa"/>
            <w:vAlign w:val="bottom"/>
          </w:tcPr>
          <w:p>
            <w:pPr>
              <w:spacing w:after="0"/>
              <w:rPr>
                <w:sz w:val="18"/>
                <w:szCs w:val="18"/>
                <w:color w:val="auto"/>
              </w:rPr>
            </w:pPr>
          </w:p>
        </w:tc>
        <w:tc>
          <w:tcPr>
            <w:tcW w:w="2760" w:type="dxa"/>
            <w:vAlign w:val="bottom"/>
          </w:tcPr>
          <w:p>
            <w:pPr>
              <w:jc w:val="right"/>
              <w:ind w:right="2052"/>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0" w:type="dxa"/>
            <w:vAlign w:val="bottom"/>
          </w:tcPr>
          <w:p>
            <w:pPr>
              <w:spacing w:after="0"/>
              <w:rPr>
                <w:sz w:val="18"/>
                <w:szCs w:val="18"/>
                <w:color w:val="auto"/>
              </w:rPr>
            </w:pPr>
          </w:p>
        </w:tc>
        <w:tc>
          <w:tcPr>
            <w:tcW w:w="2760" w:type="dxa"/>
            <w:vAlign w:val="bottom"/>
          </w:tcPr>
          <w:p>
            <w:pPr>
              <w:jc w:val="right"/>
              <w:ind w:right="2052"/>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20" w:type="dxa"/>
            <w:vAlign w:val="bottom"/>
          </w:tcPr>
          <w:p>
            <w:pPr>
              <w:spacing w:after="0"/>
              <w:rPr>
                <w:sz w:val="19"/>
                <w:szCs w:val="19"/>
                <w:color w:val="auto"/>
              </w:rPr>
            </w:pPr>
          </w:p>
        </w:tc>
        <w:tc>
          <w:tcPr>
            <w:tcW w:w="2760" w:type="dxa"/>
            <w:vAlign w:val="bottom"/>
          </w:tcPr>
          <w:p>
            <w:pPr>
              <w:jc w:val="right"/>
              <w:ind w:right="2052"/>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2760" w:type="dxa"/>
            <w:vAlign w:val="bottom"/>
          </w:tcPr>
          <w:p>
            <w:pPr>
              <w:jc w:val="right"/>
              <w:ind w:right="2032"/>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spacing w:after="0"/>
              <w:rPr>
                <w:sz w:val="24"/>
                <w:szCs w:val="24"/>
                <w:color w:val="auto"/>
              </w:rPr>
            </w:pPr>
          </w:p>
        </w:tc>
      </w:tr>
      <w:tr>
        <w:trPr>
          <w:trHeight w:val="32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2760" w:type="dxa"/>
            <w:vAlign w:val="bottom"/>
          </w:tcPr>
          <w:p>
            <w:pPr>
              <w:jc w:val="right"/>
              <w:ind w:right="2032"/>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spacing w:after="0"/>
              <w:rPr>
                <w:sz w:val="24"/>
                <w:szCs w:val="24"/>
                <w:color w:val="auto"/>
              </w:rPr>
            </w:pPr>
          </w:p>
        </w:tc>
      </w:tr>
    </w:tbl>
    <w:p>
      <w:pPr>
        <w:spacing w:after="0" w:line="33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6"/>
          <w:szCs w:val="16"/>
          <w:b w:val="1"/>
          <w:bCs w:val="1"/>
          <w:color w:val="auto"/>
        </w:rPr>
        <w:t>Terms of Use</w:t>
      </w:r>
    </w:p>
    <w:p>
      <w:pPr>
        <w:spacing w:after="0" w:line="110"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8"/>
          <w:szCs w:val="18"/>
          <w:color w:val="auto"/>
        </w:rPr>
        <w:t>The Parties acknowledge and agree that the Data Licensing Services and access to the Tempus Software shall be governed by the terms set forth in Schedule 12 (Licensed Data Terms and Conditions), Schedule 13 (LENS Subscription Agreement), Schedule 14 (Tempus Software Terms of Use) and Schedule 15 (Form of Associated Party Access Agreement) (collectively, the “</w:t>
      </w:r>
      <w:r>
        <w:rPr>
          <w:rFonts w:ascii="Times New Roman" w:cs="Times New Roman" w:eastAsia="Times New Roman" w:hAnsi="Times New Roman"/>
          <w:sz w:val="18"/>
          <w:szCs w:val="18"/>
          <w:b w:val="1"/>
          <w:bCs w:val="1"/>
          <w:color w:val="auto"/>
        </w:rPr>
        <w:t>Tempus Standard Terms</w:t>
      </w:r>
      <w:r>
        <w:rPr>
          <w:rFonts w:ascii="Times New Roman" w:cs="Times New Roman" w:eastAsia="Times New Roman" w:hAnsi="Times New Roman"/>
          <w:sz w:val="18"/>
          <w:szCs w:val="18"/>
          <w:color w:val="auto"/>
        </w:rPr>
        <w:t xml:space="preserve">”); provided, that to the extent of any inconsistency between the terms of this Agreement and the terms set forth in Schedules 12, 13, 14 and 15, the terms of this Agreement shall control. Without limitation of the foregoing, the Parties acknowledge and agree that nothing contained within the Tempus Standard Terms will be construed to abridge, alter, limit, modify or otherwise impact (a) the scope of GSK’s license and rights to use the Tempus Biotechnology Platform in the manner set forth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(b) GSK’s rights or Tempus’s obligations in respect of GSK Work Product or GSK Arising IP, (c) the termination and term provisions set forth in Section 10 or (d) any rights or remedies available to GSK pursuant to the body of this Agreement or any Task Order. The Parties further acknowledge and agree that (x) GSK shall be solely responsible for the acts and omissions of its and its Affiliates’ Personnel who access the Licensed Data pursuant to the terms and conditions of this Agreement, and all such Personnel shall be subject to the same terms and conditions and (y) as of the Effective Date, the Parties are not aware of any direct conflict between the body of this Agreement and the covenants and obligations of the Parties as set forth in Schedule 12 (Licensed Data Terms and Conditions), including the covenants of GSK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(Compliance) thereof.</w:t>
      </w:r>
    </w:p>
    <w:p>
      <w:pPr>
        <w:spacing w:after="0" w:line="12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280"/>
          </w:cols>
          <w:pgMar w:left="1000" w:top="258" w:right="619" w:bottom="1440" w:gutter="0" w:footer="0" w:header="0"/>
        </w:sectPr>
      </w:pPr>
    </w:p>
    <w:bookmarkStart w:id="626" w:name="page627"/>
    <w:bookmarkEnd w:id="626"/>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w:t>
      </w:r>
      <w:r>
        <w:rPr>
          <w:sz w:val="20"/>
          <w:szCs w:val="20"/>
          <w:color w:val="auto"/>
        </w:rPr>
        <w:tab/>
      </w:r>
      <w:r>
        <w:rPr>
          <w:rFonts w:ascii="Times New Roman" w:cs="Times New Roman" w:eastAsia="Times New Roman" w:hAnsi="Times New Roman"/>
          <w:sz w:val="16"/>
          <w:szCs w:val="16"/>
          <w:b w:val="1"/>
          <w:bCs w:val="1"/>
          <w:color w:val="auto"/>
        </w:rPr>
        <w:t>Tempus Personnel</w:t>
      </w:r>
    </w:p>
    <w:p>
      <w:pPr>
        <w:spacing w:after="0" w:line="121"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6"/>
          <w:szCs w:val="16"/>
          <w:b w:val="1"/>
          <w:bCs w:val="1"/>
          <w:color w:val="auto"/>
        </w:rPr>
        <w:t>[***]</w:t>
      </w:r>
    </w:p>
    <w:p>
      <w:pPr>
        <w:spacing w:after="0" w:line="123" w:lineRule="exact"/>
        <w:rPr>
          <w:sz w:val="20"/>
          <w:szCs w:val="20"/>
          <w:color w:val="auto"/>
        </w:rPr>
      </w:pPr>
    </w:p>
    <w:p>
      <w:pPr>
        <w:ind w:left="1060" w:hanging="632"/>
        <w:spacing w:after="0"/>
        <w:tabs>
          <w:tab w:leader="none" w:pos="106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356"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6"/>
          <w:szCs w:val="16"/>
          <w:b w:val="1"/>
          <w:bCs w:val="1"/>
          <w:color w:val="auto"/>
        </w:rPr>
        <w:t>Tempus Personnel</w:t>
      </w:r>
    </w:p>
    <w:p>
      <w:pPr>
        <w:spacing w:after="0" w:line="123" w:lineRule="exact"/>
        <w:rPr>
          <w:sz w:val="20"/>
          <w:szCs w:val="20"/>
          <w:color w:val="auto"/>
        </w:rPr>
      </w:pPr>
    </w:p>
    <w:p>
      <w:pPr>
        <w:ind w:left="1060" w:hanging="632"/>
        <w:spacing w:after="0" w:line="248" w:lineRule="auto"/>
        <w:tabs>
          <w:tab w:leader="none" w:pos="106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ensure that all Tempus Personnel performing the Activities (a) are fully aware of their roles and responsibilities with respect to the Activities; (b) shall receive [***] Good Clinical Practice and Good Clinical Laboratory Practice training to the extent applicable to and commensurate with their respective roles and responsibilities in the performance of the Activities; (c) shall receive Good Clinical Practice and Good Clinical Laboratory Practice refresher training following any changes to Applicable Law, Regulatory Requirements and associated guidance documents, [***], to the extent applicable; and (d) have received an appropriate level of technical training prior to performing the Activities.</w:t>
      </w:r>
    </w:p>
    <w:p>
      <w:pPr>
        <w:spacing w:after="0" w:line="95" w:lineRule="exact"/>
        <w:rPr>
          <w:rFonts w:ascii="Times New Roman" w:cs="Times New Roman" w:eastAsia="Times New Roman" w:hAnsi="Times New Roman"/>
          <w:sz w:val="18"/>
          <w:szCs w:val="18"/>
          <w:color w:val="auto"/>
        </w:rPr>
      </w:pPr>
    </w:p>
    <w:p>
      <w:pPr>
        <w:ind w:left="1060" w:right="120" w:hanging="632"/>
        <w:spacing w:after="0" w:line="331" w:lineRule="auto"/>
        <w:tabs>
          <w:tab w:leader="none" w:pos="1060" w:val="left"/>
        </w:tabs>
        <w:numPr>
          <w:ilvl w:val="0"/>
          <w:numId w:val="5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Tempus shall create, maintain and update [***], for all Tempus Personnel performing the Activities a record of their respective trainings as well as CVs and job descriptions and shall ensure to retain one copy of those training records when they leave the company.</w:t>
      </w:r>
    </w:p>
    <w:p>
      <w:pPr>
        <w:spacing w:after="0" w:line="30" w:lineRule="exact"/>
        <w:rPr>
          <w:rFonts w:ascii="Times New Roman" w:cs="Times New Roman" w:eastAsia="Times New Roman" w:hAnsi="Times New Roman"/>
          <w:sz w:val="16"/>
          <w:szCs w:val="16"/>
          <w:color w:val="auto"/>
        </w:rPr>
      </w:pPr>
    </w:p>
    <w:p>
      <w:pPr>
        <w:ind w:left="1060" w:right="120" w:hanging="632"/>
        <w:spacing w:after="0" w:line="267" w:lineRule="auto"/>
        <w:tabs>
          <w:tab w:leader="none" w:pos="106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Tempus Personnel performing the Activities shall at all times be employed or engaged by Tempus and shall not be (or considered by either of the Parties to be) employees, agents or subcontractors of GSK.</w:t>
      </w:r>
    </w:p>
    <w:p>
      <w:pPr>
        <w:spacing w:after="0" w:line="77" w:lineRule="exact"/>
        <w:rPr>
          <w:rFonts w:ascii="Times New Roman" w:cs="Times New Roman" w:eastAsia="Times New Roman" w:hAnsi="Times New Roman"/>
          <w:sz w:val="18"/>
          <w:szCs w:val="18"/>
          <w:color w:val="auto"/>
        </w:rPr>
      </w:pPr>
    </w:p>
    <w:p>
      <w:pPr>
        <w:ind w:left="1060" w:right="220" w:hanging="632"/>
        <w:spacing w:after="0" w:line="255" w:lineRule="auto"/>
        <w:tabs>
          <w:tab w:leader="none" w:pos="106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expressly agreed and understood that at no time shall GSK exert over Tempus Personnel the authority with which an employer is normally vested over its employees and GSK shall not instruct or otherwise direct Tempus Personnel except to the extent necessary for such Tempus Personnel to perform the Activities in accordance with the provisions of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060" w:right="40" w:hanging="632"/>
        <w:spacing w:after="0" w:line="255" w:lineRule="auto"/>
        <w:tabs>
          <w:tab w:leader="none" w:pos="106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its general obligation of proper performance of the Activities, Tempus shall organize the activities of all Tempus Personnel performing the Activities independently of GSK and in a manner that acknowledges the absence of any employment or agency relationship between GSK and Tempus Personnel.</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20"/>
          </w:cols>
          <w:pgMar w:left="580" w:top="264" w:right="599" w:bottom="1440" w:gutter="0" w:footer="0" w:header="0"/>
        </w:sectPr>
      </w:pPr>
    </w:p>
    <w:bookmarkStart w:id="627" w:name="page628"/>
    <w:bookmarkEnd w:id="627"/>
    <w:p>
      <w:pPr>
        <w:ind w:left="412" w:hanging="412"/>
        <w:spacing w:after="0" w:line="267" w:lineRule="auto"/>
        <w:tabs>
          <w:tab w:leader="none" w:pos="412"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8040" cy="36830"/>
                    </a:xfrm>
                    <a:prstGeom prst="rect">
                      <a:avLst/>
                    </a:prstGeom>
                    <a:noFill/>
                  </pic:spPr>
                </pic:pic>
              </a:graphicData>
            </a:graphic>
          </wp:anchor>
        </w:drawing>
        <w:t>Tempus shall be responsible and liable for all issues relating to the employment or engagement, training, management, removal and termination of all Tempus Personnel including, without limitation:</w:t>
      </w:r>
    </w:p>
    <w:p>
      <w:pPr>
        <w:spacing w:after="0" w:line="77"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salary and any employment-related benefits;</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 of all Pay As You Earn, National Insurance and any other employee-related taxes and contributions;</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it has regarding the issue and maintenance of residence permits and work permits for Tempus Personnel;</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disciplinary and performance issues;</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grievances;</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relating to a member of Tempus Personnel’s ill health; and</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relating to a member of Tempus Personnel’s terms and conditions of employment or engagement.</w:t>
      </w:r>
    </w:p>
    <w:p>
      <w:pPr>
        <w:spacing w:after="0" w:line="121"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Personnel Obligations:</w:t>
      </w:r>
    </w:p>
    <w:p>
      <w:pPr>
        <w:spacing w:after="0" w:line="121" w:lineRule="exact"/>
        <w:rPr>
          <w:rFonts w:ascii="Times New Roman" w:cs="Times New Roman" w:eastAsia="Times New Roman" w:hAnsi="Times New Roman"/>
          <w:sz w:val="18"/>
          <w:szCs w:val="18"/>
          <w:color w:val="auto"/>
        </w:rPr>
      </w:pPr>
    </w:p>
    <w:p>
      <w:pPr>
        <w:ind w:left="1052" w:right="280" w:hanging="632"/>
        <w:spacing w:after="0" w:line="267" w:lineRule="auto"/>
        <w:tabs>
          <w:tab w:leader="none" w:pos="1052"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 shall be given prompt written notice ([***]) of any changes to Tempus Personnel together with information regarding Tempus’s replacement, and a transition plan with respect to the change;</w:t>
      </w:r>
    </w:p>
    <w:p>
      <w:pPr>
        <w:spacing w:after="0" w:line="77" w:lineRule="exact"/>
        <w:rPr>
          <w:rFonts w:ascii="Times New Roman" w:cs="Times New Roman" w:eastAsia="Times New Roman" w:hAnsi="Times New Roman"/>
          <w:sz w:val="18"/>
          <w:szCs w:val="18"/>
          <w:color w:val="auto"/>
        </w:rPr>
      </w:pPr>
    </w:p>
    <w:p>
      <w:pPr>
        <w:ind w:left="1052" w:right="80" w:hanging="632"/>
        <w:spacing w:after="0" w:line="331" w:lineRule="auto"/>
        <w:tabs>
          <w:tab w:leader="none" w:pos="1052" w:val="left"/>
        </w:tabs>
        <w:numPr>
          <w:ilvl w:val="1"/>
          <w:numId w:val="5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Tempus shall take reasonable steps to ensure the availability of both the leaving Tempus Personnel and their replacement during an overlap period of at least [***] (if possible), to ensure a smooth transition of the Activities while limiting the risk of loss of information;</w:t>
      </w:r>
    </w:p>
    <w:p>
      <w:pPr>
        <w:spacing w:after="0" w:line="30" w:lineRule="exact"/>
        <w:rPr>
          <w:rFonts w:ascii="Times New Roman" w:cs="Times New Roman" w:eastAsia="Times New Roman" w:hAnsi="Times New Roman"/>
          <w:sz w:val="16"/>
          <w:szCs w:val="16"/>
          <w:color w:val="auto"/>
        </w:rPr>
      </w:pPr>
    </w:p>
    <w:p>
      <w:pPr>
        <w:jc w:val="both"/>
        <w:ind w:left="1052" w:hanging="632"/>
        <w:spacing w:after="0" w:line="293" w:lineRule="auto"/>
        <w:tabs>
          <w:tab w:leader="none" w:pos="1052" w:val="left"/>
        </w:tabs>
        <w:numPr>
          <w:ilvl w:val="1"/>
          <w:numId w:val="5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Tempus cannot provide replacement Tempus Personnel in a timely manner or in the event the time required to transition to an appropriate replacement would adversely impact the level of Activities required and the deadlines to be achieved, or in the case that replacement Tempus Personnel are not qualified to perform or not adequately performing the assigned Activities, GSK reserves the right to require an amendment to this Agreement for the specific part that was handled by the departing Tempus Personnel; and</w:t>
      </w:r>
    </w:p>
    <w:p>
      <w:pPr>
        <w:spacing w:after="0" w:line="59" w:lineRule="exact"/>
        <w:rPr>
          <w:rFonts w:ascii="Times New Roman" w:cs="Times New Roman" w:eastAsia="Times New Roman" w:hAnsi="Times New Roman"/>
          <w:sz w:val="16"/>
          <w:szCs w:val="16"/>
          <w:color w:val="auto"/>
        </w:rPr>
      </w:pPr>
    </w:p>
    <w:p>
      <w:pPr>
        <w:ind w:left="1052" w:right="480" w:hanging="632"/>
        <w:spacing w:after="0" w:line="267" w:lineRule="auto"/>
        <w:tabs>
          <w:tab w:leader="none" w:pos="1052"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replacement of Tempus Personnel shall be at no additional cost to GSK (other than [***]) and shall not affect any of Tempus’s obligations under this Agreement.</w:t>
      </w:r>
    </w:p>
    <w:p>
      <w:pPr>
        <w:spacing w:after="0" w:line="77" w:lineRule="exact"/>
        <w:rPr>
          <w:rFonts w:ascii="Times New Roman" w:cs="Times New Roman" w:eastAsia="Times New Roman" w:hAnsi="Times New Roman"/>
          <w:sz w:val="18"/>
          <w:szCs w:val="18"/>
          <w:color w:val="auto"/>
        </w:rPr>
      </w:pPr>
    </w:p>
    <w:p>
      <w:pPr>
        <w:ind w:left="412" w:right="100" w:hanging="412"/>
        <w:spacing w:after="0" w:line="251" w:lineRule="auto"/>
        <w:tabs>
          <w:tab w:leader="none" w:pos="412"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limitation of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GSK may request in writing the replacement of any Tempus Personnel due to reasonable concerns regarding performance or conduct, following which Tempus shall reasonably consider immediately removing the relevant Tempus Personnel and assigning an appropriately qualified and experienced replacement at no additional cost to GSK (other than [***]) and without affecting the timely performance of the Activities.</w:t>
      </w:r>
    </w:p>
    <w:p>
      <w:pPr>
        <w:spacing w:after="0" w:line="11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672"/>
          </w:cols>
          <w:pgMar w:left="588" w:top="264" w:right="639" w:bottom="1440" w:gutter="0" w:footer="0" w:header="0"/>
        </w:sectPr>
      </w:pPr>
    </w:p>
    <w:bookmarkStart w:id="628" w:name="page629"/>
    <w:bookmarkEnd w:id="628"/>
    <w:p>
      <w:pPr>
        <w:ind w:left="420" w:right="220" w:hanging="412"/>
        <w:spacing w:after="0" w:line="251" w:lineRule="auto"/>
        <w:tabs>
          <w:tab w:leader="none" w:pos="42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To the extent necessary under Applicable Law and subject to GSK’s obligations with respect to Tempus Confidential Information, Tempus shall obtain written consent from Tempus Personnel that allows GSK, GSK’s Affiliates, and Third Party contractors engaged by GSK and/or its Affiliates to hold and process Personal Information provided with respect to Tempus Personnel anywhere in the world, both in paper form and electronically, for all purposes relating to:</w:t>
      </w:r>
    </w:p>
    <w:p>
      <w:pPr>
        <w:spacing w:after="0" w:line="92" w:lineRule="exact"/>
        <w:rPr>
          <w:rFonts w:ascii="Times New Roman" w:cs="Times New Roman" w:eastAsia="Times New Roman" w:hAnsi="Times New Roman"/>
          <w:sz w:val="18"/>
          <w:szCs w:val="18"/>
          <w:color w:val="auto"/>
        </w:rPr>
      </w:pPr>
    </w:p>
    <w:p>
      <w:pPr>
        <w:ind w:left="1500" w:hanging="429"/>
        <w:spacing w:after="0"/>
        <w:tabs>
          <w:tab w:leader="none" w:pos="1500" w:val="left"/>
        </w:tabs>
        <w:numPr>
          <w:ilvl w:val="2"/>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Activities;</w:t>
      </w:r>
    </w:p>
    <w:p>
      <w:pPr>
        <w:spacing w:after="0" w:line="121" w:lineRule="exact"/>
        <w:rPr>
          <w:rFonts w:ascii="Times New Roman" w:cs="Times New Roman" w:eastAsia="Times New Roman" w:hAnsi="Times New Roman"/>
          <w:sz w:val="18"/>
          <w:szCs w:val="18"/>
          <w:color w:val="auto"/>
        </w:rPr>
      </w:pPr>
    </w:p>
    <w:p>
      <w:pPr>
        <w:ind w:left="1500" w:hanging="429"/>
        <w:spacing w:after="0"/>
        <w:tabs>
          <w:tab w:leader="none" w:pos="1500" w:val="left"/>
        </w:tabs>
        <w:numPr>
          <w:ilvl w:val="2"/>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and managing the business activities of GSK and its Affiliates; and</w:t>
      </w:r>
    </w:p>
    <w:p>
      <w:pPr>
        <w:spacing w:after="0" w:line="121" w:lineRule="exact"/>
        <w:rPr>
          <w:rFonts w:ascii="Times New Roman" w:cs="Times New Roman" w:eastAsia="Times New Roman" w:hAnsi="Times New Roman"/>
          <w:sz w:val="18"/>
          <w:szCs w:val="18"/>
          <w:color w:val="auto"/>
        </w:rPr>
      </w:pPr>
    </w:p>
    <w:p>
      <w:pPr>
        <w:ind w:left="1500" w:hanging="429"/>
        <w:spacing w:after="0"/>
        <w:tabs>
          <w:tab w:leader="none" w:pos="1500" w:val="left"/>
        </w:tabs>
        <w:numPr>
          <w:ilvl w:val="2"/>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w:t>
      </w:r>
    </w:p>
    <w:p>
      <w:pPr>
        <w:spacing w:after="0" w:line="121" w:lineRule="exact"/>
        <w:rPr>
          <w:rFonts w:ascii="Times New Roman" w:cs="Times New Roman" w:eastAsia="Times New Roman" w:hAnsi="Times New Roman"/>
          <w:sz w:val="18"/>
          <w:szCs w:val="18"/>
          <w:color w:val="auto"/>
        </w:rPr>
      </w:pPr>
    </w:p>
    <w:p>
      <w:pPr>
        <w:ind w:left="420" w:right="280" w:hanging="412"/>
        <w:spacing w:after="0" w:line="267" w:lineRule="auto"/>
        <w:tabs>
          <w:tab w:leader="none" w:pos="42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 shall Process any such Personal Information provided by Tempus in strict compliance with all Applicable Law relating to the privacy and security of the Personal Information.</w:t>
      </w:r>
    </w:p>
    <w:p>
      <w:pPr>
        <w:spacing w:after="0" w:line="77" w:lineRule="exact"/>
        <w:rPr>
          <w:rFonts w:ascii="Times New Roman" w:cs="Times New Roman" w:eastAsia="Times New Roman" w:hAnsi="Times New Roman"/>
          <w:sz w:val="18"/>
          <w:szCs w:val="18"/>
          <w:color w:val="auto"/>
        </w:rPr>
      </w:pPr>
    </w:p>
    <w:p>
      <w:pPr>
        <w:ind w:left="420" w:hanging="412"/>
        <w:spacing w:after="0" w:line="255" w:lineRule="auto"/>
        <w:tabs>
          <w:tab w:leader="none" w:pos="42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under Applicable Law and subject to Tempus’ obligations with respect to GSK Confidential Information, GSK shall obtain written consent from GSK Personnel that allows Tempus to hold and process Personal Information provided with respect to GSK Personnel anywhere in the world, both in paper form and electronically, for all purposes relating to:</w:t>
      </w:r>
    </w:p>
    <w:p>
      <w:pPr>
        <w:spacing w:after="0" w:line="88"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Activities;</w:t>
      </w:r>
    </w:p>
    <w:p>
      <w:pPr>
        <w:spacing w:after="0" w:line="121"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and managing the business activities of Tempus; and</w:t>
      </w:r>
    </w:p>
    <w:p>
      <w:pPr>
        <w:spacing w:after="0" w:line="121"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w:t>
      </w:r>
    </w:p>
    <w:p>
      <w:pPr>
        <w:spacing w:after="0" w:line="121" w:lineRule="exact"/>
        <w:rPr>
          <w:rFonts w:ascii="Times New Roman" w:cs="Times New Roman" w:eastAsia="Times New Roman" w:hAnsi="Times New Roman"/>
          <w:sz w:val="18"/>
          <w:szCs w:val="18"/>
          <w:color w:val="auto"/>
        </w:rPr>
      </w:pPr>
    </w:p>
    <w:p>
      <w:pPr>
        <w:ind w:left="420" w:right="280" w:hanging="412"/>
        <w:spacing w:after="0" w:line="267" w:lineRule="auto"/>
        <w:tabs>
          <w:tab w:leader="none" w:pos="42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Process any such Personal Information provided by GSK in strict compliance with all Applicable Law relating to the privacy and security of the Personal Information.</w:t>
      </w:r>
    </w:p>
    <w:p>
      <w:pPr>
        <w:spacing w:after="0" w:line="273" w:lineRule="exact"/>
        <w:rPr>
          <w:sz w:val="20"/>
          <w:szCs w:val="20"/>
          <w:color w:val="auto"/>
        </w:rPr>
      </w:pPr>
    </w:p>
    <w:p>
      <w:pPr>
        <w:ind w:left="320" w:hanging="312"/>
        <w:spacing w:after="0"/>
        <w:tabs>
          <w:tab w:leader="none" w:pos="32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Tempus Performance</w:t>
      </w:r>
    </w:p>
    <w:p>
      <w:pPr>
        <w:spacing w:after="0" w:line="121"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6"/>
          <w:szCs w:val="16"/>
          <w:b w:val="1"/>
          <w:bCs w:val="1"/>
          <w:color w:val="auto"/>
        </w:rPr>
        <w:t>Performance standards and requirements</w:t>
      </w:r>
    </w:p>
    <w:p>
      <w:pPr>
        <w:spacing w:after="0" w:line="123" w:lineRule="exact"/>
        <w:rPr>
          <w:sz w:val="20"/>
          <w:szCs w:val="20"/>
          <w:color w:val="auto"/>
        </w:rPr>
      </w:pPr>
    </w:p>
    <w:p>
      <w:pPr>
        <w:ind w:left="420" w:right="380" w:hanging="412"/>
        <w:spacing w:after="0" w:line="267" w:lineRule="auto"/>
        <w:tabs>
          <w:tab w:leader="none" w:pos="420"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carry out and perform the Activities pursuant to this Agreement or any Task Order at all times in compliance with the following standards and requirements where applicable to such Activities, except as set forth in the applicable Task Order:</w:t>
      </w:r>
    </w:p>
    <w:p>
      <w:pPr>
        <w:spacing w:after="0" w:line="77"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this Agreement and the applicable Task Order;</w:t>
      </w:r>
    </w:p>
    <w:p>
      <w:pPr>
        <w:spacing w:after="0" w:line="121"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specifications and timelines set forth in the applicable Task Order;</w:t>
      </w:r>
    </w:p>
    <w:p>
      <w:pPr>
        <w:spacing w:after="0" w:line="121"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procedure manual provided in respect of a Task Order and agreed to in writing by Tempus;</w:t>
      </w:r>
    </w:p>
    <w:p>
      <w:pPr>
        <w:spacing w:after="0" w:line="121"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Clinical Practice and Good Clinical Laboratory Practice, as applicable;</w:t>
      </w:r>
    </w:p>
    <w:p>
      <w:pPr>
        <w:spacing w:after="0" w:line="121"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Manufacturing Practice;</w:t>
      </w:r>
    </w:p>
    <w:p>
      <w:pPr>
        <w:spacing w:after="0" w:line="121"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of Helsinki;</w:t>
      </w:r>
    </w:p>
    <w:p>
      <w:pPr>
        <w:spacing w:after="0" w:line="121"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Medicines for Human Use (Clinical Trials) Regulations 2004, Statutory Instrument 2004. No, 1031;</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20"/>
          </w:cols>
          <w:pgMar w:left="580" w:top="265" w:right="599" w:bottom="1440" w:gutter="0" w:footer="0" w:header="0"/>
        </w:sectPr>
      </w:pPr>
    </w:p>
    <w:bookmarkStart w:id="629" w:name="page630"/>
    <w:bookmarkEnd w:id="629"/>
    <w:p>
      <w:pPr>
        <w:ind w:left="640" w:hanging="632"/>
        <w:spacing w:after="0"/>
        <w:tabs>
          <w:tab w:leader="none" w:pos="640"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FDA regulations for clinical trial activities, including, without limitation,</w:t>
      </w:r>
    </w:p>
    <w:p>
      <w:pPr>
        <w:spacing w:after="0" w:line="121" w:lineRule="exact"/>
        <w:rPr>
          <w:sz w:val="20"/>
          <w:szCs w:val="20"/>
          <w:color w:val="auto"/>
        </w:rPr>
      </w:pPr>
    </w:p>
    <w:p>
      <w:pPr>
        <w:ind w:left="1080" w:hanging="429"/>
        <w:spacing w:after="0"/>
        <w:tabs>
          <w:tab w:leader="none" w:pos="1080"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CFR Part 11 (Electronic Records; Electronic Signatures)</w:t>
      </w:r>
    </w:p>
    <w:p>
      <w:pPr>
        <w:spacing w:after="0" w:line="121" w:lineRule="exact"/>
        <w:rPr>
          <w:sz w:val="20"/>
          <w:szCs w:val="20"/>
          <w:color w:val="auto"/>
        </w:rPr>
      </w:pPr>
    </w:p>
    <w:p>
      <w:pPr>
        <w:ind w:left="1080" w:hanging="429"/>
        <w:spacing w:after="0"/>
        <w:tabs>
          <w:tab w:leader="none" w:pos="1080"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CFR Part 50 (Protection of Human Subjects)</w:t>
      </w:r>
    </w:p>
    <w:p>
      <w:pPr>
        <w:spacing w:after="0" w:line="121" w:lineRule="exact"/>
        <w:rPr>
          <w:rFonts w:ascii="Times New Roman" w:cs="Times New Roman" w:eastAsia="Times New Roman" w:hAnsi="Times New Roman"/>
          <w:sz w:val="18"/>
          <w:szCs w:val="18"/>
          <w:color w:val="auto"/>
        </w:rPr>
      </w:pPr>
    </w:p>
    <w:p>
      <w:pPr>
        <w:ind w:left="660" w:right="5880" w:hanging="9"/>
        <w:spacing w:after="0" w:line="380" w:lineRule="auto"/>
        <w:tabs>
          <w:tab w:leader="none" w:pos="1080"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CFR Part 56 (Institutional Review Boards) (IV) 21 CFR Part 801 (Labeling)</w:t>
      </w:r>
    </w:p>
    <w:p>
      <w:pPr>
        <w:spacing w:after="0" w:line="1" w:lineRule="exact"/>
        <w:rPr>
          <w:sz w:val="20"/>
          <w:szCs w:val="20"/>
          <w:color w:val="auto"/>
        </w:rPr>
      </w:pPr>
    </w:p>
    <w:p>
      <w:pPr>
        <w:ind w:left="1080" w:hanging="429"/>
        <w:spacing w:after="0"/>
        <w:tabs>
          <w:tab w:leader="none" w:pos="1080" w:val="left"/>
        </w:tabs>
        <w:numPr>
          <w:ilvl w:val="1"/>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CFR Part 812 (Investigational Device Exemptions)</w:t>
      </w:r>
    </w:p>
    <w:p>
      <w:pPr>
        <w:spacing w:after="0" w:line="12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CMS regulations for clinical testing activities, including, without limitation,</w:t>
      </w:r>
    </w:p>
    <w:p>
      <w:pPr>
        <w:spacing w:after="0" w:line="121" w:lineRule="exact"/>
        <w:rPr>
          <w:rFonts w:ascii="Times New Roman" w:cs="Times New Roman" w:eastAsia="Times New Roman" w:hAnsi="Times New Roman"/>
          <w:sz w:val="18"/>
          <w:szCs w:val="18"/>
          <w:color w:val="auto"/>
        </w:rPr>
      </w:pPr>
    </w:p>
    <w:p>
      <w:pPr>
        <w:ind w:left="1080" w:hanging="429"/>
        <w:spacing w:after="0"/>
        <w:tabs>
          <w:tab w:leader="none" w:pos="1080"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CFR Part 493 (Laboratory Requirements (the Clinical Laboratory Improvement Amendments));</w:t>
      </w:r>
    </w:p>
    <w:p>
      <w:pPr>
        <w:spacing w:after="0" w:line="121" w:lineRule="exact"/>
        <w:rPr>
          <w:rFonts w:ascii="Times New Roman" w:cs="Times New Roman" w:eastAsia="Times New Roman" w:hAnsi="Times New Roman"/>
          <w:sz w:val="18"/>
          <w:szCs w:val="18"/>
          <w:color w:val="auto"/>
        </w:rPr>
      </w:pPr>
    </w:p>
    <w:p>
      <w:pPr>
        <w:ind w:left="640" w:right="560" w:hanging="632"/>
        <w:spacing w:after="0" w:line="267" w:lineRule="auto"/>
        <w:tabs>
          <w:tab w:leader="none" w:pos="64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medicines agency reflection paper for laboratories that perform the analysis or evaluation of clinical trial samples (EMA/INS/GCP/532137/2010);</w:t>
      </w:r>
    </w:p>
    <w:p>
      <w:pPr>
        <w:spacing w:after="0" w:line="7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ICH Topic Q2 (R1) ‘Validation of analytical procedures: Text and Methodology’ (CPMP/ICH/381/95);</w:t>
      </w:r>
    </w:p>
    <w:p>
      <w:pPr>
        <w:spacing w:after="0" w:line="121" w:lineRule="exact"/>
        <w:rPr>
          <w:rFonts w:ascii="Times New Roman" w:cs="Times New Roman" w:eastAsia="Times New Roman" w:hAnsi="Times New Roman"/>
          <w:sz w:val="18"/>
          <w:szCs w:val="18"/>
          <w:color w:val="auto"/>
        </w:rPr>
      </w:pPr>
    </w:p>
    <w:p>
      <w:pPr>
        <w:jc w:val="both"/>
        <w:ind w:left="640" w:right="140" w:hanging="632"/>
        <w:spacing w:after="0" w:line="255" w:lineRule="auto"/>
        <w:tabs>
          <w:tab w:leader="none" w:pos="64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 standards, policies, and procedures set out in this Agreement, together with any others provided to and agreed to by Tempus and updated from time to time (such agreement not to be unreasonably withheld, conditioned or delayed) (collectively, “GSK Policies and Procedures”);</w:t>
      </w:r>
    </w:p>
    <w:p>
      <w:pPr>
        <w:spacing w:after="0" w:line="88"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data integrity principles set out in </w:t>
      </w:r>
      <w:r>
        <w:rPr>
          <w:rFonts w:ascii="Times New Roman" w:cs="Times New Roman" w:eastAsia="Times New Roman" w:hAnsi="Times New Roman"/>
          <w:sz w:val="18"/>
          <w:szCs w:val="18"/>
          <w:u w:val="single" w:color="auto"/>
          <w:color w:val="auto"/>
        </w:rPr>
        <w:t>Sections 8.2</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8.5</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640" w:right="120" w:hanging="632"/>
        <w:spacing w:after="0" w:line="267" w:lineRule="auto"/>
        <w:tabs>
          <w:tab w:leader="none" w:pos="64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analytical methods or other specific requirements laid down by GSK through the corrective actions, if any, reasonably required by GSK after an audit of Tempus’s Facility under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(Auditing and Recordkeeping);</w:t>
      </w:r>
    </w:p>
    <w:p>
      <w:pPr>
        <w:spacing w:after="0" w:line="77" w:lineRule="exact"/>
        <w:rPr>
          <w:rFonts w:ascii="Times New Roman" w:cs="Times New Roman" w:eastAsia="Times New Roman" w:hAnsi="Times New Roman"/>
          <w:sz w:val="18"/>
          <w:szCs w:val="18"/>
          <w:color w:val="auto"/>
        </w:rPr>
      </w:pPr>
    </w:p>
    <w:p>
      <w:pPr>
        <w:ind w:left="640" w:hanging="632"/>
        <w:spacing w:after="0" w:line="267" w:lineRule="auto"/>
        <w:tabs>
          <w:tab w:leader="none" w:pos="64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(Pre-Engagement Screening Procedures), Tempus’s standard operating procedures or, if agreed and as provided by GSK, GSK standard operating procedures;</w:t>
      </w:r>
    </w:p>
    <w:p>
      <w:pPr>
        <w:spacing w:after="0" w:line="77" w:lineRule="exact"/>
        <w:rPr>
          <w:rFonts w:ascii="Times New Roman" w:cs="Times New Roman" w:eastAsia="Times New Roman" w:hAnsi="Times New Roman"/>
          <w:sz w:val="18"/>
          <w:szCs w:val="18"/>
          <w:color w:val="auto"/>
        </w:rPr>
      </w:pPr>
    </w:p>
    <w:p>
      <w:pPr>
        <w:ind w:left="640" w:right="440" w:hanging="632"/>
        <w:spacing w:after="0" w:line="267" w:lineRule="auto"/>
        <w:tabs>
          <w:tab w:leader="none" w:pos="64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Law (including, without limitation, those related to health and safety and the handling and disposal of infectious or hazardous waste);</w:t>
      </w:r>
    </w:p>
    <w:p>
      <w:pPr>
        <w:spacing w:after="0" w:line="77" w:lineRule="exact"/>
        <w:rPr>
          <w:rFonts w:ascii="Times New Roman" w:cs="Times New Roman" w:eastAsia="Times New Roman" w:hAnsi="Times New Roman"/>
          <w:sz w:val="18"/>
          <w:szCs w:val="18"/>
          <w:color w:val="auto"/>
        </w:rPr>
      </w:pPr>
    </w:p>
    <w:p>
      <w:pPr>
        <w:ind w:left="640" w:right="80" w:hanging="632"/>
        <w:spacing w:after="0" w:line="267" w:lineRule="auto"/>
        <w:tabs>
          <w:tab w:leader="none" w:pos="64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requirements specific to certain Activities, to the location of performance, or to a location’s standards which will be followed for regulatory purposes;</w:t>
      </w:r>
    </w:p>
    <w:p>
      <w:pPr>
        <w:spacing w:after="0" w:line="7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Scientific &amp; Operational Excellence Requirements set out in Schedule 11;</w:t>
      </w:r>
    </w:p>
    <w:p>
      <w:pPr>
        <w:spacing w:after="0" w:line="121" w:lineRule="exact"/>
        <w:rPr>
          <w:rFonts w:ascii="Times New Roman" w:cs="Times New Roman" w:eastAsia="Times New Roman" w:hAnsi="Times New Roman"/>
          <w:sz w:val="18"/>
          <w:szCs w:val="18"/>
          <w:color w:val="auto"/>
        </w:rPr>
      </w:pPr>
    </w:p>
    <w:p>
      <w:pPr>
        <w:ind w:left="640" w:right="1860" w:hanging="632"/>
        <w:spacing w:after="0" w:line="267" w:lineRule="auto"/>
        <w:tabs>
          <w:tab w:leader="none" w:pos="64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guidelines on the content, management and archiving of the clinical trial master file (paper and/or electronic), EMA/INS/GCP/856758/2018;</w:t>
      </w:r>
    </w:p>
    <w:p>
      <w:pPr>
        <w:spacing w:after="0" w:line="7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Guideline on data integrity Guide, Annex 4, WHO Technical Report Series, N°1033;</w:t>
      </w:r>
    </w:p>
    <w:p>
      <w:pPr>
        <w:spacing w:after="0" w:line="12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testing methods set out in the relevant Task Order; and</w:t>
      </w:r>
    </w:p>
    <w:p>
      <w:pPr>
        <w:spacing w:after="0" w:line="14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160"/>
          </w:cols>
          <w:pgMar w:left="1000" w:top="265" w:right="739" w:bottom="1440" w:gutter="0" w:footer="0" w:header="0"/>
        </w:sectPr>
      </w:pPr>
    </w:p>
    <w:bookmarkStart w:id="630" w:name="page631"/>
    <w:bookmarkEnd w:id="630"/>
    <w:p>
      <w:pPr>
        <w:ind w:left="41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v.</w:t>
      </w:r>
      <w:r>
        <w:rPr>
          <w:rFonts w:ascii="Times New Roman" w:cs="Times New Roman" w:eastAsia="Times New Roman" w:hAnsi="Times New Roman"/>
          <w:sz w:val="16"/>
          <w:szCs w:val="16"/>
          <w:color w:val="auto"/>
        </w:rPr>
        <w:t>any regulatory authorisation required to market and sell product(s) which are the subject of the Activities.</w:t>
      </w:r>
    </w:p>
    <w:p>
      <w:pPr>
        <w:spacing w:after="0" w:line="121" w:lineRule="exact"/>
        <w:rPr>
          <w:sz w:val="20"/>
          <w:szCs w:val="20"/>
          <w:color w:val="auto"/>
        </w:rPr>
      </w:pPr>
    </w:p>
    <w:p>
      <w:pPr>
        <w:ind w:left="412" w:right="420" w:hanging="412"/>
        <w:spacing w:after="0" w:line="267" w:lineRule="auto"/>
        <w:tabs>
          <w:tab w:leader="none" w:pos="412"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perform the Activities in a completely independent manner and Tempus Personnel shall perform the Activities under Tempus’s guidance and supervision.</w:t>
      </w:r>
    </w:p>
    <w:p>
      <w:pPr>
        <w:spacing w:after="0" w:line="77" w:lineRule="exact"/>
        <w:rPr>
          <w:rFonts w:ascii="Times New Roman" w:cs="Times New Roman" w:eastAsia="Times New Roman" w:hAnsi="Times New Roman"/>
          <w:sz w:val="18"/>
          <w:szCs w:val="18"/>
          <w:color w:val="auto"/>
        </w:rPr>
      </w:pPr>
    </w:p>
    <w:p>
      <w:pPr>
        <w:ind w:left="412" w:right="40" w:hanging="412"/>
        <w:spacing w:after="0" w:line="255" w:lineRule="auto"/>
        <w:tabs>
          <w:tab w:leader="none" w:pos="412"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and to the extent applicable, Tempus shall use Commercially Reasonable Efforts to perform the Activities in accordance with the Key Performance Indicators set forth in Schedule 1 (Services) of the applicable Task Order and Schedule 7 (Key Performance Indicators) of this Agreement.</w:t>
      </w:r>
    </w:p>
    <w:p>
      <w:pPr>
        <w:spacing w:after="0" w:line="88" w:lineRule="exact"/>
        <w:rPr>
          <w:rFonts w:ascii="Times New Roman" w:cs="Times New Roman" w:eastAsia="Times New Roman" w:hAnsi="Times New Roman"/>
          <w:sz w:val="18"/>
          <w:szCs w:val="18"/>
          <w:color w:val="auto"/>
        </w:rPr>
      </w:pPr>
    </w:p>
    <w:p>
      <w:pPr>
        <w:ind w:left="412" w:right="100" w:hanging="412"/>
        <w:spacing w:after="0" w:line="267" w:lineRule="auto"/>
        <w:tabs>
          <w:tab w:leader="none" w:pos="412"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in the event applicable Regulatory Requirements are modified by any Regulatory Authority during the Term, Tempus shall use Commercially Reasonable Efforts to satisfy the new Regulatory Requirements in the performance of the Activities.</w:t>
      </w:r>
    </w:p>
    <w:p>
      <w:pPr>
        <w:spacing w:after="0" w:line="77"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comply with the provisions of Schedule 8 (Data Protection) in the performance of the Activities.</w:t>
      </w:r>
    </w:p>
    <w:p>
      <w:pPr>
        <w:spacing w:after="0" w:line="121" w:lineRule="exact"/>
        <w:rPr>
          <w:rFonts w:ascii="Times New Roman" w:cs="Times New Roman" w:eastAsia="Times New Roman" w:hAnsi="Times New Roman"/>
          <w:sz w:val="18"/>
          <w:szCs w:val="18"/>
          <w:color w:val="auto"/>
        </w:rPr>
      </w:pPr>
    </w:p>
    <w:p>
      <w:pPr>
        <w:ind w:left="412" w:right="40" w:hanging="412"/>
        <w:spacing w:after="0" w:line="267" w:lineRule="auto"/>
        <w:tabs>
          <w:tab w:leader="none" w:pos="412"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not, in connection with any Task Order, generate, develop, make, devise, conceive, or first reduce to practice or writing, any Arising IP or Works using any Viral Open Source Software (unless otherwise agreed in advance by GSK in writing).</w:t>
      </w:r>
    </w:p>
    <w:p>
      <w:pPr>
        <w:spacing w:after="0" w:line="77" w:lineRule="exact"/>
        <w:rPr>
          <w:rFonts w:ascii="Times New Roman" w:cs="Times New Roman" w:eastAsia="Times New Roman" w:hAnsi="Times New Roman"/>
          <w:sz w:val="18"/>
          <w:szCs w:val="18"/>
          <w:color w:val="auto"/>
        </w:rPr>
      </w:pPr>
    </w:p>
    <w:p>
      <w:pPr>
        <w:ind w:left="412" w:right="120" w:hanging="412"/>
        <w:spacing w:after="0" w:line="249" w:lineRule="auto"/>
        <w:tabs>
          <w:tab w:leader="none" w:pos="412"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acknowledges and agrees that as between the Parties it is modifying, running and hosting the GSK Background IP and GSK Arising IP solely for and on behalf of GSK and at GSK’s direction under this Agreement only, and that the GSK Background IP and GSK Arising IP is not intended to be conveyed, distributed, re-distributed, made publicly available, publicly performed or displayed, or provided to any third party by Tempus except as directed by GSK in advance in writing. The Parties acknowledge and agree that the making available of software or models or Data under this Agreement does not constitute distribution or conveyance by either Party.</w:t>
      </w:r>
    </w:p>
    <w:p>
      <w:pPr>
        <w:spacing w:after="0" w:line="329" w:lineRule="exact"/>
        <w:rPr>
          <w:rFonts w:ascii="Times New Roman" w:cs="Times New Roman" w:eastAsia="Times New Roman" w:hAnsi="Times New Roman"/>
          <w:sz w:val="18"/>
          <w:szCs w:val="18"/>
          <w:color w:val="auto"/>
        </w:rPr>
      </w:pPr>
    </w:p>
    <w:p>
      <w:pPr>
        <w:ind w:left="4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w:t>
      </w:r>
      <w:r>
        <w:rPr>
          <w:rFonts w:ascii="Times New Roman" w:cs="Times New Roman" w:eastAsia="Times New Roman" w:hAnsi="Times New Roman"/>
          <w:sz w:val="16"/>
          <w:szCs w:val="16"/>
          <w:b w:val="1"/>
          <w:bCs w:val="1"/>
          <w:color w:val="auto"/>
        </w:rPr>
        <w:t>Data Integrity</w:t>
      </w:r>
    </w:p>
    <w:p>
      <w:pPr>
        <w:spacing w:after="0" w:line="123" w:lineRule="exact"/>
        <w:rPr>
          <w:rFonts w:ascii="Times New Roman" w:cs="Times New Roman" w:eastAsia="Times New Roman" w:hAnsi="Times New Roman"/>
          <w:sz w:val="18"/>
          <w:szCs w:val="18"/>
          <w:color w:val="auto"/>
        </w:rPr>
      </w:pPr>
    </w:p>
    <w:p>
      <w:pPr>
        <w:ind w:left="1052" w:hanging="630"/>
        <w:spacing w:after="0" w:line="2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w:t>
      </w:r>
      <w:r>
        <w:rPr>
          <w:rFonts w:ascii="Times New Roman" w:cs="Times New Roman" w:eastAsia="Times New Roman" w:hAnsi="Times New Roman"/>
          <w:sz w:val="16"/>
          <w:szCs w:val="16"/>
          <w:color w:val="auto"/>
        </w:rPr>
        <w:t>Tempus will perform its Activities and collect and record any Data, including raw or source data, derived data, metadata, and results generated therefrom, in accordance with the Additional Good Data Management Practices set out in Schedule 6 and the following Data integrity practices: (i) activities and processes are designed to meet their objective using scientifically valid techniques, while avoiding/minimising the introduction of bias, and studies are uniquely identified; (ii) Data generation processes are designed and operated to maintain Data integrity using appropriate equipment, instruments and systems (paper, electronic or hybrid) that are properly maintained and operated to ensure the integrity of the Data generated; (iii) a process is in place to capture Data changes such that original entry is not obscured, the Data trail cannot be altered, all Data within the audit trail can be accessed, changes to Data are transparent</w:t>
      </w:r>
    </w:p>
    <w:p>
      <w:pPr>
        <w:spacing w:after="0" w:line="9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672"/>
          </w:cols>
          <w:pgMar w:left="588" w:top="266" w:right="639" w:bottom="1440" w:gutter="0" w:footer="0" w:header="0"/>
        </w:sectPr>
      </w:pPr>
    </w:p>
    <w:bookmarkStart w:id="631" w:name="page632"/>
    <w:bookmarkEnd w:id="631"/>
    <w:p>
      <w:pPr>
        <w:ind w:left="660" w:right="12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(including who made the change, when it was changed, and the reason for the change are recorded where a legal, regulatory or local business requirement mandates it), and Data and associated audit trails are reviewed to discern invalid, altered, or deleted records, as required by regulatory requirements and/or local business practices; (iv) Data integrity is maintained during Data handling, transfer, and copying processes, with Data handling methods, manipulations and transcriptions undertaken in the record of the activity defined as required by local business practices and Data collated/aggregated to the required level of quality if collected from various sources;</w:t>
      </w:r>
    </w:p>
    <w:p>
      <w:pPr>
        <w:spacing w:after="0" w:line="3" w:lineRule="exact"/>
        <w:rPr>
          <w:sz w:val="20"/>
          <w:szCs w:val="20"/>
          <w:color w:val="auto"/>
        </w:rPr>
      </w:pPr>
    </w:p>
    <w:p>
      <w:pPr>
        <w:ind w:left="660" w:right="60" w:hanging="9"/>
        <w:spacing w:after="0" w:line="278" w:lineRule="auto"/>
        <w:tabs>
          <w:tab w:leader="none" w:pos="908" w:val="left"/>
        </w:tabs>
        <w:numPr>
          <w:ilvl w:val="0"/>
          <w:numId w:val="5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analyses present results in a balanced and statistically/scientifically defendable manner and a mechanism is in place for the review and approval of results and conclusions; (vi) Data reports are uniquely identified within the business line and provide a clear description of Data handling methods, including justification of selective use of Data sets or Data points (included/excluded Data), consideration of all results (positive, negative or unexpected) in final conclusions, clear traceability through Data generation, analysis and conclusions, and review prior to use of Data in internal or external communications and disclosures; (vii) Data are securely stored and archived such that they are readily retrievable, in a format that can be rendered human readable, protected against unintended changes/alterations and any loss or degradation, and compliant with related retention and archiving policies; and (viii) records and information that are at the end of their retention period and are not subject to a preservation notice are disposed of or destroyed in a complete and secure manner.</w:t>
      </w:r>
    </w:p>
    <w:p>
      <w:pPr>
        <w:spacing w:after="0" w:line="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6"/>
          <w:szCs w:val="16"/>
          <w:color w:val="auto"/>
        </w:rPr>
        <w:t>Tempus will record and manage Data according to the following Data integrity principles, which apply to all parts of the Data lifecycle:</w:t>
      </w:r>
    </w:p>
    <w:p>
      <w:pPr>
        <w:spacing w:after="0" w:line="21" w:lineRule="exact"/>
        <w:rPr>
          <w:sz w:val="20"/>
          <w:szCs w:val="20"/>
          <w:color w:val="auto"/>
        </w:rPr>
      </w:pPr>
    </w:p>
    <w:p>
      <w:pPr>
        <w:ind w:left="640" w:hanging="2"/>
        <w:spacing w:after="0" w:line="243" w:lineRule="auto"/>
        <w:tabs>
          <w:tab w:leader="none" w:pos="839"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(traceable to the originator, (person and/or a computerised system, a device, an instrument), including any changes made to Data, i.e. who performed an action and when; Legible (readable and understandable); (iii) Contemporaneous (recorded at the time they are generated or observed as per regulatory requirements, or in absence of regulatory requirements, local business practices); (iv) Original (in the file or format in which first generated, e.g. first paper record of manual observation, electronic raw Data file from a computerised system as per regulatory requirements or in absence of regulatory requirements, local business practices, or a copy of original information that has been verified, as indicated by a dated signature, as an exact copy having all of the same attributes and information as the original); (v) Accurate (correct, truthful and to the appropriate precision, including error corrections and edits); (vi) Complete (all expected elements of the Data are present (i.e., no unexplained gaps in the Data) and the full meaning and context is preserved with the Data); (vii) Consistent (all elements of the record follow in the expected sequence); (viii) Enduring (recorded in a permanent medium (paper or electronic) and continue to be</w:t>
      </w:r>
    </w:p>
    <w:p>
      <w:pPr>
        <w:spacing w:after="0" w:line="1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300"/>
          </w:cols>
          <w:pgMar w:left="1000" w:top="265" w:right="599" w:bottom="1440" w:gutter="0" w:footer="0" w:header="0"/>
        </w:sectPr>
      </w:pPr>
    </w:p>
    <w:bookmarkStart w:id="632" w:name="page633"/>
    <w:bookmarkEnd w:id="632"/>
    <w:p>
      <w:pPr>
        <w:ind w:left="1072" w:right="1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retained in a human readable format for as long as specified in applicable record retention requirements); and (ix) Available (maintained in such a way that they are accessible and retrievable in a reasonable time). In addition, Tempus represents and warrants that it has in place appropriate policies to manage updates to and version control of the Tempus Dataset and Tempus Biotechnology Platform, and cross-mapping and back-testing of the Tempus Biotechnology Platform.</w:t>
      </w:r>
    </w:p>
    <w:p>
      <w:pPr>
        <w:spacing w:after="0" w:line="92" w:lineRule="exact"/>
        <w:rPr>
          <w:sz w:val="20"/>
          <w:szCs w:val="20"/>
          <w:color w:val="auto"/>
        </w:rPr>
      </w:pPr>
    </w:p>
    <w:p>
      <w:pPr>
        <w:ind w:left="1052" w:right="100" w:hanging="629"/>
        <w:spacing w:after="0" w:line="246" w:lineRule="auto"/>
        <w:tabs>
          <w:tab w:leader="none" w:pos="1032"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Tempus will preserve Data integrity and Data quality as follows: (i) document and manage within a governance framework procedures enabling compliance with applicable Data integrity regulatory expectations; (ii) define accountability for ensuring Data integrity in business practices; (iii) define Data ownership where required by relevant regulations; (iv) train staff in the Data integrity principles described above and the business practices that support Data integrity in alignment with their role or function; (v) apply quality control and/or assurance to all stages of the Data lifecycle in accordance with legal/regulatory requirements and business procedures; (vi) define and execute procedures for monitoring Data integrity commensurate with the risks associated with the Data; (vii) define and communicate to staff processes for escalation of potential or actual Data integrity issues; (viii) investigate intentional and unintentional Data integrity breaches and manage same in accordance with GSK Policies and Procedures; and (ix) implement procedures for oversight of third parties to agreed Data integrity principles and quality standards.</w:t>
      </w:r>
    </w:p>
    <w:p>
      <w:pPr>
        <w:spacing w:after="0" w:line="334"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6"/>
          <w:szCs w:val="16"/>
          <w:b w:val="1"/>
          <w:bCs w:val="1"/>
          <w:color w:val="auto"/>
        </w:rPr>
        <w:t>Timely performance and milestones</w:t>
      </w:r>
    </w:p>
    <w:p>
      <w:pPr>
        <w:spacing w:after="0" w:line="123" w:lineRule="exact"/>
        <w:rPr>
          <w:sz w:val="20"/>
          <w:szCs w:val="20"/>
          <w:color w:val="auto"/>
        </w:rPr>
      </w:pPr>
    </w:p>
    <w:p>
      <w:pPr>
        <w:ind w:left="412" w:hanging="412"/>
        <w:spacing w:after="0"/>
        <w:tabs>
          <w:tab w:leader="none" w:pos="412"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agrees that:</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Activities is an essential and critical business requirement under this Agreement and each Task Order;</w:t>
      </w:r>
    </w:p>
    <w:p>
      <w:pPr>
        <w:spacing w:after="0" w:line="121" w:lineRule="exact"/>
        <w:rPr>
          <w:rFonts w:ascii="Times New Roman" w:cs="Times New Roman" w:eastAsia="Times New Roman" w:hAnsi="Times New Roman"/>
          <w:sz w:val="18"/>
          <w:szCs w:val="18"/>
          <w:color w:val="auto"/>
        </w:rPr>
      </w:pPr>
    </w:p>
    <w:p>
      <w:pPr>
        <w:ind w:left="1052" w:right="180" w:hanging="632"/>
        <w:spacing w:after="0" w:line="267" w:lineRule="auto"/>
        <w:tabs>
          <w:tab w:leader="none" w:pos="1052"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notify GSK promptly upon becoming aware of any event or circumstance which will, or which could reasonably be expected to, cause a delay in the completion of any milestone or Service or the meeting of any timeline; and</w:t>
      </w:r>
    </w:p>
    <w:p>
      <w:pPr>
        <w:spacing w:after="0" w:line="77" w:lineRule="exact"/>
        <w:rPr>
          <w:rFonts w:ascii="Times New Roman" w:cs="Times New Roman" w:eastAsia="Times New Roman" w:hAnsi="Times New Roman"/>
          <w:sz w:val="18"/>
          <w:szCs w:val="18"/>
          <w:color w:val="auto"/>
        </w:rPr>
      </w:pPr>
    </w:p>
    <w:p>
      <w:pPr>
        <w:ind w:left="1052" w:hanging="632"/>
        <w:spacing w:after="0" w:line="267" w:lineRule="auto"/>
        <w:tabs>
          <w:tab w:leader="none" w:pos="1052"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use all its Commercially Reasonable Efforts to carry out the Activities for which it is responsible according to the timelines set out in this Agreement or any Task Order.</w:t>
      </w:r>
    </w:p>
    <w:p>
      <w:pPr>
        <w:spacing w:after="0" w:line="77" w:lineRule="exact"/>
        <w:rPr>
          <w:rFonts w:ascii="Times New Roman" w:cs="Times New Roman" w:eastAsia="Times New Roman" w:hAnsi="Times New Roman"/>
          <w:sz w:val="18"/>
          <w:szCs w:val="18"/>
          <w:color w:val="auto"/>
        </w:rPr>
      </w:pPr>
    </w:p>
    <w:p>
      <w:pPr>
        <w:ind w:left="412" w:right="60" w:hanging="412"/>
        <w:spacing w:after="0" w:line="267" w:lineRule="auto"/>
        <w:tabs>
          <w:tab w:leader="none" w:pos="412"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ensure all reports provided to GSK pursuant to this Agreement or a Task Order contain requirements listed in applicable Task Order, which may include the following:</w:t>
      </w:r>
    </w:p>
    <w:p>
      <w:pPr>
        <w:spacing w:after="0" w:line="77" w:lineRule="exact"/>
        <w:rPr>
          <w:rFonts w:ascii="Times New Roman" w:cs="Times New Roman" w:eastAsia="Times New Roman" w:hAnsi="Times New Roman"/>
          <w:sz w:val="18"/>
          <w:szCs w:val="18"/>
          <w:color w:val="auto"/>
        </w:rPr>
      </w:pPr>
    </w:p>
    <w:p>
      <w:pPr>
        <w:ind w:left="1052" w:right="160" w:hanging="632"/>
        <w:spacing w:after="0" w:line="267" w:lineRule="auto"/>
        <w:tabs>
          <w:tab w:leader="none" w:pos="1052"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relevant milestones and (if applicable) Deliverables, Activities performed and actual or anticipated delays in performance of the Activities; and</w:t>
      </w:r>
    </w:p>
    <w:p>
      <w:pPr>
        <w:spacing w:after="0" w:line="1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712"/>
          </w:cols>
          <w:pgMar w:left="588" w:top="265" w:right="599" w:bottom="1440" w:gutter="0" w:footer="0" w:header="0"/>
        </w:sectPr>
      </w:pPr>
    </w:p>
    <w:bookmarkStart w:id="633" w:name="page634"/>
    <w:bookmarkEnd w:id="633"/>
    <w:p>
      <w:pPr>
        <w:ind w:left="1052" w:hanging="632"/>
        <w:spacing w:after="0"/>
        <w:tabs>
          <w:tab w:leader="none" w:pos="1052" w:val="left"/>
        </w:tabs>
        <w:numPr>
          <w:ilvl w:val="1"/>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fulfil requirements of Applicable Law:</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information acquired by Tempus and/or Tempus Personnel as a result of having performed the Activities;</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 list of all current Results, GSK Arising IP and Tempus Arising IP; and</w:t>
      </w:r>
    </w:p>
    <w:p>
      <w:pPr>
        <w:spacing w:after="0" w:line="121" w:lineRule="exact"/>
        <w:rPr>
          <w:rFonts w:ascii="Times New Roman" w:cs="Times New Roman" w:eastAsia="Times New Roman" w:hAnsi="Times New Roman"/>
          <w:sz w:val="18"/>
          <w:szCs w:val="18"/>
          <w:color w:val="auto"/>
        </w:rPr>
      </w:pPr>
    </w:p>
    <w:p>
      <w:pPr>
        <w:ind w:left="1052" w:right="180" w:hanging="632"/>
        <w:spacing w:after="0" w:line="267" w:lineRule="auto"/>
        <w:tabs>
          <w:tab w:leader="none" w:pos="1052" w:val="left"/>
        </w:tabs>
        <w:numPr>
          <w:ilvl w:val="1"/>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describe in detail (to the reasonable satisfaction of GSK) the time spent (including references to the relevant time sheets), if applicable, and objectives pertaining to the performance of the Activities during the period to which that report relates.</w:t>
      </w:r>
    </w:p>
    <w:p>
      <w:pPr>
        <w:spacing w:after="0" w:line="77" w:lineRule="exact"/>
        <w:rPr>
          <w:rFonts w:ascii="Times New Roman" w:cs="Times New Roman" w:eastAsia="Times New Roman" w:hAnsi="Times New Roman"/>
          <w:sz w:val="18"/>
          <w:szCs w:val="18"/>
          <w:color w:val="auto"/>
        </w:rPr>
      </w:pPr>
    </w:p>
    <w:p>
      <w:pPr>
        <w:jc w:val="both"/>
        <w:ind w:left="412" w:right="20" w:hanging="412"/>
        <w:spacing w:after="0" w:line="302" w:lineRule="auto"/>
        <w:tabs>
          <w:tab w:leader="none" w:pos="412" w:val="left"/>
        </w:tabs>
        <w:numPr>
          <w:ilvl w:val="0"/>
          <w:numId w:val="5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GSK shall provide written acceptance of Tempus’s completion of each timeline and milestone (if any) for the performance of Activities within the mutually-accepted timeframe set out in this Agreement before that portion of the Activities may be considered complete (such written acceptance to be based, where applicable, solely on objective criteria and, in all cases, not to be unreasonably withheld, conditioned or delayed).</w:t>
      </w:r>
    </w:p>
    <w:p>
      <w:pPr>
        <w:spacing w:after="0" w:line="53" w:lineRule="exact"/>
        <w:rPr>
          <w:rFonts w:ascii="Times New Roman" w:cs="Times New Roman" w:eastAsia="Times New Roman" w:hAnsi="Times New Roman"/>
          <w:sz w:val="16"/>
          <w:szCs w:val="16"/>
          <w:color w:val="auto"/>
        </w:rPr>
      </w:pPr>
    </w:p>
    <w:p>
      <w:pPr>
        <w:ind w:left="412" w:hanging="412"/>
        <w:spacing w:after="0"/>
        <w:tabs>
          <w:tab w:leader="none" w:pos="412"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inform GSK in writing of its completion of any applicable milestone for the Activities within [***] of such completion.</w:t>
      </w:r>
    </w:p>
    <w:p>
      <w:pPr>
        <w:spacing w:after="0" w:line="355" w:lineRule="exact"/>
        <w:rPr>
          <w:rFonts w:ascii="Times New Roman" w:cs="Times New Roman" w:eastAsia="Times New Roman" w:hAnsi="Times New Roman"/>
          <w:sz w:val="18"/>
          <w:szCs w:val="18"/>
          <w:color w:val="auto"/>
        </w:rPr>
      </w:pPr>
    </w:p>
    <w:p>
      <w:pPr>
        <w:ind w:left="4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w:t>
      </w:r>
      <w:r>
        <w:rPr>
          <w:rFonts w:ascii="Times New Roman" w:cs="Times New Roman" w:eastAsia="Times New Roman" w:hAnsi="Times New Roman"/>
          <w:sz w:val="16"/>
          <w:szCs w:val="16"/>
          <w:b w:val="1"/>
          <w:bCs w:val="1"/>
          <w:color w:val="auto"/>
        </w:rPr>
        <w:t>Failure to Perform</w:t>
      </w:r>
    </w:p>
    <w:p>
      <w:pPr>
        <w:spacing w:after="0" w:line="123" w:lineRule="exact"/>
        <w:rPr>
          <w:sz w:val="20"/>
          <w:szCs w:val="20"/>
          <w:color w:val="auto"/>
        </w:rPr>
      </w:pPr>
    </w:p>
    <w:p>
      <w:pPr>
        <w:ind w:left="412" w:hanging="412"/>
        <w:spacing w:after="0" w:line="251" w:lineRule="auto"/>
        <w:tabs>
          <w:tab w:leader="none" w:pos="412"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actual or anticipated failure by Tempus to perform any Activities in material compliance with the standards (including, without limitation, standards for timely performance) specified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(Performance standards and requirements) or otherwise described in this Agreement or any applicable Task Order for any reason other than GSK’s acts or omissions or an event described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(Force Majeure), Tempus shall:</w:t>
      </w:r>
    </w:p>
    <w:p>
      <w:pPr>
        <w:spacing w:after="0" w:line="92" w:lineRule="exact"/>
        <w:rPr>
          <w:rFonts w:ascii="Times New Roman" w:cs="Times New Roman" w:eastAsia="Times New Roman" w:hAnsi="Times New Roman"/>
          <w:sz w:val="18"/>
          <w:szCs w:val="18"/>
          <w:color w:val="auto"/>
        </w:rPr>
      </w:pPr>
    </w:p>
    <w:p>
      <w:pPr>
        <w:ind w:left="1052" w:right="60" w:hanging="632"/>
        <w:spacing w:after="0" w:line="255" w:lineRule="auto"/>
        <w:tabs>
          <w:tab w:leader="none" w:pos="1052" w:val="left"/>
        </w:tabs>
        <w:numPr>
          <w:ilvl w:val="1"/>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GSK in writing of such actual or anticipated failure and Tempus shall promptly thereafter submit to GSK a written statement explaining in detail the difficulties encountered by Tempus in the performance of the affected Activities, providing the reasons for any delay in performance; and</w:t>
      </w:r>
    </w:p>
    <w:p>
      <w:pPr>
        <w:spacing w:after="0" w:line="88" w:lineRule="exact"/>
        <w:rPr>
          <w:rFonts w:ascii="Times New Roman" w:cs="Times New Roman" w:eastAsia="Times New Roman" w:hAnsi="Times New Roman"/>
          <w:sz w:val="18"/>
          <w:szCs w:val="18"/>
          <w:color w:val="auto"/>
        </w:rPr>
      </w:pPr>
    </w:p>
    <w:p>
      <w:pPr>
        <w:ind w:left="1052" w:right="120" w:hanging="632"/>
        <w:spacing w:after="0" w:line="267" w:lineRule="auto"/>
        <w:tabs>
          <w:tab w:leader="none" w:pos="1052" w:val="left"/>
        </w:tabs>
        <w:numPr>
          <w:ilvl w:val="1"/>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any unreasonable delay, propose a plan to remedy any such actual or anticipated failure, which shall be discussed by the Parties in good faith.</w:t>
      </w:r>
    </w:p>
    <w:p>
      <w:pPr>
        <w:spacing w:after="0" w:line="77"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plan for remedy referred to under </w:t>
      </w:r>
      <w:r>
        <w:rPr>
          <w:rFonts w:ascii="Times New Roman" w:cs="Times New Roman" w:eastAsia="Times New Roman" w:hAnsi="Times New Roman"/>
          <w:sz w:val="18"/>
          <w:szCs w:val="18"/>
          <w:u w:val="single" w:color="auto"/>
          <w:color w:val="auto"/>
        </w:rPr>
        <w:t>Section 8.7i)b)</w:t>
      </w:r>
      <w:r>
        <w:rPr>
          <w:rFonts w:ascii="Times New Roman" w:cs="Times New Roman" w:eastAsia="Times New Roman" w:hAnsi="Times New Roman"/>
          <w:sz w:val="18"/>
          <w:szCs w:val="18"/>
          <w:color w:val="auto"/>
        </w:rPr>
        <w:t xml:space="preserve"> above is not acceptable to GSK, GSK may, at its sole discretion:</w:t>
      </w:r>
    </w:p>
    <w:p>
      <w:pPr>
        <w:spacing w:after="0" w:line="121" w:lineRule="exact"/>
        <w:rPr>
          <w:rFonts w:ascii="Times New Roman" w:cs="Times New Roman" w:eastAsia="Times New Roman" w:hAnsi="Times New Roman"/>
          <w:sz w:val="18"/>
          <w:szCs w:val="18"/>
          <w:color w:val="auto"/>
        </w:rPr>
      </w:pPr>
    </w:p>
    <w:p>
      <w:pPr>
        <w:ind w:left="1052" w:right="20" w:hanging="632"/>
        <w:spacing w:after="0" w:line="267" w:lineRule="auto"/>
        <w:tabs>
          <w:tab w:leader="none" w:pos="1052" w:val="left"/>
        </w:tabs>
        <w:numPr>
          <w:ilvl w:val="1"/>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Tempus to take corrective action (including, if necessary, immediately assigning such additional resources as may be required) so as to perform Activities as required by the terms of this Agreement, at no additional cost to GSK; or</w:t>
      </w:r>
    </w:p>
    <w:p>
      <w:pPr>
        <w:spacing w:after="0" w:line="77" w:lineRule="exact"/>
        <w:rPr>
          <w:rFonts w:ascii="Times New Roman" w:cs="Times New Roman" w:eastAsia="Times New Roman" w:hAnsi="Times New Roman"/>
          <w:sz w:val="18"/>
          <w:szCs w:val="18"/>
          <w:color w:val="auto"/>
        </w:rPr>
      </w:pPr>
    </w:p>
    <w:p>
      <w:pPr>
        <w:ind w:left="1052" w:right="140" w:hanging="632"/>
        <w:spacing w:after="0" w:line="267" w:lineRule="auto"/>
        <w:tabs>
          <w:tab w:leader="none" w:pos="1052" w:val="left"/>
        </w:tabs>
        <w:numPr>
          <w:ilvl w:val="1"/>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Tempus to re-perform Activities so that standards are met, at no additional cost to GSK. Such Activities to be re-performed will be specific and only to the extent required to remedy such non-compliance.</w:t>
      </w:r>
    </w:p>
    <w:p>
      <w:pPr>
        <w:spacing w:after="0" w:line="10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672"/>
          </w:cols>
          <w:pgMar w:left="588" w:top="265" w:right="639" w:bottom="1440" w:gutter="0" w:footer="0" w:header="0"/>
        </w:sectPr>
      </w:pPr>
    </w:p>
    <w:bookmarkStart w:id="634" w:name="page635"/>
    <w:bookmarkEnd w:id="634"/>
    <w:p>
      <w:pPr>
        <w:ind w:left="412" w:right="40" w:hanging="412"/>
        <w:spacing w:after="0" w:line="249" w:lineRule="auto"/>
        <w:tabs>
          <w:tab w:leader="none" w:pos="412"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To the extent and only if Tempus has failed to comply with </w:t>
      </w:r>
      <w:r>
        <w:rPr>
          <w:rFonts w:ascii="Times New Roman" w:cs="Times New Roman" w:eastAsia="Times New Roman" w:hAnsi="Times New Roman"/>
          <w:sz w:val="18"/>
          <w:szCs w:val="18"/>
          <w:u w:val="single" w:color="auto"/>
          <w:color w:val="auto"/>
        </w:rPr>
        <w:t>Section 8.7i)a)</w:t>
      </w:r>
      <w:r>
        <w:rPr>
          <w:rFonts w:ascii="Times New Roman" w:cs="Times New Roman" w:eastAsia="Times New Roman" w:hAnsi="Times New Roman"/>
          <w:sz w:val="18"/>
          <w:szCs w:val="18"/>
          <w:color w:val="auto"/>
        </w:rPr>
        <w:t xml:space="preserve"> or (b) (as applicable) in the timeframe agreed with GSK, GSK may perform affected Activities itself or retain a third party to perform the affected Activities. If Tempus is in material breach of this Agreement or any Task Order, during the pendency of any such uncured material breach, the amount of Service Fees allocable to the applicable portion of this Agreement or any Task Order shall not be payable by GSK and shall instead be allocated to the Surplus Funding Credit, until such time as the breach, if curable, is resolved to the satisfaction of both Parties acting reasonably.</w:t>
      </w:r>
    </w:p>
    <w:p>
      <w:pPr>
        <w:spacing w:after="0" w:line="94" w:lineRule="exact"/>
        <w:rPr>
          <w:rFonts w:ascii="Times New Roman" w:cs="Times New Roman" w:eastAsia="Times New Roman" w:hAnsi="Times New Roman"/>
          <w:sz w:val="18"/>
          <w:szCs w:val="18"/>
          <w:color w:val="auto"/>
        </w:rPr>
      </w:pPr>
    </w:p>
    <w:p>
      <w:pPr>
        <w:ind w:left="412" w:hanging="412"/>
        <w:spacing w:after="0" w:line="267" w:lineRule="auto"/>
        <w:tabs>
          <w:tab w:leader="none" w:pos="412"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Action or inaction by GSK as permitted under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not limit any other right that GSK may have under this Agreement or any Task Order, nor limit any right that GSK may have with respect to a breach by Tempus of this Agreement or any Task Order.</w:t>
      </w:r>
    </w:p>
    <w:p>
      <w:pPr>
        <w:spacing w:after="0" w:line="77" w:lineRule="exact"/>
        <w:rPr>
          <w:rFonts w:ascii="Times New Roman" w:cs="Times New Roman" w:eastAsia="Times New Roman" w:hAnsi="Times New Roman"/>
          <w:sz w:val="18"/>
          <w:szCs w:val="18"/>
          <w:color w:val="auto"/>
        </w:rPr>
      </w:pPr>
    </w:p>
    <w:p>
      <w:pPr>
        <w:ind w:left="412" w:right="80" w:hanging="412"/>
        <w:spacing w:after="0" w:line="251" w:lineRule="auto"/>
        <w:tabs>
          <w:tab w:leader="none" w:pos="412"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 reserves the right to discuss with the JSC, on a case-by-case basis, the actions to be undertaken subsequent to a failure by Tempus to comply with the Key Performance Indicators in order to (re)assure the quality of Results generated in performing the Activities. In the event that despite their best efforts, the Parties fail to resolve such disagreement regarding Tempus’s non-compliance with KPIs to a degree that rises to the level of an uncured material breach, GSK shall have the right to terminate the applicable Task Order in accordance with its terms.</w:t>
      </w:r>
    </w:p>
    <w:p>
      <w:pPr>
        <w:spacing w:after="0" w:line="287" w:lineRule="exact"/>
        <w:rPr>
          <w:sz w:val="20"/>
          <w:szCs w:val="20"/>
          <w:color w:val="auto"/>
        </w:rPr>
      </w:pPr>
    </w:p>
    <w:p>
      <w:pPr>
        <w:ind w:left="312" w:hanging="312"/>
        <w:spacing w:after="0"/>
        <w:tabs>
          <w:tab w:leader="none" w:pos="312"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Quality Assurance</w:t>
      </w:r>
    </w:p>
    <w:p>
      <w:pPr>
        <w:spacing w:after="0" w:line="123" w:lineRule="exact"/>
        <w:rPr>
          <w:sz w:val="20"/>
          <w:szCs w:val="20"/>
          <w:color w:val="auto"/>
        </w:rPr>
      </w:pPr>
    </w:p>
    <w:p>
      <w:pPr>
        <w:ind w:left="1052" w:right="140" w:hanging="629"/>
        <w:spacing w:after="0" w:line="251" w:lineRule="auto"/>
        <w:tabs>
          <w:tab w:leader="none" w:pos="1032"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Tempus agrees and shall ensure that all Deliverables arising from the performance of the Activities have been generated in accordance with the terms of this Agreement and any Task Orders. Tempus shall use its Commercially Reasonable Efforts to ensure that those Deliverables and Results are free from any laboratory errors, including by using the applicable GSK Policies and Procedures set forth in the applicable Task Order.</w:t>
      </w:r>
    </w:p>
    <w:p>
      <w:pPr>
        <w:spacing w:after="0" w:line="92" w:lineRule="exact"/>
        <w:rPr>
          <w:sz w:val="20"/>
          <w:szCs w:val="20"/>
          <w:color w:val="auto"/>
        </w:rPr>
      </w:pPr>
    </w:p>
    <w:p>
      <w:pPr>
        <w:ind w:left="1052" w:right="20" w:hanging="629"/>
        <w:spacing w:after="0" w:line="251" w:lineRule="auto"/>
        <w:tabs>
          <w:tab w:leader="none" w:pos="1032"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Tempus shall be responsible for comparing any such Deliverables with all specifications, quality limits or acceptance criteria provided by GSK and mutually agreed upon, and in each case set forth in the applicable Task Order. Tempus shall report to the GSK Alliance Director any unexpected or out of range Results to be determined according to the Reference Values established for the type of Activities carried out by Tempus.</w:t>
      </w:r>
    </w:p>
    <w:p>
      <w:pPr>
        <w:spacing w:after="0" w:line="92" w:lineRule="exact"/>
        <w:rPr>
          <w:sz w:val="20"/>
          <w:szCs w:val="20"/>
          <w:color w:val="auto"/>
        </w:rPr>
      </w:pPr>
    </w:p>
    <w:p>
      <w:pPr>
        <w:ind w:left="1052" w:right="100" w:hanging="629"/>
        <w:spacing w:after="0" w:line="251" w:lineRule="auto"/>
        <w:tabs>
          <w:tab w:leader="none" w:pos="1032"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Tempus shall not undertake any repeat analyses on any GSK HBS (i.e., repeat testing in cases where a test result was previously achieved) without the prior written consent of GSK unless otherwise required by this Agreement or a Task Order. If a result is to be used for clinical decision making for a clinical trial subject, Tempus must discuss repeat testing rules, including timelines, with GSK and document them prior to study start.</w:t>
      </w:r>
    </w:p>
    <w:p>
      <w:pPr>
        <w:spacing w:after="0" w:line="1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712"/>
          </w:cols>
          <w:pgMar w:left="588" w:top="266" w:right="599" w:bottom="1440" w:gutter="0" w:footer="0" w:header="0"/>
        </w:sectPr>
      </w:pPr>
    </w:p>
    <w:bookmarkStart w:id="635" w:name="page636"/>
    <w:bookmarkEnd w:id="635"/>
    <w:p>
      <w:pPr>
        <w:jc w:val="both"/>
        <w:ind w:left="640" w:hanging="629"/>
        <w:spacing w:after="0" w:line="251" w:lineRule="auto"/>
        <w:tabs>
          <w:tab w:leader="none" w:pos="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9.4</w:t>
      </w:r>
      <w:r>
        <w:rPr>
          <w:sz w:val="20"/>
          <w:szCs w:val="20"/>
          <w:color w:val="auto"/>
        </w:rPr>
        <w:tab/>
      </w:r>
      <w:r>
        <w:rPr>
          <w:rFonts w:ascii="Times New Roman" w:cs="Times New Roman" w:eastAsia="Times New Roman" w:hAnsi="Times New Roman"/>
          <w:sz w:val="18"/>
          <w:szCs w:val="18"/>
          <w:color w:val="auto"/>
        </w:rPr>
        <w:t>In the event of a blinded Study, Tempus shall exercise due diligence to ensure it does not inadvertently compromise the blinding process of such Study. In situations where Tempus is supplied with the codes necessary to unblind GSK HBS, GSK and Tempus shall discuss and agreed unblinding Procedures before starting to render the applicable Activities. Tempus shall ensure that Tempus Personnel involved in the performance of the related Activities are well aware of any such unblinding Procedures.</w:t>
      </w:r>
    </w:p>
    <w:p>
      <w:pPr>
        <w:spacing w:after="0" w:line="92" w:lineRule="exact"/>
        <w:rPr>
          <w:sz w:val="20"/>
          <w:szCs w:val="20"/>
          <w:color w:val="auto"/>
        </w:rPr>
      </w:pPr>
    </w:p>
    <w:p>
      <w:pPr>
        <w:ind w:left="640" w:right="60" w:hanging="629"/>
        <w:spacing w:after="0" w:line="279" w:lineRule="auto"/>
        <w:tabs>
          <w:tab w:leader="none" w:pos="6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6"/>
          <w:szCs w:val="16"/>
          <w:color w:val="auto"/>
        </w:rPr>
        <w:t>Before signature of this Agreement or an applicable Task Order the level of quality at any Tempus’s Facility will be assessed by GSK on basis of Good Clinical Laboratory Practice, Good Clinical Practice, the data integrity principles set out in Sections 8.2 to 8.5, CAP standards, CLIA regulations, and/or ISO15189 (“</w:t>
      </w:r>
      <w:r>
        <w:rPr>
          <w:rFonts w:ascii="Times New Roman" w:cs="Times New Roman" w:eastAsia="Times New Roman" w:hAnsi="Times New Roman"/>
          <w:sz w:val="16"/>
          <w:szCs w:val="16"/>
          <w:b w:val="1"/>
          <w:bCs w:val="1"/>
          <w:color w:val="auto"/>
        </w:rPr>
        <w:t>Laboratory Practices</w:t>
      </w:r>
      <w:r>
        <w:rPr>
          <w:rFonts w:ascii="Times New Roman" w:cs="Times New Roman" w:eastAsia="Times New Roman" w:hAnsi="Times New Roman"/>
          <w:sz w:val="16"/>
          <w:szCs w:val="16"/>
          <w:color w:val="auto"/>
        </w:rPr>
        <w:t>”), but solely to the extent that such Laboratory Practice is applicable to the specific Activities provided under the Agreement or the applicable Task Order. In the event Tempus’s quality system is found, through the assessment, that it does not comply with such Laboratory Practice, an action plan will then be defined and agreed by the Parties to remediate potential identified gaps in Tempus’s quality system (the “</w:t>
      </w:r>
      <w:r>
        <w:rPr>
          <w:rFonts w:ascii="Times New Roman" w:cs="Times New Roman" w:eastAsia="Times New Roman" w:hAnsi="Times New Roman"/>
          <w:sz w:val="16"/>
          <w:szCs w:val="16"/>
          <w:b w:val="1"/>
          <w:bCs w:val="1"/>
          <w:color w:val="auto"/>
        </w:rPr>
        <w:t>Laboratory Quality Assessment Action Plan</w:t>
      </w:r>
      <w:r>
        <w:rPr>
          <w:rFonts w:ascii="Times New Roman" w:cs="Times New Roman" w:eastAsia="Times New Roman" w:hAnsi="Times New Roman"/>
          <w:sz w:val="16"/>
          <w:szCs w:val="16"/>
          <w:color w:val="auto"/>
        </w:rPr>
        <w:t xml:space="preserve">”). As the case may be, such Laboratory Quality Assessment Action Plan shall be attached to this Agreement and shall form an integral part of this Agreement. The Parties acknowledge that quality is Critical in performing the Activities and therefore, the Parties agree that in case Tempus fails to comply in all respects with the Laboratory Quality Assessment Action Plan within the agreed timelines set out therein following written notice from GSK specifying the applicable deficiencies in reasonable detail, GSK shall have the right to terminate this Agreement immediately upon written notice to Tempus, subject to the terms set out in </w:t>
      </w:r>
      <w:r>
        <w:rPr>
          <w:rFonts w:ascii="Times New Roman" w:cs="Times New Roman" w:eastAsia="Times New Roman" w:hAnsi="Times New Roman"/>
          <w:sz w:val="16"/>
          <w:szCs w:val="16"/>
          <w:u w:val="single" w:color="auto"/>
          <w:color w:val="auto"/>
        </w:rPr>
        <w:t>Section 12</w:t>
      </w:r>
      <w:r>
        <w:rPr>
          <w:rFonts w:ascii="Times New Roman" w:cs="Times New Roman" w:eastAsia="Times New Roman" w:hAnsi="Times New Roman"/>
          <w:sz w:val="16"/>
          <w:szCs w:val="16"/>
          <w:color w:val="auto"/>
        </w:rPr>
        <w:t xml:space="preserve"> (Effect of termination).</w:t>
      </w:r>
    </w:p>
    <w:p>
      <w:pPr>
        <w:spacing w:after="0" w:line="76" w:lineRule="exact"/>
        <w:rPr>
          <w:sz w:val="20"/>
          <w:szCs w:val="20"/>
          <w:color w:val="auto"/>
        </w:rPr>
      </w:pPr>
    </w:p>
    <w:p>
      <w:pPr>
        <w:ind w:left="640" w:hanging="629"/>
        <w:spacing w:after="0" w:line="248" w:lineRule="auto"/>
        <w:tabs>
          <w:tab w:leader="none" w:pos="6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Tempus will promptly notify GSK of any Major Alerts and/or Critical Deviations, including without being limited to, deviations from any Study Protocol or Analytical Plan, or work instructions and specifications provided by GSK to and agreed by Tempus under this Agreement or any Task Order, by sending within [***] of becoming aware of the occurrence of the Major Alert and/or Critical Deviation an exhaustive description of said Major Alert and/or Critical Deviation justifying and explaining the Major Alert and/or Critical Deviation and the suggested actions to be taken to remedy this Major Alert and/or Critical Deviation. A document describing in detail the Major Alert and/or Critical Deviation shall be made available to GSK upon completion of the investigation.</w:t>
      </w:r>
    </w:p>
    <w:p>
      <w:pPr>
        <w:spacing w:after="0" w:line="95" w:lineRule="exact"/>
        <w:rPr>
          <w:sz w:val="20"/>
          <w:szCs w:val="20"/>
          <w:color w:val="auto"/>
        </w:rPr>
      </w:pPr>
    </w:p>
    <w:p>
      <w:pPr>
        <w:ind w:left="640" w:right="180" w:hanging="629"/>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Assay, equipment and computer system validation, assay transfer and assay control used by Tempus to carry out the Activities shall comply with GCP and GCLP (to the extent applicable) and Applicable Law except as otherwise provided in the applicable Task Order. Tempus shall</w:t>
      </w:r>
    </w:p>
    <w:p>
      <w:pPr>
        <w:spacing w:after="0" w:line="11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260"/>
          </w:cols>
          <w:pgMar w:left="1000" w:top="266" w:right="639" w:bottom="1440" w:gutter="0" w:footer="0" w:header="0"/>
        </w:sectPr>
      </w:pPr>
    </w:p>
    <w:bookmarkStart w:id="636" w:name="page637"/>
    <w:bookmarkEnd w:id="636"/>
    <w:p>
      <w:pPr>
        <w:ind w:left="1072"/>
        <w:spacing w:after="0" w:line="28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have Procedures in place with respect to any Critical equipment used to carry out the Activities which describes the use, maintenance, cleaning, testing, calibration of this Critical equipment and what to do in case of failure to the extent required in order to satisfy Tempus’s obligations to comply with GCP and GCLP (to the extent applicable) in the manner indicated under this Agreement. All equipment and each analytical method used in the analysis of Test Materials and the Human Biological Samples, must be appropriately documented, validated, controlled and approved in compliance with Applicable Law and applicable Procedures to the extent required in order to satisfy Tempus’s obligations to comply with GCP and GCLP (to the extent applicable) in the manner indicated under this Agreement. Records demonstrating the validity and suitability of such equipment and assays used to carry out the Activities in any Tempus Facility must be retained in accordance with the applicable Procedures and Applicable Law to the extent required in order to satisfy Tempus’s obligations to comply with GCP and GCLP (to the extent applicable) in the manner indicated under this Agreement.</w:t>
      </w:r>
    </w:p>
    <w:p>
      <w:pPr>
        <w:spacing w:after="0" w:line="70" w:lineRule="exact"/>
        <w:rPr>
          <w:sz w:val="20"/>
          <w:szCs w:val="20"/>
          <w:color w:val="auto"/>
        </w:rPr>
      </w:pPr>
    </w:p>
    <w:p>
      <w:pPr>
        <w:ind w:left="1052" w:right="60" w:hanging="629"/>
        <w:spacing w:after="0" w:line="283" w:lineRule="auto"/>
        <w:tabs>
          <w:tab w:leader="none" w:pos="1032"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6"/>
          <w:szCs w:val="16"/>
          <w:color w:val="auto"/>
        </w:rPr>
        <w:t>Any Critical Changes to an assay that are being used by GSK as part of a clinical trial requiring an investigational device exemption (“</w:t>
      </w:r>
      <w:r>
        <w:rPr>
          <w:rFonts w:ascii="Times New Roman" w:cs="Times New Roman" w:eastAsia="Times New Roman" w:hAnsi="Times New Roman"/>
          <w:sz w:val="16"/>
          <w:szCs w:val="16"/>
          <w:b w:val="1"/>
          <w:bCs w:val="1"/>
          <w:color w:val="auto"/>
        </w:rPr>
        <w:t>IDE</w:t>
      </w:r>
      <w:r>
        <w:rPr>
          <w:rFonts w:ascii="Times New Roman" w:cs="Times New Roman" w:eastAsia="Times New Roman" w:hAnsi="Times New Roman"/>
          <w:sz w:val="16"/>
          <w:szCs w:val="16"/>
          <w:color w:val="auto"/>
        </w:rPr>
        <w:t>”) or approval or clearance by the U.S. Food and Drug Administration (or (EU) 2017/746 (IVDR), if applicable), including to a GSK Asset used to perform the Activities, shall be controlled and validated in agreement with or as delegated by the JSC before their implementation and shall result in the issue of a further version of the assay/GSK Asset description. Analytical platforms/assays used for such purpose shall not be materially changed or modified during the course of the performance of the Activities, without prior consultation with and prior written agreement of GSK. Such changes must be controlled, documented and appropriately authorized by GSK and may result in the need for further assay validation unless Task Order permits Tempus to make such changes.</w:t>
      </w:r>
    </w:p>
    <w:p>
      <w:pPr>
        <w:spacing w:after="0" w:line="70" w:lineRule="exact"/>
        <w:rPr>
          <w:sz w:val="20"/>
          <w:szCs w:val="20"/>
          <w:color w:val="auto"/>
        </w:rPr>
      </w:pPr>
    </w:p>
    <w:p>
      <w:pPr>
        <w:ind w:left="1052" w:right="440" w:hanging="629"/>
        <w:spacing w:after="0" w:line="267" w:lineRule="auto"/>
        <w:tabs>
          <w:tab w:leader="none" w:pos="1032"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color w:val="auto"/>
        </w:rPr>
        <w:t>Tempus further undertakes that all Study Related Data shall be recorded and kept into note books or files, retrievable for GSK at its reasonable expense and not accessible to any Third Party.</w:t>
      </w:r>
    </w:p>
    <w:p>
      <w:pPr>
        <w:spacing w:after="0" w:line="78" w:lineRule="exact"/>
        <w:rPr>
          <w:sz w:val="20"/>
          <w:szCs w:val="20"/>
          <w:color w:val="auto"/>
        </w:rPr>
      </w:pPr>
    </w:p>
    <w:p>
      <w:pPr>
        <w:ind w:left="1052" w:right="100" w:hanging="629"/>
        <w:spacing w:after="0" w:line="267" w:lineRule="auto"/>
        <w:tabs>
          <w:tab w:leader="none" w:pos="1032"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8"/>
          <w:szCs w:val="18"/>
          <w:color w:val="auto"/>
        </w:rPr>
        <w:t>Any audit or other monitoring permitted to GSK under this Agreement shall be performed only with [***] prior written notice of GSK’s intent to do so (unless the audit is for cause) or at an earlier time agreed upon by Tempus and GSK.</w:t>
      </w:r>
    </w:p>
    <w:p>
      <w:pPr>
        <w:spacing w:after="0" w:line="273" w:lineRule="exact"/>
        <w:rPr>
          <w:sz w:val="20"/>
          <w:szCs w:val="20"/>
          <w:color w:val="auto"/>
        </w:rPr>
      </w:pPr>
    </w:p>
    <w:p>
      <w:pPr>
        <w:ind w:left="392" w:hanging="392"/>
        <w:spacing w:after="0"/>
        <w:tabs>
          <w:tab w:leader="none" w:pos="392"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w:t>
      </w:r>
    </w:p>
    <w:p>
      <w:pPr>
        <w:spacing w:after="0" w:line="110" w:lineRule="exact"/>
        <w:rPr>
          <w:sz w:val="20"/>
          <w:szCs w:val="20"/>
          <w:color w:val="auto"/>
        </w:rPr>
      </w:pPr>
    </w:p>
    <w:p>
      <w:pPr>
        <w:jc w:val="both"/>
        <w:ind w:left="432" w:right="220"/>
        <w:spacing w:after="0" w:line="255" w:lineRule="auto"/>
        <w:rPr>
          <w:sz w:val="20"/>
          <w:szCs w:val="20"/>
          <w:color w:val="auto"/>
        </w:rPr>
      </w:pPr>
      <w:r>
        <w:rPr>
          <w:rFonts w:ascii="Times New Roman" w:cs="Times New Roman" w:eastAsia="Times New Roman" w:hAnsi="Times New Roman"/>
          <w:sz w:val="18"/>
          <w:szCs w:val="18"/>
          <w:color w:val="auto"/>
        </w:rPr>
        <w:t xml:space="preserve">This Agreement shall be effective as of the Effective Date and unless terminated earlier by mutual written agreement of the Parties (either in its entirety, including all Task Orders then in effect by terminating such Task Orders, or with respect to one or more Task Orders(s) by terminating such Task Order(s)) or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the term of this Agreement shall continue in effect</w:t>
      </w:r>
    </w:p>
    <w:p>
      <w:pPr>
        <w:spacing w:after="0" w:line="1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692"/>
          </w:cols>
          <w:pgMar w:left="588" w:top="265" w:right="619" w:bottom="1440" w:gutter="0" w:footer="0" w:header="0"/>
        </w:sectPr>
      </w:pPr>
    </w:p>
    <w:bookmarkStart w:id="637" w:name="page638"/>
    <w:bookmarkEnd w:id="637"/>
    <w:p>
      <w:pPr>
        <w:ind w:left="432"/>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until December 31, 2025 (“</w:t>
      </w:r>
      <w:r>
        <w:rPr>
          <w:rFonts w:ascii="Times New Roman" w:cs="Times New Roman" w:eastAsia="Times New Roman" w:hAnsi="Times New Roman"/>
          <w:sz w:val="18"/>
          <w:szCs w:val="18"/>
          <w:b w:val="1"/>
          <w:bCs w:val="1"/>
          <w:color w:val="auto"/>
        </w:rPr>
        <w:t>Initial Term</w:t>
      </w:r>
      <w:r>
        <w:rPr>
          <w:rFonts w:ascii="Times New Roman" w:cs="Times New Roman" w:eastAsia="Times New Roman" w:hAnsi="Times New Roman"/>
          <w:sz w:val="18"/>
          <w:szCs w:val="18"/>
          <w:color w:val="auto"/>
        </w:rPr>
        <w:t>”). Thereafter, GSK shall have the option to renew this Agreement for an additional two (2) year term (the “</w:t>
      </w:r>
      <w:r>
        <w:rPr>
          <w:rFonts w:ascii="Times New Roman" w:cs="Times New Roman" w:eastAsia="Times New Roman" w:hAnsi="Times New Roman"/>
          <w:sz w:val="18"/>
          <w:szCs w:val="18"/>
          <w:b w:val="1"/>
          <w:bCs w:val="1"/>
          <w:color w:val="auto"/>
        </w:rPr>
        <w:t>Renewal Term</w:t>
      </w:r>
      <w:r>
        <w:rPr>
          <w:rFonts w:ascii="Times New Roman" w:cs="Times New Roman" w:eastAsia="Times New Roman" w:hAnsi="Times New Roman"/>
          <w:sz w:val="18"/>
          <w:szCs w:val="18"/>
          <w:color w:val="auto"/>
        </w:rPr>
        <w:t>”, and together with the Initial Term,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xml:space="preserve">”) by providing Tempus with written notice of renewal at least ninety (90) days prior to the end of the Initial Term. Notwithstanding the foregoing, the term of each Task Order (including any Task Order entered into pursuant to </w:t>
      </w:r>
      <w:r>
        <w:rPr>
          <w:rFonts w:ascii="Times New Roman" w:cs="Times New Roman" w:eastAsia="Times New Roman" w:hAnsi="Times New Roman"/>
          <w:sz w:val="18"/>
          <w:szCs w:val="18"/>
          <w:u w:val="single" w:color="auto"/>
          <w:color w:val="auto"/>
        </w:rPr>
        <w:t>Section 24.5i)</w:t>
      </w:r>
      <w:r>
        <w:rPr>
          <w:rFonts w:ascii="Times New Roman" w:cs="Times New Roman" w:eastAsia="Times New Roman" w:hAnsi="Times New Roman"/>
          <w:sz w:val="18"/>
          <w:szCs w:val="18"/>
          <w:color w:val="auto"/>
        </w:rPr>
        <w:t xml:space="preserve">) shall commence as of the applicable Task Order Effective Date set forth on the applicable Task Order and this Agreement shall remain in effect with respect to such Task Order until the earlier of (a) the completion of the Activities to be performed pursuant to the applicable Task Order, or (b) the termination of such Task Orders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Task Order Term</w:t>
      </w:r>
      <w:r>
        <w:rPr>
          <w:rFonts w:ascii="Times New Roman" w:cs="Times New Roman" w:eastAsia="Times New Roman" w:hAnsi="Times New Roman"/>
          <w:sz w:val="18"/>
          <w:szCs w:val="18"/>
          <w:color w:val="auto"/>
        </w:rPr>
        <w:t xml:space="preserve">”), notwithstanding any termination or expiration of this Agreement pursuant to the first two (2) sentences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294" w:lineRule="exact"/>
        <w:rPr>
          <w:sz w:val="20"/>
          <w:szCs w:val="20"/>
          <w:color w:val="auto"/>
        </w:rPr>
      </w:pPr>
    </w:p>
    <w:p>
      <w:pPr>
        <w:ind w:left="392" w:hanging="392"/>
        <w:spacing w:after="0"/>
        <w:tabs>
          <w:tab w:leader="none" w:pos="392"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p>
    <w:p>
      <w:pPr>
        <w:spacing w:after="0" w:line="121"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6"/>
          <w:szCs w:val="16"/>
          <w:b w:val="1"/>
          <w:bCs w:val="1"/>
          <w:color w:val="auto"/>
        </w:rPr>
        <w:t>Termination by either Party</w:t>
      </w:r>
    </w:p>
    <w:p>
      <w:pPr>
        <w:spacing w:after="0" w:line="123" w:lineRule="exact"/>
        <w:rPr>
          <w:sz w:val="20"/>
          <w:szCs w:val="20"/>
          <w:color w:val="auto"/>
        </w:rPr>
      </w:pPr>
    </w:p>
    <w:p>
      <w:pPr>
        <w:ind w:left="412" w:hanging="412"/>
        <w:spacing w:after="0"/>
        <w:tabs>
          <w:tab w:leader="none" w:pos="412"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Party may terminate this Agreement or any Task Order immediately upon written notice if:</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becomes insolvent;</w:t>
      </w:r>
    </w:p>
    <w:p>
      <w:pPr>
        <w:spacing w:after="0" w:line="121" w:lineRule="exact"/>
        <w:rPr>
          <w:rFonts w:ascii="Times New Roman" w:cs="Times New Roman" w:eastAsia="Times New Roman" w:hAnsi="Times New Roman"/>
          <w:sz w:val="18"/>
          <w:szCs w:val="18"/>
          <w:color w:val="auto"/>
        </w:rPr>
      </w:pPr>
    </w:p>
    <w:p>
      <w:pPr>
        <w:ind w:left="1052" w:right="280" w:hanging="632"/>
        <w:spacing w:after="0" w:line="267" w:lineRule="auto"/>
        <w:tabs>
          <w:tab w:leader="none" w:pos="1052" w:val="left"/>
        </w:tabs>
        <w:numPr>
          <w:ilvl w:val="1"/>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proceedings are instituted against the other Party for winding up or reorganisation or other relief under any insolvency law (and not dismissed promptly, and in any event within fourteen (14) days); or</w:t>
      </w:r>
    </w:p>
    <w:p>
      <w:pPr>
        <w:spacing w:after="0" w:line="77" w:lineRule="exact"/>
        <w:rPr>
          <w:rFonts w:ascii="Times New Roman" w:cs="Times New Roman" w:eastAsia="Times New Roman" w:hAnsi="Times New Roman"/>
          <w:sz w:val="18"/>
          <w:szCs w:val="18"/>
          <w:color w:val="auto"/>
        </w:rPr>
      </w:pPr>
    </w:p>
    <w:p>
      <w:pPr>
        <w:ind w:left="1052" w:right="360" w:hanging="632"/>
        <w:spacing w:after="0" w:line="267" w:lineRule="auto"/>
        <w:tabs>
          <w:tab w:leader="none" w:pos="1052" w:val="left"/>
        </w:tabs>
        <w:numPr>
          <w:ilvl w:val="1"/>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substantial part of the other Party’s assets come under the jurisdiction of a receiver, administrator, liquidator, trustee or similar officer in an insolvency proceeding authorised by law.</w:t>
      </w:r>
    </w:p>
    <w:p>
      <w:pPr>
        <w:spacing w:after="0" w:line="77" w:lineRule="exact"/>
        <w:rPr>
          <w:rFonts w:ascii="Times New Roman" w:cs="Times New Roman" w:eastAsia="Times New Roman" w:hAnsi="Times New Roman"/>
          <w:sz w:val="18"/>
          <w:szCs w:val="18"/>
          <w:color w:val="auto"/>
        </w:rPr>
      </w:pPr>
    </w:p>
    <w:p>
      <w:pPr>
        <w:ind w:left="412" w:right="20" w:hanging="412"/>
        <w:spacing w:after="0" w:line="288" w:lineRule="auto"/>
        <w:tabs>
          <w:tab w:leader="none" w:pos="412" w:val="left"/>
        </w:tabs>
        <w:numPr>
          <w:ilvl w:val="0"/>
          <w:numId w:val="5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Party may terminate this Agreement (including all Task Orders then in effect by terminating such Task Orders) or one or more Task Orders(s) (by terminating such Task Order(s) in the event such material breach applies only with respect to such Task Orders(s)), in each case, by written notice at any time, for material breach by the other Party, which breach remains uncured for thirty (30) days, measured from the date written notice of such breach is given to the breaching Party, or, if such breach is not susceptible of cure within such thirty (30) day period and the breaching Party uses diligent good faith efforts to cure such breach, for sixty (60) days after written notice to the breaching Party.</w:t>
      </w:r>
    </w:p>
    <w:p>
      <w:pPr>
        <w:spacing w:after="0" w:line="9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672"/>
          </w:cols>
          <w:pgMar w:left="588" w:top="264" w:right="639" w:bottom="1440" w:gutter="0" w:footer="0" w:header="0"/>
        </w:sectPr>
      </w:pPr>
    </w:p>
    <w:bookmarkStart w:id="638" w:name="page639"/>
    <w:bookmarkEnd w:id="638"/>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78040" cy="36830"/>
                    </a:xfrm>
                    <a:prstGeom prst="rect">
                      <a:avLst/>
                    </a:prstGeom>
                    <a:noFill/>
                  </pic:spPr>
                </pic:pic>
              </a:graphicData>
            </a:graphic>
          </wp:anchor>
        </w:drawing>
        <w:t>11.2</w:t>
      </w:r>
      <w:r>
        <w:rPr>
          <w:sz w:val="20"/>
          <w:szCs w:val="20"/>
          <w:color w:val="auto"/>
        </w:rPr>
        <w:tab/>
      </w:r>
      <w:r>
        <w:rPr>
          <w:rFonts w:ascii="Times New Roman" w:cs="Times New Roman" w:eastAsia="Times New Roman" w:hAnsi="Times New Roman"/>
          <w:sz w:val="16"/>
          <w:szCs w:val="16"/>
          <w:b w:val="1"/>
          <w:bCs w:val="1"/>
          <w:color w:val="auto"/>
        </w:rPr>
        <w:t>Termination</w:t>
      </w:r>
    </w:p>
    <w:p>
      <w:pPr>
        <w:spacing w:after="0" w:line="123" w:lineRule="exact"/>
        <w:rPr>
          <w:sz w:val="20"/>
          <w:szCs w:val="20"/>
          <w:color w:val="auto"/>
        </w:rPr>
      </w:pPr>
    </w:p>
    <w:p>
      <w:pPr>
        <w:ind w:left="412" w:hanging="412"/>
        <w:spacing w:after="0"/>
        <w:tabs>
          <w:tab w:leader="none" w:pos="412"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 may terminate this Agreement or any Task Order immediately upon written notice to Tempus if:</w:t>
      </w:r>
    </w:p>
    <w:p>
      <w:pPr>
        <w:spacing w:after="0" w:line="121" w:lineRule="exact"/>
        <w:rPr>
          <w:rFonts w:ascii="Times New Roman" w:cs="Times New Roman" w:eastAsia="Times New Roman" w:hAnsi="Times New Roman"/>
          <w:sz w:val="18"/>
          <w:szCs w:val="18"/>
          <w:color w:val="auto"/>
        </w:rPr>
      </w:pPr>
    </w:p>
    <w:p>
      <w:pPr>
        <w:ind w:left="1052" w:right="280" w:hanging="632"/>
        <w:spacing w:after="0" w:line="267" w:lineRule="auto"/>
        <w:tabs>
          <w:tab w:leader="none" w:pos="1052" w:val="left"/>
        </w:tabs>
        <w:numPr>
          <w:ilvl w:val="1"/>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change in control of Tempus by the acquisition by any Person, directly or indirectly, of more than fifty percent (50%) of the voting stock or other equity securities of Tempus, if GSK reasonably determines that [***];</w:t>
      </w:r>
    </w:p>
    <w:p>
      <w:pPr>
        <w:spacing w:after="0" w:line="77" w:lineRule="exact"/>
        <w:rPr>
          <w:rFonts w:ascii="Times New Roman" w:cs="Times New Roman" w:eastAsia="Times New Roman" w:hAnsi="Times New Roman"/>
          <w:sz w:val="18"/>
          <w:szCs w:val="18"/>
          <w:color w:val="auto"/>
        </w:rPr>
      </w:pPr>
    </w:p>
    <w:p>
      <w:pPr>
        <w:ind w:left="1052" w:right="640" w:hanging="632"/>
        <w:spacing w:after="0" w:line="267" w:lineRule="auto"/>
        <w:tabs>
          <w:tab w:leader="none" w:pos="1052" w:val="left"/>
        </w:tabs>
        <w:numPr>
          <w:ilvl w:val="1"/>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any sale, lease, exchange or other disposition by Tempus of all or substantially all of its assets or the assets to which this Agreement relates, if GSK reasonably determines that [***]; or</w:t>
      </w:r>
    </w:p>
    <w:p>
      <w:pPr>
        <w:spacing w:after="0" w:line="77" w:lineRule="exact"/>
        <w:rPr>
          <w:rFonts w:ascii="Times New Roman" w:cs="Times New Roman" w:eastAsia="Times New Roman" w:hAnsi="Times New Roman"/>
          <w:sz w:val="18"/>
          <w:szCs w:val="18"/>
          <w:color w:val="auto"/>
        </w:rPr>
      </w:pPr>
    </w:p>
    <w:p>
      <w:pPr>
        <w:ind w:left="1052" w:right="460" w:hanging="632"/>
        <w:spacing w:after="0" w:line="267" w:lineRule="auto"/>
        <w:tabs>
          <w:tab w:leader="none" w:pos="1052" w:val="left"/>
        </w:tabs>
        <w:numPr>
          <w:ilvl w:val="1"/>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Tempus, or any Tempus Personnel or Approved Subcontractor providing the Activities, is debarred, disqualified or suspended by a Regulatory Authority, as described in </w:t>
      </w:r>
      <w:r>
        <w:rPr>
          <w:rFonts w:ascii="Times New Roman" w:cs="Times New Roman" w:eastAsia="Times New Roman" w:hAnsi="Times New Roman"/>
          <w:sz w:val="18"/>
          <w:szCs w:val="18"/>
          <w:u w:val="single" w:color="auto"/>
          <w:color w:val="auto"/>
        </w:rPr>
        <w:t>Section 29.3</w:t>
      </w:r>
      <w:r>
        <w:rPr>
          <w:rFonts w:ascii="Times New Roman" w:cs="Times New Roman" w:eastAsia="Times New Roman" w:hAnsi="Times New Roman"/>
          <w:sz w:val="18"/>
          <w:szCs w:val="18"/>
          <w:color w:val="auto"/>
        </w:rPr>
        <w:t xml:space="preserve"> (Engagement of Tempus Personnel).</w:t>
      </w:r>
    </w:p>
    <w:p>
      <w:pPr>
        <w:spacing w:after="0" w:line="77" w:lineRule="exact"/>
        <w:rPr>
          <w:rFonts w:ascii="Times New Roman" w:cs="Times New Roman" w:eastAsia="Times New Roman" w:hAnsi="Times New Roman"/>
          <w:sz w:val="18"/>
          <w:szCs w:val="18"/>
          <w:color w:val="auto"/>
        </w:rPr>
      </w:pPr>
    </w:p>
    <w:p>
      <w:pPr>
        <w:ind w:left="532" w:right="200" w:hanging="532"/>
        <w:spacing w:after="0" w:line="267" w:lineRule="auto"/>
        <w:tabs>
          <w:tab w:leader="none" w:pos="532"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have no claim against GSK for compensation for any loss of whatever nature by virtue of the termination of this Agreement and any Task Order in accordance with Section 31 (Anti-bribery and Corruption).</w:t>
      </w:r>
    </w:p>
    <w:p>
      <w:pPr>
        <w:spacing w:after="0" w:line="312"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6"/>
          <w:szCs w:val="16"/>
          <w:b w:val="1"/>
          <w:bCs w:val="1"/>
          <w:color w:val="auto"/>
        </w:rPr>
        <w:t>Termination and Task Orders</w:t>
      </w:r>
    </w:p>
    <w:p>
      <w:pPr>
        <w:spacing w:after="0" w:line="123" w:lineRule="exact"/>
        <w:rPr>
          <w:sz w:val="20"/>
          <w:szCs w:val="20"/>
          <w:color w:val="auto"/>
        </w:rPr>
      </w:pPr>
    </w:p>
    <w:p>
      <w:pPr>
        <w:ind w:left="412" w:right="40" w:hanging="412"/>
        <w:spacing w:after="0" w:line="267" w:lineRule="auto"/>
        <w:tabs>
          <w:tab w:leader="none" w:pos="412"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this Agreement is terminated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any Task Order shall continue to be in force until its expiry date, unless terminated itself as provided by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412" w:right="220" w:hanging="412"/>
        <w:spacing w:after="0" w:line="255" w:lineRule="auto"/>
        <w:tabs>
          <w:tab w:leader="none" w:pos="412"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the applicable Task Order, GSK may terminate any Task Order, in whole or in part, with or at any time without cause, upon thirty (30) Business Days’ prior written notice to Tempus. For clarity, termination of a Task Order does not terminate Activities permitted or required to be performed under the body of this Agreement, or the Service Fees associated therewith.</w:t>
      </w:r>
    </w:p>
    <w:p>
      <w:pPr>
        <w:spacing w:after="0" w:line="283" w:lineRule="exact"/>
        <w:rPr>
          <w:sz w:val="20"/>
          <w:szCs w:val="20"/>
          <w:color w:val="auto"/>
        </w:rPr>
      </w:pPr>
    </w:p>
    <w:p>
      <w:pPr>
        <w:ind w:left="392" w:hanging="392"/>
        <w:spacing w:after="0"/>
        <w:tabs>
          <w:tab w:leader="none" w:pos="392"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Termination</w:t>
      </w:r>
    </w:p>
    <w:p>
      <w:pPr>
        <w:spacing w:after="0" w:line="123" w:lineRule="exact"/>
        <w:rPr>
          <w:sz w:val="20"/>
          <w:szCs w:val="20"/>
          <w:color w:val="auto"/>
        </w:rPr>
      </w:pPr>
    </w:p>
    <w:p>
      <w:pPr>
        <w:ind w:left="1052" w:right="160" w:hanging="629"/>
        <w:spacing w:after="0" w:line="251" w:lineRule="auto"/>
        <w:tabs>
          <w:tab w:leader="none" w:pos="1032"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 xml:space="preserve">Upon notice of termination of this Agreement or a Task Order by or to Tempus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(Termination), Tempus shall use Commercially Reasonable Efforts to conclude or transfer the applicable Activities as directed by GSK in accordance with the terms of that notice. Tempus shall not undertake further work, incur additional expenses or enter into further commitments with regard to any Activities, except as mutually agreed upon in writing by the Parties.</w:t>
      </w:r>
    </w:p>
    <w:p>
      <w:pPr>
        <w:spacing w:after="0" w:line="92" w:lineRule="exact"/>
        <w:rPr>
          <w:sz w:val="20"/>
          <w:szCs w:val="20"/>
          <w:color w:val="auto"/>
        </w:rPr>
      </w:pPr>
    </w:p>
    <w:p>
      <w:pPr>
        <w:ind w:left="1052" w:hanging="629"/>
        <w:spacing w:after="0" w:line="302" w:lineRule="auto"/>
        <w:tabs>
          <w:tab w:leader="none" w:pos="1032"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6"/>
          <w:szCs w:val="16"/>
          <w:color w:val="auto"/>
        </w:rPr>
        <w:t xml:space="preserve">The date on which this Agreement expires or is terminated pursuant to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(or, if later, the last outstanding Task Order pursuant to this Agreement, including any Task Order entered into pursuant to </w:t>
      </w:r>
      <w:r>
        <w:rPr>
          <w:rFonts w:ascii="Times New Roman" w:cs="Times New Roman" w:eastAsia="Times New Roman" w:hAnsi="Times New Roman"/>
          <w:sz w:val="16"/>
          <w:szCs w:val="16"/>
          <w:u w:val="single" w:color="auto"/>
          <w:color w:val="auto"/>
        </w:rPr>
        <w:t>Section 24.5i)</w:t>
      </w:r>
      <w:r>
        <w:rPr>
          <w:rFonts w:ascii="Times New Roman" w:cs="Times New Roman" w:eastAsia="Times New Roman" w:hAnsi="Times New Roman"/>
          <w:sz w:val="16"/>
          <w:szCs w:val="16"/>
          <w:color w:val="auto"/>
        </w:rPr>
        <w:t>) shall be the “</w:t>
      </w:r>
      <w:r>
        <w:rPr>
          <w:rFonts w:ascii="Times New Roman" w:cs="Times New Roman" w:eastAsia="Times New Roman" w:hAnsi="Times New Roman"/>
          <w:sz w:val="16"/>
          <w:szCs w:val="16"/>
          <w:b w:val="1"/>
          <w:bCs w:val="1"/>
          <w:color w:val="auto"/>
        </w:rPr>
        <w:t>Termination Date</w:t>
      </w:r>
      <w:r>
        <w:rPr>
          <w:rFonts w:ascii="Times New Roman" w:cs="Times New Roman" w:eastAsia="Times New Roman" w:hAnsi="Times New Roman"/>
          <w:sz w:val="16"/>
          <w:szCs w:val="16"/>
          <w:color w:val="auto"/>
        </w:rPr>
        <w:t>”. Upon the Termination Date, Tempus shall invoice GSK for payments due for Activities completed in accordance with the terms of this Agreement.</w:t>
      </w:r>
    </w:p>
    <w:p>
      <w:pPr>
        <w:spacing w:after="0" w:line="80"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652"/>
          </w:cols>
          <w:pgMar w:left="588" w:top="262" w:right="659" w:bottom="1440" w:gutter="0" w:footer="0" w:header="0"/>
        </w:sectPr>
      </w:pPr>
    </w:p>
    <w:bookmarkStart w:id="639" w:name="page640"/>
    <w:bookmarkEnd w:id="639"/>
    <w:p>
      <w:pPr>
        <w:ind w:left="1052" w:right="240" w:hanging="629"/>
        <w:spacing w:after="0" w:line="267" w:lineRule="auto"/>
        <w:tabs>
          <w:tab w:leader="none" w:pos="103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12.3</w:t>
      </w:r>
      <w:r>
        <w:rPr>
          <w:sz w:val="20"/>
          <w:szCs w:val="20"/>
          <w:color w:val="auto"/>
        </w:rPr>
        <w:tab/>
      </w:r>
      <w:r>
        <w:rPr>
          <w:rFonts w:ascii="Times New Roman" w:cs="Times New Roman" w:eastAsia="Times New Roman" w:hAnsi="Times New Roman"/>
          <w:sz w:val="18"/>
          <w:szCs w:val="18"/>
          <w:color w:val="auto"/>
        </w:rPr>
        <w:t>Where GSK has advanced funds which are unearned by Tempus, including any Quarterly Funding Payments against which no Service Fees have been credited, Tempus shall repay such funds within 60 days of the Termination Date.</w:t>
      </w:r>
    </w:p>
    <w:p>
      <w:pPr>
        <w:spacing w:after="0" w:line="78" w:lineRule="exact"/>
        <w:rPr>
          <w:sz w:val="20"/>
          <w:szCs w:val="20"/>
          <w:color w:val="auto"/>
        </w:rPr>
      </w:pPr>
    </w:p>
    <w:p>
      <w:pPr>
        <w:ind w:left="1052" w:right="180" w:hanging="629"/>
        <w:spacing w:after="0" w:line="267" w:lineRule="auto"/>
        <w:tabs>
          <w:tab w:leader="none" w:pos="1032"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 xml:space="preserve">Notwithstanding anything to the contrary, the license granted to GSK under the Tempus Background IP pursuant to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 xml:space="preserve"> and to Tempus Arising IP pursuant to </w:t>
      </w:r>
      <w:r>
        <w:rPr>
          <w:rFonts w:ascii="Times New Roman" w:cs="Times New Roman" w:eastAsia="Times New Roman" w:hAnsi="Times New Roman"/>
          <w:sz w:val="18"/>
          <w:szCs w:val="18"/>
          <w:u w:val="single" w:color="auto"/>
          <w:color w:val="auto"/>
        </w:rPr>
        <w:t>Section 17.3</w:t>
      </w:r>
      <w:r>
        <w:rPr>
          <w:rFonts w:ascii="Times New Roman" w:cs="Times New Roman" w:eastAsia="Times New Roman" w:hAnsi="Times New Roman"/>
          <w:sz w:val="18"/>
          <w:szCs w:val="18"/>
          <w:color w:val="auto"/>
        </w:rPr>
        <w:t xml:space="preserve"> shall survive the expiration or termination of this Agreement.</w:t>
      </w:r>
    </w:p>
    <w:p>
      <w:pPr>
        <w:spacing w:after="0" w:line="78"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6"/>
          <w:szCs w:val="16"/>
          <w:color w:val="auto"/>
        </w:rPr>
        <w:t>Within thirty (30) days of the notification of the Termination Date, for whatsoever reason, Tempus:</w:t>
      </w:r>
    </w:p>
    <w:p>
      <w:pPr>
        <w:spacing w:after="0" w:line="121" w:lineRule="exact"/>
        <w:rPr>
          <w:sz w:val="20"/>
          <w:szCs w:val="20"/>
          <w:color w:val="auto"/>
        </w:rPr>
      </w:pPr>
    </w:p>
    <w:p>
      <w:pPr>
        <w:ind w:left="412" w:right="340" w:hanging="412"/>
        <w:spacing w:after="0" w:line="255" w:lineRule="auto"/>
        <w:tabs>
          <w:tab w:leader="none" w:pos="412"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Study Records and GSK HBS, to the extent applicable, shall fully comply with the terms set out in </w:t>
      </w:r>
      <w:r>
        <w:rPr>
          <w:rFonts w:ascii="Times New Roman" w:cs="Times New Roman" w:eastAsia="Times New Roman" w:hAnsi="Times New Roman"/>
          <w:sz w:val="18"/>
          <w:szCs w:val="18"/>
          <w:u w:val="single" w:color="auto"/>
          <w:color w:val="auto"/>
        </w:rPr>
        <w:t>Section 23.6</w:t>
      </w:r>
      <w:r>
        <w:rPr>
          <w:rFonts w:ascii="Times New Roman" w:cs="Times New Roman" w:eastAsia="Times New Roman" w:hAnsi="Times New Roman"/>
          <w:sz w:val="18"/>
          <w:szCs w:val="18"/>
          <w:color w:val="auto"/>
        </w:rPr>
        <w:t xml:space="preserve"> (Retention periods), provided however that Tempus shall have no right or license thereafter to continue using any part of any GSK HBS still in Tempus’s possession after the Termination Date;</w:t>
      </w:r>
    </w:p>
    <w:p>
      <w:pPr>
        <w:spacing w:after="0" w:line="88" w:lineRule="exact"/>
        <w:rPr>
          <w:rFonts w:ascii="Times New Roman" w:cs="Times New Roman" w:eastAsia="Times New Roman" w:hAnsi="Times New Roman"/>
          <w:sz w:val="18"/>
          <w:szCs w:val="18"/>
          <w:color w:val="auto"/>
        </w:rPr>
      </w:pPr>
    </w:p>
    <w:p>
      <w:pPr>
        <w:ind w:left="412" w:hanging="412"/>
        <w:spacing w:after="0" w:line="255" w:lineRule="auto"/>
        <w:tabs>
          <w:tab w:leader="none" w:pos="412"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unused and remaining Supplied Materials other than GSK HBS, shall discontinue use of such Supplied Materials and shall return such Supplied Materials to GSK or destroy (at GSK’s sole option and expense) such Supplied Materials and provide written confirmation of any destruction to GSK promptly thereafter;</w:t>
      </w:r>
    </w:p>
    <w:p>
      <w:pPr>
        <w:spacing w:after="0" w:line="88" w:lineRule="exact"/>
        <w:rPr>
          <w:rFonts w:ascii="Times New Roman" w:cs="Times New Roman" w:eastAsia="Times New Roman" w:hAnsi="Times New Roman"/>
          <w:sz w:val="18"/>
          <w:szCs w:val="18"/>
          <w:color w:val="auto"/>
        </w:rPr>
      </w:pPr>
    </w:p>
    <w:p>
      <w:pPr>
        <w:ind w:left="412" w:right="60" w:hanging="412"/>
        <w:spacing w:after="0" w:line="249" w:lineRule="auto"/>
        <w:tabs>
          <w:tab w:leader="none" w:pos="412"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have no right or license to continue using any of the following: 1) GSK Background IP; 2) GSK Work Product (except with respect to any ongoing license expressly granted to Tempus); 3) GSK Arising IP; and 3) any and all other work in process, data, reports and all other material, documents and information (including any information which is stored on computers or other media) which is still in its possession and which are GSK’s property according to this Agreement (and not subject to any ongoing license expressly granted to Tempus); and with respect to GSK Equipment, shall comply with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(Equipment).</w:t>
      </w:r>
    </w:p>
    <w:p>
      <w:pPr>
        <w:spacing w:after="0" w:line="94" w:lineRule="exact"/>
        <w:rPr>
          <w:rFonts w:ascii="Times New Roman" w:cs="Times New Roman" w:eastAsia="Times New Roman" w:hAnsi="Times New Roman"/>
          <w:sz w:val="18"/>
          <w:szCs w:val="18"/>
          <w:color w:val="auto"/>
        </w:rPr>
      </w:pPr>
    </w:p>
    <w:p>
      <w:pPr>
        <w:ind w:left="1052" w:right="40" w:hanging="63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12.6Compliance with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does not limit or waive either Party’s potential remedies for breach of this Agreement or any applicable Task Order. Termination of this Agreement or a Task Order shall not release either Party from any obligation or right which accrued to that Party prior to the Termination Date or which later accrues from an act or omission which occurred prior to the Termination Date. Tempus agrees that the obligations set out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are not conditioned upon GSK’s prior payment of amounts due or agreement to pay any amounts in dispute.</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692"/>
          </w:cols>
          <w:pgMar w:left="588" w:top="265" w:right="619" w:bottom="1440" w:gutter="0" w:footer="0" w:header="0"/>
        </w:sectPr>
      </w:pPr>
    </w:p>
    <w:bookmarkStart w:id="640" w:name="page641"/>
    <w:bookmarkEnd w:id="640"/>
    <w:p>
      <w:pPr>
        <w:ind w:left="392" w:hanging="392"/>
        <w:spacing w:after="0"/>
        <w:tabs>
          <w:tab w:leader="none" w:pos="392"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Auditing and Recordkeeping</w:t>
      </w:r>
    </w:p>
    <w:p>
      <w:pPr>
        <w:spacing w:after="0" w:line="121"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6"/>
          <w:szCs w:val="16"/>
          <w:b w:val="1"/>
          <w:bCs w:val="1"/>
          <w:color w:val="auto"/>
        </w:rPr>
        <w:t>Reporting</w:t>
      </w:r>
    </w:p>
    <w:p>
      <w:pPr>
        <w:spacing w:after="0" w:line="123" w:lineRule="exact"/>
        <w:rPr>
          <w:sz w:val="20"/>
          <w:szCs w:val="20"/>
          <w:color w:val="auto"/>
        </w:rPr>
      </w:pPr>
    </w:p>
    <w:p>
      <w:pPr>
        <w:ind w:left="412" w:right="220" w:hanging="412"/>
        <w:spacing w:after="0" w:line="267" w:lineRule="auto"/>
        <w:tabs>
          <w:tab w:leader="none" w:pos="412"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prepare reports (including any status interim reports), in a form to be mutually agreed upon by the Parties, and submit the same to GSK within the time period mutually agreed upon by the Parties in the applicable Task Order.</w:t>
      </w:r>
    </w:p>
    <w:p>
      <w:pPr>
        <w:spacing w:after="0" w:line="77" w:lineRule="exact"/>
        <w:rPr>
          <w:rFonts w:ascii="Times New Roman" w:cs="Times New Roman" w:eastAsia="Times New Roman" w:hAnsi="Times New Roman"/>
          <w:sz w:val="18"/>
          <w:szCs w:val="18"/>
          <w:color w:val="auto"/>
        </w:rPr>
      </w:pPr>
    </w:p>
    <w:p>
      <w:pPr>
        <w:ind w:left="412" w:right="280" w:hanging="412"/>
        <w:spacing w:after="0" w:line="331" w:lineRule="auto"/>
        <w:tabs>
          <w:tab w:leader="none" w:pos="412" w:val="left"/>
        </w:tabs>
        <w:numPr>
          <w:ilvl w:val="0"/>
          <w:numId w:val="5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reports shall be transferred confidentially via a secure forum which shall be compatible with GSK’s data transfer requirements. This secure system can be installed by Tempus or provided by GSK to Tempus as mutually agreed upon by the Parties in the applicable Task Order.</w:t>
      </w:r>
    </w:p>
    <w:p>
      <w:pPr>
        <w:spacing w:after="0" w:line="30" w:lineRule="exact"/>
        <w:rPr>
          <w:rFonts w:ascii="Times New Roman" w:cs="Times New Roman" w:eastAsia="Times New Roman" w:hAnsi="Times New Roman"/>
          <w:sz w:val="16"/>
          <w:szCs w:val="16"/>
          <w:color w:val="auto"/>
        </w:rPr>
      </w:pPr>
    </w:p>
    <w:p>
      <w:pPr>
        <w:ind w:left="412" w:right="280" w:hanging="412"/>
        <w:spacing w:after="0" w:line="331" w:lineRule="auto"/>
        <w:tabs>
          <w:tab w:leader="none" w:pos="412" w:val="left"/>
        </w:tabs>
        <w:numPr>
          <w:ilvl w:val="0"/>
          <w:numId w:val="5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clarity, the Parties agree that any secure forum provided by GSK to Tempus to transfer reports prepared in connection with any Task Order shall only be used by Tempus to communicate with GSK on the Activities, such as for providing a validation report or reporting Results.</w:t>
      </w:r>
    </w:p>
    <w:p>
      <w:pPr>
        <w:spacing w:after="0" w:line="30" w:lineRule="exact"/>
        <w:rPr>
          <w:rFonts w:ascii="Times New Roman" w:cs="Times New Roman" w:eastAsia="Times New Roman" w:hAnsi="Times New Roman"/>
          <w:sz w:val="16"/>
          <w:szCs w:val="16"/>
          <w:color w:val="auto"/>
        </w:rPr>
      </w:pPr>
    </w:p>
    <w:p>
      <w:pPr>
        <w:ind w:left="412" w:right="40" w:hanging="412"/>
        <w:spacing w:after="0" w:line="251" w:lineRule="auto"/>
        <w:tabs>
          <w:tab w:leader="none" w:pos="412"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make its Tempus Personnel available to GSK to respond to any questions relating to the reports provided in connection with any Task Order and shall provide GSK with an updated report including any additional information as may be required by GSK, at GSK’s costs unless indicated otherwise in the applicable Task Order. GSK shall notify Tempus without reasonable delay of its satisfaction with such reports and updated reports.</w:t>
      </w:r>
    </w:p>
    <w:p>
      <w:pPr>
        <w:spacing w:after="0" w:line="92" w:lineRule="exact"/>
        <w:rPr>
          <w:rFonts w:ascii="Times New Roman" w:cs="Times New Roman" w:eastAsia="Times New Roman" w:hAnsi="Times New Roman"/>
          <w:sz w:val="18"/>
          <w:szCs w:val="18"/>
          <w:color w:val="auto"/>
        </w:rPr>
      </w:pPr>
    </w:p>
    <w:p>
      <w:pPr>
        <w:ind w:left="412" w:hanging="412"/>
        <w:spacing w:after="0" w:line="249" w:lineRule="auto"/>
        <w:tabs>
          <w:tab w:leader="none" w:pos="412"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specific reporting requirements under this Agreement and any Task Order, Tempus agrees that all status interim reports provided by Tempus shall refer to specific milestones and completed tasks pursuant to the specifications in any Task Order, and any actual or anticipated delays with respect to the timelines provided in any Task Order. To further improve the communication and project management under this Agreement, upon Tempus’s completion of an action, response, or milestone, Tempus will specify in its reports any required response or action from GSK.</w:t>
      </w:r>
    </w:p>
    <w:p>
      <w:pPr>
        <w:spacing w:after="0" w:line="329"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6"/>
          <w:szCs w:val="16"/>
          <w:b w:val="1"/>
          <w:bCs w:val="1"/>
          <w:color w:val="auto"/>
        </w:rPr>
        <w:t>Recordkeeping</w:t>
      </w:r>
    </w:p>
    <w:p>
      <w:pPr>
        <w:spacing w:after="0" w:line="108"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8"/>
          <w:szCs w:val="18"/>
          <w:color w:val="auto"/>
        </w:rPr>
        <w:t>Tempus shall keep complete, accurate and systematic records (the “</w:t>
      </w:r>
      <w:r>
        <w:rPr>
          <w:rFonts w:ascii="Times New Roman" w:cs="Times New Roman" w:eastAsia="Times New Roman" w:hAnsi="Times New Roman"/>
          <w:sz w:val="18"/>
          <w:szCs w:val="18"/>
          <w:b w:val="1"/>
          <w:bCs w:val="1"/>
          <w:color w:val="auto"/>
        </w:rPr>
        <w:t>Services Records</w:t>
      </w:r>
      <w:r>
        <w:rPr>
          <w:rFonts w:ascii="Times New Roman" w:cs="Times New Roman" w:eastAsia="Times New Roman" w:hAnsi="Times New Roman"/>
          <w:sz w:val="18"/>
          <w:szCs w:val="18"/>
          <w:color w:val="auto"/>
        </w:rPr>
        <w:t>”) of:</w:t>
      </w:r>
    </w:p>
    <w:p>
      <w:pPr>
        <w:spacing w:after="0" w:line="123" w:lineRule="exact"/>
        <w:rPr>
          <w:sz w:val="20"/>
          <w:szCs w:val="20"/>
          <w:color w:val="auto"/>
        </w:rPr>
      </w:pPr>
    </w:p>
    <w:p>
      <w:pPr>
        <w:ind w:left="412" w:hanging="412"/>
        <w:spacing w:after="0"/>
        <w:tabs>
          <w:tab w:leader="none" w:pos="412"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performed;</w:t>
      </w:r>
    </w:p>
    <w:p>
      <w:pPr>
        <w:spacing w:after="0" w:line="121"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w:t>
      </w:r>
    </w:p>
    <w:p>
      <w:pPr>
        <w:spacing w:after="0" w:line="121" w:lineRule="exact"/>
        <w:rPr>
          <w:rFonts w:ascii="Times New Roman" w:cs="Times New Roman" w:eastAsia="Times New Roman" w:hAnsi="Times New Roman"/>
          <w:sz w:val="18"/>
          <w:szCs w:val="18"/>
          <w:color w:val="auto"/>
        </w:rPr>
      </w:pPr>
    </w:p>
    <w:p>
      <w:pPr>
        <w:ind w:left="412" w:right="140" w:hanging="412"/>
        <w:spacing w:after="0" w:line="267" w:lineRule="auto"/>
        <w:tabs>
          <w:tab w:leader="none" w:pos="412"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Know-How, Trade Secrets, computer programs or models and related documentation which are used by Tempus in connection with performance of the Activities; and</w:t>
      </w:r>
    </w:p>
    <w:p>
      <w:pPr>
        <w:spacing w:after="0" w:line="77" w:lineRule="exact"/>
        <w:rPr>
          <w:rFonts w:ascii="Times New Roman" w:cs="Times New Roman" w:eastAsia="Times New Roman" w:hAnsi="Times New Roman"/>
          <w:sz w:val="18"/>
          <w:szCs w:val="18"/>
          <w:color w:val="auto"/>
        </w:rPr>
      </w:pPr>
    </w:p>
    <w:p>
      <w:pPr>
        <w:ind w:left="412" w:right="120" w:hanging="412"/>
        <w:spacing w:after="0" w:line="267" w:lineRule="auto"/>
        <w:tabs>
          <w:tab w:leader="none" w:pos="412"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Raw Data created by Tempus which is not delivered to GSK as part of the requirements of this Agreement or any Task Order, in each case in accordance with Applicable Law and in an adequate form such as to facilitate fulfilment of its obligations under this Section.</w:t>
      </w:r>
    </w:p>
    <w:p>
      <w:pPr>
        <w:spacing w:after="0" w:line="1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692"/>
          </w:cols>
          <w:pgMar w:left="588" w:top="263" w:right="619" w:bottom="1440" w:gutter="0" w:footer="0" w:header="0"/>
        </w:sectPr>
      </w:pPr>
    </w:p>
    <w:bookmarkStart w:id="641" w:name="page642"/>
    <w:bookmarkEnd w:id="641"/>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78040" cy="38100"/>
                    </a:xfrm>
                    <a:prstGeom prst="rect">
                      <a:avLst/>
                    </a:prstGeom>
                    <a:noFill/>
                  </pic:spPr>
                </pic:pic>
              </a:graphicData>
            </a:graphic>
          </wp:anchor>
        </w:drawing>
        <w:t>13.3</w:t>
      </w:r>
      <w:r>
        <w:rPr>
          <w:sz w:val="20"/>
          <w:szCs w:val="20"/>
          <w:color w:val="auto"/>
        </w:rPr>
        <w:tab/>
      </w:r>
      <w:r>
        <w:rPr>
          <w:rFonts w:ascii="Times New Roman" w:cs="Times New Roman" w:eastAsia="Times New Roman" w:hAnsi="Times New Roman"/>
          <w:sz w:val="16"/>
          <w:szCs w:val="16"/>
          <w:b w:val="1"/>
          <w:bCs w:val="1"/>
          <w:color w:val="auto"/>
        </w:rPr>
        <w:t>Inspection by GSK and/or authorised third parties</w:t>
      </w:r>
    </w:p>
    <w:p>
      <w:pPr>
        <w:spacing w:after="0" w:line="123" w:lineRule="exact"/>
        <w:rPr>
          <w:sz w:val="20"/>
          <w:szCs w:val="20"/>
          <w:color w:val="auto"/>
        </w:rPr>
      </w:pPr>
    </w:p>
    <w:p>
      <w:pPr>
        <w:ind w:left="412" w:right="60" w:hanging="412"/>
        <w:spacing w:after="0" w:line="245" w:lineRule="auto"/>
        <w:tabs>
          <w:tab w:leader="none" w:pos="412"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during Tempus’s regular business hours and with reasonable advance notice, GSK or any authorised third party may audit Tempus’s or any Approved Subcontractor’s premises, records, books (including relevant financial records and books), equipment, or procedures related to Tempus’s obligations under this Agreement or any Task Order either i) no more than [***] in each [***] period per function inspected (e.g., Laboratory, Computer Systems, Finance, etc.), ii) upon the event that GSK has a reasonable basis to seek a for-cause audit with respect to fulfilment of Tempus’s obligations under this Agreement or any Task Order, or iii) with the mutual agreement of the parties; provided, that such access may be subject to Tempus’s reasonable and standard policies and procedures with respect to privacy, confidentiality, security, and safety, but only to the extent such policies and procedures do not materially impact the purpose of the applicable audit, or conflict with the terms of this Agreement; provided, further, that Tempus shall use Commercially Reasonable Efforts to provide such access as may be requested by GSK pursuant to this </w:t>
      </w:r>
      <w:r>
        <w:rPr>
          <w:rFonts w:ascii="Times New Roman" w:cs="Times New Roman" w:eastAsia="Times New Roman" w:hAnsi="Times New Roman"/>
          <w:sz w:val="18"/>
          <w:szCs w:val="18"/>
          <w:u w:val="single" w:color="auto"/>
          <w:color w:val="auto"/>
        </w:rPr>
        <w:t>Section 13.3i)</w:t>
      </w:r>
      <w:r>
        <w:rPr>
          <w:rFonts w:ascii="Times New Roman" w:cs="Times New Roman" w:eastAsia="Times New Roman" w:hAnsi="Times New Roman"/>
          <w:sz w:val="18"/>
          <w:szCs w:val="18"/>
          <w:color w:val="auto"/>
        </w:rPr>
        <w:t xml:space="preserve"> in a manner that comports with any such reasonable and standard policies and procedures to the fullest extent practicable. Tempus shall be responsible for gaining the agreement of the Approved Subcontractors’ sites that GSK shall conduct a compliance audit. Other visit types mutually agreed by the Parties including but not limited to project initiation visits, routine data reviews, project oversight/monitoring visits, project close out visits, issue investigations, regulatory audit preparation, and GSK representation at regulatory audits are not subject to the restrictions set forth in this section. Follow up visits to an audit finding, if required, are also not subject to the restrictions set forth in this section.</w:t>
      </w:r>
    </w:p>
    <w:p>
      <w:pPr>
        <w:spacing w:after="0" w:line="100" w:lineRule="exact"/>
        <w:rPr>
          <w:rFonts w:ascii="Times New Roman" w:cs="Times New Roman" w:eastAsia="Times New Roman" w:hAnsi="Times New Roman"/>
          <w:sz w:val="18"/>
          <w:szCs w:val="18"/>
          <w:color w:val="auto"/>
        </w:rPr>
      </w:pPr>
    </w:p>
    <w:p>
      <w:pPr>
        <w:ind w:left="412" w:right="280" w:hanging="412"/>
        <w:spacing w:after="0" w:line="267" w:lineRule="auto"/>
        <w:tabs>
          <w:tab w:leader="none" w:pos="412"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in addition to the requirements of paragraph i) above, Tempus shall also provide for the auditing requirements set out in Schedule 2 (Further Auditing Requirements).</w:t>
      </w:r>
    </w:p>
    <w:p>
      <w:pPr>
        <w:spacing w:after="0" w:line="77" w:lineRule="exact"/>
        <w:rPr>
          <w:rFonts w:ascii="Times New Roman" w:cs="Times New Roman" w:eastAsia="Times New Roman" w:hAnsi="Times New Roman"/>
          <w:sz w:val="18"/>
          <w:szCs w:val="18"/>
          <w:color w:val="auto"/>
        </w:rPr>
      </w:pPr>
    </w:p>
    <w:p>
      <w:pPr>
        <w:ind w:left="412" w:hanging="412"/>
        <w:spacing w:after="0" w:line="248" w:lineRule="auto"/>
        <w:tabs>
          <w:tab w:leader="none" w:pos="412"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Tempus shall (at its own expense) provide GSK and any authorised third party with all necessary materials documents and other information and access to Tempus Personnel reasonably necessary to enable GSK to confirm that Tempus has complied with its obligations under this Agreement or any applicable Task Order and, to the extent required by GSK, such information shall be provided in an electronic format. For clarity, any Tempus Confidential Information shared during the course of an audit or inspection under this Agreement is subject to all of GSK obligations with respect to Tempus Confidential Information hereunder, and GSK is responsible for the compliance of any authorized third party (including Affiliates and Associated Parties) with such obligations.</w:t>
      </w:r>
    </w:p>
    <w:p>
      <w:pPr>
        <w:spacing w:after="0" w:line="95"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such audit permitted by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may include only:</w:t>
      </w:r>
    </w:p>
    <w:p>
      <w:pPr>
        <w:spacing w:after="0" w:line="121" w:lineRule="exact"/>
        <w:rPr>
          <w:rFonts w:ascii="Times New Roman" w:cs="Times New Roman" w:eastAsia="Times New Roman" w:hAnsi="Times New Roman"/>
          <w:sz w:val="18"/>
          <w:szCs w:val="18"/>
          <w:color w:val="auto"/>
        </w:rPr>
      </w:pPr>
    </w:p>
    <w:p>
      <w:pPr>
        <w:ind w:left="4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6"/>
          <w:szCs w:val="16"/>
          <w:color w:val="auto"/>
        </w:rPr>
        <w:t>[***]; and</w:t>
      </w:r>
    </w:p>
    <w:p>
      <w:pPr>
        <w:spacing w:after="0" w:line="14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692"/>
          </w:cols>
          <w:pgMar w:left="588" w:top="264" w:right="619" w:bottom="1440" w:gutter="0" w:footer="0" w:header="0"/>
        </w:sectPr>
      </w:pPr>
    </w:p>
    <w:bookmarkStart w:id="642" w:name="page643"/>
    <w:bookmarkEnd w:id="642"/>
    <w:p>
      <w:pPr>
        <w:ind w:left="1052" w:hanging="632"/>
        <w:spacing w:after="0"/>
        <w:tabs>
          <w:tab w:leader="none" w:pos="1052" w:val="left"/>
        </w:tabs>
        <w:numPr>
          <w:ilvl w:val="1"/>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or</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scope as the Parties may mutually agree.</w:t>
      </w:r>
    </w:p>
    <w:p>
      <w:pPr>
        <w:spacing w:after="0" w:line="121" w:lineRule="exact"/>
        <w:rPr>
          <w:rFonts w:ascii="Times New Roman" w:cs="Times New Roman" w:eastAsia="Times New Roman" w:hAnsi="Times New Roman"/>
          <w:sz w:val="18"/>
          <w:szCs w:val="18"/>
          <w:color w:val="auto"/>
        </w:rPr>
      </w:pPr>
    </w:p>
    <w:p>
      <w:pPr>
        <w:ind w:left="412" w:right="60" w:hanging="412"/>
        <w:spacing w:after="0" w:line="285" w:lineRule="auto"/>
        <w:tabs>
          <w:tab w:leader="none" w:pos="412" w:val="left"/>
        </w:tabs>
        <w:numPr>
          <w:ilvl w:val="0"/>
          <w:numId w:val="5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an audit carried out by GSK or any authorised third party, or any inspection conducted by any Regulatory Authority or their respective nominated representatives, reveals evidence of poor management and/or failure to comply with the terms of this Agreement, which cause Critical or Major Alerts or alert findings, provided that any such alerts or failure or default have not been resolved, or corrective and preventive actions requested by GSK have not been implemented, by Tempus within [***] of GSK’s notification thereof (or any extended period of time mutually agreed upon by the Parties in writing), and any unresolved deficiency rises to the level of a material breach under this Agreement, then GSK shall be entitled to terminate this Agreement for breach by giving notice of such termination to take effect immediately.</w:t>
      </w:r>
    </w:p>
    <w:p>
      <w:pPr>
        <w:spacing w:after="0" w:line="67" w:lineRule="exact"/>
        <w:rPr>
          <w:rFonts w:ascii="Times New Roman" w:cs="Times New Roman" w:eastAsia="Times New Roman" w:hAnsi="Times New Roman"/>
          <w:sz w:val="16"/>
          <w:szCs w:val="16"/>
          <w:color w:val="auto"/>
        </w:rPr>
      </w:pPr>
    </w:p>
    <w:p>
      <w:pPr>
        <w:ind w:left="412" w:right="100" w:hanging="412"/>
        <w:spacing w:after="0" w:line="249" w:lineRule="auto"/>
        <w:tabs>
          <w:tab w:leader="none" w:pos="412"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Tempus becomes aware of any material issues related to the performance of a Laboratory Director or laboratory of Tempus including (without limitation) (a) any adverse action taken by any Regulatory Authority with respect to a Laboratory Director or Tempus laboratory or (b) any adverse action taken by any Regulatory Authority with respect to Tempus’s conduct of Activities, Tempus shall notify GSK as soon as is practicable (to the extent possible, within [***] prior to the occurrence of the inspection or action), and will cooperate with GSK regarding responsive action.</w:t>
      </w:r>
    </w:p>
    <w:p>
      <w:pPr>
        <w:spacing w:after="0" w:line="94" w:lineRule="exact"/>
        <w:rPr>
          <w:rFonts w:ascii="Times New Roman" w:cs="Times New Roman" w:eastAsia="Times New Roman" w:hAnsi="Times New Roman"/>
          <w:sz w:val="18"/>
          <w:szCs w:val="18"/>
          <w:color w:val="auto"/>
        </w:rPr>
      </w:pPr>
    </w:p>
    <w:p>
      <w:pPr>
        <w:ind w:left="412" w:hanging="412"/>
        <w:spacing w:after="0" w:line="249" w:lineRule="auto"/>
        <w:tabs>
          <w:tab w:leader="none" w:pos="412"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an audit indicates that Tempus failed to provide the pricing terms required by this Agreement or any Task Order, or indicates that GSK has overpaid amounts payable under this Agreement or any Task Order, Tempus shall, at GSK’s option, credit GSK for the total amount of the discrepancy against future amounts due under this Agreement or any applicable Task Order, or remit payment to GSK for the total amount of the discrepancy. If such audit indicates that GSK failed to pay all amounts owed under this Agreement or any Task Order, GSK shall promptly remit the total amount of such discrepancy to Tempus.</w:t>
      </w:r>
    </w:p>
    <w:p>
      <w:pPr>
        <w:spacing w:after="0" w:line="94" w:lineRule="exact"/>
        <w:rPr>
          <w:rFonts w:ascii="Times New Roman" w:cs="Times New Roman" w:eastAsia="Times New Roman" w:hAnsi="Times New Roman"/>
          <w:sz w:val="18"/>
          <w:szCs w:val="18"/>
          <w:color w:val="auto"/>
        </w:rPr>
      </w:pPr>
    </w:p>
    <w:p>
      <w:pPr>
        <w:ind w:left="412" w:right="100" w:hanging="412"/>
        <w:spacing w:after="0" w:line="255" w:lineRule="auto"/>
        <w:tabs>
          <w:tab w:leader="none" w:pos="412"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audit indicates any material breach of this Agreement or a Task Order by Tempus or any instance of fraud by Tempus or any Approved Subcontractor in performance of this Agreement or a Task Order, Tempus shall (at GSK’s request) reimburse GSK for any reasonable costs, fees and expenses incurred by it in connection with that audit.</w:t>
      </w:r>
    </w:p>
    <w:p>
      <w:pPr>
        <w:spacing w:after="0" w:line="115"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632"/>
          </w:cols>
          <w:pgMar w:left="588" w:top="266" w:right="679" w:bottom="1440" w:gutter="0" w:footer="0" w:header="0"/>
        </w:sectPr>
      </w:pPr>
    </w:p>
    <w:bookmarkStart w:id="643" w:name="page644"/>
    <w:bookmarkEnd w:id="643"/>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13.4</w:t>
      </w:r>
      <w:r>
        <w:rPr>
          <w:sz w:val="20"/>
          <w:szCs w:val="20"/>
          <w:color w:val="auto"/>
        </w:rPr>
        <w:tab/>
      </w:r>
      <w:r>
        <w:rPr>
          <w:rFonts w:ascii="Times New Roman" w:cs="Times New Roman" w:eastAsia="Times New Roman" w:hAnsi="Times New Roman"/>
          <w:sz w:val="16"/>
          <w:szCs w:val="16"/>
          <w:b w:val="1"/>
          <w:bCs w:val="1"/>
          <w:color w:val="auto"/>
        </w:rPr>
        <w:t>Inspection by Regulatory Authority</w:t>
      </w:r>
    </w:p>
    <w:p>
      <w:pPr>
        <w:spacing w:after="0" w:line="123" w:lineRule="exact"/>
        <w:rPr>
          <w:sz w:val="20"/>
          <w:szCs w:val="20"/>
          <w:color w:val="auto"/>
        </w:rPr>
      </w:pPr>
    </w:p>
    <w:p>
      <w:pPr>
        <w:ind w:left="412" w:right="20" w:hanging="412"/>
        <w:spacing w:after="0" w:line="251" w:lineRule="auto"/>
        <w:tabs>
          <w:tab w:leader="none" w:pos="412"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Regulatory Authority notifies Tempus or an Approved Subcontractor that it will inspect Tempus’s or Approved Subcontractor’s premises, records, equipment, or procedures, in direct relation to the Activities, or otherwise take action related to this Agreement or any Task Order, then to the extent legally permissible Tempus shall notify GSK as soon as is practicable (to the extent possible, within [***] and prior to the inspection or action) and:</w:t>
      </w:r>
    </w:p>
    <w:p>
      <w:pPr>
        <w:spacing w:after="0" w:line="79" w:lineRule="exact"/>
        <w:rPr>
          <w:rFonts w:ascii="Times New Roman" w:cs="Times New Roman" w:eastAsia="Times New Roman" w:hAnsi="Times New Roman"/>
          <w:sz w:val="18"/>
          <w:szCs w:val="18"/>
          <w:color w:val="auto"/>
        </w:rPr>
      </w:pPr>
    </w:p>
    <w:p>
      <w:pPr>
        <w:ind w:left="732" w:hanging="304"/>
        <w:spacing w:after="0"/>
        <w:tabs>
          <w:tab w:leader="none" w:pos="732" w:val="left"/>
        </w:tabs>
        <w:numPr>
          <w:ilvl w:val="1"/>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Regulatory Authority to conduct an inspection or take other legal action;</w:t>
      </w:r>
    </w:p>
    <w:p>
      <w:pPr>
        <w:spacing w:after="0" w:line="108" w:lineRule="exact"/>
        <w:rPr>
          <w:rFonts w:ascii="Times New Roman" w:cs="Times New Roman" w:eastAsia="Times New Roman" w:hAnsi="Times New Roman"/>
          <w:sz w:val="18"/>
          <w:szCs w:val="18"/>
          <w:color w:val="auto"/>
        </w:rPr>
      </w:pPr>
    </w:p>
    <w:p>
      <w:pPr>
        <w:ind w:left="732" w:hanging="304"/>
        <w:spacing w:after="0"/>
        <w:tabs>
          <w:tab w:leader="none" w:pos="732" w:val="left"/>
        </w:tabs>
        <w:numPr>
          <w:ilvl w:val="1"/>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GSK to be present at the inspection (to the extent permitted by the Regulatory Authority);</w:t>
      </w:r>
    </w:p>
    <w:p>
      <w:pPr>
        <w:spacing w:after="0" w:line="108" w:lineRule="exact"/>
        <w:rPr>
          <w:rFonts w:ascii="Times New Roman" w:cs="Times New Roman" w:eastAsia="Times New Roman" w:hAnsi="Times New Roman"/>
          <w:sz w:val="18"/>
          <w:szCs w:val="18"/>
          <w:color w:val="auto"/>
        </w:rPr>
      </w:pPr>
    </w:p>
    <w:p>
      <w:pPr>
        <w:ind w:left="732" w:hanging="304"/>
        <w:spacing w:after="0"/>
        <w:tabs>
          <w:tab w:leader="none" w:pos="732" w:val="left"/>
        </w:tabs>
        <w:numPr>
          <w:ilvl w:val="1"/>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GSK with copies of any reports issued by the Regulatory Authority; and</w:t>
      </w:r>
    </w:p>
    <w:p>
      <w:pPr>
        <w:spacing w:after="0" w:line="108" w:lineRule="exact"/>
        <w:rPr>
          <w:rFonts w:ascii="Times New Roman" w:cs="Times New Roman" w:eastAsia="Times New Roman" w:hAnsi="Times New Roman"/>
          <w:sz w:val="18"/>
          <w:szCs w:val="18"/>
          <w:color w:val="auto"/>
        </w:rPr>
      </w:pPr>
    </w:p>
    <w:p>
      <w:pPr>
        <w:ind w:left="432" w:right="100" w:hanging="4"/>
        <w:spacing w:after="0" w:line="255" w:lineRule="auto"/>
        <w:tabs>
          <w:tab w:leader="none" w:pos="739" w:val="left"/>
        </w:tabs>
        <w:numPr>
          <w:ilvl w:val="1"/>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 and co-operate with GSK regarding any responsive action, provide GSK with copies of Tempus’s proposed response for GSK’s prior review and approval (such approval not to be unreasonably withheld) and (to the extent permitted by the Regulatory Authority) allow GSK to participate in that response.</w:t>
      </w:r>
    </w:p>
    <w:p>
      <w:pPr>
        <w:spacing w:after="0" w:line="88" w:lineRule="exact"/>
        <w:rPr>
          <w:rFonts w:ascii="Times New Roman" w:cs="Times New Roman" w:eastAsia="Times New Roman" w:hAnsi="Times New Roman"/>
          <w:sz w:val="18"/>
          <w:szCs w:val="18"/>
          <w:color w:val="auto"/>
        </w:rPr>
      </w:pPr>
    </w:p>
    <w:p>
      <w:pPr>
        <w:ind w:left="412" w:hanging="412"/>
        <w:spacing w:after="0" w:line="251" w:lineRule="auto"/>
        <w:tabs>
          <w:tab w:leader="none" w:pos="412"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Regulatory Authority notifies GSK that it will inspect GSK’s premises, records, equipment, or procedures in relation in any material respect to the Activities, or otherwise take action related to this Agreement or any Task Order, Tempus will reasonably cooperate with GSK with respect to preparation for and response during the inspection, including but not limited to requiring appropriate Tempus Personnel to be available during or present at the inspection.</w:t>
      </w:r>
    </w:p>
    <w:p>
      <w:pPr>
        <w:spacing w:after="0" w:line="326" w:lineRule="exact"/>
        <w:rPr>
          <w:rFonts w:ascii="Times New Roman" w:cs="Times New Roman" w:eastAsia="Times New Roman" w:hAnsi="Times New Roman"/>
          <w:sz w:val="18"/>
          <w:szCs w:val="18"/>
          <w:color w:val="auto"/>
        </w:rPr>
      </w:pPr>
    </w:p>
    <w:p>
      <w:pPr>
        <w:ind w:left="4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w:t>
      </w:r>
      <w:r>
        <w:rPr>
          <w:rFonts w:ascii="Times New Roman" w:cs="Times New Roman" w:eastAsia="Times New Roman" w:hAnsi="Times New Roman"/>
          <w:sz w:val="16"/>
          <w:szCs w:val="16"/>
          <w:b w:val="1"/>
          <w:bCs w:val="1"/>
          <w:color w:val="auto"/>
        </w:rPr>
        <w:t>Unexpectedly Received Personal Information</w:t>
      </w:r>
    </w:p>
    <w:p>
      <w:pPr>
        <w:spacing w:after="0" w:line="110" w:lineRule="exact"/>
        <w:rPr>
          <w:rFonts w:ascii="Times New Roman" w:cs="Times New Roman" w:eastAsia="Times New Roman" w:hAnsi="Times New Roman"/>
          <w:sz w:val="18"/>
          <w:szCs w:val="18"/>
          <w:color w:val="auto"/>
        </w:rPr>
      </w:pPr>
    </w:p>
    <w:p>
      <w:pPr>
        <w:ind w:left="432" w:right="2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acting on behalf of GSK that discovers information containing Unexpected Personal Information, or is provided with information containing Unexpected Personal Information, is to respect the privacy of the clinical trial participant. Any specimens, documents, or information containing Unexpected Personal Information will be handled in a manner that minimizes the risks of unintended disclosure and infringement of clinical trial participant privacy. Any documents or specimens containing Unexpected Personal Information will be stored in a secure location so that contact is limited to those Persons who will address the breach. Documents containing Unexpected Personal Information will not be disclosed to any third party or other GSK location (e.g., local operating company). The GSK Representative is to be contacted when Unexpected Personal Information is received by Tempus.</w:t>
      </w:r>
    </w:p>
    <w:p>
      <w:pPr>
        <w:spacing w:after="0" w:line="331" w:lineRule="exact"/>
        <w:rPr>
          <w:rFonts w:ascii="Times New Roman" w:cs="Times New Roman" w:eastAsia="Times New Roman" w:hAnsi="Times New Roman"/>
          <w:sz w:val="18"/>
          <w:szCs w:val="18"/>
          <w:color w:val="auto"/>
        </w:rPr>
      </w:pPr>
    </w:p>
    <w:p>
      <w:pPr>
        <w:ind w:left="4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w:t>
      </w:r>
      <w:r>
        <w:rPr>
          <w:rFonts w:ascii="Times New Roman" w:cs="Times New Roman" w:eastAsia="Times New Roman" w:hAnsi="Times New Roman"/>
          <w:sz w:val="16"/>
          <w:szCs w:val="16"/>
          <w:b w:val="1"/>
          <w:bCs w:val="1"/>
          <w:color w:val="auto"/>
        </w:rPr>
        <w:t>Subject Identifiers</w:t>
      </w:r>
    </w:p>
    <w:p>
      <w:pPr>
        <w:spacing w:after="0" w:line="110" w:lineRule="exact"/>
        <w:rPr>
          <w:rFonts w:ascii="Times New Roman" w:cs="Times New Roman" w:eastAsia="Times New Roman" w:hAnsi="Times New Roman"/>
          <w:sz w:val="18"/>
          <w:szCs w:val="18"/>
          <w:color w:val="auto"/>
        </w:rPr>
      </w:pPr>
    </w:p>
    <w:p>
      <w:pPr>
        <w:ind w:left="432" w:right="60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clarity, a clinical trial study number combined with a clinical trial subject identifier produce a unique identifier and the combination is Personal Information.</w:t>
      </w:r>
    </w:p>
    <w:p>
      <w:pPr>
        <w:spacing w:after="0" w:line="10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692"/>
          </w:cols>
          <w:pgMar w:left="588" w:top="264" w:right="619" w:bottom="1440" w:gutter="0" w:footer="0" w:header="0"/>
        </w:sectPr>
      </w:pPr>
    </w:p>
    <w:bookmarkStart w:id="644" w:name="page645"/>
    <w:bookmarkEnd w:id="644"/>
    <w:p>
      <w:pPr>
        <w:ind w:left="392" w:hanging="392"/>
        <w:spacing w:after="0"/>
        <w:tabs>
          <w:tab w:leader="none" w:pos="392"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78040" cy="36830"/>
                    </a:xfrm>
                    <a:prstGeom prst="rect">
                      <a:avLst/>
                    </a:prstGeom>
                    <a:noFill/>
                  </pic:spPr>
                </pic:pic>
              </a:graphicData>
            </a:graphic>
          </wp:anchor>
        </w:drawing>
        <w:t>Receipt of Complaints and Inquiries</w:t>
      </w:r>
    </w:p>
    <w:p>
      <w:pPr>
        <w:spacing w:after="0" w:line="123" w:lineRule="exact"/>
        <w:rPr>
          <w:sz w:val="20"/>
          <w:szCs w:val="20"/>
          <w:color w:val="auto"/>
        </w:rPr>
      </w:pPr>
    </w:p>
    <w:p>
      <w:pPr>
        <w:ind w:left="1052" w:right="160" w:hanging="629"/>
        <w:spacing w:after="0" w:line="267" w:lineRule="auto"/>
        <w:tabs>
          <w:tab w:leader="none" w:pos="1032"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Tempus shall notify GSK promptly in writing (but, in any event, no later than [***] following Tempus’s notice thereof), of any inquiry, communication or complaint received by Tempus from:</w:t>
      </w:r>
    </w:p>
    <w:p>
      <w:pPr>
        <w:spacing w:after="0" w:line="78" w:lineRule="exact"/>
        <w:rPr>
          <w:sz w:val="20"/>
          <w:szCs w:val="20"/>
          <w:color w:val="auto"/>
        </w:rPr>
      </w:pPr>
    </w:p>
    <w:p>
      <w:pPr>
        <w:ind w:left="412" w:hanging="412"/>
        <w:spacing w:after="0"/>
        <w:tabs>
          <w:tab w:leader="none" w:pos="412"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where Personal Information about such person has been processed by Tempus for or on behalf of GSK; and</w:t>
      </w:r>
    </w:p>
    <w:p>
      <w:pPr>
        <w:spacing w:after="0" w:line="121" w:lineRule="exact"/>
        <w:rPr>
          <w:rFonts w:ascii="Times New Roman" w:cs="Times New Roman" w:eastAsia="Times New Roman" w:hAnsi="Times New Roman"/>
          <w:sz w:val="18"/>
          <w:szCs w:val="18"/>
          <w:color w:val="auto"/>
        </w:rPr>
      </w:pPr>
    </w:p>
    <w:p>
      <w:pPr>
        <w:ind w:left="412" w:right="380" w:hanging="412"/>
        <w:spacing w:after="0" w:line="485" w:lineRule="auto"/>
        <w:tabs>
          <w:tab w:leader="none" w:pos="412" w:val="left"/>
        </w:tabs>
        <w:numPr>
          <w:ilvl w:val="0"/>
          <w:numId w:val="5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legal authority or Regulatory Authority, which relates to the Processing by Tempus of any Personal Information for or on behalf of GSK. 14.2 Tempus shall provide all reasonable assistance to GSK in responding to the received inquiries, communications and complaints.</w:t>
      </w:r>
    </w:p>
    <w:p>
      <w:pPr>
        <w:spacing w:after="0" w:line="108" w:lineRule="exact"/>
        <w:rPr>
          <w:sz w:val="20"/>
          <w:szCs w:val="20"/>
          <w:color w:val="auto"/>
        </w:rPr>
      </w:pPr>
    </w:p>
    <w:p>
      <w:pPr>
        <w:ind w:left="392" w:hanging="392"/>
        <w:spacing w:after="0"/>
        <w:tabs>
          <w:tab w:leader="none" w:pos="392"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w:t>
      </w:r>
    </w:p>
    <w:p>
      <w:pPr>
        <w:spacing w:after="0" w:line="121"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6"/>
          <w:szCs w:val="16"/>
          <w:b w:val="1"/>
          <w:bCs w:val="1"/>
          <w:color w:val="auto"/>
        </w:rPr>
        <w:t>GSK Confidential Information</w:t>
      </w:r>
    </w:p>
    <w:p>
      <w:pPr>
        <w:spacing w:after="0" w:line="110"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15.4</w:t>
      </w:r>
      <w:r>
        <w:rPr>
          <w:rFonts w:ascii="Times New Roman" w:cs="Times New Roman" w:eastAsia="Times New Roman" w:hAnsi="Times New Roman"/>
          <w:sz w:val="16"/>
          <w:szCs w:val="16"/>
          <w:color w:val="auto"/>
        </w:rPr>
        <w:t xml:space="preserve"> (Permitted disclosures), Tempus agrees that GSK Confidential Information is the sole property of GSK and Tempus shall:</w:t>
      </w:r>
    </w:p>
    <w:p>
      <w:pPr>
        <w:spacing w:after="0" w:line="144" w:lineRule="exact"/>
        <w:rPr>
          <w:sz w:val="20"/>
          <w:szCs w:val="20"/>
          <w:color w:val="auto"/>
        </w:rPr>
      </w:pPr>
    </w:p>
    <w:p>
      <w:pPr>
        <w:ind w:left="412" w:hanging="412"/>
        <w:spacing w:after="0"/>
        <w:tabs>
          <w:tab w:leader="none" w:pos="412"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 GSK Confidential Information for any purposes other than the performance of this Agreement and any Task Order;</w:t>
      </w:r>
    </w:p>
    <w:p>
      <w:pPr>
        <w:spacing w:after="0" w:line="121" w:lineRule="exact"/>
        <w:rPr>
          <w:rFonts w:ascii="Times New Roman" w:cs="Times New Roman" w:eastAsia="Times New Roman" w:hAnsi="Times New Roman"/>
          <w:sz w:val="18"/>
          <w:szCs w:val="18"/>
          <w:color w:val="auto"/>
        </w:rPr>
      </w:pPr>
    </w:p>
    <w:p>
      <w:pPr>
        <w:jc w:val="both"/>
        <w:ind w:left="412" w:right="120" w:hanging="412"/>
        <w:spacing w:after="0" w:line="251" w:lineRule="auto"/>
        <w:tabs>
          <w:tab w:leader="none" w:pos="412"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disclose GSK Confidential Information to any third party (other than any Affiliate or Associated Party of GSK), except to Tempus Personnel or Approved Subcontractors as necessary for the performance of this Agreement and any Task Order; provided that, prior to any such disclosure, the relevant Tempus Personnel or Approved Subcontractors has entered into confidentiality undertakings no less onerous than those contained in this Section;</w:t>
      </w:r>
    </w:p>
    <w:p>
      <w:pPr>
        <w:spacing w:after="0" w:line="92"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reverse engineer any GSK Confidential Information except as required by the terms of any Task Order;</w:t>
      </w:r>
    </w:p>
    <w:p>
      <w:pPr>
        <w:spacing w:after="0" w:line="121" w:lineRule="exact"/>
        <w:rPr>
          <w:rFonts w:ascii="Times New Roman" w:cs="Times New Roman" w:eastAsia="Times New Roman" w:hAnsi="Times New Roman"/>
          <w:sz w:val="18"/>
          <w:szCs w:val="18"/>
          <w:color w:val="auto"/>
        </w:rPr>
      </w:pPr>
    </w:p>
    <w:p>
      <w:pPr>
        <w:ind w:left="412" w:hanging="412"/>
        <w:spacing w:after="0" w:line="267" w:lineRule="auto"/>
        <w:tabs>
          <w:tab w:leader="none" w:pos="412"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confidential and secure GSK Confidential Information with the same standard of care that is used with Tempus Confidential Information, but in no event less than reasonable care; and</w:t>
      </w:r>
    </w:p>
    <w:p>
      <w:pPr>
        <w:spacing w:after="0" w:line="77" w:lineRule="exact"/>
        <w:rPr>
          <w:rFonts w:ascii="Times New Roman" w:cs="Times New Roman" w:eastAsia="Times New Roman" w:hAnsi="Times New Roman"/>
          <w:sz w:val="18"/>
          <w:szCs w:val="18"/>
          <w:color w:val="auto"/>
        </w:rPr>
      </w:pPr>
    </w:p>
    <w:p>
      <w:pPr>
        <w:ind w:left="412" w:right="60" w:hanging="412"/>
        <w:spacing w:after="0" w:line="331" w:lineRule="auto"/>
        <w:tabs>
          <w:tab w:leader="none" w:pos="412" w:val="left"/>
        </w:tabs>
        <w:numPr>
          <w:ilvl w:val="0"/>
          <w:numId w:val="5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Termination Date, or at any time upon the request of GSK (whichever is the earliest), subject to </w:t>
      </w:r>
      <w:r>
        <w:rPr>
          <w:rFonts w:ascii="Times New Roman" w:cs="Times New Roman" w:eastAsia="Times New Roman" w:hAnsi="Times New Roman"/>
          <w:sz w:val="16"/>
          <w:szCs w:val="16"/>
          <w:u w:val="single" w:color="auto"/>
          <w:color w:val="auto"/>
        </w:rPr>
        <w:t>Section 13.2</w:t>
      </w:r>
      <w:r>
        <w:rPr>
          <w:rFonts w:ascii="Times New Roman" w:cs="Times New Roman" w:eastAsia="Times New Roman" w:hAnsi="Times New Roman"/>
          <w:sz w:val="16"/>
          <w:szCs w:val="16"/>
          <w:color w:val="auto"/>
        </w:rPr>
        <w:t xml:space="preserve"> (Recordkeeping), promptly return or destroy all GSK Confidential Information, as further specified in </w:t>
      </w:r>
      <w:r>
        <w:rPr>
          <w:rFonts w:ascii="Times New Roman" w:cs="Times New Roman" w:eastAsia="Times New Roman" w:hAnsi="Times New Roman"/>
          <w:sz w:val="16"/>
          <w:szCs w:val="16"/>
          <w:u w:val="single" w:color="auto"/>
          <w:color w:val="auto"/>
        </w:rPr>
        <w:t>Section 15.2</w:t>
      </w:r>
      <w:r>
        <w:rPr>
          <w:rFonts w:ascii="Times New Roman" w:cs="Times New Roman" w:eastAsia="Times New Roman" w:hAnsi="Times New Roman"/>
          <w:sz w:val="16"/>
          <w:szCs w:val="16"/>
          <w:color w:val="auto"/>
        </w:rPr>
        <w:t xml:space="preserve"> (Retention and return of GSK Confidential Information).</w:t>
      </w:r>
    </w:p>
    <w:p>
      <w:pPr>
        <w:spacing w:after="0" w:line="30" w:lineRule="exact"/>
        <w:rPr>
          <w:rFonts w:ascii="Times New Roman" w:cs="Times New Roman" w:eastAsia="Times New Roman" w:hAnsi="Times New Roman"/>
          <w:sz w:val="16"/>
          <w:szCs w:val="16"/>
          <w:color w:val="auto"/>
        </w:rPr>
      </w:pPr>
    </w:p>
    <w:p>
      <w:pPr>
        <w:ind w:left="412" w:right="500" w:hanging="412"/>
        <w:spacing w:after="0" w:line="267" w:lineRule="auto"/>
        <w:tabs>
          <w:tab w:leader="none" w:pos="412"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forgoing, Tempus has the right to retain one (1) copy of the GSK Confidential Information for ensuring compliance its confidentiality obligations under this Agreement and any Task Order.</w:t>
      </w:r>
    </w:p>
    <w:p>
      <w:pPr>
        <w:spacing w:after="0" w:line="10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672"/>
          </w:cols>
          <w:pgMar w:left="588" w:top="263" w:right="639" w:bottom="1440" w:gutter="0" w:footer="0" w:header="0"/>
        </w:sectPr>
      </w:pPr>
    </w:p>
    <w:bookmarkStart w:id="645" w:name="page646"/>
    <w:bookmarkEnd w:id="645"/>
    <w:p>
      <w:pPr>
        <w:ind w:left="540" w:right="240" w:hanging="532"/>
        <w:spacing w:after="0" w:line="267" w:lineRule="auto"/>
        <w:tabs>
          <w:tab w:leader="none" w:pos="54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To transfer GSK Confidential Information, or communicate with GSK, Tempus will use encryption based on reasonable guidance provided by GSK.</w:t>
      </w:r>
    </w:p>
    <w:p>
      <w:pPr>
        <w:spacing w:after="0" w:line="77" w:lineRule="exact"/>
        <w:rPr>
          <w:rFonts w:ascii="Times New Roman" w:cs="Times New Roman" w:eastAsia="Times New Roman" w:hAnsi="Times New Roman"/>
          <w:sz w:val="18"/>
          <w:szCs w:val="18"/>
          <w:color w:val="auto"/>
        </w:rPr>
      </w:pPr>
    </w:p>
    <w:p>
      <w:pPr>
        <w:ind w:left="540" w:hanging="532"/>
        <w:spacing w:after="0" w:line="267" w:lineRule="auto"/>
        <w:tabs>
          <w:tab w:leader="none" w:pos="54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Tempus discovers any suspected or actual unauthorised disclosure, loss or theft of GSK Confidential Information, Tempus will promptly notify GSK by e-mail to [***] and work with GSK in good faith to identify a root cause and remediate the issue.</w:t>
      </w:r>
    </w:p>
    <w:p>
      <w:pPr>
        <w:spacing w:after="0" w:line="312"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6"/>
          <w:szCs w:val="16"/>
          <w:b w:val="1"/>
          <w:bCs w:val="1"/>
          <w:color w:val="auto"/>
        </w:rPr>
        <w:t>Retention and return of GSK Confidential Information</w:t>
      </w:r>
    </w:p>
    <w:p>
      <w:pPr>
        <w:spacing w:after="0" w:line="123" w:lineRule="exact"/>
        <w:rPr>
          <w:sz w:val="20"/>
          <w:szCs w:val="20"/>
          <w:color w:val="auto"/>
        </w:rPr>
      </w:pPr>
    </w:p>
    <w:p>
      <w:pPr>
        <w:ind w:left="420" w:right="660" w:hanging="412"/>
        <w:spacing w:after="0" w:line="267" w:lineRule="auto"/>
        <w:tabs>
          <w:tab w:leader="none" w:pos="42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retain GSK Confidential Information only for as long as specified in this Agreement or as otherwise necessary to satisfy the purposes for which it was provided to Tempus, except only to the extent longer retention is required by Applicable Law.</w:t>
      </w:r>
    </w:p>
    <w:p>
      <w:pPr>
        <w:spacing w:after="0" w:line="77" w:lineRule="exact"/>
        <w:rPr>
          <w:rFonts w:ascii="Times New Roman" w:cs="Times New Roman" w:eastAsia="Times New Roman" w:hAnsi="Times New Roman"/>
          <w:sz w:val="18"/>
          <w:szCs w:val="18"/>
          <w:color w:val="auto"/>
        </w:rPr>
      </w:pPr>
    </w:p>
    <w:p>
      <w:pPr>
        <w:ind w:left="420" w:right="160" w:hanging="412"/>
        <w:spacing w:after="0" w:line="255" w:lineRule="auto"/>
        <w:tabs>
          <w:tab w:leader="none" w:pos="42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(Recordkeeping), Tempus shall (at its sole cost) return, delete or destroy all GSK Confidential Information then in its possession or under its control, including (without limitation) all originals and copies of such GSK Confidential Information in any medium, and any materials derived from or incorporating such GSK Confidential Information upon the earlier of:</w:t>
      </w:r>
    </w:p>
    <w:p>
      <w:pPr>
        <w:spacing w:after="0" w:line="75"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1"/>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falling [***] after GSK’s request for such return, deletion or destruction, for any reason; or</w:t>
      </w:r>
    </w:p>
    <w:p>
      <w:pPr>
        <w:spacing w:after="0" w:line="108" w:lineRule="exact"/>
        <w:rPr>
          <w:rFonts w:ascii="Times New Roman" w:cs="Times New Roman" w:eastAsia="Times New Roman" w:hAnsi="Times New Roman"/>
          <w:sz w:val="18"/>
          <w:szCs w:val="18"/>
          <w:color w:val="auto"/>
        </w:rPr>
      </w:pPr>
    </w:p>
    <w:p>
      <w:pPr>
        <w:ind w:left="440" w:right="360" w:hanging="4"/>
        <w:spacing w:after="0" w:line="267" w:lineRule="auto"/>
        <w:tabs>
          <w:tab w:leader="none" w:pos="746" w:val="left"/>
        </w:tabs>
        <w:numPr>
          <w:ilvl w:val="1"/>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falling [***] after the Termination Date, and shall certify compliance with this requirement by written notice to GSK received no later than [***] following such return, deletion or destruction of all GSK Confidential Information.</w:t>
      </w:r>
    </w:p>
    <w:p>
      <w:pPr>
        <w:spacing w:after="0" w:line="77" w:lineRule="exact"/>
        <w:rPr>
          <w:rFonts w:ascii="Times New Roman" w:cs="Times New Roman" w:eastAsia="Times New Roman" w:hAnsi="Times New Roman"/>
          <w:sz w:val="18"/>
          <w:szCs w:val="18"/>
          <w:color w:val="auto"/>
        </w:rPr>
      </w:pPr>
    </w:p>
    <w:p>
      <w:pPr>
        <w:ind w:left="420" w:right="100" w:hanging="412"/>
        <w:spacing w:after="0" w:line="251" w:lineRule="auto"/>
        <w:tabs>
          <w:tab w:leader="none" w:pos="42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returned to GSK shall be (a) in the format in which such data was provided to Tempus by GSK (or the then-current replacement for such original format), (b) in an industry standard, open format or (c) in such format as the Parties agree. Except as otherwise approved by GSK or with respect to GSK Confidential Information generated by Tempus’ proprietary systems, data returned by Tempus shall not be provided to GSK in Tempus’s (or any third party’s) proprietary format.</w:t>
      </w:r>
    </w:p>
    <w:p>
      <w:pPr>
        <w:spacing w:after="0" w:line="92" w:lineRule="exact"/>
        <w:rPr>
          <w:rFonts w:ascii="Times New Roman" w:cs="Times New Roman" w:eastAsia="Times New Roman" w:hAnsi="Times New Roman"/>
          <w:sz w:val="18"/>
          <w:szCs w:val="18"/>
          <w:color w:val="auto"/>
        </w:rPr>
      </w:pPr>
    </w:p>
    <w:p>
      <w:pPr>
        <w:ind w:left="420" w:right="20" w:hanging="412"/>
        <w:spacing w:after="0" w:line="255" w:lineRule="auto"/>
        <w:tabs>
          <w:tab w:leader="none" w:pos="42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Tempus is not required to return or destroy any GSK Confidential Information stored in the ordinary course of business in Tempus’ electronic backup or similar archive systems, so long as Tempus ensures compliance with its confidentiality obligations under this Agreement and any Task Order with respect to any such retained GSK Confidential Information.</w:t>
      </w:r>
    </w:p>
    <w:p>
      <w:pPr>
        <w:spacing w:after="0" w:line="88" w:lineRule="exact"/>
        <w:rPr>
          <w:rFonts w:ascii="Times New Roman" w:cs="Times New Roman" w:eastAsia="Times New Roman" w:hAnsi="Times New Roman"/>
          <w:sz w:val="18"/>
          <w:szCs w:val="18"/>
          <w:color w:val="auto"/>
        </w:rPr>
      </w:pPr>
    </w:p>
    <w:p>
      <w:pPr>
        <w:ind w:left="420" w:right="40" w:hanging="412"/>
        <w:spacing w:after="0" w:line="249" w:lineRule="auto"/>
        <w:tabs>
          <w:tab w:leader="none" w:pos="42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Applicable Law prevents or precludes the return, deletion or destruction of any GSK Confidential Information by Tempus on the date required pursuant to paragraph (b) above (the “</w:t>
      </w:r>
      <w:r>
        <w:rPr>
          <w:rFonts w:ascii="Times New Roman" w:cs="Times New Roman" w:eastAsia="Times New Roman" w:hAnsi="Times New Roman"/>
          <w:sz w:val="18"/>
          <w:szCs w:val="18"/>
          <w:b w:val="1"/>
          <w:bCs w:val="1"/>
          <w:color w:val="auto"/>
        </w:rPr>
        <w:t>Return Date</w:t>
      </w:r>
      <w:r>
        <w:rPr>
          <w:rFonts w:ascii="Times New Roman" w:cs="Times New Roman" w:eastAsia="Times New Roman" w:hAnsi="Times New Roman"/>
          <w:sz w:val="18"/>
          <w:szCs w:val="18"/>
          <w:color w:val="auto"/>
        </w:rPr>
        <w:t>”), Tempus shall notify GSK in writing, in reasonable detail, of the reason for not returning, deleting or destroying such GSK Confidential Information. In such case, (a) Tempus shall return, delete or destroy the GSK Confidential Information as soon as possible after the Return Date and (b) except to the extent required by Applicable Law, Tempus shall not access, use or Process such GSK Confidential Information without GSK’s express prior written consent on or after the Return Date.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720"/>
          </w:cols>
          <w:pgMar w:left="580" w:top="266" w:right="599" w:bottom="1440" w:gutter="0" w:footer="0" w:header="0"/>
        </w:sectPr>
      </w:pPr>
    </w:p>
    <w:bookmarkStart w:id="646" w:name="page647"/>
    <w:bookmarkEnd w:id="646"/>
    <w:p>
      <w:pPr>
        <w:ind w:left="412" w:right="80" w:hanging="412"/>
        <w:spacing w:after="0" w:line="248" w:lineRule="auto"/>
        <w:tabs>
          <w:tab w:leader="none" w:pos="412"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Tempus’s obligations under this Section 15.1 and Section 15.2 shall survive any termination of this Agreement, and Tempus agrees that it shall comply with the terms of this Agreement with regard to GSK Confidential Information for as long as such GSK Confidential Information is retained by Tempus or any Approved Subcontractor in any form. Without limitation of the foregoing, the Parties acknowledge and agree that any GSK Confidential Information that constitutes a Trade Secret shall remain subject to the confidentiality and use obligations set forth herein for so long as such information remains a Trade Secret under Applicable Law; provided, that GSK shall expressly identify any such GSK Confidential Information constituting a Trade Secret to Tempus in writing.</w:t>
      </w:r>
    </w:p>
    <w:p>
      <w:pPr>
        <w:spacing w:after="0" w:line="95" w:lineRule="exact"/>
        <w:rPr>
          <w:rFonts w:ascii="Times New Roman" w:cs="Times New Roman" w:eastAsia="Times New Roman" w:hAnsi="Times New Roman"/>
          <w:sz w:val="18"/>
          <w:szCs w:val="18"/>
          <w:color w:val="auto"/>
        </w:rPr>
      </w:pPr>
    </w:p>
    <w:p>
      <w:pPr>
        <w:ind w:left="412" w:right="660" w:hanging="412"/>
        <w:spacing w:after="0" w:line="267" w:lineRule="auto"/>
        <w:tabs>
          <w:tab w:leader="none" w:pos="412"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forgoing, Tempus has the right to retain one copy of GSK Confidential Information for ensuring compliance with its confidentiality obligations under this Agreement.</w:t>
      </w:r>
    </w:p>
    <w:p>
      <w:pPr>
        <w:spacing w:after="0" w:line="312"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6"/>
          <w:szCs w:val="16"/>
          <w:b w:val="1"/>
          <w:bCs w:val="1"/>
          <w:color w:val="auto"/>
        </w:rPr>
        <w:t>Tempus Confidential Information</w:t>
      </w:r>
    </w:p>
    <w:p>
      <w:pPr>
        <w:spacing w:after="0" w:line="123" w:lineRule="exact"/>
        <w:rPr>
          <w:sz w:val="20"/>
          <w:szCs w:val="20"/>
          <w:color w:val="auto"/>
        </w:rPr>
      </w:pPr>
    </w:p>
    <w:p>
      <w:pPr>
        <w:ind w:left="412" w:hanging="412"/>
        <w:spacing w:after="0"/>
        <w:tabs>
          <w:tab w:leader="none" w:pos="412"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(Recordkeeping), GSK agrees that Tempus Confidential Information is the sole property of Tempus and GSK shall:</w:t>
      </w:r>
    </w:p>
    <w:p>
      <w:pPr>
        <w:spacing w:after="0" w:line="108" w:lineRule="exact"/>
        <w:rPr>
          <w:rFonts w:ascii="Times New Roman" w:cs="Times New Roman" w:eastAsia="Times New Roman" w:hAnsi="Times New Roman"/>
          <w:sz w:val="18"/>
          <w:szCs w:val="18"/>
          <w:color w:val="auto"/>
        </w:rPr>
      </w:pPr>
    </w:p>
    <w:p>
      <w:pPr>
        <w:ind w:left="732" w:hanging="304"/>
        <w:spacing w:after="0"/>
        <w:tabs>
          <w:tab w:leader="none" w:pos="732" w:val="left"/>
        </w:tabs>
        <w:numPr>
          <w:ilvl w:val="1"/>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 Tempus Confidential Information for any purposes other than the performance of this Agreement and any Task Order;</w:t>
      </w:r>
    </w:p>
    <w:p>
      <w:pPr>
        <w:spacing w:after="0" w:line="108" w:lineRule="exact"/>
        <w:rPr>
          <w:rFonts w:ascii="Times New Roman" w:cs="Times New Roman" w:eastAsia="Times New Roman" w:hAnsi="Times New Roman"/>
          <w:sz w:val="18"/>
          <w:szCs w:val="18"/>
          <w:color w:val="auto"/>
        </w:rPr>
      </w:pPr>
    </w:p>
    <w:p>
      <w:pPr>
        <w:ind w:left="432" w:right="40" w:hanging="4"/>
        <w:spacing w:after="0" w:line="255" w:lineRule="auto"/>
        <w:tabs>
          <w:tab w:leader="none" w:pos="739" w:val="left"/>
        </w:tabs>
        <w:numPr>
          <w:ilvl w:val="1"/>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disclose Tempus Confidential Information to any third party except as necessary for the performance of this Agreement and any Task Order (including where that third party is an Affiliate or Associated Party of GSK); provided that, prior to any such disclosure, that third party has entered into confidentiality undertakings no less onerous than those contained in this Section;</w:t>
      </w:r>
    </w:p>
    <w:p>
      <w:pPr>
        <w:spacing w:after="0" w:line="75" w:lineRule="exact"/>
        <w:rPr>
          <w:rFonts w:ascii="Times New Roman" w:cs="Times New Roman" w:eastAsia="Times New Roman" w:hAnsi="Times New Roman"/>
          <w:sz w:val="18"/>
          <w:szCs w:val="18"/>
          <w:color w:val="auto"/>
        </w:rPr>
      </w:pPr>
    </w:p>
    <w:p>
      <w:pPr>
        <w:ind w:left="732" w:hanging="304"/>
        <w:spacing w:after="0"/>
        <w:tabs>
          <w:tab w:leader="none" w:pos="732" w:val="left"/>
        </w:tabs>
        <w:numPr>
          <w:ilvl w:val="1"/>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reverse engineer any Tempus Confidential Information except as permitted by the terms of any Task Order;</w:t>
      </w:r>
    </w:p>
    <w:p>
      <w:pPr>
        <w:spacing w:after="0" w:line="108" w:lineRule="exact"/>
        <w:rPr>
          <w:rFonts w:ascii="Times New Roman" w:cs="Times New Roman" w:eastAsia="Times New Roman" w:hAnsi="Times New Roman"/>
          <w:sz w:val="18"/>
          <w:szCs w:val="18"/>
          <w:color w:val="auto"/>
        </w:rPr>
      </w:pPr>
    </w:p>
    <w:p>
      <w:pPr>
        <w:ind w:left="432" w:right="900" w:hanging="4"/>
        <w:spacing w:after="0" w:line="267" w:lineRule="auto"/>
        <w:tabs>
          <w:tab w:leader="none" w:pos="739" w:val="left"/>
        </w:tabs>
        <w:numPr>
          <w:ilvl w:val="1"/>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confidential and secure Tempus Confidential Information with the same standard of care that is used with GSK Confidential Information, but in no event less than reasonable care; and</w:t>
      </w:r>
    </w:p>
    <w:p>
      <w:pPr>
        <w:spacing w:after="0" w:line="64" w:lineRule="exact"/>
        <w:rPr>
          <w:rFonts w:ascii="Times New Roman" w:cs="Times New Roman" w:eastAsia="Times New Roman" w:hAnsi="Times New Roman"/>
          <w:sz w:val="18"/>
          <w:szCs w:val="18"/>
          <w:color w:val="auto"/>
        </w:rPr>
      </w:pPr>
    </w:p>
    <w:p>
      <w:pPr>
        <w:ind w:left="432" w:hanging="4"/>
        <w:spacing w:after="0" w:line="247" w:lineRule="auto"/>
        <w:tabs>
          <w:tab w:leader="none" w:pos="729" w:val="left"/>
        </w:tabs>
        <w:numPr>
          <w:ilvl w:val="1"/>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Termination Date, subject to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(Recordkeeping), promptly return or destroy all Tempus Confidential Information, including (without limitation) all originals and copies of such Tempus Confidential Information in any medium, and any materials derived from or incorporating such Tempus Confidential Information, subject to the following sentence. For clarity, such obligation includes return and destruction of all Licensed Data, but does not require the return or destruction of any GSK Work Product or GSK Arising IP. Notwithstanding the foregoing, GSK is not required to return or destroy any Tempus Confidential Information stored in the ordinary course of business in GSK’s electronic backup or similar archive systems, so long as GSK ensures compliance with its confidentiality obligations under this Agreement and any Task Order with respect to any such retained Tempus Confidential Information.</w:t>
      </w:r>
    </w:p>
    <w:p>
      <w:pPr>
        <w:spacing w:after="0" w:line="1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692"/>
          </w:cols>
          <w:pgMar w:left="588" w:top="266" w:right="619" w:bottom="1440" w:gutter="0" w:footer="0" w:header="0"/>
        </w:sectPr>
      </w:pPr>
    </w:p>
    <w:bookmarkStart w:id="647" w:name="page648"/>
    <w:bookmarkEnd w:id="647"/>
    <w:p>
      <w:pPr>
        <w:ind w:left="412" w:right="680" w:hanging="412"/>
        <w:spacing w:after="0" w:line="267" w:lineRule="auto"/>
        <w:tabs>
          <w:tab w:leader="none" w:pos="412"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Notwithstanding the forgoing, GSK has the right to retain one copy of Tempus Confidential Information for ensuring compliance with its confidentiality obligations under this Agreement.</w:t>
      </w:r>
    </w:p>
    <w:p>
      <w:pPr>
        <w:spacing w:after="0" w:line="77" w:lineRule="exact"/>
        <w:rPr>
          <w:rFonts w:ascii="Times New Roman" w:cs="Times New Roman" w:eastAsia="Times New Roman" w:hAnsi="Times New Roman"/>
          <w:sz w:val="18"/>
          <w:szCs w:val="18"/>
          <w:color w:val="auto"/>
        </w:rPr>
      </w:pPr>
    </w:p>
    <w:p>
      <w:pPr>
        <w:ind w:left="412" w:right="300" w:hanging="412"/>
        <w:spacing w:after="0" w:line="267" w:lineRule="auto"/>
        <w:tabs>
          <w:tab w:leader="none" w:pos="412"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GSK discovers any suspected or actual unauthorised disclosure, loss or theft of Tempus Confidential Information, GSK will promptly notify Tempus by e-mail to [***] and work with Tempus in good faith to identify a root cause and remediate the issue.</w:t>
      </w:r>
    </w:p>
    <w:p>
      <w:pPr>
        <w:spacing w:after="0" w:line="77" w:lineRule="exact"/>
        <w:rPr>
          <w:rFonts w:ascii="Times New Roman" w:cs="Times New Roman" w:eastAsia="Times New Roman" w:hAnsi="Times New Roman"/>
          <w:sz w:val="18"/>
          <w:szCs w:val="18"/>
          <w:color w:val="auto"/>
        </w:rPr>
      </w:pPr>
    </w:p>
    <w:p>
      <w:pPr>
        <w:ind w:left="412" w:hanging="412"/>
        <w:spacing w:after="0" w:line="248" w:lineRule="auto"/>
        <w:tabs>
          <w:tab w:leader="none" w:pos="412"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GSK’s obligations under this Section 15.3 shall survive any termination of this Agreement, and GSK agrees that it shall comply with the terms of this Agreement with regard to Tempus Confidential Information for as long as such Tempus Confidential Information is retained by GSK or any of its Affiliates or Associated Parties in any form. Without limitation of the foregoing, the Parties acknowledge and agree that any Tempus Confidential Information that constitutes a Trade Secret shall remain subject to the confidentiality and use obligations set forth herein for so long as such information remains a Trade Secret under Applicable Law; provided, that Tempus shall expressly identify any such Tempus Confidential Information constituting a Trade Secret to GSK in writing.</w:t>
      </w:r>
    </w:p>
    <w:p>
      <w:pPr>
        <w:spacing w:after="0" w:line="329"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6"/>
          <w:szCs w:val="16"/>
          <w:b w:val="1"/>
          <w:bCs w:val="1"/>
          <w:color w:val="auto"/>
        </w:rPr>
        <w:t>Permitted disclosures</w:t>
      </w:r>
    </w:p>
    <w:p>
      <w:pPr>
        <w:spacing w:after="0" w:line="110"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8"/>
          <w:szCs w:val="18"/>
          <w:color w:val="auto"/>
        </w:rPr>
        <w:t>The restrictions on use or disclosure under this Section shall not extend to any information which:</w:t>
      </w:r>
    </w:p>
    <w:p>
      <w:pPr>
        <w:spacing w:after="0" w:line="121" w:lineRule="exact"/>
        <w:rPr>
          <w:sz w:val="20"/>
          <w:szCs w:val="20"/>
          <w:color w:val="auto"/>
        </w:rPr>
      </w:pPr>
    </w:p>
    <w:p>
      <w:pPr>
        <w:ind w:left="412" w:hanging="412"/>
        <w:spacing w:after="0"/>
        <w:tabs>
          <w:tab w:leader="none" w:pos="412"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publicly available, except through breach of this Agreement or any Task Order;</w:t>
      </w:r>
    </w:p>
    <w:p>
      <w:pPr>
        <w:spacing w:after="0" w:line="121"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can demonstrate was lawfully possessed by it prior to disclosure or development under this Agreement or any Task Order;</w:t>
      </w:r>
    </w:p>
    <w:p>
      <w:pPr>
        <w:spacing w:after="0" w:line="121"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receives from a third party which is not legally prohibited from disclosing such information;</w:t>
      </w:r>
    </w:p>
    <w:p>
      <w:pPr>
        <w:spacing w:after="0" w:line="121" w:lineRule="exact"/>
        <w:rPr>
          <w:rFonts w:ascii="Times New Roman" w:cs="Times New Roman" w:eastAsia="Times New Roman" w:hAnsi="Times New Roman"/>
          <w:sz w:val="18"/>
          <w:szCs w:val="18"/>
          <w:color w:val="auto"/>
        </w:rPr>
      </w:pPr>
    </w:p>
    <w:p>
      <w:pPr>
        <w:ind w:left="412" w:right="520" w:hanging="412"/>
        <w:spacing w:after="0" w:line="267" w:lineRule="auto"/>
        <w:tabs>
          <w:tab w:leader="none" w:pos="412"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can demonstrate was independently developed by, for or on behalf of the receiving Party, or their Affiliates, without reference to the information disclosed; or</w:t>
      </w:r>
    </w:p>
    <w:p>
      <w:pPr>
        <w:spacing w:after="0" w:line="77" w:lineRule="exact"/>
        <w:rPr>
          <w:rFonts w:ascii="Times New Roman" w:cs="Times New Roman" w:eastAsia="Times New Roman" w:hAnsi="Times New Roman"/>
          <w:sz w:val="18"/>
          <w:szCs w:val="18"/>
          <w:color w:val="auto"/>
        </w:rPr>
      </w:pPr>
    </w:p>
    <w:p>
      <w:pPr>
        <w:ind w:left="412" w:right="40" w:hanging="412"/>
        <w:spacing w:after="0" w:line="255" w:lineRule="auto"/>
        <w:tabs>
          <w:tab w:leader="none" w:pos="412"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is required by a regulator or Applicable Law to disclose, provided that the other Party is promptly notified of any such requirement (to the extent legally permitted) and to the extent practicable the recipient of the information is informed by the disclosing Party of the confidential nature of the information.</w:t>
      </w:r>
    </w:p>
    <w:p>
      <w:pPr>
        <w:spacing w:after="0" w:line="323"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6"/>
          <w:szCs w:val="16"/>
          <w:b w:val="1"/>
          <w:bCs w:val="1"/>
          <w:color w:val="auto"/>
        </w:rPr>
        <w:t>Communications Plan; Publicity</w:t>
      </w:r>
    </w:p>
    <w:p>
      <w:pPr>
        <w:spacing w:after="0" w:line="123" w:lineRule="exact"/>
        <w:rPr>
          <w:sz w:val="20"/>
          <w:szCs w:val="20"/>
          <w:color w:val="auto"/>
        </w:rPr>
      </w:pPr>
    </w:p>
    <w:p>
      <w:pPr>
        <w:ind w:left="412" w:right="40" w:hanging="412"/>
        <w:spacing w:after="0" w:line="251" w:lineRule="auto"/>
        <w:tabs>
          <w:tab w:leader="none" w:pos="412"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 of the Effective Date, the Parties will mutually agree on a communications strategy for the timing and nature of any press release or other public announcement of the Strategic Collaboration (the “</w:t>
      </w:r>
      <w:r>
        <w:rPr>
          <w:rFonts w:ascii="Times New Roman" w:cs="Times New Roman" w:eastAsia="Times New Roman" w:hAnsi="Times New Roman"/>
          <w:sz w:val="18"/>
          <w:szCs w:val="18"/>
          <w:b w:val="1"/>
          <w:bCs w:val="1"/>
          <w:color w:val="auto"/>
        </w:rPr>
        <w:t>Communications Plan</w:t>
      </w:r>
      <w:r>
        <w:rPr>
          <w:rFonts w:ascii="Times New Roman" w:cs="Times New Roman" w:eastAsia="Times New Roman" w:hAnsi="Times New Roman"/>
          <w:sz w:val="18"/>
          <w:szCs w:val="18"/>
          <w:color w:val="auto"/>
        </w:rPr>
        <w:t>”), and all public announcements with respect to the Strategic Collaboration will be consistent with the Communications Plan unless otherwise agreed to in writing by the Parties. Except for any press release or public announcement made as</w:t>
      </w:r>
    </w:p>
    <w:p>
      <w:pPr>
        <w:spacing w:after="0" w:line="1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12"/>
          </w:cols>
          <w:pgMar w:left="588" w:top="265" w:right="599" w:bottom="1440" w:gutter="0" w:footer="0" w:header="0"/>
        </w:sectPr>
      </w:pPr>
    </w:p>
    <w:bookmarkStart w:id="648" w:name="page649"/>
    <w:bookmarkEnd w:id="648"/>
    <w:p>
      <w:pPr>
        <w:ind w:left="420" w:right="80"/>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contemplated by and in accordance with the Communications Plan, neither GSK nor Tempus shall disclose this Agreement or any Task Order or any terms or conditions thereof, or any discussions or communications between the Parties in connection therewith, publicly or to any Third Party without the prior written consent of the other Party. Notwithstanding the foregoing, (a) any Party having public reporting obligations shall be permitted to make any public statement or filing without obtaining the consent of the other Party if (i) the disclosure is required by Applicable Law or the rules of any relevant national stock exchange or regulatory authority having jurisdiction and (ii) the disclosing Party has first provided a copy of such public statement or filing to the other Party and considered any reasonable comments proposed by such other party with respect thereto, including with respect to appropriate redactions as permitted by Applicable Law; and (b) nothing herein shall restrict either Party from disclose information as required by Applicable Law or to such Party’s and its Affiliates’ Personnel or Associated Parties who have a reasonable need to know such information, provided that such persons are subject to confidentiality obligations and all other applicable terms of this Agreement with respect thereto.</w:t>
      </w:r>
    </w:p>
    <w:p>
      <w:pPr>
        <w:spacing w:after="0" w:line="97" w:lineRule="exact"/>
        <w:rPr>
          <w:sz w:val="20"/>
          <w:szCs w:val="20"/>
          <w:color w:val="auto"/>
        </w:rPr>
      </w:pPr>
    </w:p>
    <w:p>
      <w:pPr>
        <w:ind w:left="420" w:hanging="412"/>
        <w:spacing w:after="0" w:line="283" w:lineRule="auto"/>
        <w:tabs>
          <w:tab w:leader="none" w:pos="420" w:val="left"/>
        </w:tabs>
        <w:numPr>
          <w:ilvl w:val="0"/>
          <w:numId w:val="6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Without limiting Tempus’s obligations under this </w:t>
      </w:r>
      <w:r>
        <w:rPr>
          <w:rFonts w:ascii="Times New Roman" w:cs="Times New Roman" w:eastAsia="Times New Roman" w:hAnsi="Times New Roman"/>
          <w:sz w:val="16"/>
          <w:szCs w:val="16"/>
          <w:u w:val="single" w:color="auto"/>
          <w:color w:val="auto"/>
        </w:rPr>
        <w:t>Section 15.5</w:t>
      </w:r>
      <w:r>
        <w:rPr>
          <w:rFonts w:ascii="Times New Roman" w:cs="Times New Roman" w:eastAsia="Times New Roman" w:hAnsi="Times New Roman"/>
          <w:sz w:val="16"/>
          <w:szCs w:val="16"/>
          <w:color w:val="auto"/>
        </w:rPr>
        <w:t xml:space="preserve"> or otherwise with respect to the GSK Confidential Information, or GSK’s obligations with respect to Tempus Confidential Information, the Parties specifically agree, for clarity, that GSK shall have the exclusive right to publish any and all Results generated by Tempus in performing the Activities at its sole discretion. Tempus shall not publish any Results at any time without the prior written consent of GSK. GSK may choose to authorise Tempus to publish any Results independently or in the names of both Parties at its sole discretion; provided that in the event of any publication where any Tempus Personnel is to be a named author, or Tempus is expressly referenced by name (other than merely to state that certain data was provided by Tempus), Tempus will be provided a reasonable amount of time to review and provide reasonable feedback regarding such content, which such feedback will not be unreasonably rejected by GSK.</w:t>
      </w:r>
    </w:p>
    <w:p>
      <w:pPr>
        <w:spacing w:after="0" w:line="265" w:lineRule="exact"/>
        <w:rPr>
          <w:sz w:val="20"/>
          <w:szCs w:val="20"/>
          <w:color w:val="auto"/>
        </w:rPr>
      </w:pPr>
    </w:p>
    <w:p>
      <w:pPr>
        <w:ind w:left="400" w:hanging="392"/>
        <w:spacing w:after="0"/>
        <w:tabs>
          <w:tab w:leader="none" w:pos="400"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Use of Parties’ Names</w:t>
      </w:r>
    </w:p>
    <w:p>
      <w:pPr>
        <w:spacing w:after="0" w:line="123" w:lineRule="exact"/>
        <w:rPr>
          <w:sz w:val="20"/>
          <w:szCs w:val="20"/>
          <w:color w:val="auto"/>
        </w:rPr>
      </w:pPr>
    </w:p>
    <w:p>
      <w:pPr>
        <w:ind w:left="1060" w:right="140" w:hanging="629"/>
        <w:spacing w:after="0" w:line="251" w:lineRule="auto"/>
        <w:tabs>
          <w:tab w:leader="none" w:pos="10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 xml:space="preserve">Except as expressly permitted by </w:t>
      </w:r>
      <w:r>
        <w:rPr>
          <w:rFonts w:ascii="Times New Roman" w:cs="Times New Roman" w:eastAsia="Times New Roman" w:hAnsi="Times New Roman"/>
          <w:sz w:val="18"/>
          <w:szCs w:val="18"/>
          <w:u w:val="single" w:color="auto"/>
          <w:color w:val="auto"/>
        </w:rPr>
        <w:t>Section 15.5</w:t>
      </w:r>
      <w:r>
        <w:rPr>
          <w:rFonts w:ascii="Times New Roman" w:cs="Times New Roman" w:eastAsia="Times New Roman" w:hAnsi="Times New Roman"/>
          <w:sz w:val="18"/>
          <w:szCs w:val="18"/>
          <w:color w:val="auto"/>
        </w:rPr>
        <w:t>, neither Party shall make or release or have made or released on its behalf any public oral or written statement, information advertisement or publicity in connection with this Agreement or any related document. Neither Party may use the other Party’s name, trademarks or in any other public way identify the other Party without the other party’s prior written consent.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720"/>
          </w:cols>
          <w:pgMar w:left="580" w:top="265" w:right="599" w:bottom="1440" w:gutter="0" w:footer="0" w:header="0"/>
        </w:sectPr>
      </w:pPr>
    </w:p>
    <w:bookmarkStart w:id="649" w:name="page650"/>
    <w:bookmarkEnd w:id="649"/>
    <w:p>
      <w:pPr>
        <w:ind w:left="1052" w:right="200" w:hanging="629"/>
        <w:spacing w:after="0" w:line="255" w:lineRule="auto"/>
        <w:tabs>
          <w:tab w:leader="none" w:pos="103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16.2</w:t>
      </w:r>
      <w:r>
        <w:rPr>
          <w:sz w:val="20"/>
          <w:szCs w:val="20"/>
          <w:color w:val="auto"/>
        </w:rPr>
        <w:tab/>
      </w:r>
      <w:r>
        <w:rPr>
          <w:rFonts w:ascii="Times New Roman" w:cs="Times New Roman" w:eastAsia="Times New Roman" w:hAnsi="Times New Roman"/>
          <w:sz w:val="18"/>
          <w:szCs w:val="18"/>
          <w:color w:val="auto"/>
        </w:rPr>
        <w:t>GSK’s name, trademarks, logos and names of GSK Representatives or other GSK Personnel should not be visible in Tempus’s or Approved Subcontractor’s laboratory or elsewhere on Tempus’s or Approved Subcontractor’s premises to visitors who are not on GSK business.</w:t>
      </w:r>
    </w:p>
    <w:p>
      <w:pPr>
        <w:spacing w:after="0" w:line="283" w:lineRule="exact"/>
        <w:rPr>
          <w:sz w:val="20"/>
          <w:szCs w:val="20"/>
          <w:color w:val="auto"/>
        </w:rPr>
      </w:pPr>
    </w:p>
    <w:p>
      <w:pPr>
        <w:ind w:left="392" w:hanging="392"/>
        <w:spacing w:after="0"/>
        <w:tabs>
          <w:tab w:leader="none" w:pos="392"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6"/>
          <w:szCs w:val="16"/>
          <w:b w:val="1"/>
          <w:bCs w:val="1"/>
          <w:color w:val="auto"/>
        </w:rPr>
        <w:t>GSK Work Product</w:t>
      </w:r>
    </w:p>
    <w:p>
      <w:pPr>
        <w:spacing w:after="0" w:line="123" w:lineRule="exact"/>
        <w:rPr>
          <w:sz w:val="20"/>
          <w:szCs w:val="20"/>
          <w:color w:val="auto"/>
        </w:rPr>
      </w:pPr>
    </w:p>
    <w:p>
      <w:pPr>
        <w:ind w:left="412" w:hanging="412"/>
        <w:spacing w:after="0" w:line="251" w:lineRule="auto"/>
        <w:tabs>
          <w:tab w:leader="none" w:pos="412"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GSK or its designee shall be the sole owner of all GSK Work Product under this Agreement and any Task Order (including Arising IP therein in accordance with </w:t>
      </w:r>
      <w:r>
        <w:rPr>
          <w:rFonts w:ascii="Times New Roman" w:cs="Times New Roman" w:eastAsia="Times New Roman" w:hAnsi="Times New Roman"/>
          <w:sz w:val="18"/>
          <w:szCs w:val="18"/>
          <w:u w:val="single" w:color="auto"/>
          <w:color w:val="auto"/>
        </w:rPr>
        <w:t>Section 17.3</w:t>
      </w:r>
      <w:r>
        <w:rPr>
          <w:rFonts w:ascii="Times New Roman" w:cs="Times New Roman" w:eastAsia="Times New Roman" w:hAnsi="Times New Roman"/>
          <w:sz w:val="18"/>
          <w:szCs w:val="18"/>
          <w:color w:val="auto"/>
        </w:rPr>
        <w:t>) and title therein shall be the exclusive property of GSK or its designee. Accordingly, GSK or its designee shall have the right, but not any obligation, to apply for any copyright, design, Patent or any other registered Intellectual Property protection on such GSK Work Product that it deems appropriate in its sole discretion.</w:t>
      </w:r>
    </w:p>
    <w:p>
      <w:pPr>
        <w:spacing w:after="0" w:line="92" w:lineRule="exact"/>
        <w:rPr>
          <w:rFonts w:ascii="Times New Roman" w:cs="Times New Roman" w:eastAsia="Times New Roman" w:hAnsi="Times New Roman"/>
          <w:sz w:val="18"/>
          <w:szCs w:val="18"/>
          <w:color w:val="auto"/>
        </w:rPr>
      </w:pPr>
    </w:p>
    <w:p>
      <w:pPr>
        <w:ind w:left="412" w:right="460" w:hanging="412"/>
        <w:spacing w:after="0" w:line="267" w:lineRule="auto"/>
        <w:tabs>
          <w:tab w:leader="none" w:pos="412"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out in this Agreement or any Task Order, Tempus shall have no right, license or other interest in or to the GSK Work Product, nor any Arising IP therein.</w:t>
      </w:r>
    </w:p>
    <w:p>
      <w:pPr>
        <w:spacing w:after="0" w:line="77" w:lineRule="exact"/>
        <w:rPr>
          <w:rFonts w:ascii="Times New Roman" w:cs="Times New Roman" w:eastAsia="Times New Roman" w:hAnsi="Times New Roman"/>
          <w:sz w:val="18"/>
          <w:szCs w:val="18"/>
          <w:color w:val="auto"/>
        </w:rPr>
      </w:pPr>
    </w:p>
    <w:p>
      <w:pPr>
        <w:ind w:left="412" w:right="40" w:hanging="412"/>
        <w:spacing w:after="0" w:line="251" w:lineRule="auto"/>
        <w:tabs>
          <w:tab w:leader="none" w:pos="412"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Parties agree that from time to time the Parties may mutually agree to enter into one or more Task Orders to be performed on a cost-sharing basis between the Parties and with respect to which GSK and Tempus may mutually agree to vest in Tempus certain rights with respect to the GSK Work Product specifically associated with such Task Order and solely to the extent expressly set forth in such Task Order and consented to in writing by GSK in its sole discretion.</w:t>
      </w:r>
    </w:p>
    <w:p>
      <w:pPr>
        <w:spacing w:after="0" w:line="326" w:lineRule="exact"/>
        <w:rPr>
          <w:rFonts w:ascii="Times New Roman" w:cs="Times New Roman" w:eastAsia="Times New Roman" w:hAnsi="Times New Roman"/>
          <w:sz w:val="18"/>
          <w:szCs w:val="18"/>
          <w:color w:val="auto"/>
        </w:rPr>
      </w:pPr>
    </w:p>
    <w:p>
      <w:pPr>
        <w:ind w:left="4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w:t>
      </w:r>
      <w:r>
        <w:rPr>
          <w:rFonts w:ascii="Times New Roman" w:cs="Times New Roman" w:eastAsia="Times New Roman" w:hAnsi="Times New Roman"/>
          <w:sz w:val="16"/>
          <w:szCs w:val="16"/>
          <w:b w:val="1"/>
          <w:bCs w:val="1"/>
          <w:color w:val="auto"/>
        </w:rPr>
        <w:t>Background IP</w:t>
      </w:r>
    </w:p>
    <w:p>
      <w:pPr>
        <w:spacing w:after="0" w:line="110" w:lineRule="exact"/>
        <w:rPr>
          <w:rFonts w:ascii="Times New Roman" w:cs="Times New Roman" w:eastAsia="Times New Roman" w:hAnsi="Times New Roman"/>
          <w:sz w:val="18"/>
          <w:szCs w:val="18"/>
          <w:color w:val="auto"/>
        </w:rPr>
      </w:pPr>
    </w:p>
    <w:p>
      <w:pPr>
        <w:ind w:left="432" w:right="20"/>
        <w:spacing w:after="0" w:line="28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As between the Parties, GSK Background IP shall remain the property of GSK, and Tempus Background IP shall remain the property of Tempus. Each Party hereby grants to the other Party a limited, non-exclusive, non-transferable and royalty-free license (sub-licensable to Affiliates and Associated Parties) in the applicable Territory under Tempus Background IP and GSK Background IP, as applicable, that is made available for use under this Agreement and each Task Order, for the sole purpose of, and only to the extent required to fulfil its obligations under this Agreement and such Task Order. In addition, Tempus hereby grants GSK a non-exclusive, non-transferable, royalty-free, perpetual, irrevocable license (sub-licensable to Affiliates and Associated Parties) under the Tempus Background IP to the extent necessary to exploit the GSK Arising IP.</w:t>
      </w:r>
    </w:p>
    <w:p>
      <w:pPr>
        <w:spacing w:after="0" w:line="301" w:lineRule="exact"/>
        <w:rPr>
          <w:rFonts w:ascii="Times New Roman" w:cs="Times New Roman" w:eastAsia="Times New Roman" w:hAnsi="Times New Roman"/>
          <w:sz w:val="18"/>
          <w:szCs w:val="18"/>
          <w:color w:val="auto"/>
        </w:rPr>
      </w:pPr>
    </w:p>
    <w:p>
      <w:pPr>
        <w:ind w:left="4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w:t>
      </w:r>
      <w:r>
        <w:rPr>
          <w:rFonts w:ascii="Times New Roman" w:cs="Times New Roman" w:eastAsia="Times New Roman" w:hAnsi="Times New Roman"/>
          <w:sz w:val="16"/>
          <w:szCs w:val="16"/>
          <w:b w:val="1"/>
          <w:bCs w:val="1"/>
          <w:color w:val="auto"/>
        </w:rPr>
        <w:t>Arising IP</w:t>
      </w:r>
    </w:p>
    <w:p>
      <w:pPr>
        <w:spacing w:after="0" w:line="110" w:lineRule="exact"/>
        <w:rPr>
          <w:rFonts w:ascii="Times New Roman" w:cs="Times New Roman" w:eastAsia="Times New Roman" w:hAnsi="Times New Roman"/>
          <w:sz w:val="18"/>
          <w:szCs w:val="18"/>
          <w:color w:val="auto"/>
        </w:rPr>
      </w:pPr>
    </w:p>
    <w:p>
      <w:pPr>
        <w:ind w:left="432" w:right="40"/>
        <w:spacing w:after="0" w:line="3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Parties agree that all Arising IP, whether conceived, discovered, reduced to practice or writing, generated or developed by GSK, its Affiliates, its or their Personnel or permitted Third Party subcontractors, or by Tempus, its Affiliates, its or their Personnel or permitted Third Party</w:t>
      </w:r>
    </w:p>
    <w:p>
      <w:pPr>
        <w:spacing w:after="0" w:line="5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692"/>
          </w:cols>
          <w:pgMar w:left="588" w:top="265" w:right="619" w:bottom="1440" w:gutter="0" w:footer="0" w:header="0"/>
        </w:sectPr>
      </w:pPr>
    </w:p>
    <w:bookmarkStart w:id="650" w:name="page651"/>
    <w:bookmarkEnd w:id="650"/>
    <w:p>
      <w:pPr>
        <w:ind w:left="432"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subcontractors, solely or jointly, in connection with the Activities under this Agreement or any Task Order will be treated as follows (except, solely with respect to any Task Order pursuant to which Tempus is engaged to perform Activities relating specifically to AI/ML activities, as may be otherwise expressly agreed in such Task Order):</w:t>
      </w:r>
    </w:p>
    <w:p>
      <w:pPr>
        <w:spacing w:after="0" w:line="89" w:lineRule="exact"/>
        <w:rPr>
          <w:sz w:val="20"/>
          <w:szCs w:val="20"/>
          <w:color w:val="auto"/>
        </w:rPr>
      </w:pPr>
    </w:p>
    <w:p>
      <w:pPr>
        <w:ind w:left="412" w:hanging="412"/>
        <w:spacing w:after="0" w:line="246" w:lineRule="auto"/>
        <w:tabs>
          <w:tab w:leader="none" w:pos="412"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will own all rights, title and interest in and to all Arising IP and Works that specifically relate to the Tempus Background IP (including, without limitation, [***]), and which do not make any use of or reference to any GSK Background IP or GSK Work Product, but in any event excluding all Arising IP in the GSK Work Product (which, for clarity, shall constitute GSK Arising IP) (“</w:t>
      </w:r>
      <w:r>
        <w:rPr>
          <w:rFonts w:ascii="Times New Roman" w:cs="Times New Roman" w:eastAsia="Times New Roman" w:hAnsi="Times New Roman"/>
          <w:sz w:val="18"/>
          <w:szCs w:val="18"/>
          <w:b w:val="1"/>
          <w:bCs w:val="1"/>
          <w:color w:val="auto"/>
        </w:rPr>
        <w:t>Tempus Arising IP</w:t>
      </w:r>
      <w:r>
        <w:rPr>
          <w:rFonts w:ascii="Times New Roman" w:cs="Times New Roman" w:eastAsia="Times New Roman" w:hAnsi="Times New Roman"/>
          <w:sz w:val="18"/>
          <w:szCs w:val="18"/>
          <w:color w:val="auto"/>
        </w:rPr>
        <w:t xml:space="preserve">”), and hereby grants to GSK and its Affiliates a limited, perpetual, non-revocable, non-exclusive, non-transferable, worldwide, fully paid-up, royalty-free license (sublicensable to Affiliates and Associated Parties) under the Tempus Arising IP solely for the purpose of performing its obligations under this Agreement and each Task Order and otherwise to the extent necessary to exploit the GSK Arising IP for any purpose; provided, that for clarity, the license contemplated by this sentence shall not constitute a license to access or use the Tempus Biotechnology Platform following the Termination Date or limit or abridge GSK’s obligations with respect to the destruction of Tempus Confidential Information pursuant to </w:t>
      </w:r>
      <w:r>
        <w:rPr>
          <w:rFonts w:ascii="Times New Roman" w:cs="Times New Roman" w:eastAsia="Times New Roman" w:hAnsi="Times New Roman"/>
          <w:sz w:val="18"/>
          <w:szCs w:val="18"/>
          <w:u w:val="single" w:color="auto"/>
          <w:color w:val="auto"/>
        </w:rPr>
        <w:t>Section 15.3</w:t>
      </w:r>
      <w:r>
        <w:rPr>
          <w:rFonts w:ascii="Times New Roman" w:cs="Times New Roman" w:eastAsia="Times New Roman" w:hAnsi="Times New Roman"/>
          <w:sz w:val="18"/>
          <w:szCs w:val="18"/>
          <w:color w:val="auto"/>
        </w:rPr>
        <w:t>. For clarity, the Tempus Arising IP is not intended to and shall not include [***].</w:t>
      </w:r>
    </w:p>
    <w:p>
      <w:pPr>
        <w:spacing w:after="0" w:line="99" w:lineRule="exact"/>
        <w:rPr>
          <w:rFonts w:ascii="Times New Roman" w:cs="Times New Roman" w:eastAsia="Times New Roman" w:hAnsi="Times New Roman"/>
          <w:sz w:val="18"/>
          <w:szCs w:val="18"/>
          <w:color w:val="auto"/>
        </w:rPr>
      </w:pPr>
    </w:p>
    <w:p>
      <w:pPr>
        <w:ind w:left="412" w:right="100" w:hanging="412"/>
        <w:spacing w:after="0" w:line="251" w:lineRule="auto"/>
        <w:tabs>
          <w:tab w:leader="none" w:pos="412"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 will own all rights, title and interest in and to all GSK Work Product and all Arising IP other than the Tempus Arising IP, whether made jointly or solely by either Party (including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b w:val="1"/>
          <w:bCs w:val="1"/>
          <w:color w:val="auto"/>
        </w:rPr>
        <w:t>GSK Arising IP</w:t>
      </w:r>
      <w:r>
        <w:rPr>
          <w:rFonts w:ascii="Times New Roman" w:cs="Times New Roman" w:eastAsia="Times New Roman" w:hAnsi="Times New Roman"/>
          <w:sz w:val="18"/>
          <w:szCs w:val="18"/>
          <w:color w:val="auto"/>
        </w:rPr>
        <w:t>”), and hereby grants to Tempus a limited, non-exclusive, non-transferable, world-wide, fully paid-up, royalty-free license, during the Term, under the GSK Arising IP solely for the purpose of performing its obligations under this Agreement and each Task Order.</w:t>
      </w:r>
    </w:p>
    <w:p>
      <w:pPr>
        <w:spacing w:after="0" w:line="92" w:lineRule="exact"/>
        <w:rPr>
          <w:rFonts w:ascii="Times New Roman" w:cs="Times New Roman" w:eastAsia="Times New Roman" w:hAnsi="Times New Roman"/>
          <w:sz w:val="18"/>
          <w:szCs w:val="18"/>
          <w:color w:val="auto"/>
        </w:rPr>
      </w:pPr>
    </w:p>
    <w:p>
      <w:pPr>
        <w:ind w:left="412" w:right="280" w:hanging="412"/>
        <w:spacing w:after="0" w:line="255" w:lineRule="auto"/>
        <w:tabs>
          <w:tab w:leader="none" w:pos="412"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and does hereby, assign, and shall cause its Affiliates and Personnel to so assign, to the other Party or its designated Affiliate, without additional compensation, such right, title and interest in and all Works and Intellectual Property with respect thereto as is reasonably necessary to fully effect ownership as provided for in </w:t>
      </w:r>
      <w:r>
        <w:rPr>
          <w:rFonts w:ascii="Times New Roman" w:cs="Times New Roman" w:eastAsia="Times New Roman" w:hAnsi="Times New Roman"/>
          <w:sz w:val="18"/>
          <w:szCs w:val="18"/>
          <w:u w:val="single" w:color="auto"/>
          <w:color w:val="auto"/>
        </w:rPr>
        <w:t>Sections 17.1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17.3i)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17.3ii)</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412" w:right="40" w:hanging="412"/>
        <w:spacing w:after="0" w:line="249" w:lineRule="auto"/>
        <w:tabs>
          <w:tab w:leader="none" w:pos="412"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may file Patent applications claiming any Arising IP which is to be owned by the other Party as provided above without the prior written consent of the other Party. Each Party undertakes to execute any document required to perfect the title to the Arising IP to be owned solely by the other Party as provided in Sections 18.3(i) and 18.3(ii) and, subject to cost reimbursement on a reasonable hourly fee basis, to provide reasonable assistance in the preparation, filing, prosecution, defense and enforcement of Patents and Patent applications or other Intellectual Property embodying such Arising IP, including consent for disclosure of this Agreement and/or</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692"/>
          </w:cols>
          <w:pgMar w:left="588" w:top="266" w:right="619" w:bottom="1440" w:gutter="0" w:footer="0" w:header="0"/>
        </w:sectPr>
      </w:pPr>
    </w:p>
    <w:bookmarkStart w:id="651" w:name="page652"/>
    <w:bookmarkEnd w:id="651"/>
    <w:p>
      <w:pPr>
        <w:ind w:left="412" w:right="58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amendment of the Patent specification and being named as a party, if required by Applicable Law to pursue an action. For purposes of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this Agreement is and is intended to be a “joint development agreement” within the meaning of 35 U.S.C. § 102(c).</w:t>
      </w:r>
    </w:p>
    <w:p>
      <w:pPr>
        <w:spacing w:after="0" w:line="78" w:lineRule="exact"/>
        <w:rPr>
          <w:sz w:val="20"/>
          <w:szCs w:val="20"/>
          <w:color w:val="auto"/>
        </w:rPr>
      </w:pPr>
    </w:p>
    <w:p>
      <w:pPr>
        <w:ind w:left="412" w:hanging="412"/>
        <w:spacing w:after="0" w:line="302" w:lineRule="auto"/>
        <w:tabs>
          <w:tab w:leader="none" w:pos="412" w:val="left"/>
        </w:tabs>
        <w:numPr>
          <w:ilvl w:val="0"/>
          <w:numId w:val="6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required for use or exploitation of either Party’s Intellectual Property Rights assigned, licensed or reserved under this Agreement, each Party shall confidentially disclose to the other in writing all inventions, discoveries, findings, information and advances whether patentable or not, that it makes arising from any Task Order, within [***] of making such invention, or discovery, finding, information or advance arising.</w:t>
      </w:r>
    </w:p>
    <w:p>
      <w:pPr>
        <w:spacing w:after="0" w:line="249" w:lineRule="exact"/>
        <w:rPr>
          <w:sz w:val="20"/>
          <w:szCs w:val="20"/>
          <w:color w:val="auto"/>
        </w:rPr>
      </w:pPr>
    </w:p>
    <w:p>
      <w:pPr>
        <w:ind w:left="392" w:hanging="392"/>
        <w:spacing w:after="0"/>
        <w:tabs>
          <w:tab w:leader="none" w:pos="392"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Transparency and Disclosure</w:t>
      </w:r>
    </w:p>
    <w:p>
      <w:pPr>
        <w:spacing w:after="0" w:line="123" w:lineRule="exact"/>
        <w:rPr>
          <w:sz w:val="20"/>
          <w:szCs w:val="20"/>
          <w:color w:val="auto"/>
        </w:rPr>
      </w:pPr>
    </w:p>
    <w:p>
      <w:pPr>
        <w:ind w:left="1052" w:right="580" w:hanging="629"/>
        <w:spacing w:after="0" w:line="331" w:lineRule="auto"/>
        <w:tabs>
          <w:tab w:leader="none" w:pos="1032"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6"/>
          <w:szCs w:val="16"/>
          <w:color w:val="auto"/>
        </w:rPr>
        <w:t>GSK has made an ongoing commitment to transparency in its dealings with healthcare professionals and healthcare organisations worldwide. Details of GSK’s transparency reporting can be found at: http://www.gsk.com/uk/about-us/transparency.html.</w:t>
      </w:r>
    </w:p>
    <w:p>
      <w:pPr>
        <w:spacing w:after="0" w:line="31" w:lineRule="exact"/>
        <w:rPr>
          <w:sz w:val="20"/>
          <w:szCs w:val="20"/>
          <w:color w:val="auto"/>
        </w:rPr>
      </w:pPr>
    </w:p>
    <w:p>
      <w:pPr>
        <w:ind w:left="1052" w:right="60" w:hanging="629"/>
        <w:spacing w:after="0" w:line="282" w:lineRule="auto"/>
        <w:tabs>
          <w:tab w:leader="none" w:pos="1032"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6"/>
          <w:szCs w:val="16"/>
          <w:color w:val="auto"/>
        </w:rPr>
        <w:t>Prior to engaging in payments, promises of payments or any transfers of value to healthcare professionals under this Agreement, Tempus will work with GSK or its Affiliates to determine whether the transfer of value intended will be reportable under Applicable Law or industry codes of practice or GSK Policy and Procedures. Where reportable, Tempus will provide to GSK all relevant information in a timely manner, on payments, reimbursements or other transfers of value provided to healthcare professionals under this Agreement, as applicable for the conduct of any Activities and may identify Tempus and all relevant investigators or researchers as a part of this disclosure. Tempus agrees that it will have obtained all required consent from the healthcare professional for the provision of reportable information to GSK, between countries, and to publish that information as required. By signing this Agreement, Tempus agrees to GSK or its Affiliates publicly disclosing such information as required by Applicable Law, industry codes of practice or GSK policy.</w:t>
      </w:r>
    </w:p>
    <w:p>
      <w:pPr>
        <w:spacing w:after="0" w:line="69" w:lineRule="exact"/>
        <w:rPr>
          <w:sz w:val="20"/>
          <w:szCs w:val="20"/>
          <w:color w:val="auto"/>
        </w:rPr>
      </w:pPr>
    </w:p>
    <w:p>
      <w:pPr>
        <w:ind w:left="1052" w:right="40" w:hanging="629"/>
        <w:spacing w:after="0" w:line="285" w:lineRule="auto"/>
        <w:tabs>
          <w:tab w:leader="none" w:pos="1032"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6"/>
          <w:szCs w:val="16"/>
          <w:color w:val="auto"/>
        </w:rPr>
        <w:t>GSK may Process the Tempus supplied information on the basis of Tempus’s agreement to disclose and on the basis that such processing is in GSK’s legitimate interests, given the importance of transparency and GSK’s disclosure obligations. This personal information supplied may be Processed by GSK, its Affiliates and GSK’s selected third party supplies anywhere in the world, including in countries whose data privacy laws may not be equivalent to, or as protective as, the laws in Tempus’s home country. However, GSK implements standard data protection Sections in its contracts with companies in such countries to ensure that any transferred personal information remains protected and secure. Tempus can request a copy of these measures by contacting GSK Representative.</w:t>
      </w:r>
    </w:p>
    <w:p>
      <w:pPr>
        <w:spacing w:after="0" w:line="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692"/>
          </w:cols>
          <w:pgMar w:left="588" w:top="265" w:right="619" w:bottom="1440" w:gutter="0" w:footer="0" w:header="0"/>
        </w:sectPr>
      </w:pPr>
    </w:p>
    <w:bookmarkStart w:id="652" w:name="page653"/>
    <w:bookmarkEnd w:id="652"/>
    <w:p>
      <w:pPr>
        <w:ind w:left="392" w:hanging="392"/>
        <w:spacing w:after="0"/>
        <w:tabs>
          <w:tab w:leader="none" w:pos="392"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Pre-engagement Screening Procedures</w:t>
      </w:r>
    </w:p>
    <w:p>
      <w:pPr>
        <w:spacing w:after="0" w:line="110" w:lineRule="exact"/>
        <w:rPr>
          <w:sz w:val="20"/>
          <w:szCs w:val="20"/>
          <w:color w:val="auto"/>
        </w:rPr>
      </w:pPr>
    </w:p>
    <w:p>
      <w:pPr>
        <w:ind w:left="432" w:right="460"/>
        <w:spacing w:after="0" w:line="331" w:lineRule="auto"/>
        <w:rPr>
          <w:sz w:val="20"/>
          <w:szCs w:val="20"/>
          <w:color w:val="auto"/>
        </w:rPr>
      </w:pPr>
      <w:r>
        <w:rPr>
          <w:rFonts w:ascii="Times New Roman" w:cs="Times New Roman" w:eastAsia="Times New Roman" w:hAnsi="Times New Roman"/>
          <w:sz w:val="16"/>
          <w:szCs w:val="16"/>
          <w:color w:val="auto"/>
        </w:rPr>
        <w:t>Tempus shall comply with GSK’s pre-engagement screening procedures, as notified by GSK to Tempus from time to time, in respect of any Tempus Personnel who have access to GSK’s premises for [***], or who have access to GSK’s systems, including remote access.</w:t>
      </w:r>
    </w:p>
    <w:p>
      <w:pPr>
        <w:spacing w:after="0" w:line="226" w:lineRule="exact"/>
        <w:rPr>
          <w:sz w:val="20"/>
          <w:szCs w:val="20"/>
          <w:color w:val="auto"/>
        </w:rPr>
      </w:pPr>
    </w:p>
    <w:p>
      <w:pPr>
        <w:ind w:left="392" w:hanging="392"/>
        <w:spacing w:after="0"/>
        <w:tabs>
          <w:tab w:leader="none" w:pos="392"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Subcontracting</w:t>
      </w:r>
    </w:p>
    <w:p>
      <w:pPr>
        <w:spacing w:after="0" w:line="123" w:lineRule="exact"/>
        <w:rPr>
          <w:sz w:val="20"/>
          <w:szCs w:val="20"/>
          <w:color w:val="auto"/>
        </w:rPr>
      </w:pPr>
    </w:p>
    <w:p>
      <w:pPr>
        <w:ind w:left="1052" w:right="300" w:hanging="629"/>
        <w:spacing w:after="0" w:line="267" w:lineRule="auto"/>
        <w:tabs>
          <w:tab w:leader="none" w:pos="1032"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color w:val="auto"/>
        </w:rPr>
        <w:t>Tempus shall not subcontract any Activities or obligations under this Agreement or a Task Order to a third party without GSK’s prior written consent, which such consent may be expressly documented in the applicable Task Order.</w:t>
      </w:r>
    </w:p>
    <w:p>
      <w:pPr>
        <w:spacing w:after="0" w:line="78"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6"/>
          <w:szCs w:val="16"/>
          <w:color w:val="auto"/>
        </w:rPr>
        <w:t xml:space="preserve">In the event that Tempus obtains GSK’s consent pursuant to </w:t>
      </w:r>
      <w:r>
        <w:rPr>
          <w:rFonts w:ascii="Times New Roman" w:cs="Times New Roman" w:eastAsia="Times New Roman" w:hAnsi="Times New Roman"/>
          <w:sz w:val="16"/>
          <w:szCs w:val="16"/>
          <w:u w:val="single" w:color="auto"/>
          <w:color w:val="auto"/>
        </w:rPr>
        <w:t>Section 20.1</w:t>
      </w:r>
      <w:r>
        <w:rPr>
          <w:rFonts w:ascii="Times New Roman" w:cs="Times New Roman" w:eastAsia="Times New Roman" w:hAnsi="Times New Roman"/>
          <w:sz w:val="16"/>
          <w:szCs w:val="16"/>
          <w:color w:val="auto"/>
        </w:rPr>
        <w:t>, Tempus shall:</w:t>
      </w:r>
    </w:p>
    <w:p>
      <w:pPr>
        <w:spacing w:after="0" w:line="121" w:lineRule="exact"/>
        <w:rPr>
          <w:sz w:val="20"/>
          <w:szCs w:val="20"/>
          <w:color w:val="auto"/>
        </w:rPr>
      </w:pPr>
    </w:p>
    <w:p>
      <w:pPr>
        <w:ind w:left="412" w:hanging="412"/>
        <w:spacing w:after="0"/>
        <w:tabs>
          <w:tab w:leader="none" w:pos="412"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GSK at least [***] prior notice of its intention to subcontract any Activities or obligations to a third party;</w:t>
      </w:r>
    </w:p>
    <w:p>
      <w:pPr>
        <w:spacing w:after="0" w:line="121"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GSK with all relevant details of the third party and subcontract reasonably requested by GSK;</w:t>
      </w:r>
    </w:p>
    <w:p>
      <w:pPr>
        <w:spacing w:after="0" w:line="121" w:lineRule="exact"/>
        <w:rPr>
          <w:rFonts w:ascii="Times New Roman" w:cs="Times New Roman" w:eastAsia="Times New Roman" w:hAnsi="Times New Roman"/>
          <w:sz w:val="18"/>
          <w:szCs w:val="18"/>
          <w:color w:val="auto"/>
        </w:rPr>
      </w:pPr>
    </w:p>
    <w:p>
      <w:pPr>
        <w:ind w:left="412" w:hanging="412"/>
        <w:spacing w:after="0" w:line="267" w:lineRule="auto"/>
        <w:tabs>
          <w:tab w:leader="none" w:pos="412"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deliver to GSK upon request appropriate assignments and documents necessary to transfer all Intellectual Property Rights to GSK from any Tempus Subcontractor assisting Tempus in the creation of materials, including without limitation, Results and Deliverables;</w:t>
      </w:r>
    </w:p>
    <w:p>
      <w:pPr>
        <w:spacing w:after="0" w:line="77" w:lineRule="exact"/>
        <w:rPr>
          <w:rFonts w:ascii="Times New Roman" w:cs="Times New Roman" w:eastAsia="Times New Roman" w:hAnsi="Times New Roman"/>
          <w:sz w:val="18"/>
          <w:szCs w:val="18"/>
          <w:color w:val="auto"/>
        </w:rPr>
      </w:pPr>
    </w:p>
    <w:p>
      <w:pPr>
        <w:ind w:left="412" w:right="380" w:hanging="412"/>
        <w:spacing w:after="0" w:line="267" w:lineRule="auto"/>
        <w:tabs>
          <w:tab w:leader="none" w:pos="412"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 third party approved as an Approved Subcontractor execute a written subcontract which incorporates all relevant obligations of Tempus under this Agreement; and</w:t>
      </w:r>
    </w:p>
    <w:p>
      <w:pPr>
        <w:spacing w:after="0" w:line="77" w:lineRule="exact"/>
        <w:rPr>
          <w:rFonts w:ascii="Times New Roman" w:cs="Times New Roman" w:eastAsia="Times New Roman" w:hAnsi="Times New Roman"/>
          <w:sz w:val="18"/>
          <w:szCs w:val="18"/>
          <w:color w:val="auto"/>
        </w:rPr>
      </w:pPr>
    </w:p>
    <w:p>
      <w:pPr>
        <w:ind w:left="412" w:right="80" w:hanging="412"/>
        <w:spacing w:after="0" w:line="267" w:lineRule="auto"/>
        <w:tabs>
          <w:tab w:leader="none" w:pos="412"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and remain completely responsible for ensuring the satisfactory performance of all subcontracted Activities and material obligations, and liable for the performance of such Activities as between GSK and Tempus.</w:t>
      </w:r>
    </w:p>
    <w:p>
      <w:pPr>
        <w:spacing w:after="0" w:line="77" w:lineRule="exact"/>
        <w:rPr>
          <w:rFonts w:ascii="Times New Roman" w:cs="Times New Roman" w:eastAsia="Times New Roman" w:hAnsi="Times New Roman"/>
          <w:sz w:val="18"/>
          <w:szCs w:val="18"/>
          <w:color w:val="auto"/>
        </w:rPr>
      </w:pPr>
    </w:p>
    <w:p>
      <w:pPr>
        <w:ind w:left="1052" w:right="340" w:hanging="63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20.3Any such subcontracting arrangement entered into between Tempus and any Approved Subcontractor shall clearly state roles and delegated tasks and the nature of the work that will be undertaken by the Approved Subcontractor with respect to the Activities to be performed. Tempus shall ensure that the terms of any such contract with an Approved Subcontractor do not conflict with (a) the requirements of the Study Protocol where applicable to the Activities, (b) work instructions and specifications provided by GSK and agreed to by Tempus and/or (c) the terms of this Agreement.</w:t>
      </w:r>
    </w:p>
    <w:p>
      <w:pPr>
        <w:spacing w:after="0" w:line="94" w:lineRule="exact"/>
        <w:rPr>
          <w:rFonts w:ascii="Times New Roman" w:cs="Times New Roman" w:eastAsia="Times New Roman" w:hAnsi="Times New Roman"/>
          <w:sz w:val="18"/>
          <w:szCs w:val="18"/>
          <w:color w:val="auto"/>
        </w:rPr>
      </w:pPr>
    </w:p>
    <w:p>
      <w:pPr>
        <w:ind w:left="1052" w:hanging="63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20.4In performance of the Activities, Tempus will not use any Personnel employed by a Third Party, or subject to any agreement with a Third Party, that would grant such Third Party rights under the inventions or discoveries of such Personnel and will not conduct activities using space or equipment owned by a Third Party, in each case, which would cause the GSK Arising IP or GSK Background IP to be subject to any rights in favor of such a Third Party, unless otherwise approved by GSK.</w:t>
      </w:r>
    </w:p>
    <w:p>
      <w:pPr>
        <w:spacing w:after="0" w:line="11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672"/>
          </w:cols>
          <w:pgMar w:left="588" w:top="264" w:right="639" w:bottom="1440" w:gutter="0" w:footer="0" w:header="0"/>
        </w:sectPr>
      </w:pPr>
    </w:p>
    <w:bookmarkStart w:id="653" w:name="page654"/>
    <w:bookmarkEnd w:id="653"/>
    <w:p>
      <w:pPr>
        <w:ind w:left="392" w:hanging="392"/>
        <w:spacing w:after="0"/>
        <w:tabs>
          <w:tab w:leader="none" w:pos="392"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Facilities</w:t>
      </w:r>
    </w:p>
    <w:p>
      <w:pPr>
        <w:spacing w:after="0" w:line="123"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6"/>
          <w:szCs w:val="16"/>
          <w:color w:val="auto"/>
        </w:rPr>
        <w:t>Tempus shall, at its own expense:</w:t>
      </w:r>
    </w:p>
    <w:p>
      <w:pPr>
        <w:spacing w:after="0" w:line="121" w:lineRule="exact"/>
        <w:rPr>
          <w:sz w:val="20"/>
          <w:szCs w:val="20"/>
          <w:color w:val="auto"/>
        </w:rPr>
      </w:pPr>
    </w:p>
    <w:p>
      <w:pPr>
        <w:ind w:left="412" w:hanging="412"/>
        <w:spacing w:after="0" w:line="302" w:lineRule="auto"/>
        <w:tabs>
          <w:tab w:leader="none" w:pos="412" w:val="left"/>
        </w:tabs>
        <w:numPr>
          <w:ilvl w:val="0"/>
          <w:numId w:val="6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and maintain Tempus facilities of sufficient size and quality, with an appropriate security level, including an adequate degree of separation of different activities to ensure the proper performance of the Activities, as well as all labour, plant, machinery, equipment to enable Tempus to fulfill all its obligations under this Agreement, regardless of whether any of such aforesaid equipment has been acquired from GSK;</w:t>
      </w:r>
    </w:p>
    <w:p>
      <w:pPr>
        <w:spacing w:after="0" w:line="53" w:lineRule="exact"/>
        <w:rPr>
          <w:rFonts w:ascii="Times New Roman" w:cs="Times New Roman" w:eastAsia="Times New Roman" w:hAnsi="Times New Roman"/>
          <w:sz w:val="16"/>
          <w:szCs w:val="16"/>
          <w:color w:val="auto"/>
        </w:rPr>
      </w:pPr>
    </w:p>
    <w:p>
      <w:pPr>
        <w:ind w:left="412" w:right="80" w:hanging="412"/>
        <w:spacing w:after="0" w:line="255" w:lineRule="auto"/>
        <w:tabs>
          <w:tab w:leader="none" w:pos="412" w:val="left"/>
        </w:tabs>
        <w:numPr>
          <w:ilvl w:val="0"/>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maintain all Tempus premises including any Tempus facilities, equipment and materials required for the Activities in good working condition and in compliance with all relevant Regulatory Requirements and Applicable Law and in order to operate in compliance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(Performance standards and requirements); and</w:t>
      </w:r>
    </w:p>
    <w:p>
      <w:pPr>
        <w:spacing w:after="0" w:line="88" w:lineRule="exact"/>
        <w:rPr>
          <w:rFonts w:ascii="Times New Roman" w:cs="Times New Roman" w:eastAsia="Times New Roman" w:hAnsi="Times New Roman"/>
          <w:sz w:val="18"/>
          <w:szCs w:val="18"/>
          <w:color w:val="auto"/>
        </w:rPr>
      </w:pPr>
    </w:p>
    <w:p>
      <w:pPr>
        <w:ind w:left="432" w:right="1960" w:hanging="432"/>
        <w:spacing w:after="0" w:line="468" w:lineRule="auto"/>
        <w:tabs>
          <w:tab w:leader="none" w:pos="424" w:val="left"/>
        </w:tabs>
        <w:numPr>
          <w:ilvl w:val="0"/>
          <w:numId w:val="6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adequate insurance for all such Tempus premises (including any Tempus facilities, machinery and equipment). Tempus shall not perform Activities in any other facility without first receiving the prior written approval of GSK.</w:t>
      </w:r>
    </w:p>
    <w:p>
      <w:pPr>
        <w:spacing w:after="0" w:line="121" w:lineRule="exact"/>
        <w:rPr>
          <w:sz w:val="20"/>
          <w:szCs w:val="20"/>
          <w:color w:val="auto"/>
        </w:rPr>
      </w:pPr>
    </w:p>
    <w:p>
      <w:pPr>
        <w:ind w:left="392" w:hanging="392"/>
        <w:spacing w:after="0"/>
        <w:tabs>
          <w:tab w:leader="none" w:pos="392" w:val="left"/>
        </w:tabs>
        <w:numPr>
          <w:ilvl w:val="0"/>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Materials and Equipment</w:t>
      </w:r>
    </w:p>
    <w:p>
      <w:pPr>
        <w:spacing w:after="0" w:line="121"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6"/>
          <w:szCs w:val="16"/>
          <w:b w:val="1"/>
          <w:bCs w:val="1"/>
          <w:color w:val="auto"/>
        </w:rPr>
        <w:t>Provision of Supplied Materials</w:t>
      </w:r>
    </w:p>
    <w:p>
      <w:pPr>
        <w:spacing w:after="0" w:line="123" w:lineRule="exact"/>
        <w:rPr>
          <w:sz w:val="20"/>
          <w:szCs w:val="20"/>
          <w:color w:val="auto"/>
        </w:rPr>
      </w:pPr>
    </w:p>
    <w:p>
      <w:pPr>
        <w:ind w:left="412" w:right="80" w:hanging="412"/>
        <w:spacing w:after="0" w:line="267" w:lineRule="auto"/>
        <w:tabs>
          <w:tab w:leader="none" w:pos="412"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 shall provide to Tempus the Supplied Materials in accordance with the applicable Task Order, and subject to completing a Material Transfer Record.</w:t>
      </w:r>
    </w:p>
    <w:p>
      <w:pPr>
        <w:spacing w:after="0" w:line="77"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Supplied Materials supplied by GSK to Tempus for the purpose of carrying out Activities shall be listed in the Analytical Plan, as applicable.</w:t>
      </w:r>
    </w:p>
    <w:p>
      <w:pPr>
        <w:spacing w:after="0" w:line="144" w:lineRule="exact"/>
        <w:rPr>
          <w:rFonts w:ascii="Times New Roman" w:cs="Times New Roman" w:eastAsia="Times New Roman" w:hAnsi="Times New Roman"/>
          <w:sz w:val="16"/>
          <w:szCs w:val="16"/>
          <w:color w:val="auto"/>
        </w:rPr>
      </w:pPr>
    </w:p>
    <w:p>
      <w:pPr>
        <w:ind w:left="412" w:right="80" w:hanging="412"/>
        <w:spacing w:after="0" w:line="293" w:lineRule="auto"/>
        <w:tabs>
          <w:tab w:leader="none" w:pos="412" w:val="left"/>
        </w:tabs>
        <w:numPr>
          <w:ilvl w:val="0"/>
          <w:numId w:val="6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GSK shall use Commercially Reasonable Efforts to provide to Tempus the Supplied Materials in accordance with the timelines and specifications defined for delivery of such Supplied Materials set out in any Task Order. Supplied Materials will be delivered to Tempus duty paid (DDP) to a Tempus Facility. Unless otherwise stated in writing between the Parties, risk of loss of any Supplied Materials shall pass to Tempus upon its receipt of such Supplied Materials at the relevant Tempus Facility and its determination that such Supplied Materials are in acceptable condition.</w:t>
      </w:r>
    </w:p>
    <w:p>
      <w:pPr>
        <w:spacing w:after="0" w:line="59" w:lineRule="exact"/>
        <w:rPr>
          <w:rFonts w:ascii="Times New Roman" w:cs="Times New Roman" w:eastAsia="Times New Roman" w:hAnsi="Times New Roman"/>
          <w:sz w:val="16"/>
          <w:szCs w:val="16"/>
          <w:color w:val="auto"/>
        </w:rPr>
      </w:pPr>
    </w:p>
    <w:p>
      <w:pPr>
        <w:ind w:left="412" w:right="60" w:hanging="412"/>
        <w:spacing w:after="0" w:line="331" w:lineRule="auto"/>
        <w:tabs>
          <w:tab w:leader="none" w:pos="412" w:val="left"/>
        </w:tabs>
        <w:numPr>
          <w:ilvl w:val="0"/>
          <w:numId w:val="6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Tempus becomes aware of any Supplied Materials provided by GSK, that do not meet the requirements set out in this Agreement or any Task Order or fail any portion of the Study Protocol or Study proposal, Tempus shall promptly inform the GSK Alliance Director via</w:t>
      </w:r>
    </w:p>
    <w:p>
      <w:pPr>
        <w:spacing w:after="0" w:line="5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692"/>
          </w:cols>
          <w:pgMar w:left="588" w:top="263" w:right="619" w:bottom="1440" w:gutter="0" w:footer="0" w:header="0"/>
        </w:sectPr>
      </w:pPr>
    </w:p>
    <w:bookmarkStart w:id="654" w:name="page655"/>
    <w:bookmarkEnd w:id="654"/>
    <w:p>
      <w:pPr>
        <w:ind w:left="412" w:right="160"/>
        <w:spacing w:after="0" w:line="29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electronic mail. GSK shall then elect to (a) replace the Supplied Materials that do not meet applicable criteria or (b) continue with the contracted Activities without replacing such Supplied Materials, in which case GSK shall notify Tempus in writing as to the reduced number of Supplied Materials (including the number of GSK HBS) to be tested. If GSK elects to proceed with the contracted Activities, GSK shall pay Tempus as mutually agreed for the Activities performed on any such GSK HBS in accordance with this Agreement and any applicable Task Order.</w:t>
      </w:r>
    </w:p>
    <w:p>
      <w:pPr>
        <w:spacing w:after="0" w:line="60" w:lineRule="exact"/>
        <w:rPr>
          <w:sz w:val="20"/>
          <w:szCs w:val="20"/>
          <w:color w:val="auto"/>
        </w:rPr>
      </w:pPr>
    </w:p>
    <w:p>
      <w:pPr>
        <w:ind w:left="412" w:hanging="412"/>
        <w:spacing w:after="0" w:line="255" w:lineRule="auto"/>
        <w:tabs>
          <w:tab w:leader="none" w:pos="412"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acknowledges and agrees that Supplied Materials shall at all times remain the property of GSK and shall be used by Tempus solely for the purpose of carrying out the Activities. For clarity, no modifications of Supplied Materials or use other than the performance of the Activities will be permitted without GSK’s prior written agreement.</w:t>
      </w:r>
    </w:p>
    <w:p>
      <w:pPr>
        <w:spacing w:after="0" w:line="88" w:lineRule="exact"/>
        <w:rPr>
          <w:rFonts w:ascii="Times New Roman" w:cs="Times New Roman" w:eastAsia="Times New Roman" w:hAnsi="Times New Roman"/>
          <w:sz w:val="18"/>
          <w:szCs w:val="18"/>
          <w:color w:val="auto"/>
        </w:rPr>
      </w:pPr>
    </w:p>
    <w:p>
      <w:pPr>
        <w:ind w:left="412" w:right="80" w:hanging="412"/>
        <w:spacing w:after="0" w:line="267" w:lineRule="auto"/>
        <w:tabs>
          <w:tab w:leader="none" w:pos="412"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agrees that any Supplied Materials provided by GSK shall not be transferred to any Third Party without the prior written consent of GSK unless otherwise specified in this Agreement or any Task Order.</w:t>
      </w:r>
    </w:p>
    <w:p>
      <w:pPr>
        <w:spacing w:after="0" w:line="312"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6"/>
          <w:szCs w:val="16"/>
          <w:b w:val="1"/>
          <w:bCs w:val="1"/>
          <w:color w:val="auto"/>
        </w:rPr>
        <w:t>Use of Supplied Materials by Tempus</w:t>
      </w:r>
    </w:p>
    <w:p>
      <w:pPr>
        <w:spacing w:after="0" w:line="123" w:lineRule="exact"/>
        <w:rPr>
          <w:sz w:val="20"/>
          <w:szCs w:val="20"/>
          <w:color w:val="auto"/>
        </w:rPr>
      </w:pPr>
    </w:p>
    <w:p>
      <w:pPr>
        <w:ind w:left="412" w:hanging="412"/>
        <w:spacing w:after="0"/>
        <w:tabs>
          <w:tab w:leader="none" w:pos="412"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w:t>
      </w:r>
    </w:p>
    <w:p>
      <w:pPr>
        <w:spacing w:after="0" w:line="121" w:lineRule="exact"/>
        <w:rPr>
          <w:rFonts w:ascii="Times New Roman" w:cs="Times New Roman" w:eastAsia="Times New Roman" w:hAnsi="Times New Roman"/>
          <w:sz w:val="18"/>
          <w:szCs w:val="18"/>
          <w:color w:val="auto"/>
        </w:rPr>
      </w:pPr>
    </w:p>
    <w:p>
      <w:pPr>
        <w:ind w:left="1052" w:hanging="632"/>
        <w:spacing w:after="0" w:line="267" w:lineRule="auto"/>
        <w:tabs>
          <w:tab w:leader="none" w:pos="1052" w:val="left"/>
        </w:tabs>
        <w:numPr>
          <w:ilvl w:val="1"/>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 or permit the Supplied Materials to be used other than to conduct the Activities in accordance with the applicable Task Order (and if applicable, the Study Protocol or Study proposal); and</w:t>
      </w:r>
    </w:p>
    <w:p>
      <w:pPr>
        <w:spacing w:after="0" w:line="77" w:lineRule="exact"/>
        <w:rPr>
          <w:rFonts w:ascii="Times New Roman" w:cs="Times New Roman" w:eastAsia="Times New Roman" w:hAnsi="Times New Roman"/>
          <w:sz w:val="18"/>
          <w:szCs w:val="18"/>
          <w:color w:val="auto"/>
        </w:rPr>
      </w:pPr>
    </w:p>
    <w:p>
      <w:pPr>
        <w:ind w:left="1052" w:right="20" w:hanging="632"/>
        <w:spacing w:after="0" w:line="267" w:lineRule="auto"/>
        <w:tabs>
          <w:tab w:leader="none" w:pos="1052" w:val="left"/>
        </w:tabs>
        <w:numPr>
          <w:ilvl w:val="1"/>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permit chemical, physical or other modification of the Supplied Materials, unless specifically required to do so by the applicable Task Order (and if applicable, the Study Protocol or Study proposal).</w:t>
      </w:r>
    </w:p>
    <w:p>
      <w:pPr>
        <w:spacing w:after="0" w:line="77"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agrees that any Supplied Materials provided by GSK:</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understood to be experimental in nature and may have hazardous properties;</w:t>
      </w:r>
    </w:p>
    <w:p>
      <w:pPr>
        <w:spacing w:after="0" w:line="121" w:lineRule="exact"/>
        <w:rPr>
          <w:rFonts w:ascii="Times New Roman" w:cs="Times New Roman" w:eastAsia="Times New Roman" w:hAnsi="Times New Roman"/>
          <w:sz w:val="18"/>
          <w:szCs w:val="18"/>
          <w:color w:val="auto"/>
        </w:rPr>
      </w:pPr>
    </w:p>
    <w:p>
      <w:pPr>
        <w:ind w:left="1052" w:hanging="632"/>
        <w:spacing w:after="0" w:line="267" w:lineRule="auto"/>
        <w:tabs>
          <w:tab w:leader="none" w:pos="1052" w:val="left"/>
        </w:tabs>
        <w:numPr>
          <w:ilvl w:val="1"/>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used solely in performing the Activities in accordance with the terms of this Agreement and any Task Order and (if applicable) in the location specified and in accordance with the Study Protocol or Study proposal;</w:t>
      </w:r>
    </w:p>
    <w:p>
      <w:pPr>
        <w:spacing w:after="0" w:line="77"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used in compliance with all Applicable Law;</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used in any human subject;</w:t>
      </w:r>
    </w:p>
    <w:p>
      <w:pPr>
        <w:spacing w:after="0" w:line="121" w:lineRule="exact"/>
        <w:rPr>
          <w:rFonts w:ascii="Times New Roman" w:cs="Times New Roman" w:eastAsia="Times New Roman" w:hAnsi="Times New Roman"/>
          <w:sz w:val="18"/>
          <w:szCs w:val="18"/>
          <w:color w:val="auto"/>
        </w:rPr>
      </w:pPr>
    </w:p>
    <w:p>
      <w:pPr>
        <w:ind w:left="1052" w:right="300" w:hanging="632"/>
        <w:spacing w:after="0" w:line="267" w:lineRule="auto"/>
        <w:tabs>
          <w:tab w:leader="none" w:pos="1052" w:val="left"/>
        </w:tabs>
        <w:numPr>
          <w:ilvl w:val="1"/>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used in animals intended to be kept as domestic pets, or in plants or animals which may be used, or the products of which may be used, for food purposes or therapeutic or diagnostic purposes;</w:t>
      </w:r>
    </w:p>
    <w:p>
      <w:pPr>
        <w:spacing w:after="0" w:line="77"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be transferred to any third party without the prior written consent of GSK and subject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(Confidentiality); and</w:t>
      </w:r>
    </w:p>
    <w:p>
      <w:pPr>
        <w:spacing w:after="0" w:line="14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692"/>
          </w:cols>
          <w:pgMar w:left="588" w:top="266" w:right="619" w:bottom="1440" w:gutter="0" w:footer="0" w:header="0"/>
        </w:sectPr>
      </w:pPr>
    </w:p>
    <w:bookmarkStart w:id="655" w:name="page656"/>
    <w:bookmarkEnd w:id="655"/>
    <w:p>
      <w:pPr>
        <w:ind w:left="1052" w:right="220" w:hanging="632"/>
        <w:spacing w:after="0" w:line="331" w:lineRule="auto"/>
        <w:tabs>
          <w:tab w:leader="none" w:pos="1052" w:val="left"/>
        </w:tabs>
        <w:numPr>
          <w:ilvl w:val="1"/>
          <w:numId w:val="6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will not be reverse engineered or chemically analysed as to compound structure or chemical properties, except as expressly required in the provision of Activities pursuant to the applicable Task Order (and if applicable, the Study Protocol or Study proposal).</w:t>
      </w:r>
    </w:p>
    <w:p>
      <w:pPr>
        <w:spacing w:after="0" w:line="30" w:lineRule="exact"/>
        <w:rPr>
          <w:rFonts w:ascii="Times New Roman" w:cs="Times New Roman" w:eastAsia="Times New Roman" w:hAnsi="Times New Roman"/>
          <w:sz w:val="16"/>
          <w:szCs w:val="16"/>
          <w:color w:val="auto"/>
        </w:rPr>
      </w:pPr>
    </w:p>
    <w:p>
      <w:pPr>
        <w:ind w:left="412" w:right="40" w:hanging="412"/>
        <w:spacing w:after="0" w:line="302" w:lineRule="auto"/>
        <w:tabs>
          <w:tab w:leader="none" w:pos="412" w:val="left"/>
        </w:tabs>
        <w:numPr>
          <w:ilvl w:val="0"/>
          <w:numId w:val="6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Tempus shall be solely responsible for the use, storage, or disposal of Supplied Materials provided by or on behalf of GSK (or on behalf of an Associated Party) upon receipt of Supplied Materials and shall handle, store, ship and dispose of Supplied Materials with appropriate care and in compliance with any manufacturer instructions and Applicable Law. Tempus shall be liable for any loss, theft or damage to the Supplied Material.</w:t>
      </w:r>
    </w:p>
    <w:p>
      <w:pPr>
        <w:spacing w:after="0" w:line="53" w:lineRule="exact"/>
        <w:rPr>
          <w:rFonts w:ascii="Times New Roman" w:cs="Times New Roman" w:eastAsia="Times New Roman" w:hAnsi="Times New Roman"/>
          <w:sz w:val="16"/>
          <w:szCs w:val="16"/>
          <w:color w:val="auto"/>
        </w:rPr>
      </w:pPr>
    </w:p>
    <w:p>
      <w:pPr>
        <w:ind w:left="412" w:right="160" w:hanging="412"/>
        <w:spacing w:after="0" w:line="267" w:lineRule="auto"/>
        <w:tabs>
          <w:tab w:leader="none" w:pos="412"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be solely responsible for any waste material generated by Tempus in connection with performance of the Activities and undertakes to GSK that all such waste material will be handled, stored and disposed of by Tempus in compliance with Applicable Law.</w:t>
      </w:r>
    </w:p>
    <w:p>
      <w:pPr>
        <w:spacing w:after="0" w:line="77" w:lineRule="exact"/>
        <w:rPr>
          <w:rFonts w:ascii="Times New Roman" w:cs="Times New Roman" w:eastAsia="Times New Roman" w:hAnsi="Times New Roman"/>
          <w:sz w:val="18"/>
          <w:szCs w:val="18"/>
          <w:color w:val="auto"/>
        </w:rPr>
      </w:pPr>
    </w:p>
    <w:p>
      <w:pPr>
        <w:ind w:left="412" w:right="340" w:hanging="412"/>
        <w:spacing w:after="0" w:line="267" w:lineRule="auto"/>
        <w:tabs>
          <w:tab w:leader="none" w:pos="412"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 shall not be liable for any Losses arising from the use of Supplied Materials by Tempus, except when caused by the negligence or wilful misconduct of GSK.</w:t>
      </w:r>
    </w:p>
    <w:p>
      <w:pPr>
        <w:spacing w:after="0" w:line="77" w:lineRule="exact"/>
        <w:rPr>
          <w:rFonts w:ascii="Times New Roman" w:cs="Times New Roman" w:eastAsia="Times New Roman" w:hAnsi="Times New Roman"/>
          <w:sz w:val="18"/>
          <w:szCs w:val="18"/>
          <w:color w:val="auto"/>
        </w:rPr>
      </w:pPr>
    </w:p>
    <w:p>
      <w:pPr>
        <w:ind w:left="412" w:right="260" w:hanging="412"/>
        <w:spacing w:after="0" w:line="267" w:lineRule="auto"/>
        <w:tabs>
          <w:tab w:leader="none" w:pos="412"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 represents and warrants that it has or will have the authority to provide to Tempus, and, if applicable, has obtained the necessary consents and authorizations, to provide Supplied Materials to Tempus under this Agreement.</w:t>
      </w:r>
    </w:p>
    <w:p>
      <w:pPr>
        <w:spacing w:after="0" w:line="312" w:lineRule="exact"/>
        <w:rPr>
          <w:rFonts w:ascii="Times New Roman" w:cs="Times New Roman" w:eastAsia="Times New Roman" w:hAnsi="Times New Roman"/>
          <w:sz w:val="18"/>
          <w:szCs w:val="18"/>
          <w:color w:val="auto"/>
        </w:rPr>
      </w:pPr>
    </w:p>
    <w:p>
      <w:pPr>
        <w:ind w:left="4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22.3</w:t>
      </w:r>
      <w:r>
        <w:rPr>
          <w:rFonts w:ascii="Times New Roman" w:cs="Times New Roman" w:eastAsia="Times New Roman" w:hAnsi="Times New Roman"/>
          <w:sz w:val="16"/>
          <w:szCs w:val="16"/>
          <w:b w:val="1"/>
          <w:bCs w:val="1"/>
          <w:color w:val="auto"/>
        </w:rPr>
        <w:t>Nature of Supplied Materials</w:t>
      </w:r>
    </w:p>
    <w:p>
      <w:pPr>
        <w:spacing w:after="0" w:line="110" w:lineRule="exact"/>
        <w:rPr>
          <w:rFonts w:ascii="Times New Roman" w:cs="Times New Roman" w:eastAsia="Times New Roman" w:hAnsi="Times New Roman"/>
          <w:sz w:val="18"/>
          <w:szCs w:val="18"/>
          <w:color w:val="auto"/>
        </w:rPr>
      </w:pPr>
    </w:p>
    <w:p>
      <w:pPr>
        <w:ind w:left="4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promptly notify the GSK Alliance Director of:</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effects experienced by persons handling Supplied Materials; and</w:t>
      </w:r>
    </w:p>
    <w:p>
      <w:pPr>
        <w:spacing w:after="0" w:line="121" w:lineRule="exact"/>
        <w:rPr>
          <w:rFonts w:ascii="Times New Roman" w:cs="Times New Roman" w:eastAsia="Times New Roman" w:hAnsi="Times New Roman"/>
          <w:sz w:val="18"/>
          <w:szCs w:val="18"/>
          <w:color w:val="auto"/>
        </w:rPr>
      </w:pPr>
    </w:p>
    <w:p>
      <w:pPr>
        <w:jc w:val="both"/>
        <w:ind w:left="1052" w:right="360" w:hanging="632"/>
        <w:spacing w:after="0" w:line="255" w:lineRule="auto"/>
        <w:tabs>
          <w:tab w:leader="none" w:pos="1052"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finding of toxicity, mutagenicity, teratogenicity, carcinogenicity or other significant risk for humans that has not been previously discussed with GSK within [***] by telephone and followed by a written report addressed to the GSK Alliance Director sent so that receipt by GSK should occur within [***] of the identification of the event.</w:t>
      </w:r>
    </w:p>
    <w:p>
      <w:pPr>
        <w:spacing w:after="0" w:line="75" w:lineRule="exact"/>
        <w:rPr>
          <w:sz w:val="20"/>
          <w:szCs w:val="20"/>
          <w:color w:val="auto"/>
        </w:rPr>
      </w:pPr>
    </w:p>
    <w:p>
      <w:pPr>
        <w:jc w:val="both"/>
        <w:ind w:left="432"/>
        <w:spacing w:after="0" w:line="302" w:lineRule="auto"/>
        <w:rPr>
          <w:sz w:val="20"/>
          <w:szCs w:val="20"/>
          <w:color w:val="auto"/>
        </w:rPr>
      </w:pPr>
      <w:r>
        <w:rPr>
          <w:rFonts w:ascii="Times New Roman" w:cs="Times New Roman" w:eastAsia="Times New Roman" w:hAnsi="Times New Roman"/>
          <w:sz w:val="16"/>
          <w:szCs w:val="16"/>
          <w:color w:val="auto"/>
        </w:rPr>
        <w:t>Other than as expressly set forth in this Agreement (including Section 25), GSK makes no representations or warranties of any kind, either express or implied, in respect of the Supplied Materials including (without limitation) warranties as to merchantability or fitness of any Supplied Material for a particular purpose, or as to whether the use of Supplied Materials would infringe any third-party Intellectual Property Rights.</w:t>
      </w:r>
    </w:p>
    <w:p>
      <w:pPr>
        <w:spacing w:after="0" w:line="288"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6"/>
          <w:szCs w:val="16"/>
          <w:b w:val="1"/>
          <w:bCs w:val="1"/>
          <w:color w:val="auto"/>
        </w:rPr>
        <w:t>Transfer of Materials</w:t>
      </w:r>
    </w:p>
    <w:p>
      <w:pPr>
        <w:spacing w:after="0" w:line="110" w:lineRule="exact"/>
        <w:rPr>
          <w:sz w:val="20"/>
          <w:szCs w:val="20"/>
          <w:color w:val="auto"/>
        </w:rPr>
      </w:pPr>
    </w:p>
    <w:p>
      <w:pPr>
        <w:jc w:val="both"/>
        <w:ind w:left="432" w:right="80"/>
        <w:spacing w:after="0" w:line="255" w:lineRule="auto"/>
        <w:rPr>
          <w:sz w:val="20"/>
          <w:szCs w:val="20"/>
          <w:color w:val="auto"/>
        </w:rPr>
      </w:pPr>
      <w:r>
        <w:rPr>
          <w:rFonts w:ascii="Times New Roman" w:cs="Times New Roman" w:eastAsia="Times New Roman" w:hAnsi="Times New Roman"/>
          <w:sz w:val="18"/>
          <w:szCs w:val="18"/>
          <w:color w:val="auto"/>
        </w:rPr>
        <w:t>Tempus shall ensure that all shipping, handling, transportation (including the tracking of custodianship of the Material within its control or within the control of its Affiliates or subcontractors, including any incidental changes in custody (i.e. couriers) of Materials) shall be in accordance with any and all Applicable Laws and at all times with a view to maintaining the integrity of Materials.</w:t>
      </w:r>
    </w:p>
    <w:p>
      <w:pPr>
        <w:spacing w:after="0" w:line="1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692"/>
          </w:cols>
          <w:pgMar w:left="588" w:top="265" w:right="619" w:bottom="1440" w:gutter="0" w:footer="0" w:header="0"/>
        </w:sectPr>
      </w:pPr>
    </w:p>
    <w:bookmarkStart w:id="656" w:name="page657"/>
    <w:bookmarkEnd w:id="656"/>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22.5</w:t>
      </w:r>
      <w:r>
        <w:rPr>
          <w:sz w:val="20"/>
          <w:szCs w:val="20"/>
          <w:color w:val="auto"/>
        </w:rPr>
        <w:tab/>
      </w:r>
      <w:r>
        <w:rPr>
          <w:rFonts w:ascii="Times New Roman" w:cs="Times New Roman" w:eastAsia="Times New Roman" w:hAnsi="Times New Roman"/>
          <w:sz w:val="16"/>
          <w:szCs w:val="16"/>
          <w:b w:val="1"/>
          <w:bCs w:val="1"/>
          <w:color w:val="auto"/>
        </w:rPr>
        <w:t>Equipment</w:t>
      </w:r>
    </w:p>
    <w:p>
      <w:pPr>
        <w:spacing w:after="0" w:line="123" w:lineRule="exact"/>
        <w:rPr>
          <w:sz w:val="20"/>
          <w:szCs w:val="20"/>
          <w:color w:val="auto"/>
        </w:rPr>
      </w:pPr>
    </w:p>
    <w:p>
      <w:pPr>
        <w:ind w:left="412" w:right="120" w:hanging="412"/>
        <w:spacing w:after="0" w:line="293" w:lineRule="auto"/>
        <w:tabs>
          <w:tab w:leader="none" w:pos="412" w:val="left"/>
        </w:tabs>
        <w:numPr>
          <w:ilvl w:val="0"/>
          <w:numId w:val="6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Tempus shall provide material and equipment necessary to perform its obligations relating to the Activities at the relevant Tempus facility. In the event that the Parties agree that (a) Tempus should acquire additional equipment, (b) Tempus should modify existing equipment or any Tempus facility to carry out the Activities or (c) GSK will loan GSK Equipment to Tempus to enable Tempus to carry out the Activities, such acquisition or modification or loan shall be discussed and agreed to in writing by the Parties before incurring any expenses related thereto.</w:t>
      </w:r>
    </w:p>
    <w:p>
      <w:pPr>
        <w:spacing w:after="0" w:line="59" w:lineRule="exact"/>
        <w:rPr>
          <w:rFonts w:ascii="Times New Roman" w:cs="Times New Roman" w:eastAsia="Times New Roman" w:hAnsi="Times New Roman"/>
          <w:sz w:val="16"/>
          <w:szCs w:val="16"/>
          <w:color w:val="auto"/>
        </w:rPr>
      </w:pPr>
    </w:p>
    <w:p>
      <w:pPr>
        <w:jc w:val="both"/>
        <w:ind w:left="412" w:right="180" w:hanging="412"/>
        <w:spacing w:after="0" w:line="255" w:lineRule="auto"/>
        <w:tabs>
          <w:tab w:leader="none" w:pos="412"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GSK transfers GSK Equipment to Tempus for the purpose of performing specific Activities, any such GSK Equipment provided by GSK shall be listed on the Analytical Plan. Unless otherwise in this Agreement, any such GSK Equipment transferred by GSK to Tempus shall remain at all times the exclusive property of GSK.</w:t>
      </w:r>
    </w:p>
    <w:p>
      <w:pPr>
        <w:spacing w:after="0" w:line="88" w:lineRule="exact"/>
        <w:rPr>
          <w:rFonts w:ascii="Times New Roman" w:cs="Times New Roman" w:eastAsia="Times New Roman" w:hAnsi="Times New Roman"/>
          <w:sz w:val="18"/>
          <w:szCs w:val="18"/>
          <w:color w:val="auto"/>
        </w:rPr>
      </w:pPr>
    </w:p>
    <w:p>
      <w:pPr>
        <w:ind w:left="412" w:hanging="412"/>
        <w:spacing w:after="0" w:line="247" w:lineRule="auto"/>
        <w:tabs>
          <w:tab w:leader="none" w:pos="412"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agrees that it will only use in collecting, analysing or otherwise handling Human Biological Samples and HBS Data and performing HBS Services for GSK, reagents, Procedures and equipment, including but not limited, to computer, hardware or software systems, which have been qualified or validated for use within the context of relevant GxP compliance, and are maintained by suitable qualified persons in a suitable state of performance and calibration in ways which ensure the validity, integrity and security of the Results. Tempus shall control access to computerised systems used to carry out the Activities. The identity of those Tempus Personnel with specific access rights to computerised systems shall be documented and subject to periodic review to ensure that the access restrictions remain current and appropriate. Any exceptions to the aforesaid requirements shall be subject to the prior written agreement of GSK. Tempus agrees at GSK’s request to provide such evidence of validation as GSK reasonably requires.</w:t>
      </w:r>
    </w:p>
    <w:p>
      <w:pPr>
        <w:spacing w:after="0" w:line="94"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GSK Equipment provided by or on behalf of GSK to Tempus under this Agreement or a Task Order, Tempus agrees that:</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Personnel which will operate the GSK Equipment will make themselves available for training to use the GSK Equipment;</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qualified and duly trained Tempus Personnel shall have the right to operate the GSK Equipment;</w:t>
      </w:r>
    </w:p>
    <w:p>
      <w:pPr>
        <w:spacing w:after="0" w:line="121" w:lineRule="exact"/>
        <w:rPr>
          <w:rFonts w:ascii="Times New Roman" w:cs="Times New Roman" w:eastAsia="Times New Roman" w:hAnsi="Times New Roman"/>
          <w:sz w:val="18"/>
          <w:szCs w:val="18"/>
          <w:color w:val="auto"/>
        </w:rPr>
      </w:pPr>
    </w:p>
    <w:p>
      <w:pPr>
        <w:ind w:left="1052" w:right="220" w:hanging="632"/>
        <w:spacing w:after="0" w:line="267" w:lineRule="auto"/>
        <w:tabs>
          <w:tab w:leader="none" w:pos="1052"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 Equipment will be used only by Tempus to carry out the Activities in accordance with written directions provided by GSK under this Agreement or an applicable Task Order;</w:t>
      </w:r>
    </w:p>
    <w:p>
      <w:pPr>
        <w:spacing w:after="0" w:line="77" w:lineRule="exact"/>
        <w:rPr>
          <w:rFonts w:ascii="Times New Roman" w:cs="Times New Roman" w:eastAsia="Times New Roman" w:hAnsi="Times New Roman"/>
          <w:sz w:val="18"/>
          <w:szCs w:val="18"/>
          <w:color w:val="auto"/>
        </w:rPr>
      </w:pPr>
    </w:p>
    <w:p>
      <w:pPr>
        <w:ind w:left="1052" w:right="640" w:hanging="632"/>
        <w:spacing w:after="0" w:line="267" w:lineRule="auto"/>
        <w:tabs>
          <w:tab w:leader="none" w:pos="1052"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 Equipment will be kept in a safe and secure location, and will be used only by Tempus Personnel designated by Tempus as responsible for carrying out the Activities on the GSK Equipment;</w:t>
      </w:r>
    </w:p>
    <w:p>
      <w:pPr>
        <w:spacing w:after="0" w:line="10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672"/>
          </w:cols>
          <w:pgMar w:left="588" w:top="263" w:right="639" w:bottom="1440" w:gutter="0" w:footer="0" w:header="0"/>
        </w:sectPr>
      </w:pPr>
    </w:p>
    <w:bookmarkStart w:id="657" w:name="page658"/>
    <w:bookmarkEnd w:id="657"/>
    <w:p>
      <w:pPr>
        <w:ind w:left="1052" w:hanging="632"/>
        <w:spacing w:after="0"/>
        <w:tabs>
          <w:tab w:leader="none" w:pos="1052"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Tempus will take suitable precautions and measures to prevent theft, damage or loss to GSK Equipment;</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at its own expense insure GSK Equipment through “All Risks” coverage at its full reinstatement value; and</w:t>
      </w:r>
    </w:p>
    <w:p>
      <w:pPr>
        <w:spacing w:after="0" w:line="121" w:lineRule="exact"/>
        <w:rPr>
          <w:rFonts w:ascii="Times New Roman" w:cs="Times New Roman" w:eastAsia="Times New Roman" w:hAnsi="Times New Roman"/>
          <w:sz w:val="18"/>
          <w:szCs w:val="18"/>
          <w:color w:val="auto"/>
        </w:rPr>
      </w:pPr>
    </w:p>
    <w:p>
      <w:pPr>
        <w:ind w:left="1052" w:hanging="632"/>
        <w:spacing w:after="0" w:line="251" w:lineRule="auto"/>
        <w:tabs>
          <w:tab w:leader="none" w:pos="1052"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Termination Date, Tempus shall, as agreed upon by the Parties, either (a) return to GSK the GSK Equipment and all system related training materials and documentation provided to Tempus or (b) buy the GSK Equipment or part of it at a price to be agreed to by the Parties at that time, provided however, that the purchase price shall in no event be lower than the residual value of the purchased GSK Equipment to be based on the fair market value.</w:t>
      </w:r>
    </w:p>
    <w:p>
      <w:pPr>
        <w:spacing w:after="0" w:line="92" w:lineRule="exact"/>
        <w:rPr>
          <w:rFonts w:ascii="Times New Roman" w:cs="Times New Roman" w:eastAsia="Times New Roman" w:hAnsi="Times New Roman"/>
          <w:sz w:val="18"/>
          <w:szCs w:val="18"/>
          <w:color w:val="auto"/>
        </w:rPr>
      </w:pPr>
    </w:p>
    <w:p>
      <w:pPr>
        <w:ind w:left="412" w:right="20" w:hanging="412"/>
        <w:spacing w:after="0" w:line="248" w:lineRule="auto"/>
        <w:tabs>
          <w:tab w:leader="none" w:pos="412"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stated in this Agreement or an applicable Task Order, Tempus shall be responsible for, and pay the related costs for, the regular maintenance of any GSK Equipment so provided by GSK. Tempus shall enter into appropriate contracts for maintenance with Contractors of said GSK Equipment, the terms of which shall be sufficient to ensure proper maintenance of the GSK Equipment. Copies of any such contracts (and any subsequent amendments) shall be provided by Tempus to GSK upon its request. Tempus shall also ensure the day-to-day maintenance of GSK Equipment according to GSK specifications and/or the customary standard of care applicable to such GSK Equipment. GSK shall reimburse Tempus for the costs incurred under this Section unless otherwise stated in the applicable Task Order.</w:t>
      </w:r>
    </w:p>
    <w:p>
      <w:pPr>
        <w:spacing w:after="0" w:line="95" w:lineRule="exact"/>
        <w:rPr>
          <w:rFonts w:ascii="Times New Roman" w:cs="Times New Roman" w:eastAsia="Times New Roman" w:hAnsi="Times New Roman"/>
          <w:sz w:val="18"/>
          <w:szCs w:val="18"/>
          <w:color w:val="auto"/>
        </w:rPr>
      </w:pPr>
    </w:p>
    <w:p>
      <w:pPr>
        <w:ind w:left="412" w:right="120" w:hanging="412"/>
        <w:spacing w:after="0" w:line="267" w:lineRule="auto"/>
        <w:tabs>
          <w:tab w:leader="none" w:pos="412"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 shall in no event be responsible for any default of maintenance, improper maintenance, breakdown or defect of GSK Equipment arising out of the use and operation of GSK Equipment by Tempus or Tempus Personnel.</w:t>
      </w:r>
    </w:p>
    <w:p>
      <w:pPr>
        <w:spacing w:after="0" w:line="312" w:lineRule="exact"/>
        <w:rPr>
          <w:sz w:val="20"/>
          <w:szCs w:val="20"/>
          <w:color w:val="auto"/>
        </w:rPr>
      </w:pPr>
    </w:p>
    <w:p>
      <w:pPr>
        <w:ind w:left="412" w:hanging="412"/>
        <w:spacing w:after="0"/>
        <w:tabs>
          <w:tab w:leader="none" w:pos="412"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Human Biological Samples</w:t>
      </w:r>
    </w:p>
    <w:p>
      <w:pPr>
        <w:spacing w:after="0" w:line="123" w:lineRule="exact"/>
        <w:rPr>
          <w:rFonts w:ascii="Times New Roman" w:cs="Times New Roman" w:eastAsia="Times New Roman" w:hAnsi="Times New Roman"/>
          <w:sz w:val="18"/>
          <w:szCs w:val="18"/>
          <w:color w:val="auto"/>
        </w:rPr>
      </w:pPr>
    </w:p>
    <w:p>
      <w:pPr>
        <w:ind w:left="4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w:t>
      </w:r>
      <w:r>
        <w:rPr>
          <w:rFonts w:ascii="Times New Roman" w:cs="Times New Roman" w:eastAsia="Times New Roman" w:hAnsi="Times New Roman"/>
          <w:sz w:val="16"/>
          <w:szCs w:val="16"/>
          <w:color w:val="auto"/>
        </w:rPr>
        <w:t>Tempus (and, in respect of HBS that are obtained from another party, Tempus’s suppliers of those HBS) represents and warrants that:</w:t>
      </w:r>
    </w:p>
    <w:p>
      <w:pPr>
        <w:spacing w:after="0" w:line="20" w:lineRule="exact"/>
        <w:rPr>
          <w:rFonts w:ascii="Times New Roman" w:cs="Times New Roman" w:eastAsia="Times New Roman" w:hAnsi="Times New Roman"/>
          <w:sz w:val="18"/>
          <w:szCs w:val="18"/>
          <w:color w:val="auto"/>
        </w:rPr>
      </w:pPr>
    </w:p>
    <w:p>
      <w:pPr>
        <w:ind w:left="1052" w:right="40" w:hanging="2"/>
        <w:spacing w:after="0" w:line="244" w:lineRule="auto"/>
        <w:tabs>
          <w:tab w:leader="none" w:pos="1261" w:val="left"/>
        </w:tabs>
        <w:numPr>
          <w:ilvl w:val="1"/>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all the necessary authorisations, licenses, consents and approvals; (ii) it will comply with all Applicable Law relating to collection, storage, transfer, use (including subsequent use by a commercial organisation), disclosure, import, export and disposal of the HBS; and (iii) it will not use human embryonic or foetal derived material (including cell lines) without the express prior written approval of GSK.</w:t>
      </w:r>
    </w:p>
    <w:p>
      <w:pPr>
        <w:spacing w:after="0" w:line="99" w:lineRule="exact"/>
        <w:rPr>
          <w:sz w:val="20"/>
          <w:szCs w:val="20"/>
          <w:color w:val="auto"/>
        </w:rPr>
      </w:pPr>
    </w:p>
    <w:p>
      <w:pPr>
        <w:ind w:left="1052" w:right="100" w:hanging="629"/>
        <w:spacing w:after="0" w:line="251" w:lineRule="auto"/>
        <w:tabs>
          <w:tab w:leader="none" w:pos="1032"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If Tempus is using warranted HBS only, whether provided to GSK or not, for research not including genetic analysis, Tempus represents and warrants that: (i) no human embryonic or foetal derived material (including cell lines) will be used without the express prior written approval of GSK; (ii) appropriate and adequate donor consent and/or ethics committee approval (as required by Applicable Law) has been or will be obtained; and (iii) if the proposed use of</w:t>
      </w:r>
    </w:p>
    <w:p>
      <w:pPr>
        <w:spacing w:after="0" w:line="1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692"/>
          </w:cols>
          <w:pgMar w:left="588" w:top="266" w:right="619" w:bottom="1440" w:gutter="0" w:footer="0" w:header="0"/>
        </w:sectPr>
      </w:pPr>
    </w:p>
    <w:bookmarkStart w:id="658" w:name="page659"/>
    <w:bookmarkEnd w:id="658"/>
    <w:p>
      <w:pPr>
        <w:ind w:left="660" w:right="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78040" cy="36830"/>
                    </a:xfrm>
                    <a:prstGeom prst="rect">
                      <a:avLst/>
                    </a:prstGeom>
                    <a:noFill/>
                  </pic:spPr>
                </pic:pic>
              </a:graphicData>
            </a:graphic>
          </wp:anchor>
        </w:drawing>
        <w:t>HBS may include genetics analysis, Tempus will immediately inform GSK (and in any event, prior to commencing such analysis), which such communication may be documented in the applicable Task Order.</w:t>
      </w:r>
    </w:p>
    <w:p>
      <w:pPr>
        <w:spacing w:after="0" w:line="78" w:lineRule="exact"/>
        <w:rPr>
          <w:sz w:val="20"/>
          <w:szCs w:val="20"/>
          <w:color w:val="auto"/>
        </w:rPr>
      </w:pPr>
    </w:p>
    <w:p>
      <w:pPr>
        <w:ind w:left="640" w:hanging="629"/>
        <w:spacing w:after="0" w:line="245" w:lineRule="auto"/>
        <w:tabs>
          <w:tab w:leader="none" w:pos="62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If Tempus has collected and is using, in each case on behalf of GSK, tracked, restricted, or warranted HBS for research including genetic analysis (whether provided to GSK or not), then to the extent required by Applicable Law, Tempus will ensure the consent provided by the donor (and in the case of post mortem HBS, provided by or on behalf of the original donor) acknowledged the following: (i) the HBS may be used for research purposes, including DNA and/or personal data research or analysis, and does not exclude the Activities; (ii) the HBS may be transferred to a third party for testing, subsequent research use and storage purposes conducted for and on behalf of a commercial organisation and its collaborators; (iii) a commercial organisation will have ownership of the results of the research performed on the HBS and there will be no benefit whatsoever or any form of compensation for the donor in respect of the use of the HBS by the commercial organisation; (iv) the HBS and any accompanying clinical information will be either anonymised or coded before use; and (v) Tempus will use the HBS only for the purposes that are consistent with consent referred to above. In addition with respect to such HBS, Tempus will: (vi) prior to commencing use of the HBS in the performance of any Task Order or GSK-SCS Agreement, and subsequently upon GSK’s request, provide consent templates and examples of ethics documentation to GSK for review; provided, that Tempus covenants and agrees not to use any HBS in the performance of the Activities for which it cannot provide to GSK appropriate consent forms; (vii) record each HBS used under the Agreement in a suitable HBS level tracking system (the “</w:t>
      </w:r>
      <w:r>
        <w:rPr>
          <w:rFonts w:ascii="Times New Roman" w:cs="Times New Roman" w:eastAsia="Times New Roman" w:hAnsi="Times New Roman"/>
          <w:sz w:val="18"/>
          <w:szCs w:val="18"/>
          <w:b w:val="1"/>
          <w:bCs w:val="1"/>
          <w:color w:val="auto"/>
        </w:rPr>
        <w:t>Tracking Records</w:t>
      </w:r>
      <w:r>
        <w:rPr>
          <w:rFonts w:ascii="Times New Roman" w:cs="Times New Roman" w:eastAsia="Times New Roman" w:hAnsi="Times New Roman"/>
          <w:sz w:val="18"/>
          <w:szCs w:val="18"/>
          <w:color w:val="auto"/>
        </w:rPr>
        <w:t>”); (viii) maintain the Tracking Records at all points of the HBS lifecycle, including reporting on the status of each HBS at any time, up to HBS transfer or destruction; and (ix) store the HBS under conditions in Tempus’s premises that are secure, clean and appropriate to maintain HBS biological integrity.</w:t>
      </w:r>
    </w:p>
    <w:p>
      <w:pPr>
        <w:spacing w:after="0" w:line="98" w:lineRule="exact"/>
        <w:rPr>
          <w:sz w:val="20"/>
          <w:szCs w:val="20"/>
          <w:color w:val="auto"/>
        </w:rPr>
      </w:pPr>
    </w:p>
    <w:p>
      <w:pPr>
        <w:ind w:left="640" w:right="40" w:hanging="629"/>
        <w:spacing w:after="0" w:line="248" w:lineRule="auto"/>
        <w:tabs>
          <w:tab w:leader="none" w:pos="62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If GSK is transferring HBS, whether warranted, tracked, or restricted, to Tempus, GSK represents and warrants to Tempus that all uses of HBS under the Agreement fall within the terms of the informed consent given by the donors of the samples. Tempus will: (i) check all HBS provided by or on behalf of GSK on arrival to assess their physical integrity and notify GSK in writing if any HBS have been compromised in transit, within [***] after making such finding; (ii) within [***] of receipt, record each HBS used under this Agreement in the Tracking Records; (iii) maintain the Tracking Records at all points of the HBS lifecycle, including reporting on the status of each HBS at any time, up to HBS transfer or destruction; (iv) store the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300"/>
          </w:cols>
          <w:pgMar w:left="1000" w:top="265" w:right="599" w:bottom="1440" w:gutter="0" w:footer="0" w:header="0"/>
        </w:sectPr>
      </w:pPr>
    </w:p>
    <w:bookmarkStart w:id="659" w:name="page660"/>
    <w:bookmarkEnd w:id="659"/>
    <w:p>
      <w:pPr>
        <w:ind w:left="108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HBS under conditions in Tempus’s premises that are secure, clean and appropriate to maintain HBS biological integrity; (v) ensure that its premises have sufficient spare capacity for the storage of chilled and frozen HBS; (vi) establish a contingency plan that guarantees the quality of stored HBS, including potential refrigerator or freezer malfunction; (vii) monitor HBS storage areas (including refrigerators or freezers used for the storage of GSK HBS) in compliance with GSK HBS storage requirements; (viii) implement procedures to ensure that prompt action is taken if acceptable limits are breached; and (ix) document and retain all evidence of its monitoring and actions taken in the event of any excursions from the ranges specified in this Agreement.</w:t>
      </w:r>
    </w:p>
    <w:p>
      <w:pPr>
        <w:spacing w:after="0" w:line="329"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6"/>
          <w:szCs w:val="16"/>
          <w:b w:val="1"/>
          <w:bCs w:val="1"/>
          <w:color w:val="auto"/>
        </w:rPr>
        <w:t>Information to be provided by GSK</w:t>
      </w:r>
    </w:p>
    <w:p>
      <w:pPr>
        <w:spacing w:after="0" w:line="123" w:lineRule="exact"/>
        <w:rPr>
          <w:sz w:val="20"/>
          <w:szCs w:val="20"/>
          <w:color w:val="auto"/>
        </w:rPr>
      </w:pPr>
    </w:p>
    <w:p>
      <w:pPr>
        <w:ind w:left="420" w:right="80" w:hanging="412"/>
        <w:spacing w:after="0" w:line="267" w:lineRule="auto"/>
        <w:tabs>
          <w:tab w:leader="none" w:pos="420"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 shall provide such information it deems necessary in respect of Supplied Materials and as may be reasonably requested by Tempus to enable Tempus to perform the Activities. This may include any of the following:</w:t>
      </w:r>
    </w:p>
    <w:p>
      <w:pPr>
        <w:spacing w:after="0" w:line="77" w:lineRule="exact"/>
        <w:rPr>
          <w:rFonts w:ascii="Times New Roman" w:cs="Times New Roman" w:eastAsia="Times New Roman" w:hAnsi="Times New Roman"/>
          <w:sz w:val="18"/>
          <w:szCs w:val="18"/>
          <w:color w:val="auto"/>
        </w:rPr>
      </w:pPr>
    </w:p>
    <w:p>
      <w:pPr>
        <w:ind w:left="1060" w:right="20" w:hanging="632"/>
        <w:spacing w:after="0" w:line="267" w:lineRule="auto"/>
        <w:tabs>
          <w:tab w:leader="none" w:pos="1060" w:val="left"/>
        </w:tabs>
        <w:numPr>
          <w:ilvl w:val="1"/>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coded information to uniquely identify each GSK HBS to be assayed and/or information pertaining to the Supplied Materials provided by or on behalf of GSK to Tempus to carry out the Activities;</w:t>
      </w:r>
    </w:p>
    <w:p>
      <w:pPr>
        <w:spacing w:after="0" w:line="77"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1"/>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content of any reference control GSK HBS supplied by or on behalf GSK to Tempus to carry out the Activities;</w:t>
      </w:r>
    </w:p>
    <w:p>
      <w:pPr>
        <w:spacing w:after="0" w:line="121"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1"/>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analytical methods, or, if these are available in the public domain, a reference to their publication;</w:t>
      </w:r>
    </w:p>
    <w:p>
      <w:pPr>
        <w:spacing w:after="0" w:line="121" w:lineRule="exact"/>
        <w:rPr>
          <w:rFonts w:ascii="Times New Roman" w:cs="Times New Roman" w:eastAsia="Times New Roman" w:hAnsi="Times New Roman"/>
          <w:sz w:val="18"/>
          <w:szCs w:val="18"/>
          <w:color w:val="auto"/>
        </w:rPr>
      </w:pPr>
    </w:p>
    <w:p>
      <w:pPr>
        <w:ind w:left="1060" w:right="180" w:hanging="632"/>
        <w:spacing w:after="0" w:line="267" w:lineRule="auto"/>
        <w:tabs>
          <w:tab w:leader="none" w:pos="1060" w:val="left"/>
        </w:tabs>
        <w:numPr>
          <w:ilvl w:val="1"/>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stability storage protocols with respect to the GSK HBS and/or other materials provided by or on behalf of GSK to Tempus to carry out the Activities;</w:t>
      </w:r>
    </w:p>
    <w:p>
      <w:pPr>
        <w:spacing w:after="0" w:line="77" w:lineRule="exact"/>
        <w:rPr>
          <w:rFonts w:ascii="Times New Roman" w:cs="Times New Roman" w:eastAsia="Times New Roman" w:hAnsi="Times New Roman"/>
          <w:sz w:val="18"/>
          <w:szCs w:val="18"/>
          <w:color w:val="auto"/>
        </w:rPr>
      </w:pPr>
    </w:p>
    <w:p>
      <w:pPr>
        <w:ind w:left="1060" w:right="20" w:hanging="632"/>
        <w:spacing w:after="0" w:line="267" w:lineRule="auto"/>
        <w:tabs>
          <w:tab w:leader="none" w:pos="1060" w:val="left"/>
        </w:tabs>
        <w:numPr>
          <w:ilvl w:val="1"/>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specifications or other quality limits to which GSK HBS to be assayed are expected to comply with, or, if these are available in the public domain, a reference to their publication; and</w:t>
      </w:r>
    </w:p>
    <w:p>
      <w:pPr>
        <w:spacing w:after="0" w:line="77" w:lineRule="exact"/>
        <w:rPr>
          <w:rFonts w:ascii="Times New Roman" w:cs="Times New Roman" w:eastAsia="Times New Roman" w:hAnsi="Times New Roman"/>
          <w:sz w:val="18"/>
          <w:szCs w:val="18"/>
          <w:color w:val="auto"/>
        </w:rPr>
      </w:pPr>
    </w:p>
    <w:p>
      <w:pPr>
        <w:ind w:left="1060" w:right="280" w:hanging="632"/>
        <w:spacing w:after="0" w:line="255" w:lineRule="auto"/>
        <w:tabs>
          <w:tab w:leader="none" w:pos="1060" w:val="left"/>
        </w:tabs>
        <w:numPr>
          <w:ilvl w:val="1"/>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listings of required validation parameters and acceptance criteria for any assay validations to be carried out by Tempus. In the event Tempus determines itself the parameters and the criteria to be used to perform the Activities, Tempus shall seek prior written approval from GSK for any such parameters and criteria selected by Tempus to carry out such Activities.</w:t>
      </w:r>
    </w:p>
    <w:p>
      <w:pPr>
        <w:spacing w:after="0" w:line="323"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6"/>
          <w:szCs w:val="16"/>
          <w:b w:val="1"/>
          <w:bCs w:val="1"/>
          <w:color w:val="auto"/>
        </w:rPr>
        <w:t>Retention periods</w:t>
      </w:r>
    </w:p>
    <w:p>
      <w:pPr>
        <w:spacing w:after="0" w:line="123" w:lineRule="exact"/>
        <w:rPr>
          <w:sz w:val="20"/>
          <w:szCs w:val="20"/>
          <w:color w:val="auto"/>
        </w:rPr>
      </w:pPr>
    </w:p>
    <w:p>
      <w:pPr>
        <w:ind w:left="420" w:hanging="412"/>
        <w:spacing w:after="0"/>
        <w:tabs>
          <w:tab w:leader="none" w:pos="420"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Supplied Materials</w:t>
      </w:r>
    </w:p>
    <w:p>
      <w:pPr>
        <w:spacing w:after="0" w:line="108" w:lineRule="exact"/>
        <w:rPr>
          <w:rFonts w:ascii="Times New Roman" w:cs="Times New Roman" w:eastAsia="Times New Roman" w:hAnsi="Times New Roman"/>
          <w:sz w:val="18"/>
          <w:szCs w:val="18"/>
          <w:color w:val="auto"/>
        </w:rPr>
      </w:pPr>
    </w:p>
    <w:p>
      <w:pPr>
        <w:ind w:left="440" w:right="24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At any time, GSK may request that Tempus return (or destroy at GSK’s sole discretion) all or a portion of the Supplied Materials to GSK at GSK reasonable expense.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720"/>
          </w:cols>
          <w:pgMar w:left="580" w:top="265" w:right="599" w:bottom="1440" w:gutter="0" w:footer="0" w:header="0"/>
        </w:sectPr>
      </w:pPr>
    </w:p>
    <w:bookmarkStart w:id="660" w:name="page661"/>
    <w:bookmarkEnd w:id="660"/>
    <w:p>
      <w:pPr>
        <w:ind w:left="412" w:hanging="412"/>
        <w:spacing w:after="0"/>
        <w:tabs>
          <w:tab w:leader="none" w:pos="412"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Human Biological Samples</w:t>
      </w:r>
    </w:p>
    <w:p>
      <w:pPr>
        <w:spacing w:after="0" w:line="108" w:lineRule="exact"/>
        <w:rPr>
          <w:rFonts w:ascii="Times New Roman" w:cs="Times New Roman" w:eastAsia="Times New Roman" w:hAnsi="Times New Roman"/>
          <w:sz w:val="18"/>
          <w:szCs w:val="18"/>
          <w:color w:val="auto"/>
        </w:rPr>
      </w:pPr>
    </w:p>
    <w:p>
      <w:pPr>
        <w:ind w:left="432"/>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Parties agree that upon completion of the Activities set forth in a Task Order, Tempus shall retain any Samples as required by any and all Applicable Laws and guidelines and as specified in the Task Order and, if no time period for retention is indicated in the Task Order, for a period of [***] after the last relevant assay run as specified in the applicable Task Order (or if applicable, within the framework of the Study Protocol or Study proposal) (the “</w:t>
      </w:r>
      <w:r>
        <w:rPr>
          <w:rFonts w:ascii="Times New Roman" w:cs="Times New Roman" w:eastAsia="Times New Roman" w:hAnsi="Times New Roman"/>
          <w:sz w:val="18"/>
          <w:szCs w:val="18"/>
          <w:b w:val="1"/>
          <w:bCs w:val="1"/>
          <w:color w:val="auto"/>
        </w:rPr>
        <w:t>Retention Period</w:t>
      </w:r>
      <w:r>
        <w:rPr>
          <w:rFonts w:ascii="Times New Roman" w:cs="Times New Roman" w:eastAsia="Times New Roman" w:hAnsi="Times New Roman"/>
          <w:sz w:val="18"/>
          <w:szCs w:val="18"/>
          <w:color w:val="auto"/>
        </w:rPr>
        <w:t>”), at GSK’s cost and expense. During such Retention Period, Tempus may, upon written agreement or request by GSK, either:</w:t>
      </w:r>
    </w:p>
    <w:p>
      <w:pPr>
        <w:spacing w:after="0" w:line="94" w:lineRule="exact"/>
        <w:rPr>
          <w:rFonts w:ascii="Times New Roman" w:cs="Times New Roman" w:eastAsia="Times New Roman" w:hAnsi="Times New Roman"/>
          <w:sz w:val="18"/>
          <w:szCs w:val="18"/>
          <w:color w:val="auto"/>
        </w:rPr>
      </w:pPr>
    </w:p>
    <w:p>
      <w:pPr>
        <w:ind w:left="1492" w:right="260" w:hanging="429"/>
        <w:spacing w:after="0" w:line="267" w:lineRule="auto"/>
        <w:tabs>
          <w:tab w:leader="none" w:pos="1492" w:val="left"/>
        </w:tabs>
        <w:numPr>
          <w:ilvl w:val="2"/>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unused and/or remaining samples to GSK or a location designated by GSK (reasonable shipping costs being charged to GSK), or;</w:t>
      </w:r>
    </w:p>
    <w:p>
      <w:pPr>
        <w:spacing w:after="0" w:line="78" w:lineRule="exact"/>
        <w:rPr>
          <w:sz w:val="20"/>
          <w:szCs w:val="20"/>
          <w:color w:val="auto"/>
        </w:rPr>
      </w:pPr>
    </w:p>
    <w:p>
      <w:pPr>
        <w:ind w:left="1492" w:right="20" w:hanging="429"/>
        <w:spacing w:after="0" w:line="267" w:lineRule="auto"/>
        <w:tabs>
          <w:tab w:leader="none" w:pos="1492" w:val="left"/>
        </w:tabs>
        <w:numPr>
          <w:ilvl w:val="0"/>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Destroy unused and/or remaining Samples (related costs being borne by GSK). A sample destruction form must be completed and authorizing signature(s) from GSK must be obtained prior to destroying samples.</w:t>
      </w:r>
    </w:p>
    <w:p>
      <w:pPr>
        <w:spacing w:after="0" w:line="65" w:lineRule="exact"/>
        <w:rPr>
          <w:sz w:val="20"/>
          <w:szCs w:val="20"/>
          <w:color w:val="auto"/>
        </w:rPr>
      </w:pPr>
    </w:p>
    <w:p>
      <w:pPr>
        <w:jc w:val="both"/>
        <w:ind w:left="1072" w:right="200"/>
        <w:spacing w:after="0" w:line="255" w:lineRule="auto"/>
        <w:rPr>
          <w:sz w:val="20"/>
          <w:szCs w:val="20"/>
          <w:color w:val="auto"/>
        </w:rPr>
      </w:pPr>
      <w:r>
        <w:rPr>
          <w:rFonts w:ascii="Times New Roman" w:cs="Times New Roman" w:eastAsia="Times New Roman" w:hAnsi="Times New Roman"/>
          <w:sz w:val="18"/>
          <w:szCs w:val="18"/>
          <w:color w:val="auto"/>
        </w:rPr>
        <w:t>In any event, upon expiration of the aforesaid Retention Period, prior to disposing of any such remaining or unused Samples, Tempus shall notify GSK in advance, and if GSK so requests, shall deliver such remaining or unused Samples to GSK, at GSK’s costs, rather than dispose of them.</w:t>
      </w:r>
    </w:p>
    <w:p>
      <w:pPr>
        <w:spacing w:after="0" w:line="325" w:lineRule="exact"/>
        <w:rPr>
          <w:sz w:val="20"/>
          <w:szCs w:val="20"/>
          <w:color w:val="auto"/>
        </w:rPr>
      </w:pPr>
    </w:p>
    <w:p>
      <w:pPr>
        <w:ind w:left="412" w:hanging="412"/>
        <w:spacing w:after="0"/>
        <w:tabs>
          <w:tab w:leader="none" w:pos="412"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Records</w:t>
      </w:r>
    </w:p>
    <w:p>
      <w:pPr>
        <w:spacing w:after="0" w:line="108" w:lineRule="exact"/>
        <w:rPr>
          <w:rFonts w:ascii="Times New Roman" w:cs="Times New Roman" w:eastAsia="Times New Roman" w:hAnsi="Times New Roman"/>
          <w:sz w:val="18"/>
          <w:szCs w:val="18"/>
          <w:color w:val="auto"/>
        </w:rPr>
      </w:pPr>
    </w:p>
    <w:p>
      <w:pPr>
        <w:ind w:left="432" w:right="560" w:hanging="4"/>
        <w:spacing w:after="0" w:line="267" w:lineRule="auto"/>
        <w:tabs>
          <w:tab w:leader="none" w:pos="726" w:val="left"/>
        </w:tabs>
        <w:numPr>
          <w:ilvl w:val="1"/>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draw up Study Records created pursuant to its standard operating procedures in connection with the performance of the Activities in accordance with the terms of this Agreement and the Applicable Law.</w:t>
      </w:r>
    </w:p>
    <w:p>
      <w:pPr>
        <w:spacing w:after="0" w:line="64" w:lineRule="exact"/>
        <w:rPr>
          <w:rFonts w:ascii="Times New Roman" w:cs="Times New Roman" w:eastAsia="Times New Roman" w:hAnsi="Times New Roman"/>
          <w:sz w:val="18"/>
          <w:szCs w:val="18"/>
          <w:color w:val="auto"/>
        </w:rPr>
      </w:pPr>
    </w:p>
    <w:p>
      <w:pPr>
        <w:ind w:left="432" w:right="20" w:hanging="4"/>
        <w:spacing w:after="0" w:line="288" w:lineRule="auto"/>
        <w:tabs>
          <w:tab w:leader="none" w:pos="739" w:val="left"/>
        </w:tabs>
        <w:numPr>
          <w:ilvl w:val="1"/>
          <w:numId w:val="6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Termination Date, Tempus shall retain any Study Related Data related to the Study Records referenced in the prior Section a) (in paper and electronic format) for a period set forth in the applicable Task Order and, if no period is set forth, for a period of [***] for all Study Related Data generated under Activities subject to GCP requirements following the conclusion of Activities associated with such Study Retained Data (the “</w:t>
      </w:r>
      <w:r>
        <w:rPr>
          <w:rFonts w:ascii="Times New Roman" w:cs="Times New Roman" w:eastAsia="Times New Roman" w:hAnsi="Times New Roman"/>
          <w:sz w:val="16"/>
          <w:szCs w:val="16"/>
          <w:b w:val="1"/>
          <w:bCs w:val="1"/>
          <w:color w:val="auto"/>
        </w:rPr>
        <w:t>Study Related Data Retention Period</w:t>
      </w:r>
      <w:r>
        <w:rPr>
          <w:rFonts w:ascii="Times New Roman" w:cs="Times New Roman" w:eastAsia="Times New Roman" w:hAnsi="Times New Roman"/>
          <w:sz w:val="16"/>
          <w:szCs w:val="16"/>
          <w:color w:val="auto"/>
        </w:rPr>
        <w:t>”). During such Study Related Data Retention Period, if GSK so requests in writing, Tempus shall return to GSK or its designate any such Study Related Data (reasonable extraction and shipping costs being borne by GSK).</w:t>
      </w:r>
    </w:p>
    <w:p>
      <w:pPr>
        <w:spacing w:after="0" w:line="51" w:lineRule="exact"/>
        <w:rPr>
          <w:rFonts w:ascii="Times New Roman" w:cs="Times New Roman" w:eastAsia="Times New Roman" w:hAnsi="Times New Roman"/>
          <w:sz w:val="16"/>
          <w:szCs w:val="16"/>
          <w:color w:val="auto"/>
        </w:rPr>
      </w:pPr>
    </w:p>
    <w:p>
      <w:pPr>
        <w:ind w:left="732" w:hanging="304"/>
        <w:spacing w:after="0"/>
        <w:tabs>
          <w:tab w:leader="none" w:pos="732" w:val="left"/>
        </w:tabs>
        <w:numPr>
          <w:ilvl w:val="1"/>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clarity, the Parties agree that all Study Related Data shall be the sole property of GSK.</w:t>
      </w:r>
    </w:p>
    <w:p>
      <w:pPr>
        <w:spacing w:after="0" w:line="108" w:lineRule="exact"/>
        <w:rPr>
          <w:rFonts w:ascii="Times New Roman" w:cs="Times New Roman" w:eastAsia="Times New Roman" w:hAnsi="Times New Roman"/>
          <w:sz w:val="18"/>
          <w:szCs w:val="18"/>
          <w:color w:val="auto"/>
        </w:rPr>
      </w:pPr>
    </w:p>
    <w:p>
      <w:pPr>
        <w:ind w:left="732" w:hanging="304"/>
        <w:spacing w:after="0"/>
        <w:tabs>
          <w:tab w:leader="none" w:pos="732" w:val="left"/>
        </w:tabs>
        <w:numPr>
          <w:ilvl w:val="1"/>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further undertakes that all Study Related Data shall be recorded and kept into appropriate files, batch record forms, and in</w:t>
      </w:r>
    </w:p>
    <w:p>
      <w:pPr>
        <w:spacing w:after="0" w:line="21"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8"/>
          <w:szCs w:val="18"/>
          <w:color w:val="auto"/>
        </w:rPr>
        <w:t>GSK-dedicated laboratory workbooks or in any other format to comply with the foregoing provisions.</w:t>
      </w:r>
    </w:p>
    <w:p>
      <w:pPr>
        <w:spacing w:after="0" w:line="90" w:lineRule="exact"/>
        <w:rPr>
          <w:sz w:val="20"/>
          <w:szCs w:val="20"/>
          <w:color w:val="auto"/>
        </w:rPr>
      </w:pPr>
    </w:p>
    <w:p>
      <w:pPr>
        <w:ind w:left="5272" w:right="4680" w:hanging="4844"/>
        <w:spacing w:after="0" w:line="379" w:lineRule="auto"/>
        <w:tabs>
          <w:tab w:leader="none" w:pos="728" w:val="left"/>
        </w:tabs>
        <w:numPr>
          <w:ilvl w:val="0"/>
          <w:numId w:val="6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Study Records will be stored in a manner which will ensure their integrity. 64</w:t>
      </w:r>
    </w:p>
    <w:p>
      <w:pPr>
        <w:sectPr>
          <w:pgSz w:w="11900" w:h="16838" w:orient="portrait"/>
          <w:cols w:equalWidth="0" w:num="1">
            <w:col w:w="10612"/>
          </w:cols>
          <w:pgMar w:left="588" w:top="265" w:right="699" w:bottom="1440" w:gutter="0" w:footer="0" w:header="0"/>
        </w:sectPr>
      </w:pPr>
    </w:p>
    <w:bookmarkStart w:id="661" w:name="page662"/>
    <w:bookmarkEnd w:id="661"/>
    <w:p>
      <w:pPr>
        <w:ind w:left="432" w:right="180" w:hanging="4"/>
        <w:spacing w:after="0" w:line="255" w:lineRule="auto"/>
        <w:tabs>
          <w:tab w:leader="none" w:pos="709"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Data other than Study Related Data, reference materials, any and all records of Activities (other than the Study Related Data), and Tempus’s computer programs or models used to perform the Activities as well as related documentation (the “</w:t>
      </w:r>
      <w:r>
        <w:rPr>
          <w:rFonts w:ascii="Times New Roman" w:cs="Times New Roman" w:eastAsia="Times New Roman" w:hAnsi="Times New Roman"/>
          <w:sz w:val="18"/>
          <w:szCs w:val="18"/>
          <w:b w:val="1"/>
          <w:bCs w:val="1"/>
          <w:color w:val="auto"/>
        </w:rPr>
        <w:t>Services Records</w:t>
      </w:r>
      <w:r>
        <w:rPr>
          <w:rFonts w:ascii="Times New Roman" w:cs="Times New Roman" w:eastAsia="Times New Roman" w:hAnsi="Times New Roman"/>
          <w:sz w:val="18"/>
          <w:szCs w:val="18"/>
          <w:color w:val="auto"/>
        </w:rPr>
        <w:t>”) shall be retained by Tempus as required by Applicable Laws.</w:t>
      </w:r>
    </w:p>
    <w:p>
      <w:pPr>
        <w:spacing w:after="0" w:line="75" w:lineRule="exact"/>
        <w:rPr>
          <w:rFonts w:ascii="Times New Roman" w:cs="Times New Roman" w:eastAsia="Times New Roman" w:hAnsi="Times New Roman"/>
          <w:sz w:val="18"/>
          <w:szCs w:val="18"/>
          <w:color w:val="auto"/>
        </w:rPr>
      </w:pPr>
    </w:p>
    <w:p>
      <w:pPr>
        <w:ind w:left="432" w:right="280" w:hanging="4"/>
        <w:spacing w:after="0" w:line="255" w:lineRule="auto"/>
        <w:tabs>
          <w:tab w:leader="none" w:pos="739"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upon expiration of the aforesaid Samples Retention Period or Study Related Data Retention Period, prior to disposing of any such remaining or unused GSK HBS or Study Related Data, Tempus shall notify GSK in advance and, if GSK so requests, shall deliver such remaining or unused GSK HBS and Study Related Data to GSK, at GSK’s costs, rather than dispose of them.</w:t>
      </w:r>
    </w:p>
    <w:p>
      <w:pPr>
        <w:spacing w:after="0" w:line="75" w:lineRule="exact"/>
        <w:rPr>
          <w:rFonts w:ascii="Times New Roman" w:cs="Times New Roman" w:eastAsia="Times New Roman" w:hAnsi="Times New Roman"/>
          <w:sz w:val="18"/>
          <w:szCs w:val="18"/>
          <w:color w:val="auto"/>
        </w:rPr>
      </w:pPr>
    </w:p>
    <w:p>
      <w:pPr>
        <w:ind w:left="432" w:right="160" w:hanging="4"/>
        <w:spacing w:after="0" w:line="251" w:lineRule="auto"/>
        <w:tabs>
          <w:tab w:leader="none" w:pos="735"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agrees to provide GSK with access to Study Records in accordance with the terms set out in paragraph (a) above without additional charge, unless otherwise agreed by the Parties in writing. Tempus further agrees to ensure those Study Records are promptly organised for reference and available, at any time, for inspection by Health and/or Regulatory Authorities such as FDA, WHO, EMA, or by authorised GSK Personnel upon reasonable advanced written notice to the extent practically possible.</w:t>
      </w:r>
    </w:p>
    <w:p>
      <w:pPr>
        <w:spacing w:after="0" w:line="327" w:lineRule="exact"/>
        <w:rPr>
          <w:sz w:val="20"/>
          <w:szCs w:val="20"/>
          <w:color w:val="auto"/>
        </w:rPr>
      </w:pPr>
    </w:p>
    <w:p>
      <w:pPr>
        <w:ind w:left="412" w:hanging="412"/>
        <w:spacing w:after="0"/>
        <w:tabs>
          <w:tab w:leader="none" w:pos="412"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Payments</w:t>
      </w:r>
    </w:p>
    <w:p>
      <w:pPr>
        <w:spacing w:after="0" w:line="121" w:lineRule="exact"/>
        <w:rPr>
          <w:rFonts w:ascii="Times New Roman" w:cs="Times New Roman" w:eastAsia="Times New Roman" w:hAnsi="Times New Roman"/>
          <w:sz w:val="18"/>
          <w:szCs w:val="18"/>
          <w:color w:val="auto"/>
        </w:rPr>
      </w:pPr>
    </w:p>
    <w:p>
      <w:pPr>
        <w:ind w:left="4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w:t>
      </w:r>
      <w:r>
        <w:rPr>
          <w:rFonts w:ascii="Times New Roman" w:cs="Times New Roman" w:eastAsia="Times New Roman" w:hAnsi="Times New Roman"/>
          <w:sz w:val="16"/>
          <w:szCs w:val="16"/>
          <w:b w:val="1"/>
          <w:bCs w:val="1"/>
          <w:color w:val="auto"/>
        </w:rPr>
        <w:t>Upfront Payment</w:t>
      </w:r>
    </w:p>
    <w:p>
      <w:pPr>
        <w:spacing w:after="0" w:line="123" w:lineRule="exact"/>
        <w:rPr>
          <w:sz w:val="20"/>
          <w:szCs w:val="20"/>
          <w:color w:val="auto"/>
        </w:rPr>
      </w:pPr>
    </w:p>
    <w:p>
      <w:pPr>
        <w:ind w:left="412" w:right="100" w:hanging="412"/>
        <w:spacing w:after="0" w:line="251" w:lineRule="auto"/>
        <w:tabs>
          <w:tab w:leader="none" w:pos="412" w:val="left"/>
        </w:tabs>
        <w:numPr>
          <w:ilvl w:val="0"/>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transactions contemplated by this Agreement, following the Effective Date, GSK shall pay to Tempus a one-time upfront payment of Seventy Million Dollars ($70,000,000) (the “</w:t>
      </w:r>
      <w:r>
        <w:rPr>
          <w:rFonts w:ascii="Times New Roman" w:cs="Times New Roman" w:eastAsia="Times New Roman" w:hAnsi="Times New Roman"/>
          <w:sz w:val="18"/>
          <w:szCs w:val="18"/>
          <w:b w:val="1"/>
          <w:bCs w:val="1"/>
          <w:color w:val="auto"/>
        </w:rPr>
        <w:t>Upfront Payment</w:t>
      </w:r>
      <w:r>
        <w:rPr>
          <w:rFonts w:ascii="Times New Roman" w:cs="Times New Roman" w:eastAsia="Times New Roman" w:hAnsi="Times New Roman"/>
          <w:sz w:val="18"/>
          <w:szCs w:val="18"/>
          <w:color w:val="auto"/>
        </w:rPr>
        <w:t>”). The Upfront Payment shall be paid by or on behalf of GSK within [***] of receiving from Tempus an accurate, complete and audit-worthy invoice in accordance with the payment procedures set forth in Schedule 4 (the “</w:t>
      </w:r>
      <w:r>
        <w:rPr>
          <w:rFonts w:ascii="Times New Roman" w:cs="Times New Roman" w:eastAsia="Times New Roman" w:hAnsi="Times New Roman"/>
          <w:sz w:val="18"/>
          <w:szCs w:val="18"/>
          <w:b w:val="1"/>
          <w:bCs w:val="1"/>
          <w:color w:val="auto"/>
        </w:rPr>
        <w:t>GSK Payment Procedures</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412" w:hanging="412"/>
        <w:spacing w:after="0" w:line="248" w:lineRule="auto"/>
        <w:tabs>
          <w:tab w:leader="none" w:pos="412" w:val="left"/>
        </w:tabs>
        <w:numPr>
          <w:ilvl w:val="0"/>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Service Fees incurred pursuant to this Agreement, together with any other amounts due to Tempus or any of its Affiliates under any Additional Agreement (collectively, “</w:t>
      </w:r>
      <w:r>
        <w:rPr>
          <w:rFonts w:ascii="Times New Roman" w:cs="Times New Roman" w:eastAsia="Times New Roman" w:hAnsi="Times New Roman"/>
          <w:sz w:val="18"/>
          <w:szCs w:val="18"/>
          <w:b w:val="1"/>
          <w:bCs w:val="1"/>
          <w:color w:val="auto"/>
        </w:rPr>
        <w:t>Creditable Fees</w:t>
      </w:r>
      <w:r>
        <w:rPr>
          <w:rFonts w:ascii="Times New Roman" w:cs="Times New Roman" w:eastAsia="Times New Roman" w:hAnsi="Times New Roman"/>
          <w:sz w:val="18"/>
          <w:szCs w:val="18"/>
          <w:color w:val="auto"/>
        </w:rPr>
        <w:t xml:space="preserve">”) shall be credited by Tempus against the Upfront Payment, on a quarterly basis, until the first date on which the aggregate amount credited against the Upfront Payment pursuant to this </w:t>
      </w:r>
      <w:r>
        <w:rPr>
          <w:rFonts w:ascii="Times New Roman" w:cs="Times New Roman" w:eastAsia="Times New Roman" w:hAnsi="Times New Roman"/>
          <w:sz w:val="18"/>
          <w:szCs w:val="18"/>
          <w:u w:val="single" w:color="auto"/>
          <w:color w:val="auto"/>
        </w:rPr>
        <w:t>Section 24.1ii)</w:t>
      </w:r>
      <w:r>
        <w:rPr>
          <w:rFonts w:ascii="Times New Roman" w:cs="Times New Roman" w:eastAsia="Times New Roman" w:hAnsi="Times New Roman"/>
          <w:sz w:val="18"/>
          <w:szCs w:val="18"/>
          <w:color w:val="auto"/>
        </w:rPr>
        <w:t xml:space="preserve"> exceeds [***] (the “</w:t>
      </w:r>
      <w:r>
        <w:rPr>
          <w:rFonts w:ascii="Times New Roman" w:cs="Times New Roman" w:eastAsia="Times New Roman" w:hAnsi="Times New Roman"/>
          <w:sz w:val="18"/>
          <w:szCs w:val="18"/>
          <w:b w:val="1"/>
          <w:bCs w:val="1"/>
          <w:color w:val="auto"/>
        </w:rPr>
        <w:t>Quarterly Funding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Trigger</w:t>
      </w:r>
      <w:r>
        <w:rPr>
          <w:rFonts w:ascii="Times New Roman" w:cs="Times New Roman" w:eastAsia="Times New Roman" w:hAnsi="Times New Roman"/>
          <w:sz w:val="18"/>
          <w:szCs w:val="18"/>
          <w:color w:val="auto"/>
        </w:rPr>
        <w:t>”), at which point Creditable Fees shall become payable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24.2</w:t>
      </w:r>
      <w:r>
        <w:rPr>
          <w:rFonts w:ascii="Times New Roman" w:cs="Times New Roman" w:eastAsia="Times New Roman" w:hAnsi="Times New Roman"/>
          <w:sz w:val="18"/>
          <w:szCs w:val="18"/>
          <w:color w:val="auto"/>
        </w:rPr>
        <w:t>. Any portion of the Upfront Payment that has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been credited in full against the payment of any Creditable Fees shall be deemed to be a Surplus Funding Credit for purposes of </w:t>
      </w:r>
      <w:r>
        <w:rPr>
          <w:rFonts w:ascii="Times New Roman" w:cs="Times New Roman" w:eastAsia="Times New Roman" w:hAnsi="Times New Roman"/>
          <w:sz w:val="18"/>
          <w:szCs w:val="18"/>
          <w:u w:val="single" w:color="auto"/>
          <w:color w:val="auto"/>
        </w:rPr>
        <w:t>Section 24.4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24.5</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6"/>
          <w:szCs w:val="16"/>
          <w:b w:val="1"/>
          <w:bCs w:val="1"/>
          <w:color w:val="auto"/>
        </w:rPr>
        <w:t>Quarterly Funding Payments.</w:t>
      </w:r>
    </w:p>
    <w:p>
      <w:pPr>
        <w:spacing w:after="0" w:line="121" w:lineRule="exact"/>
        <w:rPr>
          <w:sz w:val="20"/>
          <w:szCs w:val="20"/>
          <w:color w:val="auto"/>
        </w:rPr>
      </w:pPr>
    </w:p>
    <w:p>
      <w:pPr>
        <w:ind w:left="412" w:right="260" w:hanging="412"/>
        <w:spacing w:after="0" w:line="256" w:lineRule="auto"/>
        <w:tabs>
          <w:tab w:leader="none" w:pos="412"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Trigger Date (as defined below), GSK shall make quarterly funding payments (the “</w:t>
      </w:r>
      <w:r>
        <w:rPr>
          <w:rFonts w:ascii="Times New Roman" w:cs="Times New Roman" w:eastAsia="Times New Roman" w:hAnsi="Times New Roman"/>
          <w:sz w:val="18"/>
          <w:szCs w:val="18"/>
          <w:b w:val="1"/>
          <w:bCs w:val="1"/>
          <w:color w:val="auto"/>
        </w:rPr>
        <w:t>Quarterly Funding Payments</w:t>
      </w:r>
      <w:r>
        <w:rPr>
          <w:rFonts w:ascii="Times New Roman" w:cs="Times New Roman" w:eastAsia="Times New Roman" w:hAnsi="Times New Roman"/>
          <w:sz w:val="18"/>
          <w:szCs w:val="18"/>
          <w:color w:val="auto"/>
        </w:rPr>
        <w:t xml:space="preserve">”) to Tempus during the Funding Term in the manner set forth in this </w:t>
      </w:r>
      <w:r>
        <w:rPr>
          <w:rFonts w:ascii="Times New Roman" w:cs="Times New Roman" w:eastAsia="Times New Roman" w:hAnsi="Times New Roman"/>
          <w:sz w:val="18"/>
          <w:szCs w:val="18"/>
          <w:u w:val="single" w:color="auto"/>
          <w:color w:val="auto"/>
        </w:rPr>
        <w:t>Section 24.2</w:t>
      </w:r>
      <w:r>
        <w:rPr>
          <w:rFonts w:ascii="Times New Roman" w:cs="Times New Roman" w:eastAsia="Times New Roman" w:hAnsi="Times New Roman"/>
          <w:sz w:val="18"/>
          <w:szCs w:val="18"/>
          <w:color w:val="auto"/>
        </w:rPr>
        <w:t xml:space="preserve"> and in all cases in accordance with the GSK Payment Procedures. Within [***]</w:t>
      </w:r>
    </w:p>
    <w:p>
      <w:pPr>
        <w:spacing w:after="0" w:line="11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692"/>
          </w:cols>
          <w:pgMar w:left="588" w:top="266" w:right="619" w:bottom="1440" w:gutter="0" w:footer="0" w:header="0"/>
        </w:sectPr>
      </w:pPr>
    </w:p>
    <w:bookmarkStart w:id="662" w:name="page663"/>
    <w:bookmarkEnd w:id="662"/>
    <w:p>
      <w:pPr>
        <w:ind w:left="412" w:right="3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following the Trigger Date (as defined below), and within [***] during the Funding Term, Tempus shall deliver to GSK an invoice for the Quarterly Funding Payment then in effect for such quarter. The Quarterly Funding Payments shall be creditable in full against any outstanding Creditable Fees.</w:t>
      </w:r>
    </w:p>
    <w:p>
      <w:pPr>
        <w:spacing w:after="0" w:line="87" w:lineRule="exact"/>
        <w:rPr>
          <w:sz w:val="20"/>
          <w:szCs w:val="20"/>
          <w:color w:val="auto"/>
        </w:rPr>
      </w:pPr>
    </w:p>
    <w:p>
      <w:pPr>
        <w:ind w:left="412" w:right="180" w:hanging="412"/>
        <w:spacing w:after="0" w:line="256" w:lineRule="auto"/>
        <w:tabs>
          <w:tab w:leader="none" w:pos="412"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24.2</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Initial Funding Term</w:t>
      </w:r>
      <w:r>
        <w:rPr>
          <w:rFonts w:ascii="Times New Roman" w:cs="Times New Roman" w:eastAsia="Times New Roman" w:hAnsi="Times New Roman"/>
          <w:sz w:val="18"/>
          <w:szCs w:val="18"/>
          <w:color w:val="auto"/>
        </w:rPr>
        <w:t>” shall mean the period commencing on the first day of the first calendar quarter beginning after the occurrence of the Quarterly Funding Trigger (the “</w:t>
      </w:r>
      <w:r>
        <w:rPr>
          <w:rFonts w:ascii="Times New Roman" w:cs="Times New Roman" w:eastAsia="Times New Roman" w:hAnsi="Times New Roman"/>
          <w:sz w:val="18"/>
          <w:szCs w:val="18"/>
          <w:b w:val="1"/>
          <w:bCs w:val="1"/>
          <w:color w:val="auto"/>
        </w:rPr>
        <w:t>Trigger Date</w:t>
      </w:r>
      <w:r>
        <w:rPr>
          <w:rFonts w:ascii="Times New Roman" w:cs="Times New Roman" w:eastAsia="Times New Roman" w:hAnsi="Times New Roman"/>
          <w:sz w:val="18"/>
          <w:szCs w:val="18"/>
          <w:color w:val="auto"/>
        </w:rPr>
        <w:t>”) and ending on December 31, 2025. The “</w:t>
      </w:r>
      <w:r>
        <w:rPr>
          <w:rFonts w:ascii="Times New Roman" w:cs="Times New Roman" w:eastAsia="Times New Roman" w:hAnsi="Times New Roman"/>
          <w:sz w:val="18"/>
          <w:szCs w:val="18"/>
          <w:b w:val="1"/>
          <w:bCs w:val="1"/>
          <w:color w:val="auto"/>
        </w:rPr>
        <w:t>Funding Term</w:t>
      </w:r>
      <w:r>
        <w:rPr>
          <w:rFonts w:ascii="Times New Roman" w:cs="Times New Roman" w:eastAsia="Times New Roman" w:hAnsi="Times New Roman"/>
          <w:sz w:val="18"/>
          <w:szCs w:val="18"/>
          <w:color w:val="auto"/>
        </w:rPr>
        <w:t xml:space="preserve">” shall mean the Initial Funding Term and any Additional Funding Term pursuant to </w:t>
      </w:r>
      <w:r>
        <w:rPr>
          <w:rFonts w:ascii="Times New Roman" w:cs="Times New Roman" w:eastAsia="Times New Roman" w:hAnsi="Times New Roman"/>
          <w:sz w:val="18"/>
          <w:szCs w:val="18"/>
          <w:u w:val="single" w:color="auto"/>
          <w:color w:val="auto"/>
        </w:rPr>
        <w:t>Section 24.3</w:t>
      </w:r>
      <w:r>
        <w:rPr>
          <w:rFonts w:ascii="Times New Roman" w:cs="Times New Roman" w:eastAsia="Times New Roman" w:hAnsi="Times New Roman"/>
          <w:sz w:val="18"/>
          <w:szCs w:val="18"/>
          <w:color w:val="auto"/>
        </w:rPr>
        <w:t>.</w:t>
      </w:r>
    </w:p>
    <w:p>
      <w:pPr>
        <w:spacing w:after="0" w:line="87" w:lineRule="exact"/>
        <w:rPr>
          <w:rFonts w:ascii="Times New Roman" w:cs="Times New Roman" w:eastAsia="Times New Roman" w:hAnsi="Times New Roman"/>
          <w:sz w:val="18"/>
          <w:szCs w:val="18"/>
          <w:color w:val="auto"/>
        </w:rPr>
      </w:pPr>
    </w:p>
    <w:p>
      <w:pPr>
        <w:ind w:left="412" w:right="320" w:hanging="412"/>
        <w:spacing w:after="0" w:line="267" w:lineRule="auto"/>
        <w:tabs>
          <w:tab w:leader="none" w:pos="412"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Quarterly Funding Payments payable by GSK during the Initial Funding Term shall initially be One Hundred Ten Million Dollars ($110,000,000) (such amount, as may be adjusted pursuant to </w:t>
      </w:r>
      <w:r>
        <w:rPr>
          <w:rFonts w:ascii="Times New Roman" w:cs="Times New Roman" w:eastAsia="Times New Roman" w:hAnsi="Times New Roman"/>
          <w:sz w:val="18"/>
          <w:szCs w:val="18"/>
          <w:u w:val="single" w:color="auto"/>
          <w:color w:val="auto"/>
        </w:rPr>
        <w:t>Section 24.4</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Initial Funding Commitment</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412" w:right="140" w:hanging="412"/>
        <w:spacing w:after="0" w:line="285" w:lineRule="auto"/>
        <w:tabs>
          <w:tab w:leader="none" w:pos="412" w:val="left"/>
        </w:tabs>
        <w:numPr>
          <w:ilvl w:val="0"/>
          <w:numId w:val="6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the Initial Funding Term, the Quarterly Funding Payment shall be an amount equal to [***]. The amount of the Quarterly Funding Payment shall be subject to adjustment pursuant to </w:t>
      </w:r>
      <w:r>
        <w:rPr>
          <w:rFonts w:ascii="Times New Roman" w:cs="Times New Roman" w:eastAsia="Times New Roman" w:hAnsi="Times New Roman"/>
          <w:sz w:val="16"/>
          <w:szCs w:val="16"/>
          <w:u w:val="single" w:color="auto"/>
          <w:color w:val="auto"/>
        </w:rPr>
        <w:t>Section 24.4</w:t>
      </w:r>
      <w:r>
        <w:rPr>
          <w:rFonts w:ascii="Times New Roman" w:cs="Times New Roman" w:eastAsia="Times New Roman" w:hAnsi="Times New Roman"/>
          <w:sz w:val="16"/>
          <w:szCs w:val="16"/>
          <w:color w:val="auto"/>
        </w:rPr>
        <w:t xml:space="preserve"> and in no event shall any Quarterly Funding Payment exceed [***] during the Funding Term. The Parties anticipate that the Service Fees may be accrued annually on the following approximate schedule: $[***] in 2022, $[***] in 2023, $[***] in 2024, and $[***] in 2025; provided, that the foregoing schedule shall not impose any commitment or obligation on the part of GSK to incur any Service Fees in accordance with any such timeline or schedule (except as otherwise expressly set forth in this Agreement) and GSK shall have the sole discretion to determine the accrual of any such Service Fees, subject to </w:t>
      </w:r>
      <w:r>
        <w:rPr>
          <w:rFonts w:ascii="Times New Roman" w:cs="Times New Roman" w:eastAsia="Times New Roman" w:hAnsi="Times New Roman"/>
          <w:sz w:val="16"/>
          <w:szCs w:val="16"/>
          <w:u w:val="single" w:color="auto"/>
          <w:color w:val="auto"/>
        </w:rPr>
        <w:t>Section 24.2v)</w:t>
      </w:r>
      <w:r>
        <w:rPr>
          <w:rFonts w:ascii="Times New Roman" w:cs="Times New Roman" w:eastAsia="Times New Roman" w:hAnsi="Times New Roman"/>
          <w:sz w:val="16"/>
          <w:szCs w:val="16"/>
          <w:color w:val="auto"/>
        </w:rPr>
        <w:t xml:space="preserve"> below.</w:t>
      </w:r>
    </w:p>
    <w:p>
      <w:pPr>
        <w:spacing w:after="0" w:line="67" w:lineRule="exact"/>
        <w:rPr>
          <w:rFonts w:ascii="Times New Roman" w:cs="Times New Roman" w:eastAsia="Times New Roman" w:hAnsi="Times New Roman"/>
          <w:sz w:val="16"/>
          <w:szCs w:val="16"/>
          <w:color w:val="auto"/>
        </w:rPr>
      </w:pPr>
    </w:p>
    <w:p>
      <w:pPr>
        <w:ind w:left="412" w:right="240" w:hanging="412"/>
        <w:spacing w:after="0" w:line="255" w:lineRule="auto"/>
        <w:tabs>
          <w:tab w:leader="none" w:pos="412"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clarity, the aggregate amount of the Upfront Payment and all Quarterly Funding Payments during the Initial Funding Term shall be equal to One Hundred Eighty Million Dollars ($180,000,000) (or One Hundred Ninety Million Dollars ($190,000,000) if both Funding Milestones are timely achieved in accordance with </w:t>
      </w:r>
      <w:r>
        <w:rPr>
          <w:rFonts w:ascii="Times New Roman" w:cs="Times New Roman" w:eastAsia="Times New Roman" w:hAnsi="Times New Roman"/>
          <w:sz w:val="18"/>
          <w:szCs w:val="18"/>
          <w:u w:val="single" w:color="auto"/>
          <w:color w:val="auto"/>
        </w:rPr>
        <w:t>Section 24.4i)</w:t>
      </w:r>
      <w:r>
        <w:rPr>
          <w:rFonts w:ascii="Times New Roman" w:cs="Times New Roman" w:eastAsia="Times New Roman" w:hAnsi="Times New Roman"/>
          <w:sz w:val="18"/>
          <w:szCs w:val="18"/>
          <w:color w:val="auto"/>
        </w:rPr>
        <w:t>).</w:t>
      </w:r>
    </w:p>
    <w:p>
      <w:pPr>
        <w:spacing w:after="0" w:line="322" w:lineRule="exact"/>
        <w:rPr>
          <w:rFonts w:ascii="Times New Roman" w:cs="Times New Roman" w:eastAsia="Times New Roman" w:hAnsi="Times New Roman"/>
          <w:sz w:val="18"/>
          <w:szCs w:val="18"/>
          <w:color w:val="auto"/>
        </w:rPr>
      </w:pPr>
    </w:p>
    <w:p>
      <w:pPr>
        <w:ind w:left="4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w:t>
      </w:r>
      <w:r>
        <w:rPr>
          <w:rFonts w:ascii="Times New Roman" w:cs="Times New Roman" w:eastAsia="Times New Roman" w:hAnsi="Times New Roman"/>
          <w:sz w:val="16"/>
          <w:szCs w:val="16"/>
          <w:b w:val="1"/>
          <w:bCs w:val="1"/>
          <w:color w:val="auto"/>
        </w:rPr>
        <w:t>Additional Funding Term</w:t>
      </w:r>
    </w:p>
    <w:p>
      <w:pPr>
        <w:spacing w:after="0" w:line="110" w:lineRule="exact"/>
        <w:rPr>
          <w:rFonts w:ascii="Times New Roman" w:cs="Times New Roman" w:eastAsia="Times New Roman" w:hAnsi="Times New Roman"/>
          <w:sz w:val="18"/>
          <w:szCs w:val="18"/>
          <w:color w:val="auto"/>
        </w:rPr>
      </w:pPr>
    </w:p>
    <w:p>
      <w:pPr>
        <w:ind w:left="432"/>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GSK elects, in its sole discretion, at any time prior to the end of the Term, to extend the Term for an additional two (2) years in accordance with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Additional Funding Term</w:t>
      </w:r>
      <w:r>
        <w:rPr>
          <w:rFonts w:ascii="Times New Roman" w:cs="Times New Roman" w:eastAsia="Times New Roman" w:hAnsi="Times New Roman"/>
          <w:sz w:val="18"/>
          <w:szCs w:val="18"/>
          <w:color w:val="auto"/>
        </w:rPr>
        <w:t xml:space="preserve">”), then GSK shall make an aggregate amount of Quarterly Funding Payments during the Additional Funding Term initially equal to One Hundred Twenty Million Dollars ($120,000,000) (such amount, as may be adjusted pursuant to </w:t>
      </w:r>
      <w:r>
        <w:rPr>
          <w:rFonts w:ascii="Times New Roman" w:cs="Times New Roman" w:eastAsia="Times New Roman" w:hAnsi="Times New Roman"/>
          <w:sz w:val="18"/>
          <w:szCs w:val="18"/>
          <w:u w:val="single" w:color="auto"/>
          <w:color w:val="auto"/>
        </w:rPr>
        <w:t>Section 24.4</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Additional Funding Commitment</w:t>
      </w:r>
      <w:r>
        <w:rPr>
          <w:rFonts w:ascii="Times New Roman" w:cs="Times New Roman" w:eastAsia="Times New Roman" w:hAnsi="Times New Roman"/>
          <w:sz w:val="18"/>
          <w:szCs w:val="18"/>
          <w:color w:val="auto"/>
        </w:rPr>
        <w:t xml:space="preserve">”) and the Quarterly Funding Payment for each calendar quarter during the Additional Funding Term shall initially be equal to [***], subject, in each case, to adjustment pursuant to </w:t>
      </w:r>
      <w:r>
        <w:rPr>
          <w:rFonts w:ascii="Times New Roman" w:cs="Times New Roman" w:eastAsia="Times New Roman" w:hAnsi="Times New Roman"/>
          <w:sz w:val="18"/>
          <w:szCs w:val="18"/>
          <w:u w:val="single" w:color="auto"/>
          <w:color w:val="auto"/>
        </w:rPr>
        <w:t>Section 24.4</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692"/>
          </w:cols>
          <w:pgMar w:left="588" w:top="266" w:right="619" w:bottom="1440" w:gutter="0" w:footer="0" w:header="0"/>
        </w:sectPr>
      </w:pPr>
    </w:p>
    <w:bookmarkStart w:id="663" w:name="page664"/>
    <w:bookmarkEnd w:id="663"/>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24.4</w:t>
      </w:r>
      <w:r>
        <w:rPr>
          <w:sz w:val="20"/>
          <w:szCs w:val="20"/>
          <w:color w:val="auto"/>
        </w:rPr>
        <w:tab/>
      </w:r>
      <w:r>
        <w:rPr>
          <w:rFonts w:ascii="Times New Roman" w:cs="Times New Roman" w:eastAsia="Times New Roman" w:hAnsi="Times New Roman"/>
          <w:sz w:val="16"/>
          <w:szCs w:val="16"/>
          <w:b w:val="1"/>
          <w:bCs w:val="1"/>
          <w:color w:val="auto"/>
        </w:rPr>
        <w:t>Adjustments to Quarterly Funding Payments</w:t>
      </w:r>
    </w:p>
    <w:p>
      <w:pPr>
        <w:spacing w:after="0" w:line="121" w:lineRule="exact"/>
        <w:rPr>
          <w:sz w:val="20"/>
          <w:szCs w:val="20"/>
          <w:color w:val="auto"/>
        </w:rPr>
      </w:pPr>
    </w:p>
    <w:p>
      <w:pPr>
        <w:ind w:left="412" w:hanging="412"/>
        <w:spacing w:after="0"/>
        <w:tabs>
          <w:tab w:leader="none" w:pos="412"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Funding Milestone Adjustment</w:t>
      </w:r>
    </w:p>
    <w:p>
      <w:pPr>
        <w:spacing w:after="0" w:line="110" w:lineRule="exact"/>
        <w:rPr>
          <w:rFonts w:ascii="Times New Roman" w:cs="Times New Roman" w:eastAsia="Times New Roman" w:hAnsi="Times New Roman"/>
          <w:sz w:val="18"/>
          <w:szCs w:val="18"/>
          <w:color w:val="auto"/>
        </w:rPr>
      </w:pPr>
    </w:p>
    <w:p>
      <w:pPr>
        <w:ind w:left="432" w:right="18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JSC determines that the Database Access and Expansion Criteria for the fiscal year 2024 or 2025, as applicable, have been satisfied by or before the end of the first calendar quarter of such year (each, a “</w:t>
      </w:r>
      <w:r>
        <w:rPr>
          <w:rFonts w:ascii="Times New Roman" w:cs="Times New Roman" w:eastAsia="Times New Roman" w:hAnsi="Times New Roman"/>
          <w:sz w:val="18"/>
          <w:szCs w:val="18"/>
          <w:b w:val="1"/>
          <w:bCs w:val="1"/>
          <w:color w:val="auto"/>
        </w:rPr>
        <w:t>Funding Milestone</w:t>
      </w:r>
      <w:r>
        <w:rPr>
          <w:rFonts w:ascii="Times New Roman" w:cs="Times New Roman" w:eastAsia="Times New Roman" w:hAnsi="Times New Roman"/>
          <w:sz w:val="18"/>
          <w:szCs w:val="18"/>
          <w:color w:val="auto"/>
        </w:rPr>
        <w:t>”), then the Initial Funding Commitment shall be increased by [***] per Funding Milestone (up to a maximum increase of [***]). In order to give effect to such increase, the Quarterly Funding Payment [***], shall be increased by an amount equal to [***] in respect of the applicable Funding Milestone (each, a “</w:t>
      </w:r>
      <w:r>
        <w:rPr>
          <w:rFonts w:ascii="Times New Roman" w:cs="Times New Roman" w:eastAsia="Times New Roman" w:hAnsi="Times New Roman"/>
          <w:sz w:val="18"/>
          <w:szCs w:val="18"/>
          <w:b w:val="1"/>
          <w:bCs w:val="1"/>
          <w:color w:val="auto"/>
        </w:rPr>
        <w:t>Funding Milestone Increase</w:t>
      </w:r>
      <w:r>
        <w:rPr>
          <w:rFonts w:ascii="Times New Roman" w:cs="Times New Roman" w:eastAsia="Times New Roman" w:hAnsi="Times New Roman"/>
          <w:sz w:val="18"/>
          <w:szCs w:val="18"/>
          <w:color w:val="auto"/>
        </w:rPr>
        <w:t>”); provided, that [***].</w:t>
      </w:r>
    </w:p>
    <w:p>
      <w:pPr>
        <w:spacing w:after="0" w:line="329"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Funding Surplus or Shortfall</w:t>
      </w:r>
    </w:p>
    <w:p>
      <w:pPr>
        <w:spacing w:after="0" w:line="123" w:lineRule="exact"/>
        <w:rPr>
          <w:rFonts w:ascii="Times New Roman" w:cs="Times New Roman" w:eastAsia="Times New Roman" w:hAnsi="Times New Roman"/>
          <w:sz w:val="18"/>
          <w:szCs w:val="18"/>
          <w:color w:val="auto"/>
        </w:rPr>
      </w:pPr>
    </w:p>
    <w:p>
      <w:pPr>
        <w:ind w:left="1052" w:right="40" w:hanging="632"/>
        <w:spacing w:after="0" w:line="251" w:lineRule="auto"/>
        <w:tabs>
          <w:tab w:leader="none" w:pos="1052" w:val="left"/>
        </w:tabs>
        <w:numPr>
          <w:ilvl w:val="1"/>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 of the end of each calendar quarter during the Funding Term, Tempus will provide to GSK a statement (to include the detail specified in Schedule 4, and otherwise in a form to be mutually agreed between the Parties) (a “</w:t>
      </w:r>
      <w:r>
        <w:rPr>
          <w:rFonts w:ascii="Times New Roman" w:cs="Times New Roman" w:eastAsia="Times New Roman" w:hAnsi="Times New Roman"/>
          <w:sz w:val="18"/>
          <w:szCs w:val="18"/>
          <w:b w:val="1"/>
          <w:bCs w:val="1"/>
          <w:color w:val="auto"/>
        </w:rPr>
        <w:t>Quarterly Fee Statement</w:t>
      </w:r>
      <w:r>
        <w:rPr>
          <w:rFonts w:ascii="Times New Roman" w:cs="Times New Roman" w:eastAsia="Times New Roman" w:hAnsi="Times New Roman"/>
          <w:sz w:val="18"/>
          <w:szCs w:val="18"/>
          <w:color w:val="auto"/>
        </w:rPr>
        <w:t>”) setting forth the actual amount of Creditable Fees incurred by GSK for such calendar quarter (the “</w:t>
      </w:r>
      <w:r>
        <w:rPr>
          <w:rFonts w:ascii="Times New Roman" w:cs="Times New Roman" w:eastAsia="Times New Roman" w:hAnsi="Times New Roman"/>
          <w:sz w:val="18"/>
          <w:szCs w:val="18"/>
          <w:b w:val="1"/>
          <w:bCs w:val="1"/>
          <w:color w:val="auto"/>
        </w:rPr>
        <w:t>Actual Quarterly Costs</w:t>
      </w:r>
      <w:r>
        <w:rPr>
          <w:rFonts w:ascii="Times New Roman" w:cs="Times New Roman" w:eastAsia="Times New Roman" w:hAnsi="Times New Roman"/>
          <w:sz w:val="18"/>
          <w:szCs w:val="18"/>
          <w:color w:val="auto"/>
        </w:rPr>
        <w:t>”), to be reviewed and agreed with the Parties’ Finance Representatives within [***] of each calendar quarter.</w:t>
      </w:r>
    </w:p>
    <w:p>
      <w:pPr>
        <w:spacing w:after="0" w:line="92" w:lineRule="exact"/>
        <w:rPr>
          <w:rFonts w:ascii="Times New Roman" w:cs="Times New Roman" w:eastAsia="Times New Roman" w:hAnsi="Times New Roman"/>
          <w:sz w:val="18"/>
          <w:szCs w:val="18"/>
          <w:color w:val="auto"/>
        </w:rPr>
      </w:pPr>
    </w:p>
    <w:p>
      <w:pPr>
        <w:ind w:left="1052" w:right="20" w:hanging="632"/>
        <w:spacing w:after="0" w:line="247" w:lineRule="auto"/>
        <w:tabs>
          <w:tab w:leader="none" w:pos="1052" w:val="left"/>
        </w:tabs>
        <w:numPr>
          <w:ilvl w:val="1"/>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Quarterly Funding Payment made by GSK in respect of such calendar quarter exceeds the Actual Quarterly Costs for such quarter (a “</w:t>
      </w:r>
      <w:r>
        <w:rPr>
          <w:rFonts w:ascii="Times New Roman" w:cs="Times New Roman" w:eastAsia="Times New Roman" w:hAnsi="Times New Roman"/>
          <w:sz w:val="18"/>
          <w:szCs w:val="18"/>
          <w:b w:val="1"/>
          <w:bCs w:val="1"/>
          <w:color w:val="auto"/>
        </w:rPr>
        <w:t>Quarterly Funding Surplus</w:t>
      </w:r>
      <w:r>
        <w:rPr>
          <w:rFonts w:ascii="Times New Roman" w:cs="Times New Roman" w:eastAsia="Times New Roman" w:hAnsi="Times New Roman"/>
          <w:sz w:val="18"/>
          <w:szCs w:val="18"/>
          <w:color w:val="auto"/>
        </w:rPr>
        <w:t>”), then Tempus will issue to GSK a credit for the amount of such Quarterly Funding Surplus (a “</w:t>
      </w:r>
      <w:r>
        <w:rPr>
          <w:rFonts w:ascii="Times New Roman" w:cs="Times New Roman" w:eastAsia="Times New Roman" w:hAnsi="Times New Roman"/>
          <w:sz w:val="18"/>
          <w:szCs w:val="18"/>
          <w:b w:val="1"/>
          <w:bCs w:val="1"/>
          <w:color w:val="auto"/>
        </w:rPr>
        <w:t>Surplus Funding Credit</w:t>
      </w:r>
      <w:r>
        <w:rPr>
          <w:rFonts w:ascii="Times New Roman" w:cs="Times New Roman" w:eastAsia="Times New Roman" w:hAnsi="Times New Roman"/>
          <w:sz w:val="18"/>
          <w:szCs w:val="18"/>
          <w:color w:val="auto"/>
        </w:rPr>
        <w:t>”). If the Actual Quarterly Costs for the applicable calendar quarter exceed the Quarterly Funding Payment made by GSK during such calendar quarter (a “</w:t>
      </w:r>
      <w:r>
        <w:rPr>
          <w:rFonts w:ascii="Times New Roman" w:cs="Times New Roman" w:eastAsia="Times New Roman" w:hAnsi="Times New Roman"/>
          <w:sz w:val="18"/>
          <w:szCs w:val="18"/>
          <w:b w:val="1"/>
          <w:bCs w:val="1"/>
          <w:color w:val="auto"/>
        </w:rPr>
        <w:t>Funding Shortfall</w:t>
      </w:r>
      <w:r>
        <w:rPr>
          <w:rFonts w:ascii="Times New Roman" w:cs="Times New Roman" w:eastAsia="Times New Roman" w:hAnsi="Times New Roman"/>
          <w:sz w:val="18"/>
          <w:szCs w:val="18"/>
          <w:color w:val="auto"/>
        </w:rPr>
        <w:t>”), then within [***] of the delivery of the Quarterly Fee Statement, Tempus shall invoice GSK for the amount of the Funding Shortfall, less the amount of any unused Surplus Funding Credit issued to GSK in respect of any prior calendar year or calendar quarter (any such payment actually made by GSK, a “</w:t>
      </w:r>
      <w:r>
        <w:rPr>
          <w:rFonts w:ascii="Times New Roman" w:cs="Times New Roman" w:eastAsia="Times New Roman" w:hAnsi="Times New Roman"/>
          <w:sz w:val="18"/>
          <w:szCs w:val="18"/>
          <w:b w:val="1"/>
          <w:bCs w:val="1"/>
          <w:color w:val="auto"/>
        </w:rPr>
        <w:t>Catch-Up Payment</w:t>
      </w:r>
      <w:r>
        <w:rPr>
          <w:rFonts w:ascii="Times New Roman" w:cs="Times New Roman" w:eastAsia="Times New Roman" w:hAnsi="Times New Roman"/>
          <w:sz w:val="18"/>
          <w:szCs w:val="18"/>
          <w:color w:val="auto"/>
        </w:rPr>
        <w:t>”) in accordance with the GSK Payment Procedures, and GSK shall increase the next Quarterly Funding Payment by the amount of the applicable Catch-Up Payment.</w:t>
      </w:r>
    </w:p>
    <w:p>
      <w:pPr>
        <w:spacing w:after="0" w:line="328"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Committed Funding Payment Pause.</w:t>
      </w:r>
    </w:p>
    <w:p>
      <w:pPr>
        <w:spacing w:after="0" w:line="123" w:lineRule="exact"/>
        <w:rPr>
          <w:rFonts w:ascii="Times New Roman" w:cs="Times New Roman" w:eastAsia="Times New Roman" w:hAnsi="Times New Roman"/>
          <w:sz w:val="18"/>
          <w:szCs w:val="18"/>
          <w:color w:val="auto"/>
        </w:rPr>
      </w:pPr>
    </w:p>
    <w:p>
      <w:pPr>
        <w:ind w:left="1492" w:hanging="429"/>
        <w:spacing w:after="0" w:line="251" w:lineRule="auto"/>
        <w:tabs>
          <w:tab w:leader="none" w:pos="1492" w:val="left"/>
        </w:tabs>
        <w:numPr>
          <w:ilvl w:val="2"/>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Funding Term, Surplus Funding Credits totalling more than [***] remain outstanding and unused for more than [***], GSK’s obligation to make Quarterly Funding Payments shall cease (a “</w:t>
      </w:r>
      <w:r>
        <w:rPr>
          <w:rFonts w:ascii="Times New Roman" w:cs="Times New Roman" w:eastAsia="Times New Roman" w:hAnsi="Times New Roman"/>
          <w:sz w:val="18"/>
          <w:szCs w:val="18"/>
          <w:b w:val="1"/>
          <w:bCs w:val="1"/>
          <w:color w:val="auto"/>
        </w:rPr>
        <w:t>Committed Funding Payment Pause</w:t>
      </w:r>
      <w:r>
        <w:rPr>
          <w:rFonts w:ascii="Times New Roman" w:cs="Times New Roman" w:eastAsia="Times New Roman" w:hAnsi="Times New Roman"/>
          <w:sz w:val="18"/>
          <w:szCs w:val="18"/>
          <w:color w:val="auto"/>
        </w:rPr>
        <w:t>”). All subsequent Actual Quarterly Cost will be drawn from the Surplus Funding Credits until such time as the aggregate amount of all outstanding and unused Surplus Funding Credits is less than [***].</w:t>
      </w:r>
    </w:p>
    <w:p>
      <w:pPr>
        <w:spacing w:after="0" w:line="11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692"/>
          </w:cols>
          <w:pgMar w:left="588" w:top="265" w:right="619" w:bottom="1440" w:gutter="0" w:footer="0" w:header="0"/>
        </w:sectPr>
      </w:pPr>
    </w:p>
    <w:bookmarkStart w:id="664" w:name="page665"/>
    <w:bookmarkEnd w:id="664"/>
    <w:p>
      <w:pPr>
        <w:ind w:left="1492" w:right="100" w:hanging="429"/>
        <w:spacing w:after="0" w:line="293" w:lineRule="auto"/>
        <w:tabs>
          <w:tab w:leader="none" w:pos="1492" w:val="left"/>
        </w:tabs>
        <w:numPr>
          <w:ilvl w:val="1"/>
          <w:numId w:val="6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At such time as the Committed Funding Payment Pause is no longer in effect, the Quarterly Funding Payments shall recommence beginning with the first full calendar quarter thereafter, payable in accordance with </w:t>
      </w:r>
      <w:r>
        <w:rPr>
          <w:rFonts w:ascii="Times New Roman" w:cs="Times New Roman" w:eastAsia="Times New Roman" w:hAnsi="Times New Roman"/>
          <w:sz w:val="16"/>
          <w:szCs w:val="16"/>
          <w:u w:val="single" w:color="auto"/>
          <w:color w:val="auto"/>
        </w:rPr>
        <w:t>Section 24.2</w:t>
      </w:r>
      <w:r>
        <w:rPr>
          <w:rFonts w:ascii="Times New Roman" w:cs="Times New Roman" w:eastAsia="Times New Roman" w:hAnsi="Times New Roman"/>
          <w:sz w:val="16"/>
          <w:szCs w:val="16"/>
          <w:color w:val="auto"/>
        </w:rPr>
        <w:t xml:space="preserve">. For clarity, GSK shall have no obligation to make any Quarterly Funding Payments in respect of any calendar quarter during which the Committed Funding Payment Pause is in effect, subject to the payment of any Funding Milestone Increase pursuant to </w:t>
      </w:r>
      <w:r>
        <w:rPr>
          <w:rFonts w:ascii="Times New Roman" w:cs="Times New Roman" w:eastAsia="Times New Roman" w:hAnsi="Times New Roman"/>
          <w:sz w:val="16"/>
          <w:szCs w:val="16"/>
          <w:u w:val="single" w:color="auto"/>
          <w:color w:val="auto"/>
        </w:rPr>
        <w:t>Section 24.4</w:t>
      </w:r>
      <w:r>
        <w:rPr>
          <w:rFonts w:ascii="Times New Roman" w:cs="Times New Roman" w:eastAsia="Times New Roman" w:hAnsi="Times New Roman"/>
          <w:sz w:val="16"/>
          <w:szCs w:val="16"/>
          <w:color w:val="auto"/>
        </w:rPr>
        <w:t>i).</w:t>
      </w:r>
    </w:p>
    <w:p>
      <w:pPr>
        <w:spacing w:after="0" w:line="57" w:lineRule="exact"/>
        <w:rPr>
          <w:rFonts w:ascii="Times New Roman" w:cs="Times New Roman" w:eastAsia="Times New Roman" w:hAnsi="Times New Roman"/>
          <w:sz w:val="16"/>
          <w:szCs w:val="16"/>
          <w:color w:val="auto"/>
        </w:rPr>
      </w:pPr>
    </w:p>
    <w:p>
      <w:pPr>
        <w:ind w:left="412" w:hanging="412"/>
        <w:spacing w:after="0" w:line="288" w:lineRule="auto"/>
        <w:tabs>
          <w:tab w:leader="none" w:pos="412" w:val="left"/>
        </w:tabs>
        <w:numPr>
          <w:ilvl w:val="0"/>
          <w:numId w:val="6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Annual Fee Statement</w:t>
      </w:r>
      <w:r>
        <w:rPr>
          <w:rFonts w:ascii="Times New Roman" w:cs="Times New Roman" w:eastAsia="Times New Roman" w:hAnsi="Times New Roman"/>
          <w:sz w:val="16"/>
          <w:szCs w:val="16"/>
          <w:color w:val="auto"/>
        </w:rPr>
        <w:t>. Within [***] of the end of each calendar year during the Funding Term, Tempus will provide to GSK a statement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include the detail specified in Schedule 4, and otherwise in a form to be mutually agreed between the Parties) (the “</w:t>
      </w:r>
      <w:r>
        <w:rPr>
          <w:rFonts w:ascii="Times New Roman" w:cs="Times New Roman" w:eastAsia="Times New Roman" w:hAnsi="Times New Roman"/>
          <w:sz w:val="16"/>
          <w:szCs w:val="16"/>
          <w:b w:val="1"/>
          <w:bCs w:val="1"/>
          <w:color w:val="auto"/>
        </w:rPr>
        <w:t>Annual Fee Statement</w:t>
      </w:r>
      <w:r>
        <w:rPr>
          <w:rFonts w:ascii="Times New Roman" w:cs="Times New Roman" w:eastAsia="Times New Roman" w:hAnsi="Times New Roman"/>
          <w:sz w:val="16"/>
          <w:szCs w:val="16"/>
          <w:color w:val="auto"/>
        </w:rPr>
        <w:t>”) setting forth the actual amount of Creditable Fees incurred by GSK for such calendar year (the “</w:t>
      </w:r>
      <w:r>
        <w:rPr>
          <w:rFonts w:ascii="Times New Roman" w:cs="Times New Roman" w:eastAsia="Times New Roman" w:hAnsi="Times New Roman"/>
          <w:sz w:val="16"/>
          <w:szCs w:val="16"/>
          <w:b w:val="1"/>
          <w:bCs w:val="1"/>
          <w:color w:val="auto"/>
        </w:rPr>
        <w:t>Actual Calendar Year Costs</w:t>
      </w:r>
      <w:r>
        <w:rPr>
          <w:rFonts w:ascii="Times New Roman" w:cs="Times New Roman" w:eastAsia="Times New Roman" w:hAnsi="Times New Roman"/>
          <w:sz w:val="16"/>
          <w:szCs w:val="16"/>
          <w:color w:val="auto"/>
        </w:rPr>
        <w:t>”), the aggregate amount of all Quarterly Funding Payments made for such calendar year and the aggregate amount of the outstanding Surplus Funding Credit as of the end of such calendar year, to be reviewed and agreed with the Parties’ Finance Representatives within [***] of each calendar quarter.</w:t>
      </w:r>
    </w:p>
    <w:p>
      <w:pPr>
        <w:spacing w:after="0" w:line="300" w:lineRule="exact"/>
        <w:rPr>
          <w:rFonts w:ascii="Times New Roman" w:cs="Times New Roman" w:eastAsia="Times New Roman" w:hAnsi="Times New Roman"/>
          <w:sz w:val="16"/>
          <w:szCs w:val="16"/>
          <w:color w:val="auto"/>
        </w:rPr>
      </w:pPr>
    </w:p>
    <w:p>
      <w:pPr>
        <w:ind w:left="41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24.5</w:t>
      </w:r>
      <w:r>
        <w:rPr>
          <w:rFonts w:ascii="Times New Roman" w:cs="Times New Roman" w:eastAsia="Times New Roman" w:hAnsi="Times New Roman"/>
          <w:sz w:val="16"/>
          <w:szCs w:val="16"/>
          <w:b w:val="1"/>
          <w:bCs w:val="1"/>
          <w:color w:val="auto"/>
        </w:rPr>
        <w:t>Unused Surplus Funding Credit</w:t>
      </w:r>
    </w:p>
    <w:p>
      <w:pPr>
        <w:spacing w:after="0" w:line="123" w:lineRule="exact"/>
        <w:rPr>
          <w:sz w:val="20"/>
          <w:szCs w:val="20"/>
          <w:color w:val="auto"/>
        </w:rPr>
      </w:pPr>
    </w:p>
    <w:p>
      <w:pPr>
        <w:ind w:left="412" w:right="40" w:hanging="412"/>
        <w:spacing w:after="0" w:line="251" w:lineRule="auto"/>
        <w:tabs>
          <w:tab w:leader="none" w:pos="412"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end of the Funding Term, there is outstanding any unused Surplus Funding Credit that is not already allocated under an existing Task Order or otherwise under this Agreement, then for a period of [***] from the end of the Funding Term, GSK shall use Commercially Reasonable Efforts to allocate such unused Surplus Funding Credit towards the performance of additional Activities under this Agreement or any Task Order, including any new Task Order as may be mutually agreed by the Parties.</w:t>
      </w:r>
    </w:p>
    <w:p>
      <w:pPr>
        <w:spacing w:after="0" w:line="92" w:lineRule="exact"/>
        <w:rPr>
          <w:rFonts w:ascii="Times New Roman" w:cs="Times New Roman" w:eastAsia="Times New Roman" w:hAnsi="Times New Roman"/>
          <w:sz w:val="18"/>
          <w:szCs w:val="18"/>
          <w:color w:val="auto"/>
        </w:rPr>
      </w:pPr>
    </w:p>
    <w:p>
      <w:pPr>
        <w:jc w:val="both"/>
        <w:ind w:left="412" w:hanging="412"/>
        <w:spacing w:after="0" w:line="248" w:lineRule="auto"/>
        <w:tabs>
          <w:tab w:leader="none" w:pos="412"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24.5i), to the extent any unused Surplus Funding Credit remains outstanding at the expiration of the [***] following the end of the Funding Term, Tempus shall promptly (and in any event within [***] of the expiration of such period) refund to GSK the aggregate amount of all such unused Surplus Funding Credit, in cash in immediately available funds. For clarity, it is the intention of the Parties that, subject to GSK’s obligation to use Commercially Reasonable Efforts to avoid such a scenario as described in Section 24.5i), GSK shall be refunded any portion of the Initial Funding Commitment or Additional Funding Commitment that is actually paid to Tempus but not applied towards any Creditable Fees actually incurred by GSK during the Term.</w:t>
      </w:r>
    </w:p>
    <w:p>
      <w:pPr>
        <w:spacing w:after="0" w:line="93"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24.6</w:t>
      </w:r>
      <w:r>
        <w:rPr>
          <w:sz w:val="20"/>
          <w:szCs w:val="20"/>
          <w:color w:val="auto"/>
        </w:rPr>
        <w:tab/>
      </w:r>
      <w:r>
        <w:rPr>
          <w:rFonts w:ascii="Times New Roman" w:cs="Times New Roman" w:eastAsia="Times New Roman" w:hAnsi="Times New Roman"/>
          <w:sz w:val="16"/>
          <w:szCs w:val="16"/>
          <w:b w:val="1"/>
          <w:bCs w:val="1"/>
          <w:color w:val="auto"/>
        </w:rPr>
        <w:t>Remedies</w:t>
      </w:r>
    </w:p>
    <w:p>
      <w:pPr>
        <w:spacing w:after="0" w:line="123" w:lineRule="exact"/>
        <w:rPr>
          <w:sz w:val="20"/>
          <w:szCs w:val="20"/>
          <w:color w:val="auto"/>
        </w:rPr>
      </w:pPr>
    </w:p>
    <w:p>
      <w:pPr>
        <w:ind w:left="412" w:right="140" w:hanging="412"/>
        <w:spacing w:after="0" w:line="255" w:lineRule="auto"/>
        <w:tabs>
          <w:tab w:leader="none" w:pos="412"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GSK reasonably considers that any invoice submitted by Tempus is defective or relates to Deliverables provided or Activities performed otherwise than in accordance with Tempus’s obligations under this Agreement, or GSK otherwise disputes any amount set forth in an invoice</w:t>
      </w:r>
    </w:p>
    <w:p>
      <w:pPr>
        <w:spacing w:after="0" w:line="11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652"/>
          </w:cols>
          <w:pgMar w:left="588" w:top="265" w:right="659" w:bottom="1440" w:gutter="0" w:footer="0" w:header="0"/>
        </w:sectPr>
      </w:pPr>
    </w:p>
    <w:bookmarkStart w:id="665" w:name="page666"/>
    <w:bookmarkEnd w:id="665"/>
    <w:p>
      <w:pPr>
        <w:ind w:left="412" w:right="32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submitted by Tempus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GSK shall be entitled to withhold payment of the disputed amount (without prejudice to any other rights or remedies it may have) pending resolution of the dispute between the Parties (each acting in good faith).</w:t>
      </w:r>
    </w:p>
    <w:p>
      <w:pPr>
        <w:spacing w:after="0" w:line="76" w:lineRule="exact"/>
        <w:rPr>
          <w:sz w:val="20"/>
          <w:szCs w:val="20"/>
          <w:color w:val="auto"/>
        </w:rPr>
      </w:pPr>
    </w:p>
    <w:p>
      <w:pPr>
        <w:ind w:left="412" w:right="600" w:hanging="412"/>
        <w:spacing w:after="0" w:line="270" w:lineRule="auto"/>
        <w:tabs>
          <w:tab w:leader="none" w:pos="412"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GS</w:t>
      </w:r>
      <w:r>
        <w:rPr>
          <w:rFonts w:ascii="Times New Roman" w:cs="Times New Roman" w:eastAsia="Times New Roman" w:hAnsi="Times New Roman"/>
          <w:sz w:val="18"/>
          <w:szCs w:val="18"/>
          <w:color w:val="auto"/>
        </w:rPr>
        <w:t>K reserves the right to set-off any sums in respect of which Tempus may be in default to GSK and any overpayments made by GSK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any such sums as Surplus Funding Credit in accordance with </w:t>
      </w:r>
      <w:r>
        <w:rPr>
          <w:rFonts w:ascii="Times New Roman" w:cs="Times New Roman" w:eastAsia="Times New Roman" w:hAnsi="Times New Roman"/>
          <w:sz w:val="18"/>
          <w:szCs w:val="18"/>
          <w:u w:val="single" w:color="auto"/>
          <w:color w:val="auto"/>
        </w:rPr>
        <w:t>Section 24.4ii)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24.5</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412" w:right="280" w:hanging="412"/>
        <w:spacing w:after="0" w:line="267" w:lineRule="auto"/>
        <w:tabs>
          <w:tab w:leader="none" w:pos="412"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invoices remitted by Tempus to GSK hereunder and all payments made by GSK to Tempus hereunder shall be in accordance with the GSK Payment Procedures.</w:t>
      </w:r>
    </w:p>
    <w:p>
      <w:pPr>
        <w:spacing w:after="0" w:line="77" w:lineRule="exact"/>
        <w:rPr>
          <w:rFonts w:ascii="Times New Roman" w:cs="Times New Roman" w:eastAsia="Times New Roman" w:hAnsi="Times New Roman"/>
          <w:sz w:val="18"/>
          <w:szCs w:val="18"/>
          <w:color w:val="auto"/>
        </w:rPr>
      </w:pPr>
    </w:p>
    <w:p>
      <w:pPr>
        <w:ind w:left="412" w:hanging="412"/>
        <w:spacing w:after="0" w:line="251" w:lineRule="auto"/>
        <w:tabs>
          <w:tab w:leader="none" w:pos="412"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in the event that this Agreement is terminated pursuant to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GSK shall have no further obligation to make any Quarterly Funding Payments or any other payments to Tempus under this Agreement and Tempus shall immediately refund to GSK any unused and uncredited portion of the Quarterly Funding Payments and/or Upfront Payment outstanding as of such time.</w:t>
      </w:r>
    </w:p>
    <w:p>
      <w:pPr>
        <w:spacing w:after="0" w:line="327"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24.7</w:t>
      </w:r>
      <w:r>
        <w:rPr>
          <w:sz w:val="20"/>
          <w:szCs w:val="20"/>
          <w:color w:val="auto"/>
        </w:rPr>
        <w:tab/>
      </w:r>
      <w:r>
        <w:rPr>
          <w:rFonts w:ascii="Times New Roman" w:cs="Times New Roman" w:eastAsia="Times New Roman" w:hAnsi="Times New Roman"/>
          <w:sz w:val="16"/>
          <w:szCs w:val="16"/>
          <w:b w:val="1"/>
          <w:bCs w:val="1"/>
          <w:color w:val="auto"/>
        </w:rPr>
        <w:t>Tax</w:t>
      </w:r>
    </w:p>
    <w:p>
      <w:pPr>
        <w:spacing w:after="0" w:line="123" w:lineRule="exact"/>
        <w:rPr>
          <w:sz w:val="20"/>
          <w:szCs w:val="20"/>
          <w:color w:val="auto"/>
        </w:rPr>
      </w:pPr>
    </w:p>
    <w:p>
      <w:pPr>
        <w:ind w:left="412" w:hanging="412"/>
        <w:spacing w:after="0"/>
        <w:tabs>
          <w:tab w:leader="none" w:pos="412"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payable under or in connection with this Agreement and any Task Order are exclusive of VAT &amp; Indirect Taxes.</w:t>
      </w:r>
    </w:p>
    <w:p>
      <w:pPr>
        <w:spacing w:after="0" w:line="121"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VAT &amp; Indirect Taxes (or any other equivalent tax), where applicable, will be shown separately on all invoices as a strictly net extra.</w:t>
      </w:r>
    </w:p>
    <w:p>
      <w:pPr>
        <w:spacing w:after="0" w:line="121" w:lineRule="exact"/>
        <w:rPr>
          <w:rFonts w:ascii="Times New Roman" w:cs="Times New Roman" w:eastAsia="Times New Roman" w:hAnsi="Times New Roman"/>
          <w:sz w:val="18"/>
          <w:szCs w:val="18"/>
          <w:color w:val="auto"/>
        </w:rPr>
      </w:pPr>
    </w:p>
    <w:p>
      <w:pPr>
        <w:ind w:left="412" w:right="140" w:hanging="412"/>
        <w:spacing w:after="0" w:line="255" w:lineRule="auto"/>
        <w:tabs>
          <w:tab w:leader="none" w:pos="412"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VAT &amp; Indirect Taxes payable on amounts payable under or in connection with this Agreement and any Task Order shall be paid by GSK at the same time as the payment or provision of the consideration to which it relates, subject to the production of a value added tax valid audit-worthy invoice.</w:t>
      </w:r>
    </w:p>
    <w:p>
      <w:pPr>
        <w:spacing w:after="0" w:line="88" w:lineRule="exact"/>
        <w:rPr>
          <w:rFonts w:ascii="Times New Roman" w:cs="Times New Roman" w:eastAsia="Times New Roman" w:hAnsi="Times New Roman"/>
          <w:sz w:val="18"/>
          <w:szCs w:val="18"/>
          <w:color w:val="auto"/>
        </w:rPr>
      </w:pPr>
    </w:p>
    <w:p>
      <w:pPr>
        <w:ind w:left="412" w:right="120" w:hanging="412"/>
        <w:spacing w:after="0" w:line="249" w:lineRule="auto"/>
        <w:tabs>
          <w:tab w:leader="none" w:pos="412"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VAT &amp; Indirect Tax treatment applicable to the Activities is challenged by a tax authority (but excluding due to any late payment or failure to pay by GSK), any fine or interests for late payment imposed by the relevant tax authority will be borne by Tempus who has applied the incorrect VAT &amp; Indirect Tax treatment; provided, if the VAT &amp; Indirect Tax treatment was agreed upon in writing by both Parties before invoicing, the fine or interests for late payment imposed by the tax authority will be shared equally and borne 50:50 by the Parties, or if directed by GSK, shall be borne by GSK.</w:t>
      </w:r>
    </w:p>
    <w:p>
      <w:pPr>
        <w:spacing w:after="0" w:line="94" w:lineRule="exact"/>
        <w:rPr>
          <w:rFonts w:ascii="Times New Roman" w:cs="Times New Roman" w:eastAsia="Times New Roman" w:hAnsi="Times New Roman"/>
          <w:sz w:val="18"/>
          <w:szCs w:val="18"/>
          <w:color w:val="auto"/>
        </w:rPr>
      </w:pPr>
    </w:p>
    <w:p>
      <w:pPr>
        <w:ind w:left="412" w:right="660" w:hanging="412"/>
        <w:spacing w:after="0" w:line="251" w:lineRule="auto"/>
        <w:tabs>
          <w:tab w:leader="none" w:pos="412"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be deemed or construed by the Parties, any of their Affiliates or any third person to treat the relationship between the Parties contemplated by this Agreement as a partnership, joint venture or other business entity under Treasury Regulations Section 301.7701-1(a)(2) (or any corresponding provision under state, local or non-U.S. tax law) (an “</w:t>
      </w:r>
      <w:r>
        <w:rPr>
          <w:rFonts w:ascii="Times New Roman" w:cs="Times New Roman" w:eastAsia="Times New Roman" w:hAnsi="Times New Roman"/>
          <w:sz w:val="18"/>
          <w:szCs w:val="18"/>
          <w:b w:val="1"/>
          <w:bCs w:val="1"/>
          <w:color w:val="auto"/>
        </w:rPr>
        <w:t>Entity</w:t>
      </w:r>
      <w:r>
        <w:rPr>
          <w:rFonts w:ascii="Times New Roman" w:cs="Times New Roman" w:eastAsia="Times New Roman" w:hAnsi="Times New Roman"/>
          <w:sz w:val="18"/>
          <w:szCs w:val="18"/>
          <w:color w:val="auto"/>
        </w:rPr>
        <w:t>”). No Party (or successor or assignee) intends, for tax purposes, on reporting the</w:t>
      </w:r>
    </w:p>
    <w:p>
      <w:pPr>
        <w:spacing w:after="0" w:line="1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692"/>
          </w:cols>
          <w:pgMar w:left="588" w:top="266" w:right="619" w:bottom="1440" w:gutter="0" w:footer="0" w:header="0"/>
        </w:sectPr>
      </w:pPr>
    </w:p>
    <w:bookmarkStart w:id="666" w:name="page667"/>
    <w:bookmarkEnd w:id="666"/>
    <w:p>
      <w:pPr>
        <w:ind w:left="412" w:right="40"/>
        <w:spacing w:after="0" w:line="28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relationships established by this Agreement as an Entity, including (but not limited to) making any disclosure that the relationships established by this Agreement may give rise to an Entity (whether on a U.S. Internal Revenue Service Form 8275 or otherwise). Notwithstanding the foregoing, in the event that the arrangement between the Parties as contemplated by this Agreement is determined to constitute an Entity under Applicable Law (as determined based on the opinion (on a “should” basis) of a nationally recognized law or accounting firm) or by a tax authority on audit or other examination, the Party that is aware of such determination shall provide notice to the other Party regarding such treatment and the Parties will reasonably cooperate with one another to satisfy any tax filing or reporting obligation arising as a result of such determination, including by providing any information, forms or other certifications necessary to satisfy such obligations.</w:t>
      </w:r>
    </w:p>
    <w:p>
      <w:pPr>
        <w:spacing w:after="0" w:line="304"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24.8</w:t>
      </w:r>
      <w:r>
        <w:rPr>
          <w:sz w:val="20"/>
          <w:szCs w:val="20"/>
          <w:color w:val="auto"/>
        </w:rPr>
        <w:tab/>
      </w:r>
      <w:r>
        <w:rPr>
          <w:rFonts w:ascii="Times New Roman" w:cs="Times New Roman" w:eastAsia="Times New Roman" w:hAnsi="Times New Roman"/>
          <w:sz w:val="16"/>
          <w:szCs w:val="16"/>
          <w:b w:val="1"/>
          <w:bCs w:val="1"/>
          <w:color w:val="auto"/>
        </w:rPr>
        <w:t>Fair market value compensation</w:t>
      </w:r>
    </w:p>
    <w:p>
      <w:pPr>
        <w:spacing w:after="0" w:line="123" w:lineRule="exact"/>
        <w:rPr>
          <w:sz w:val="20"/>
          <w:szCs w:val="20"/>
          <w:color w:val="auto"/>
        </w:rPr>
      </w:pPr>
    </w:p>
    <w:p>
      <w:pPr>
        <w:ind w:left="412" w:right="100" w:hanging="412"/>
        <w:spacing w:after="0" w:line="267" w:lineRule="auto"/>
        <w:tabs>
          <w:tab w:leader="none" w:pos="412"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amounts paid under this Agreement and any Task Order are bona fide fair market value compensation for the Activities conducted and Deliverables provided under this Agreement and any Task Order.</w:t>
      </w:r>
    </w:p>
    <w:p>
      <w:pPr>
        <w:spacing w:after="0" w:line="77" w:lineRule="exact"/>
        <w:rPr>
          <w:rFonts w:ascii="Times New Roman" w:cs="Times New Roman" w:eastAsia="Times New Roman" w:hAnsi="Times New Roman"/>
          <w:sz w:val="18"/>
          <w:szCs w:val="18"/>
          <w:color w:val="auto"/>
        </w:rPr>
      </w:pPr>
    </w:p>
    <w:p>
      <w:pPr>
        <w:ind w:left="412" w:right="300" w:hanging="412"/>
        <w:spacing w:after="0" w:line="267" w:lineRule="auto"/>
        <w:tabs>
          <w:tab w:leader="none" w:pos="412"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payments by GSK under this Agreement or any Task Order shall be passed in whole or in part, directly or indirectly, to any third party as a rebate or discount for the purchase of GSK products.</w:t>
      </w:r>
    </w:p>
    <w:p>
      <w:pPr>
        <w:spacing w:after="0" w:line="77" w:lineRule="exact"/>
        <w:rPr>
          <w:rFonts w:ascii="Times New Roman" w:cs="Times New Roman" w:eastAsia="Times New Roman" w:hAnsi="Times New Roman"/>
          <w:sz w:val="18"/>
          <w:szCs w:val="18"/>
          <w:color w:val="auto"/>
        </w:rPr>
      </w:pPr>
    </w:p>
    <w:p>
      <w:pPr>
        <w:ind w:left="412" w:right="240" w:hanging="412"/>
        <w:spacing w:after="0" w:line="255" w:lineRule="auto"/>
        <w:tabs>
          <w:tab w:leader="none" w:pos="412"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commercially reasonable payments to an Approved Subcontractor who is performing Activities under the Agreement and any Task Order that meet the criteria for bona fide services are not considered to be a pass-through rebate or discount payments even if the Approved Subcontractor is a GSK customer.</w:t>
      </w:r>
    </w:p>
    <w:p>
      <w:pPr>
        <w:spacing w:after="0" w:line="323"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24.9</w:t>
      </w:r>
      <w:r>
        <w:rPr>
          <w:sz w:val="20"/>
          <w:szCs w:val="20"/>
          <w:color w:val="auto"/>
        </w:rPr>
        <w:tab/>
      </w:r>
      <w:r>
        <w:rPr>
          <w:rFonts w:ascii="Times New Roman" w:cs="Times New Roman" w:eastAsia="Times New Roman" w:hAnsi="Times New Roman"/>
          <w:sz w:val="16"/>
          <w:szCs w:val="16"/>
          <w:b w:val="1"/>
          <w:bCs w:val="1"/>
          <w:color w:val="auto"/>
        </w:rPr>
        <w:t>Costs and expenses</w:t>
      </w:r>
    </w:p>
    <w:p>
      <w:pPr>
        <w:spacing w:after="0" w:line="123" w:lineRule="exact"/>
        <w:rPr>
          <w:sz w:val="20"/>
          <w:szCs w:val="20"/>
          <w:color w:val="auto"/>
        </w:rPr>
      </w:pPr>
    </w:p>
    <w:p>
      <w:pPr>
        <w:ind w:left="412" w:hanging="412"/>
        <w:spacing w:after="0" w:line="331" w:lineRule="auto"/>
        <w:tabs>
          <w:tab w:leader="none" w:pos="412" w:val="left"/>
        </w:tabs>
        <w:numPr>
          <w:ilvl w:val="0"/>
          <w:numId w:val="6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stated in this Agreement or any Task Order, each Party shall bear its own legal and other costs and expenses of, and incidental to, the preparation, negotiation, execution and completion of this Agreement and any Task Order and of any related documents or instruments.</w:t>
      </w:r>
    </w:p>
    <w:p>
      <w:pPr>
        <w:spacing w:after="0" w:line="30" w:lineRule="exact"/>
        <w:rPr>
          <w:rFonts w:ascii="Times New Roman" w:cs="Times New Roman" w:eastAsia="Times New Roman" w:hAnsi="Times New Roman"/>
          <w:sz w:val="16"/>
          <w:szCs w:val="16"/>
          <w:color w:val="auto"/>
        </w:rPr>
      </w:pPr>
    </w:p>
    <w:p>
      <w:pPr>
        <w:ind w:left="412" w:hanging="412"/>
        <w:spacing w:after="0" w:line="267" w:lineRule="auto"/>
        <w:tabs>
          <w:tab w:leader="none" w:pos="412"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where expressly stated in this Agreement or any Task Order, neither Party is authorised to incur any expenditure or cost for the other Party or any of its Affiliates without the written consent of that other Party.</w:t>
      </w:r>
    </w:p>
    <w:p>
      <w:pPr>
        <w:spacing w:after="0" w:line="75" w:lineRule="exact"/>
        <w:rPr>
          <w:rFonts w:ascii="Times New Roman" w:cs="Times New Roman" w:eastAsia="Times New Roman" w:hAnsi="Times New Roman"/>
          <w:sz w:val="18"/>
          <w:szCs w:val="18"/>
          <w:color w:val="auto"/>
        </w:rPr>
      </w:pPr>
    </w:p>
    <w:p>
      <w:pPr>
        <w:ind w:left="1052" w:right="100" w:hanging="63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24.10 </w:t>
      </w:r>
      <w:r>
        <w:rPr>
          <w:rFonts w:ascii="Times New Roman" w:cs="Times New Roman" w:eastAsia="Times New Roman" w:hAnsi="Times New Roman"/>
          <w:sz w:val="18"/>
          <w:szCs w:val="18"/>
          <w:b w:val="1"/>
          <w:bCs w:val="1"/>
          <w:color w:val="auto"/>
        </w:rPr>
        <w:t>Additional Agreements</w:t>
      </w:r>
      <w:r>
        <w:rPr>
          <w:rFonts w:ascii="Times New Roman" w:cs="Times New Roman" w:eastAsia="Times New Roman" w:hAnsi="Times New Roman"/>
          <w:sz w:val="18"/>
          <w:szCs w:val="18"/>
          <w:color w:val="auto"/>
        </w:rPr>
        <w:t xml:space="preserve">. For clarity, notwithstanding anything to the contrary in any Additional Agreement, any other amounts due to Tempus or any of its Affiliates under any Additional Agreement shall be deemed to be satisfied and paid in full to the extent such amounts are offset against the Upfront Payment pursuant to </w:t>
      </w:r>
      <w:r>
        <w:rPr>
          <w:rFonts w:ascii="Times New Roman" w:cs="Times New Roman" w:eastAsia="Times New Roman" w:hAnsi="Times New Roman"/>
          <w:sz w:val="18"/>
          <w:szCs w:val="18"/>
          <w:u w:val="single" w:color="auto"/>
          <w:color w:val="auto"/>
        </w:rPr>
        <w:t>Section 24.1</w:t>
      </w:r>
      <w:r>
        <w:rPr>
          <w:rFonts w:ascii="Times New Roman" w:cs="Times New Roman" w:eastAsia="Times New Roman" w:hAnsi="Times New Roman"/>
          <w:sz w:val="18"/>
          <w:szCs w:val="18"/>
          <w:color w:val="auto"/>
        </w:rPr>
        <w:t xml:space="preserve"> or any Quarterly Funding Payment pursuant to </w:t>
      </w:r>
      <w:r>
        <w:rPr>
          <w:rFonts w:ascii="Times New Roman" w:cs="Times New Roman" w:eastAsia="Times New Roman" w:hAnsi="Times New Roman"/>
          <w:sz w:val="18"/>
          <w:szCs w:val="18"/>
          <w:u w:val="single" w:color="auto"/>
          <w:color w:val="auto"/>
        </w:rPr>
        <w:t>Section 24.2</w:t>
      </w:r>
      <w:r>
        <w:rPr>
          <w:rFonts w:ascii="Times New Roman" w:cs="Times New Roman" w:eastAsia="Times New Roman" w:hAnsi="Times New Roman"/>
          <w:sz w:val="18"/>
          <w:szCs w:val="18"/>
          <w:color w:val="auto"/>
        </w:rPr>
        <w:t>, as applicable, and neither GSK nor any of its Affiliates shall have any obligation to Tempus or any other Person in respect of the payments of any such amounts.</w:t>
      </w:r>
    </w:p>
    <w:p>
      <w:pPr>
        <w:spacing w:after="0" w:line="1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692"/>
          </w:cols>
          <w:pgMar w:left="588" w:top="265" w:right="619" w:bottom="1440" w:gutter="0" w:footer="0" w:header="0"/>
        </w:sectPr>
      </w:pPr>
    </w:p>
    <w:bookmarkStart w:id="667" w:name="page668"/>
    <w:bookmarkEnd w:id="667"/>
    <w:p>
      <w:pPr>
        <w:ind w:left="1052" w:right="200" w:hanging="629"/>
        <w:spacing w:after="0" w:line="270" w:lineRule="auto"/>
        <w:tabs>
          <w:tab w:leader="none" w:pos="103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24.11</w:t>
      </w:r>
      <w:r>
        <w:rPr>
          <w:sz w:val="20"/>
          <w:szCs w:val="20"/>
          <w:color w:val="auto"/>
        </w:rPr>
        <w:tab/>
      </w:r>
      <w:r>
        <w:rPr>
          <w:rFonts w:ascii="Times New Roman" w:cs="Times New Roman" w:eastAsia="Times New Roman" w:hAnsi="Times New Roman"/>
          <w:sz w:val="18"/>
          <w:szCs w:val="18"/>
          <w:b w:val="1"/>
          <w:bCs w:val="1"/>
          <w:color w:val="auto"/>
        </w:rPr>
        <w:t>Sunshine Act</w:t>
      </w:r>
      <w:r>
        <w:rPr>
          <w:rFonts w:ascii="Times New Roman" w:cs="Times New Roman" w:eastAsia="Times New Roman" w:hAnsi="Times New Roman"/>
          <w:sz w:val="18"/>
          <w:szCs w:val="18"/>
          <w:color w:val="auto"/>
        </w:rPr>
        <w:t>. Each Party shall report any reportable payments or transfers of value that it makes in connection with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recipients pursuant to §6002 of the Affordable Care Act of 2010, and other similar laws.</w:t>
      </w:r>
    </w:p>
    <w:p>
      <w:pPr>
        <w:spacing w:after="0" w:line="309" w:lineRule="exact"/>
        <w:rPr>
          <w:sz w:val="20"/>
          <w:szCs w:val="20"/>
          <w:color w:val="auto"/>
        </w:rPr>
      </w:pPr>
    </w:p>
    <w:p>
      <w:pPr>
        <w:ind w:left="412" w:hanging="412"/>
        <w:spacing w:after="0"/>
        <w:tabs>
          <w:tab w:leader="none" w:pos="412"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Indemnities</w:t>
      </w:r>
    </w:p>
    <w:p>
      <w:pPr>
        <w:spacing w:after="0" w:line="121" w:lineRule="exact"/>
        <w:rPr>
          <w:rFonts w:ascii="Times New Roman" w:cs="Times New Roman" w:eastAsia="Times New Roman" w:hAnsi="Times New Roman"/>
          <w:sz w:val="18"/>
          <w:szCs w:val="18"/>
          <w:color w:val="auto"/>
        </w:rPr>
      </w:pPr>
    </w:p>
    <w:p>
      <w:pPr>
        <w:ind w:left="4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w:t>
      </w:r>
      <w:r>
        <w:rPr>
          <w:rFonts w:ascii="Times New Roman" w:cs="Times New Roman" w:eastAsia="Times New Roman" w:hAnsi="Times New Roman"/>
          <w:sz w:val="16"/>
          <w:szCs w:val="16"/>
          <w:b w:val="1"/>
          <w:bCs w:val="1"/>
          <w:color w:val="auto"/>
        </w:rPr>
        <w:t>GSK indemnity</w:t>
      </w:r>
    </w:p>
    <w:p>
      <w:pPr>
        <w:spacing w:after="0" w:line="110" w:lineRule="exact"/>
        <w:rPr>
          <w:rFonts w:ascii="Times New Roman" w:cs="Times New Roman" w:eastAsia="Times New Roman" w:hAnsi="Times New Roman"/>
          <w:sz w:val="18"/>
          <w:szCs w:val="18"/>
          <w:color w:val="auto"/>
        </w:rPr>
      </w:pPr>
    </w:p>
    <w:p>
      <w:pPr>
        <w:ind w:left="432"/>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paragraph (e) of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(Use of Supplied Materials by Tempus), GSK shall indemnify, defend and hold harmless Tempus, its Affiliates and each of their respective Personnel (the “</w:t>
      </w:r>
      <w:r>
        <w:rPr>
          <w:rFonts w:ascii="Times New Roman" w:cs="Times New Roman" w:eastAsia="Times New Roman" w:hAnsi="Times New Roman"/>
          <w:sz w:val="18"/>
          <w:szCs w:val="18"/>
          <w:b w:val="1"/>
          <w:bCs w:val="1"/>
          <w:color w:val="auto"/>
        </w:rPr>
        <w:t>Tempus Indemnitees</w:t>
      </w:r>
      <w:r>
        <w:rPr>
          <w:rFonts w:ascii="Times New Roman" w:cs="Times New Roman" w:eastAsia="Times New Roman" w:hAnsi="Times New Roman"/>
          <w:sz w:val="18"/>
          <w:szCs w:val="18"/>
          <w:color w:val="auto"/>
        </w:rPr>
        <w:t>”) in respect of all Losses for all claims, judgments, settlements, demands, actions or suits by a Third Party (a “</w:t>
      </w:r>
      <w:r>
        <w:rPr>
          <w:rFonts w:ascii="Times New Roman" w:cs="Times New Roman" w:eastAsia="Times New Roman" w:hAnsi="Times New Roman"/>
          <w:sz w:val="18"/>
          <w:szCs w:val="18"/>
          <w:b w:val="1"/>
          <w:bCs w:val="1"/>
          <w:color w:val="auto"/>
        </w:rPr>
        <w:t>Tempus Claim</w:t>
      </w:r>
      <w:r>
        <w:rPr>
          <w:rFonts w:ascii="Times New Roman" w:cs="Times New Roman" w:eastAsia="Times New Roman" w:hAnsi="Times New Roman"/>
          <w:sz w:val="18"/>
          <w:szCs w:val="18"/>
          <w:color w:val="auto"/>
        </w:rPr>
        <w:t xml:space="preserve">”) to the extent such Losses arise from i) the administration or use of any Supplied Materials in accordance with this Agreement; ii) the negligence (act or omission), fraud, bad faith or wilful misconduct of the GSK Indemnitee; or iii) the material breach by GSK of any representation, warranty, covenant or other agreement made by GSK hereunder, in each case except to the extent that such Tempus Claim arose out of the direct or indirect negligence (act or omission) or wilful misconduct of any of the Tempus Indemnitees or breach by Tempus of this Agreement or any Task Order. GSK’s aggregate liability to Tempus arising under or in connection with this </w:t>
      </w:r>
      <w:r>
        <w:rPr>
          <w:rFonts w:ascii="Times New Roman" w:cs="Times New Roman" w:eastAsia="Times New Roman" w:hAnsi="Times New Roman"/>
          <w:sz w:val="18"/>
          <w:szCs w:val="18"/>
          <w:u w:val="single" w:color="auto"/>
          <w:color w:val="auto"/>
        </w:rPr>
        <w:t>Section 25.1</w:t>
      </w:r>
      <w:r>
        <w:rPr>
          <w:rFonts w:ascii="Times New Roman" w:cs="Times New Roman" w:eastAsia="Times New Roman" w:hAnsi="Times New Roman"/>
          <w:sz w:val="18"/>
          <w:szCs w:val="18"/>
          <w:color w:val="auto"/>
        </w:rPr>
        <w:t xml:space="preserve"> shall not exceed two (2x) times the amount of the total Service Fees incurred under the Agreement or any Task Order as of any time, whether or not invoiced to GSK; provided, that the foregoing limitation shall not apply (a) to any action commenced between GSK and Tempus or any of their respective Affiliates under this Agreement or any Task Order other than in connection with a Tempus Claim, (b) any matter covered by </w:t>
      </w:r>
      <w:r>
        <w:rPr>
          <w:rFonts w:ascii="Times New Roman" w:cs="Times New Roman" w:eastAsia="Times New Roman" w:hAnsi="Times New Roman"/>
          <w:sz w:val="18"/>
          <w:szCs w:val="18"/>
          <w:u w:val="single" w:color="auto"/>
          <w:color w:val="auto"/>
        </w:rPr>
        <w:t>Section 25.3</w:t>
      </w:r>
      <w:r>
        <w:rPr>
          <w:rFonts w:ascii="Times New Roman" w:cs="Times New Roman" w:eastAsia="Times New Roman" w:hAnsi="Times New Roman"/>
          <w:sz w:val="18"/>
          <w:szCs w:val="18"/>
          <w:color w:val="auto"/>
        </w:rPr>
        <w:t>iii), or (c) in the event of any negligence, fraud, bad faith or wilful misconduct on the part of GSK or any GSK Indemnitee.</w:t>
      </w:r>
    </w:p>
    <w:p>
      <w:pPr>
        <w:spacing w:after="0" w:line="338"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6"/>
          <w:szCs w:val="16"/>
          <w:b w:val="1"/>
          <w:bCs w:val="1"/>
          <w:color w:val="auto"/>
        </w:rPr>
        <w:t>Tempus Indemnity</w:t>
      </w:r>
    </w:p>
    <w:p>
      <w:pPr>
        <w:spacing w:after="0" w:line="108" w:lineRule="exact"/>
        <w:rPr>
          <w:sz w:val="20"/>
          <w:szCs w:val="20"/>
          <w:color w:val="auto"/>
        </w:rPr>
      </w:pPr>
    </w:p>
    <w:p>
      <w:pPr>
        <w:ind w:left="432" w:right="60"/>
        <w:spacing w:after="0" w:line="283" w:lineRule="auto"/>
        <w:rPr>
          <w:sz w:val="20"/>
          <w:szCs w:val="20"/>
          <w:color w:val="auto"/>
        </w:rPr>
      </w:pPr>
      <w:r>
        <w:rPr>
          <w:rFonts w:ascii="Times New Roman" w:cs="Times New Roman" w:eastAsia="Times New Roman" w:hAnsi="Times New Roman"/>
          <w:sz w:val="16"/>
          <w:szCs w:val="16"/>
          <w:color w:val="auto"/>
        </w:rPr>
        <w:t>Tempus shall indemnify, defend and hold harmless GSK, its Affiliates, and each of their respective Personnel (together, “</w:t>
      </w:r>
      <w:r>
        <w:rPr>
          <w:rFonts w:ascii="Times New Roman" w:cs="Times New Roman" w:eastAsia="Times New Roman" w:hAnsi="Times New Roman"/>
          <w:sz w:val="16"/>
          <w:szCs w:val="16"/>
          <w:b w:val="1"/>
          <w:bCs w:val="1"/>
          <w:color w:val="auto"/>
        </w:rPr>
        <w:t>GSK Indemnitees</w:t>
      </w:r>
      <w:r>
        <w:rPr>
          <w:rFonts w:ascii="Times New Roman" w:cs="Times New Roman" w:eastAsia="Times New Roman" w:hAnsi="Times New Roman"/>
          <w:sz w:val="16"/>
          <w:szCs w:val="16"/>
          <w:color w:val="auto"/>
        </w:rPr>
        <w:t>”) in respect of all Losses for all claims, judgments, settlements, demands, actions or suits by a Third Party (a “</w:t>
      </w:r>
      <w:r>
        <w:rPr>
          <w:rFonts w:ascii="Times New Roman" w:cs="Times New Roman" w:eastAsia="Times New Roman" w:hAnsi="Times New Roman"/>
          <w:sz w:val="16"/>
          <w:szCs w:val="16"/>
          <w:b w:val="1"/>
          <w:bCs w:val="1"/>
          <w:color w:val="auto"/>
        </w:rPr>
        <w:t>GSK Claim</w:t>
      </w:r>
      <w:r>
        <w:rPr>
          <w:rFonts w:ascii="Times New Roman" w:cs="Times New Roman" w:eastAsia="Times New Roman" w:hAnsi="Times New Roman"/>
          <w:sz w:val="16"/>
          <w:szCs w:val="16"/>
          <w:color w:val="auto"/>
        </w:rPr>
        <w:t>”) to the extent such Losses arise out of (a) the material breach by Tempus of any representation, warranty, covenant or other agreement made by Tempus hereunder; (b) the negligence, fraud, bad faith or wilful misconduct on the part of Tempus or any Tempus Indemnitee, or (c) for personal injury (including, death) arising from the negligence (act or omission) or wilful misconduct of any Tempus Indemnitee, except to the extent that such GSK Claim arose out of the direct or indirect negligence (act or omission) or wilful misconduct of any of the GSK Indemnitees or breach by GSK of this Agreement (wherein each and any GSK Claim or Tempus Claim is a “</w:t>
      </w:r>
      <w:r>
        <w:rPr>
          <w:rFonts w:ascii="Times New Roman" w:cs="Times New Roman" w:eastAsia="Times New Roman" w:hAnsi="Times New Roman"/>
          <w:sz w:val="16"/>
          <w:szCs w:val="16"/>
          <w:b w:val="1"/>
          <w:bCs w:val="1"/>
          <w:color w:val="auto"/>
        </w:rPr>
        <w:t>Claim</w:t>
      </w:r>
      <w:r>
        <w:rPr>
          <w:rFonts w:ascii="Times New Roman" w:cs="Times New Roman" w:eastAsia="Times New Roman" w:hAnsi="Times New Roman"/>
          <w:sz w:val="16"/>
          <w:szCs w:val="16"/>
          <w:color w:val="auto"/>
        </w:rPr>
        <w:t>”). Tempus’s aggregate liability</w:t>
      </w:r>
    </w:p>
    <w:p>
      <w:pPr>
        <w:spacing w:after="0" w:line="9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712"/>
          </w:cols>
          <w:pgMar w:left="588" w:top="263" w:right="599" w:bottom="1440" w:gutter="0" w:footer="0" w:header="0"/>
        </w:sectPr>
      </w:pPr>
    </w:p>
    <w:bookmarkStart w:id="668" w:name="page669"/>
    <w:bookmarkEnd w:id="668"/>
    <w:p>
      <w:pPr>
        <w:ind w:left="432"/>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78040" cy="38100"/>
                    </a:xfrm>
                    <a:prstGeom prst="rect">
                      <a:avLst/>
                    </a:prstGeom>
                    <a:noFill/>
                  </pic:spPr>
                </pic:pic>
              </a:graphicData>
            </a:graphic>
          </wp:anchor>
        </w:drawing>
        <w:t xml:space="preserve">to GSK arising under or in connection with this </w:t>
      </w:r>
      <w:r>
        <w:rPr>
          <w:rFonts w:ascii="Times New Roman" w:cs="Times New Roman" w:eastAsia="Times New Roman" w:hAnsi="Times New Roman"/>
          <w:sz w:val="18"/>
          <w:szCs w:val="18"/>
          <w:u w:val="single" w:color="auto"/>
          <w:color w:val="auto"/>
        </w:rPr>
        <w:t>Section 25.2</w:t>
      </w:r>
      <w:r>
        <w:rPr>
          <w:rFonts w:ascii="Times New Roman" w:cs="Times New Roman" w:eastAsia="Times New Roman" w:hAnsi="Times New Roman"/>
          <w:sz w:val="18"/>
          <w:szCs w:val="18"/>
          <w:color w:val="auto"/>
        </w:rPr>
        <w:t xml:space="preserve"> shall not exceed two (2x) times the amount of the total Service Fees incurred under the Agreement or any Task Order as of any time, whether or not invoiced to GSK; provided, that the foregoing limitation shall not apply to (a) any action commenced between GSK and Tempus or any of their respective Affiliates under this Agreement or any Task Order other than in connection with a GSK Claim; (b) any matter covered by </w:t>
      </w:r>
      <w:r>
        <w:rPr>
          <w:rFonts w:ascii="Times New Roman" w:cs="Times New Roman" w:eastAsia="Times New Roman" w:hAnsi="Times New Roman"/>
          <w:sz w:val="18"/>
          <w:szCs w:val="18"/>
          <w:u w:val="single" w:color="auto"/>
          <w:color w:val="auto"/>
        </w:rPr>
        <w:t>Section 8.1(v)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25.3</w:t>
      </w:r>
      <w:r>
        <w:rPr>
          <w:rFonts w:ascii="Times New Roman" w:cs="Times New Roman" w:eastAsia="Times New Roman" w:hAnsi="Times New Roman"/>
          <w:sz w:val="18"/>
          <w:szCs w:val="18"/>
          <w:color w:val="auto"/>
        </w:rPr>
        <w:t xml:space="preserve"> or (c) in the event of any negligence, fraud, bad faith or wilful misconduct on the part of Tempus or any Tempus Indemnitee.</w:t>
      </w:r>
    </w:p>
    <w:p>
      <w:pPr>
        <w:spacing w:after="0" w:line="329"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25.3</w:t>
      </w:r>
      <w:r>
        <w:rPr>
          <w:sz w:val="20"/>
          <w:szCs w:val="20"/>
          <w:color w:val="auto"/>
        </w:rPr>
        <w:tab/>
      </w:r>
      <w:r>
        <w:rPr>
          <w:rFonts w:ascii="Times New Roman" w:cs="Times New Roman" w:eastAsia="Times New Roman" w:hAnsi="Times New Roman"/>
          <w:sz w:val="16"/>
          <w:szCs w:val="16"/>
          <w:b w:val="1"/>
          <w:bCs w:val="1"/>
          <w:color w:val="auto"/>
        </w:rPr>
        <w:t>IP Indemnity</w:t>
      </w:r>
    </w:p>
    <w:p>
      <w:pPr>
        <w:spacing w:after="0" w:line="123" w:lineRule="exact"/>
        <w:rPr>
          <w:sz w:val="20"/>
          <w:szCs w:val="20"/>
          <w:color w:val="auto"/>
        </w:rPr>
      </w:pPr>
    </w:p>
    <w:p>
      <w:pPr>
        <w:ind w:left="412" w:hanging="412"/>
        <w:spacing w:after="0" w:line="255" w:lineRule="auto"/>
        <w:tabs>
          <w:tab w:leader="none" w:pos="412"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indemnify and hold the GSK Indemnitees harmless in respect of all Losses arising from any claims, judgments, settlements, demands, actions or suits that the Activities or use or possession of any GSK Work Product infringes the Intellectual Property Rights of such Third Party (an “</w:t>
      </w:r>
      <w:r>
        <w:rPr>
          <w:rFonts w:ascii="Times New Roman" w:cs="Times New Roman" w:eastAsia="Times New Roman" w:hAnsi="Times New Roman"/>
          <w:sz w:val="18"/>
          <w:szCs w:val="18"/>
          <w:b w:val="1"/>
          <w:bCs w:val="1"/>
          <w:color w:val="auto"/>
        </w:rPr>
        <w:t>IP Claim</w:t>
      </w:r>
      <w:r>
        <w:rPr>
          <w:rFonts w:ascii="Times New Roman" w:cs="Times New Roman" w:eastAsia="Times New Roman" w:hAnsi="Times New Roman"/>
          <w:sz w:val="18"/>
          <w:szCs w:val="18"/>
          <w:color w:val="auto"/>
        </w:rPr>
        <w:t>”), provided that Tempus shall have no such liability to the extent:</w:t>
      </w:r>
    </w:p>
    <w:p>
      <w:pPr>
        <w:spacing w:after="0" w:line="75" w:lineRule="exact"/>
        <w:rPr>
          <w:rFonts w:ascii="Times New Roman" w:cs="Times New Roman" w:eastAsia="Times New Roman" w:hAnsi="Times New Roman"/>
          <w:sz w:val="18"/>
          <w:szCs w:val="18"/>
          <w:color w:val="auto"/>
        </w:rPr>
      </w:pPr>
    </w:p>
    <w:p>
      <w:pPr>
        <w:ind w:left="432" w:right="640" w:hanging="4"/>
        <w:spacing w:after="0" w:line="267" w:lineRule="auto"/>
        <w:tabs>
          <w:tab w:leader="none" w:pos="729" w:val="left"/>
        </w:tabs>
        <w:numPr>
          <w:ilvl w:val="1"/>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IP Claim is caused by the apportionate negligence (act or omission) or wilful misconduct of GSK, its Affiliates or their respective Personnel;</w:t>
      </w:r>
    </w:p>
    <w:p>
      <w:pPr>
        <w:spacing w:after="0" w:line="64" w:lineRule="exact"/>
        <w:rPr>
          <w:rFonts w:ascii="Times New Roman" w:cs="Times New Roman" w:eastAsia="Times New Roman" w:hAnsi="Times New Roman"/>
          <w:sz w:val="18"/>
          <w:szCs w:val="18"/>
          <w:color w:val="auto"/>
        </w:rPr>
      </w:pPr>
    </w:p>
    <w:p>
      <w:pPr>
        <w:ind w:left="732" w:hanging="304"/>
        <w:spacing w:after="0"/>
        <w:tabs>
          <w:tab w:leader="none" w:pos="732" w:val="left"/>
        </w:tabs>
        <w:numPr>
          <w:ilvl w:val="1"/>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IP Claim is caused by a material breach by GSK of this Agreement;</w:t>
      </w:r>
    </w:p>
    <w:p>
      <w:pPr>
        <w:spacing w:after="0" w:line="108" w:lineRule="exact"/>
        <w:rPr>
          <w:rFonts w:ascii="Times New Roman" w:cs="Times New Roman" w:eastAsia="Times New Roman" w:hAnsi="Times New Roman"/>
          <w:sz w:val="18"/>
          <w:szCs w:val="18"/>
          <w:color w:val="auto"/>
        </w:rPr>
      </w:pPr>
    </w:p>
    <w:p>
      <w:pPr>
        <w:ind w:left="732" w:hanging="304"/>
        <w:spacing w:after="0"/>
        <w:tabs>
          <w:tab w:leader="none" w:pos="732" w:val="left"/>
        </w:tabs>
        <w:numPr>
          <w:ilvl w:val="1"/>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IP Claim is caused by a modification to the Deliverables made without the approval of Tempus;</w:t>
      </w:r>
    </w:p>
    <w:p>
      <w:pPr>
        <w:spacing w:after="0" w:line="108" w:lineRule="exact"/>
        <w:rPr>
          <w:rFonts w:ascii="Times New Roman" w:cs="Times New Roman" w:eastAsia="Times New Roman" w:hAnsi="Times New Roman"/>
          <w:sz w:val="18"/>
          <w:szCs w:val="18"/>
          <w:color w:val="auto"/>
        </w:rPr>
      </w:pPr>
    </w:p>
    <w:p>
      <w:pPr>
        <w:ind w:left="732" w:hanging="304"/>
        <w:spacing w:after="0"/>
        <w:tabs>
          <w:tab w:leader="none" w:pos="732" w:val="left"/>
        </w:tabs>
        <w:numPr>
          <w:ilvl w:val="1"/>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IP Claim is caused by use of the GSK Work Product in combination with other materials not provided by Tempus;</w:t>
      </w:r>
    </w:p>
    <w:p>
      <w:pPr>
        <w:spacing w:after="0" w:line="108" w:lineRule="exact"/>
        <w:rPr>
          <w:rFonts w:ascii="Times New Roman" w:cs="Times New Roman" w:eastAsia="Times New Roman" w:hAnsi="Times New Roman"/>
          <w:sz w:val="18"/>
          <w:szCs w:val="18"/>
          <w:color w:val="auto"/>
        </w:rPr>
      </w:pPr>
    </w:p>
    <w:p>
      <w:pPr>
        <w:ind w:left="732" w:hanging="304"/>
        <w:spacing w:after="0"/>
        <w:tabs>
          <w:tab w:leader="none" w:pos="732" w:val="left"/>
        </w:tabs>
        <w:numPr>
          <w:ilvl w:val="1"/>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any GSK Work Product other than as permitted under the Agreement or the terms of any applicable Task Order; or</w:t>
      </w:r>
    </w:p>
    <w:p>
      <w:pPr>
        <w:spacing w:after="0" w:line="108" w:lineRule="exact"/>
        <w:rPr>
          <w:rFonts w:ascii="Times New Roman" w:cs="Times New Roman" w:eastAsia="Times New Roman" w:hAnsi="Times New Roman"/>
          <w:sz w:val="18"/>
          <w:szCs w:val="18"/>
          <w:color w:val="auto"/>
        </w:rPr>
      </w:pPr>
    </w:p>
    <w:p>
      <w:pPr>
        <w:ind w:left="432" w:hanging="4"/>
        <w:spacing w:after="0" w:line="267" w:lineRule="auto"/>
        <w:tabs>
          <w:tab w:leader="none" w:pos="709" w:val="left"/>
        </w:tabs>
        <w:numPr>
          <w:ilvl w:val="1"/>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GSK Work Product contains GSK Background IP, and/or GSK Work Product created by solely by GSK without use of or reference to the Tempus Background IP, to the extent the IP Claim is based on such GSK Background IP and/or GSK Work Product.</w:t>
      </w:r>
    </w:p>
    <w:p>
      <w:pPr>
        <w:spacing w:after="0" w:line="77" w:lineRule="exact"/>
        <w:rPr>
          <w:rFonts w:ascii="Times New Roman" w:cs="Times New Roman" w:eastAsia="Times New Roman" w:hAnsi="Times New Roman"/>
          <w:sz w:val="18"/>
          <w:szCs w:val="18"/>
          <w:color w:val="auto"/>
        </w:rPr>
      </w:pPr>
    </w:p>
    <w:p>
      <w:pPr>
        <w:ind w:left="412" w:right="180" w:hanging="412"/>
        <w:spacing w:after="0" w:line="248" w:lineRule="auto"/>
        <w:tabs>
          <w:tab w:leader="none" w:pos="412"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IP Claim is made or is reasonably likely to be made against any GSK Indemnitee, Tempus shall promptly and at its own expense, use Commercially Reasonable Efforts to procure for the GSK Indemnitee the right to continue using the Activities and using and/or possessing the Results and/or Deliverables; modify or replace any allegedly infringing materials and without adversely affecting the Activities as set out in this Agreement or any Task Order so as to avoid the infringement or alleged infringement, provided that if, Tempus having used its Commercially Reasonable Efforts, neither of the above can be accomplished on reasonable terms, Tempus shall (without prejudice to the indemnity above) refund any amount paid by GSK to Tempus in respect of the affected GSK Work Product.</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692"/>
          </w:cols>
          <w:pgMar w:left="588" w:top="266" w:right="619" w:bottom="1440" w:gutter="0" w:footer="0" w:header="0"/>
        </w:sectPr>
      </w:pPr>
    </w:p>
    <w:bookmarkStart w:id="669" w:name="page670"/>
    <w:bookmarkEnd w:id="669"/>
    <w:p>
      <w:pPr>
        <w:ind w:left="412" w:right="160" w:hanging="412"/>
        <w:spacing w:after="0" w:line="255" w:lineRule="auto"/>
        <w:tabs>
          <w:tab w:leader="none" w:pos="412"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GSK shall indemnify and hold the Tempus Indemnitees harmless in respect of all Losses of whatsoever nature incurred by a Tempus Indemnitee arising from any claims, judgments, settlements, demands, actions or suits that use of any Supplied Materials or GSK Data infringes the Intellectual Property Rights of such Third Party (an “</w:t>
      </w:r>
      <w:r>
        <w:rPr>
          <w:rFonts w:ascii="Times New Roman" w:cs="Times New Roman" w:eastAsia="Times New Roman" w:hAnsi="Times New Roman"/>
          <w:sz w:val="18"/>
          <w:szCs w:val="18"/>
          <w:b w:val="1"/>
          <w:bCs w:val="1"/>
          <w:color w:val="auto"/>
        </w:rPr>
        <w:t>IP Claim</w:t>
      </w:r>
      <w:r>
        <w:rPr>
          <w:rFonts w:ascii="Times New Roman" w:cs="Times New Roman" w:eastAsia="Times New Roman" w:hAnsi="Times New Roman"/>
          <w:sz w:val="18"/>
          <w:szCs w:val="18"/>
          <w:color w:val="auto"/>
        </w:rPr>
        <w:t>”), provided that GSK shall have no such liability to the extent:</w:t>
      </w:r>
    </w:p>
    <w:p>
      <w:pPr>
        <w:spacing w:after="0" w:line="75" w:lineRule="exact"/>
        <w:rPr>
          <w:rFonts w:ascii="Times New Roman" w:cs="Times New Roman" w:eastAsia="Times New Roman" w:hAnsi="Times New Roman"/>
          <w:sz w:val="18"/>
          <w:szCs w:val="18"/>
          <w:color w:val="auto"/>
        </w:rPr>
      </w:pPr>
    </w:p>
    <w:p>
      <w:pPr>
        <w:ind w:left="432" w:right="420" w:hanging="4"/>
        <w:spacing w:after="0" w:line="267" w:lineRule="auto"/>
        <w:tabs>
          <w:tab w:leader="none" w:pos="729" w:val="left"/>
        </w:tabs>
        <w:numPr>
          <w:ilvl w:val="1"/>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IP Claim is caused by the apportionate negligence (act or omission) or wilful misconduct of Tempus, its Affiliates or their respective Personnel;</w:t>
      </w:r>
    </w:p>
    <w:p>
      <w:pPr>
        <w:spacing w:after="0" w:line="64" w:lineRule="exact"/>
        <w:rPr>
          <w:rFonts w:ascii="Times New Roman" w:cs="Times New Roman" w:eastAsia="Times New Roman" w:hAnsi="Times New Roman"/>
          <w:sz w:val="18"/>
          <w:szCs w:val="18"/>
          <w:color w:val="auto"/>
        </w:rPr>
      </w:pPr>
    </w:p>
    <w:p>
      <w:pPr>
        <w:ind w:left="732" w:hanging="304"/>
        <w:spacing w:after="0"/>
        <w:tabs>
          <w:tab w:leader="none" w:pos="732" w:val="left"/>
        </w:tabs>
        <w:numPr>
          <w:ilvl w:val="1"/>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IP Claim is caused by a material breach by Tempus of this Agreement;</w:t>
      </w:r>
    </w:p>
    <w:p>
      <w:pPr>
        <w:spacing w:after="0" w:line="108" w:lineRule="exact"/>
        <w:rPr>
          <w:rFonts w:ascii="Times New Roman" w:cs="Times New Roman" w:eastAsia="Times New Roman" w:hAnsi="Times New Roman"/>
          <w:sz w:val="18"/>
          <w:szCs w:val="18"/>
          <w:color w:val="auto"/>
        </w:rPr>
      </w:pPr>
    </w:p>
    <w:p>
      <w:pPr>
        <w:ind w:left="732" w:hanging="304"/>
        <w:spacing w:after="0"/>
        <w:tabs>
          <w:tab w:leader="none" w:pos="732" w:val="left"/>
        </w:tabs>
        <w:numPr>
          <w:ilvl w:val="1"/>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IP Claim is caused by a modification to the Supplied Materials or GSK Data made without the approval of GSK;</w:t>
      </w:r>
    </w:p>
    <w:p>
      <w:pPr>
        <w:spacing w:after="0" w:line="108" w:lineRule="exact"/>
        <w:rPr>
          <w:rFonts w:ascii="Times New Roman" w:cs="Times New Roman" w:eastAsia="Times New Roman" w:hAnsi="Times New Roman"/>
          <w:sz w:val="18"/>
          <w:szCs w:val="18"/>
          <w:color w:val="auto"/>
        </w:rPr>
      </w:pPr>
    </w:p>
    <w:p>
      <w:pPr>
        <w:ind w:left="732" w:hanging="304"/>
        <w:spacing w:after="0"/>
        <w:tabs>
          <w:tab w:leader="none" w:pos="732" w:val="left"/>
        </w:tabs>
        <w:numPr>
          <w:ilvl w:val="1"/>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IP Claim is caused by use of Supplied Materials or GSK Data in combination with other materials not provided by GSK; or</w:t>
      </w:r>
    </w:p>
    <w:p>
      <w:pPr>
        <w:spacing w:after="0" w:line="108" w:lineRule="exact"/>
        <w:rPr>
          <w:rFonts w:ascii="Times New Roman" w:cs="Times New Roman" w:eastAsia="Times New Roman" w:hAnsi="Times New Roman"/>
          <w:sz w:val="18"/>
          <w:szCs w:val="18"/>
          <w:color w:val="auto"/>
        </w:rPr>
      </w:pPr>
    </w:p>
    <w:p>
      <w:pPr>
        <w:ind w:left="732" w:hanging="304"/>
        <w:spacing w:after="0"/>
        <w:tabs>
          <w:tab w:leader="none" w:pos="732" w:val="left"/>
        </w:tabs>
        <w:numPr>
          <w:ilvl w:val="1"/>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any Supplied Materials or GSK Data other than as permitted under the Agreement or the applicable Task Order.</w:t>
      </w:r>
    </w:p>
    <w:p>
      <w:pPr>
        <w:spacing w:after="0" w:line="356"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25.4</w:t>
      </w:r>
      <w:r>
        <w:rPr>
          <w:sz w:val="20"/>
          <w:szCs w:val="20"/>
          <w:color w:val="auto"/>
        </w:rPr>
        <w:tab/>
      </w:r>
      <w:r>
        <w:rPr>
          <w:rFonts w:ascii="Times New Roman" w:cs="Times New Roman" w:eastAsia="Times New Roman" w:hAnsi="Times New Roman"/>
          <w:sz w:val="16"/>
          <w:szCs w:val="16"/>
          <w:b w:val="1"/>
          <w:bCs w:val="1"/>
          <w:color w:val="auto"/>
        </w:rPr>
        <w:t>Indemnification Procedure for Third Party Claims</w:t>
      </w:r>
    </w:p>
    <w:p>
      <w:pPr>
        <w:spacing w:after="0" w:line="123" w:lineRule="exact"/>
        <w:rPr>
          <w:sz w:val="20"/>
          <w:szCs w:val="20"/>
          <w:color w:val="auto"/>
        </w:rPr>
      </w:pPr>
    </w:p>
    <w:p>
      <w:pPr>
        <w:ind w:left="412" w:hanging="412"/>
        <w:spacing w:after="0"/>
        <w:tabs>
          <w:tab w:leader="none" w:pos="412" w:val="left"/>
        </w:tabs>
        <w:numPr>
          <w:ilvl w:val="0"/>
          <w:numId w:val="6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a Party is required to provide an indemnity under this Agreement or any Task Order (including, without limitation, under this Section 25):</w:t>
      </w:r>
    </w:p>
    <w:p>
      <w:pPr>
        <w:spacing w:after="0" w:line="131" w:lineRule="exact"/>
        <w:rPr>
          <w:rFonts w:ascii="Times New Roman" w:cs="Times New Roman" w:eastAsia="Times New Roman" w:hAnsi="Times New Roman"/>
          <w:sz w:val="16"/>
          <w:szCs w:val="16"/>
          <w:color w:val="auto"/>
        </w:rPr>
      </w:pPr>
    </w:p>
    <w:p>
      <w:pPr>
        <w:ind w:left="732" w:hanging="304"/>
        <w:spacing w:after="0"/>
        <w:tabs>
          <w:tab w:leader="none" w:pos="732" w:val="left"/>
        </w:tabs>
        <w:numPr>
          <w:ilvl w:val="1"/>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seeking indemnification shall promptly notify the indemnifying Party of any Claim of which it has notice; and</w:t>
      </w:r>
    </w:p>
    <w:p>
      <w:pPr>
        <w:spacing w:after="0" w:line="108" w:lineRule="exact"/>
        <w:rPr>
          <w:rFonts w:ascii="Times New Roman" w:cs="Times New Roman" w:eastAsia="Times New Roman" w:hAnsi="Times New Roman"/>
          <w:sz w:val="18"/>
          <w:szCs w:val="18"/>
          <w:color w:val="auto"/>
        </w:rPr>
      </w:pPr>
    </w:p>
    <w:p>
      <w:pPr>
        <w:ind w:left="432" w:hanging="4"/>
        <w:spacing w:after="0" w:line="267" w:lineRule="auto"/>
        <w:tabs>
          <w:tab w:leader="none" w:pos="739" w:val="left"/>
        </w:tabs>
        <w:numPr>
          <w:ilvl w:val="1"/>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shall have the right to take over sole control of the investigation, defence and settlement of any claim or proceeding by a third party for which the indemnified Person seeks coverage.</w:t>
      </w:r>
    </w:p>
    <w:p>
      <w:pPr>
        <w:spacing w:after="0" w:line="77" w:lineRule="exact"/>
        <w:rPr>
          <w:rFonts w:ascii="Times New Roman" w:cs="Times New Roman" w:eastAsia="Times New Roman" w:hAnsi="Times New Roman"/>
          <w:sz w:val="18"/>
          <w:szCs w:val="18"/>
          <w:color w:val="auto"/>
        </w:rPr>
      </w:pPr>
    </w:p>
    <w:p>
      <w:pPr>
        <w:ind w:left="412" w:right="320" w:hanging="412"/>
        <w:spacing w:after="0" w:line="267" w:lineRule="auto"/>
        <w:tabs>
          <w:tab w:leader="none" w:pos="412"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indemnified Person shall fully cooperate with the indemnifying Party in the defence or settlement of such third party claim or proceeding, provided that no indemnified Person shall be required to admit fault or responsibility in connection with any settlement.</w:t>
      </w:r>
    </w:p>
    <w:p>
      <w:pPr>
        <w:spacing w:after="0" w:line="312" w:lineRule="exact"/>
        <w:rPr>
          <w:sz w:val="20"/>
          <w:szCs w:val="20"/>
          <w:color w:val="auto"/>
        </w:rPr>
      </w:pPr>
    </w:p>
    <w:p>
      <w:pPr>
        <w:ind w:left="412" w:hanging="412"/>
        <w:spacing w:after="0"/>
        <w:tabs>
          <w:tab w:leader="none" w:pos="412"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w:t>
      </w:r>
    </w:p>
    <w:p>
      <w:pPr>
        <w:spacing w:after="0" w:line="123" w:lineRule="exact"/>
        <w:rPr>
          <w:rFonts w:ascii="Times New Roman" w:cs="Times New Roman" w:eastAsia="Times New Roman" w:hAnsi="Times New Roman"/>
          <w:sz w:val="18"/>
          <w:szCs w:val="18"/>
          <w:color w:val="auto"/>
        </w:rPr>
      </w:pPr>
    </w:p>
    <w:p>
      <w:pPr>
        <w:ind w:left="1052" w:right="160" w:hanging="63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26.1Without limiting its liability under this Agreement, Tempus shall, at its own expense, carry and maintain during the performance of this Agreement and any Task Order appropriate insurance, to include general liability insurance, public liability insurance, professional indemnity insurance and such other insurance coverage and amounts as may be customarily maintained by a company performing the Activities allocated to it under this Agreement and any Task Order and other obligations under this Agreement, to support its liabilities under this Agreement. Tempus shall ensure that such insurance remains in effect throughout the Term and for as long as its liabilities under this Agreement or a Task Order continue thereafter.</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692"/>
          </w:cols>
          <w:pgMar w:left="588" w:top="265" w:right="619" w:bottom="1440" w:gutter="0" w:footer="0" w:header="0"/>
        </w:sectPr>
      </w:pPr>
    </w:p>
    <w:bookmarkStart w:id="670" w:name="page671"/>
    <w:bookmarkEnd w:id="670"/>
    <w:p>
      <w:pPr>
        <w:ind w:left="1060" w:right="280" w:hanging="629"/>
        <w:spacing w:after="0" w:line="267" w:lineRule="auto"/>
        <w:tabs>
          <w:tab w:leader="none" w:pos="10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26.2</w:t>
      </w:r>
      <w:r>
        <w:rPr>
          <w:sz w:val="20"/>
          <w:szCs w:val="20"/>
          <w:color w:val="auto"/>
        </w:rPr>
        <w:tab/>
      </w:r>
      <w:r>
        <w:rPr>
          <w:rFonts w:ascii="Times New Roman" w:cs="Times New Roman" w:eastAsia="Times New Roman" w:hAnsi="Times New Roman"/>
          <w:sz w:val="18"/>
          <w:szCs w:val="18"/>
          <w:color w:val="auto"/>
        </w:rPr>
        <w:t>Tempus shall provide GSK with copy policies or a signed statement/certificate of insurance (and annual renewals) or evidence of self-insurance.</w:t>
      </w:r>
    </w:p>
    <w:p>
      <w:pPr>
        <w:spacing w:after="0" w:line="78" w:lineRule="exact"/>
        <w:rPr>
          <w:sz w:val="20"/>
          <w:szCs w:val="20"/>
          <w:color w:val="auto"/>
        </w:rPr>
      </w:pPr>
    </w:p>
    <w:p>
      <w:pPr>
        <w:ind w:left="1060" w:hanging="629"/>
        <w:spacing w:after="0" w:line="267" w:lineRule="auto"/>
        <w:tabs>
          <w:tab w:leader="none" w:pos="1040" w:val="left"/>
        </w:tabs>
        <w:rPr>
          <w:sz w:val="20"/>
          <w:szCs w:val="20"/>
          <w:color w:val="auto"/>
        </w:rPr>
      </w:pPr>
      <w:r>
        <w:rPr>
          <w:rFonts w:ascii="Times New Roman" w:cs="Times New Roman" w:eastAsia="Times New Roman" w:hAnsi="Times New Roman"/>
          <w:sz w:val="18"/>
          <w:szCs w:val="18"/>
          <w:color w:val="auto"/>
        </w:rPr>
        <w:t>26.3</w:t>
      </w:r>
      <w:r>
        <w:rPr>
          <w:sz w:val="20"/>
          <w:szCs w:val="20"/>
          <w:color w:val="auto"/>
        </w:rPr>
        <w:tab/>
      </w:r>
      <w:r>
        <w:rPr>
          <w:rFonts w:ascii="Times New Roman" w:cs="Times New Roman" w:eastAsia="Times New Roman" w:hAnsi="Times New Roman"/>
          <w:sz w:val="18"/>
          <w:szCs w:val="18"/>
          <w:color w:val="auto"/>
        </w:rPr>
        <w:t>Tempus shall notify GSK of any material changes to the level, type or other material provisions of the insurance cover from those notified to GSK on or before the Effective Date.</w:t>
      </w:r>
    </w:p>
    <w:p>
      <w:pPr>
        <w:spacing w:after="0" w:line="312" w:lineRule="exact"/>
        <w:rPr>
          <w:sz w:val="20"/>
          <w:szCs w:val="20"/>
          <w:color w:val="auto"/>
        </w:rPr>
      </w:pPr>
    </w:p>
    <w:p>
      <w:pPr>
        <w:ind w:left="420" w:hanging="412"/>
        <w:spacing w:after="0"/>
        <w:tabs>
          <w:tab w:leader="none" w:pos="420" w:val="left"/>
        </w:tabs>
        <w:numPr>
          <w:ilvl w:val="0"/>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Damages</w:t>
      </w:r>
    </w:p>
    <w:p>
      <w:pPr>
        <w:spacing w:after="0" w:line="123" w:lineRule="exact"/>
        <w:rPr>
          <w:rFonts w:ascii="Times New Roman" w:cs="Times New Roman" w:eastAsia="Times New Roman" w:hAnsi="Times New Roman"/>
          <w:sz w:val="18"/>
          <w:szCs w:val="18"/>
          <w:color w:val="auto"/>
        </w:rPr>
      </w:pPr>
    </w:p>
    <w:p>
      <w:pPr>
        <w:ind w:left="1060" w:right="180" w:hanging="63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27.1Neither Party, nor its Affiliates nor any of their respective, directors, officers, employees, or agents shall be liable for any special, incidental, or consequential loss or damages, including but not limited to the loss of opportunity, loss of use, or loss of revenue or profit in connection with or arising out of this Agreement or any Task Order, even if advised of the possibility of such damages.</w:t>
      </w:r>
    </w:p>
    <w:p>
      <w:pPr>
        <w:spacing w:after="0" w:line="88" w:lineRule="exact"/>
        <w:rPr>
          <w:rFonts w:ascii="Times New Roman" w:cs="Times New Roman" w:eastAsia="Times New Roman" w:hAnsi="Times New Roman"/>
          <w:sz w:val="18"/>
          <w:szCs w:val="18"/>
          <w:color w:val="auto"/>
        </w:rPr>
      </w:pPr>
    </w:p>
    <w:p>
      <w:pPr>
        <w:ind w:left="1060" w:right="80" w:hanging="63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27.2The Parties agree that the disclaimers, exclusions and limitations of liability in this Agreement are an essential basis of the bargain between the Parties and, absent any of such disclaimers, exclusions or limitations of liability, the provisions of this Agreement, including without limitation the economic terms, would be substantially different.</w:t>
      </w:r>
    </w:p>
    <w:p>
      <w:pPr>
        <w:spacing w:after="0" w:line="322"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 Party Representations</w:t>
      </w:r>
    </w:p>
    <w:p>
      <w:pPr>
        <w:spacing w:after="0" w:line="123"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6"/>
          <w:szCs w:val="16"/>
          <w:color w:val="auto"/>
        </w:rPr>
        <w:t>Each Party represents and warrants to the other Party that:</w:t>
      </w:r>
    </w:p>
    <w:p>
      <w:pPr>
        <w:spacing w:after="0" w:line="121" w:lineRule="exact"/>
        <w:rPr>
          <w:sz w:val="20"/>
          <w:szCs w:val="20"/>
          <w:color w:val="auto"/>
        </w:rPr>
      </w:pPr>
    </w:p>
    <w:p>
      <w:pPr>
        <w:ind w:left="420" w:right="100" w:hanging="412"/>
        <w:spacing w:after="0" w:line="267" w:lineRule="auto"/>
        <w:tabs>
          <w:tab w:leader="none" w:pos="420"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requisite power, capacity and authority to enter this Agreement and any Task Order and to carry out its obligations under the Agreement and any Task Order; and</w:t>
      </w:r>
    </w:p>
    <w:p>
      <w:pPr>
        <w:spacing w:after="0" w:line="77" w:lineRule="exact"/>
        <w:rPr>
          <w:rFonts w:ascii="Times New Roman" w:cs="Times New Roman" w:eastAsia="Times New Roman" w:hAnsi="Times New Roman"/>
          <w:sz w:val="18"/>
          <w:szCs w:val="18"/>
          <w:color w:val="auto"/>
        </w:rPr>
      </w:pPr>
    </w:p>
    <w:p>
      <w:pPr>
        <w:ind w:left="420" w:right="180" w:hanging="412"/>
        <w:spacing w:after="0" w:line="267" w:lineRule="auto"/>
        <w:tabs>
          <w:tab w:leader="none" w:pos="420"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Task Order will be executed by its duly authorised representative and, once executed, shall constitute its legal, valid and binding obligations.</w:t>
      </w:r>
    </w:p>
    <w:p>
      <w:pPr>
        <w:spacing w:after="0" w:line="312" w:lineRule="exact"/>
        <w:rPr>
          <w:sz w:val="20"/>
          <w:szCs w:val="20"/>
          <w:color w:val="auto"/>
        </w:rPr>
      </w:pPr>
    </w:p>
    <w:p>
      <w:pPr>
        <w:ind w:left="420" w:hanging="412"/>
        <w:spacing w:after="0"/>
        <w:tabs>
          <w:tab w:leader="none" w:pos="420"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Tempus Representations and Warranties</w:t>
      </w:r>
    </w:p>
    <w:p>
      <w:pPr>
        <w:spacing w:after="0" w:line="110"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makes the representations and warranties set out in this Section 29 to GSK.</w:t>
      </w:r>
    </w:p>
    <w:p>
      <w:pPr>
        <w:spacing w:after="0" w:line="355"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29.1</w:t>
      </w:r>
      <w:r>
        <w:rPr>
          <w:rFonts w:ascii="Times New Roman" w:cs="Times New Roman" w:eastAsia="Times New Roman" w:hAnsi="Times New Roman"/>
          <w:sz w:val="16"/>
          <w:szCs w:val="16"/>
          <w:b w:val="1"/>
          <w:bCs w:val="1"/>
          <w:color w:val="auto"/>
        </w:rPr>
        <w:t>Non-conflict with other obligations</w:t>
      </w:r>
    </w:p>
    <w:p>
      <w:pPr>
        <w:spacing w:after="0" w:line="110" w:lineRule="exact"/>
        <w:rPr>
          <w:rFonts w:ascii="Times New Roman" w:cs="Times New Roman" w:eastAsia="Times New Roman" w:hAnsi="Times New Roman"/>
          <w:sz w:val="18"/>
          <w:szCs w:val="18"/>
          <w:color w:val="auto"/>
        </w:rPr>
      </w:pPr>
    </w:p>
    <w:p>
      <w:pPr>
        <w:ind w:left="440" w:right="36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performance of this Agreement and any Task Order shall not constitute a violation, breach or default under any contract by which it is bound.</w:t>
      </w:r>
    </w:p>
    <w:p>
      <w:pPr>
        <w:spacing w:after="0" w:line="312"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color w:val="auto"/>
        </w:rPr>
        <w:t>29.2</w:t>
      </w:r>
      <w:r>
        <w:rPr>
          <w:sz w:val="20"/>
          <w:szCs w:val="20"/>
          <w:color w:val="auto"/>
        </w:rPr>
        <w:tab/>
      </w:r>
      <w:r>
        <w:rPr>
          <w:rFonts w:ascii="Times New Roman" w:cs="Times New Roman" w:eastAsia="Times New Roman" w:hAnsi="Times New Roman"/>
          <w:sz w:val="16"/>
          <w:szCs w:val="16"/>
          <w:b w:val="1"/>
          <w:bCs w:val="1"/>
          <w:color w:val="auto"/>
        </w:rPr>
        <w:t>No infringement of third-party rights</w:t>
      </w:r>
    </w:p>
    <w:p>
      <w:pPr>
        <w:spacing w:after="0" w:line="123" w:lineRule="exact"/>
        <w:rPr>
          <w:sz w:val="20"/>
          <w:szCs w:val="20"/>
          <w:color w:val="auto"/>
        </w:rPr>
      </w:pPr>
    </w:p>
    <w:p>
      <w:pPr>
        <w:ind w:left="420" w:right="160" w:hanging="412"/>
        <w:spacing w:after="0" w:line="267" w:lineRule="auto"/>
        <w:tabs>
          <w:tab w:leader="none" w:pos="420"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or receiving performance of the Activities (including the creation, delivery or use of the Deliverables) does not, and will not, and has not been alleged to, infringe the valid rights of any third parties known to Tempus at the time of performing the Activities.</w:t>
      </w:r>
    </w:p>
    <w:p>
      <w:pPr>
        <w:spacing w:after="0" w:line="77" w:lineRule="exact"/>
        <w:rPr>
          <w:rFonts w:ascii="Times New Roman" w:cs="Times New Roman" w:eastAsia="Times New Roman" w:hAnsi="Times New Roman"/>
          <w:sz w:val="18"/>
          <w:szCs w:val="18"/>
          <w:color w:val="auto"/>
        </w:rPr>
      </w:pPr>
    </w:p>
    <w:p>
      <w:pPr>
        <w:ind w:left="540" w:hanging="532"/>
        <w:spacing w:after="0" w:line="267" w:lineRule="auto"/>
        <w:tabs>
          <w:tab w:leader="none" w:pos="540"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has full and sufficient rights to assign or grant the rights granted to GSK pursuant to this Agreement free and clear of any liens, claims or encumbrances.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720"/>
          </w:cols>
          <w:pgMar w:left="580" w:top="266" w:right="599" w:bottom="1440" w:gutter="0" w:footer="0" w:header="0"/>
        </w:sectPr>
      </w:pPr>
    </w:p>
    <w:bookmarkStart w:id="671" w:name="page672"/>
    <w:bookmarkEnd w:id="671"/>
    <w:p>
      <w:pPr>
        <w:ind w:left="412" w:hanging="412"/>
        <w:spacing w:after="0" w:line="249" w:lineRule="auto"/>
        <w:tabs>
          <w:tab w:leader="none" w:pos="412"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Arising IP and Deliverables generated, developed, made, devised, conceived, or first reduced to practice or writing or otherwise arising from activities by or on behalf of Tempus (including by any Tempus Personnel) shall be an original work and not copied in whole or part from a third party nor result from any activity (including by reverse engineering, decompiling or disassembling) which is a breach of Tempus’s obligations to a third party except insofar as and to the extent of the authorised use of any Permissive Open Source Software or open source data set in accordance with the terms of this Agreement or a Task Order.</w:t>
      </w:r>
    </w:p>
    <w:p>
      <w:pPr>
        <w:spacing w:after="0" w:line="329"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29.3</w:t>
      </w:r>
      <w:r>
        <w:rPr>
          <w:sz w:val="20"/>
          <w:szCs w:val="20"/>
          <w:color w:val="auto"/>
        </w:rPr>
        <w:tab/>
      </w:r>
      <w:r>
        <w:rPr>
          <w:rFonts w:ascii="Times New Roman" w:cs="Times New Roman" w:eastAsia="Times New Roman" w:hAnsi="Times New Roman"/>
          <w:sz w:val="16"/>
          <w:szCs w:val="16"/>
          <w:b w:val="1"/>
          <w:bCs w:val="1"/>
          <w:color w:val="auto"/>
        </w:rPr>
        <w:t>Engagement of Tempus Personnel</w:t>
      </w:r>
    </w:p>
    <w:p>
      <w:pPr>
        <w:spacing w:after="0" w:line="123" w:lineRule="exact"/>
        <w:rPr>
          <w:sz w:val="20"/>
          <w:szCs w:val="20"/>
          <w:color w:val="auto"/>
        </w:rPr>
      </w:pPr>
    </w:p>
    <w:p>
      <w:pPr>
        <w:ind w:left="412" w:right="420" w:hanging="412"/>
        <w:spacing w:after="0" w:line="267" w:lineRule="auto"/>
        <w:tabs>
          <w:tab w:leader="none" w:pos="412"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require all Tempus Personnel to comply with the provisions of this Agreement and any Task Order, and such Personnel are or shall be engaged on terms that enable Tempus to comply with its obligations under this Agreement.</w:t>
      </w:r>
    </w:p>
    <w:p>
      <w:pPr>
        <w:spacing w:after="0" w:line="77"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Approved Subcontractor or Tempus Personnel have been:</w:t>
      </w:r>
    </w:p>
    <w:p>
      <w:pPr>
        <w:spacing w:after="0" w:line="108" w:lineRule="exact"/>
        <w:rPr>
          <w:rFonts w:ascii="Times New Roman" w:cs="Times New Roman" w:eastAsia="Times New Roman" w:hAnsi="Times New Roman"/>
          <w:sz w:val="18"/>
          <w:szCs w:val="18"/>
          <w:color w:val="auto"/>
        </w:rPr>
      </w:pPr>
    </w:p>
    <w:p>
      <w:pPr>
        <w:ind w:left="432" w:right="120" w:hanging="4"/>
        <w:spacing w:after="0" w:line="255" w:lineRule="auto"/>
        <w:tabs>
          <w:tab w:leader="none" w:pos="729" w:val="left"/>
        </w:tabs>
        <w:numPr>
          <w:ilvl w:val="1"/>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debarred or will be debarred, suspended or otherwise excluded by any Regulatory Authority from receiving government contracts, including under the provisions of the Generic Drug Enforcement Act of 1992, 21 U.S.C. § 335a(a) and (b) or equivalent laws, rules or regulations outside the US;</w:t>
      </w:r>
    </w:p>
    <w:p>
      <w:pPr>
        <w:spacing w:after="0" w:line="75" w:lineRule="exact"/>
        <w:rPr>
          <w:rFonts w:ascii="Times New Roman" w:cs="Times New Roman" w:eastAsia="Times New Roman" w:hAnsi="Times New Roman"/>
          <w:sz w:val="18"/>
          <w:szCs w:val="18"/>
          <w:color w:val="auto"/>
        </w:rPr>
      </w:pPr>
    </w:p>
    <w:p>
      <w:pPr>
        <w:ind w:left="432" w:right="280" w:hanging="4"/>
        <w:spacing w:after="0" w:line="267" w:lineRule="auto"/>
        <w:tabs>
          <w:tab w:leader="none" w:pos="739" w:val="left"/>
        </w:tabs>
        <w:numPr>
          <w:ilvl w:val="1"/>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disqualified as a testing facility by any Regulatory Authority, including under the provisions of 21 C.F.R. Part 58, Subpart K or equivalent laws, rules or regulations outside the US;</w:t>
      </w:r>
    </w:p>
    <w:p>
      <w:pPr>
        <w:spacing w:after="0" w:line="64" w:lineRule="exact"/>
        <w:rPr>
          <w:rFonts w:ascii="Times New Roman" w:cs="Times New Roman" w:eastAsia="Times New Roman" w:hAnsi="Times New Roman"/>
          <w:sz w:val="18"/>
          <w:szCs w:val="18"/>
          <w:color w:val="auto"/>
        </w:rPr>
      </w:pPr>
    </w:p>
    <w:p>
      <w:pPr>
        <w:ind w:left="432" w:right="180" w:hanging="4"/>
        <w:spacing w:after="0" w:line="267" w:lineRule="auto"/>
        <w:tabs>
          <w:tab w:leader="none" w:pos="729" w:val="left"/>
        </w:tabs>
        <w:numPr>
          <w:ilvl w:val="1"/>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disqualified as a clinical investigator by any Regulatory Authority, including under the provisions of 21 C.F.R. § 312.70 or equivalent laws, rules or regulations outside the US;</w:t>
      </w:r>
    </w:p>
    <w:p>
      <w:pPr>
        <w:spacing w:after="0" w:line="64" w:lineRule="exact"/>
        <w:rPr>
          <w:rFonts w:ascii="Times New Roman" w:cs="Times New Roman" w:eastAsia="Times New Roman" w:hAnsi="Times New Roman"/>
          <w:sz w:val="18"/>
          <w:szCs w:val="18"/>
          <w:color w:val="auto"/>
        </w:rPr>
      </w:pPr>
    </w:p>
    <w:p>
      <w:pPr>
        <w:ind w:left="432" w:right="100" w:hanging="4"/>
        <w:spacing w:after="0" w:line="267" w:lineRule="auto"/>
        <w:tabs>
          <w:tab w:leader="none" w:pos="739" w:val="left"/>
        </w:tabs>
        <w:numPr>
          <w:ilvl w:val="1"/>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disqualified as a clinical investigator by any Regulatory Authority, including under the provisions of 21 C.F.R. § 812.119 or equivalent laws, rules or regulations outside the US; or</w:t>
      </w:r>
    </w:p>
    <w:p>
      <w:pPr>
        <w:spacing w:after="0" w:line="64" w:lineRule="exact"/>
        <w:rPr>
          <w:rFonts w:ascii="Times New Roman" w:cs="Times New Roman" w:eastAsia="Times New Roman" w:hAnsi="Times New Roman"/>
          <w:sz w:val="18"/>
          <w:szCs w:val="18"/>
          <w:color w:val="auto"/>
        </w:rPr>
      </w:pPr>
    </w:p>
    <w:p>
      <w:pPr>
        <w:ind w:left="432" w:hanging="4"/>
        <w:spacing w:after="0" w:line="267" w:lineRule="auto"/>
        <w:tabs>
          <w:tab w:leader="none" w:pos="729" w:val="left"/>
        </w:tabs>
        <w:numPr>
          <w:ilvl w:val="1"/>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Sanctioned as a clinical diagnostic laboratory by any Regulatory Authority, including under the provisions of 42 C.F.R. Part 493, Subpart R or equivalent laws, rules, or regulations outside the US.</w:t>
      </w:r>
    </w:p>
    <w:p>
      <w:pPr>
        <w:spacing w:after="0" w:line="312"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29.4</w:t>
      </w:r>
      <w:r>
        <w:rPr>
          <w:sz w:val="20"/>
          <w:szCs w:val="20"/>
          <w:color w:val="auto"/>
        </w:rPr>
        <w:tab/>
      </w:r>
      <w:r>
        <w:rPr>
          <w:rFonts w:ascii="Times New Roman" w:cs="Times New Roman" w:eastAsia="Times New Roman" w:hAnsi="Times New Roman"/>
          <w:sz w:val="16"/>
          <w:szCs w:val="16"/>
          <w:b w:val="1"/>
          <w:bCs w:val="1"/>
          <w:color w:val="auto"/>
        </w:rPr>
        <w:t>Systems use</w:t>
      </w:r>
    </w:p>
    <w:p>
      <w:pPr>
        <w:spacing w:after="0" w:line="110" w:lineRule="exact"/>
        <w:rPr>
          <w:sz w:val="20"/>
          <w:szCs w:val="20"/>
          <w:color w:val="auto"/>
        </w:rPr>
      </w:pPr>
    </w:p>
    <w:p>
      <w:pPr>
        <w:ind w:left="432" w:right="120"/>
        <w:spacing w:after="0" w:line="255" w:lineRule="auto"/>
        <w:rPr>
          <w:sz w:val="20"/>
          <w:szCs w:val="20"/>
          <w:color w:val="auto"/>
        </w:rPr>
      </w:pPr>
      <w:r>
        <w:rPr>
          <w:rFonts w:ascii="Times New Roman" w:cs="Times New Roman" w:eastAsia="Times New Roman" w:hAnsi="Times New Roman"/>
          <w:sz w:val="18"/>
          <w:szCs w:val="18"/>
          <w:color w:val="auto"/>
        </w:rPr>
        <w:t>All computer, hardware, software, systems and equipment used by Tempus in connection with the Activities will be validated by Tempus for use as required by Applicable Law upon identification of an agreement to perform the Activities pursuant to a Task Order. Tempus shall provide evidence of such validation as GSK may reasonably require.</w:t>
      </w:r>
    </w:p>
    <w:p>
      <w:pPr>
        <w:spacing w:after="0" w:line="323"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29.5</w:t>
      </w:r>
      <w:r>
        <w:rPr>
          <w:sz w:val="20"/>
          <w:szCs w:val="20"/>
          <w:color w:val="auto"/>
        </w:rPr>
        <w:tab/>
      </w:r>
      <w:r>
        <w:rPr>
          <w:rFonts w:ascii="Times New Roman" w:cs="Times New Roman" w:eastAsia="Times New Roman" w:hAnsi="Times New Roman"/>
          <w:sz w:val="16"/>
          <w:szCs w:val="16"/>
          <w:b w:val="1"/>
          <w:bCs w:val="1"/>
          <w:color w:val="auto"/>
        </w:rPr>
        <w:t>Human Biological Samples</w:t>
      </w:r>
    </w:p>
    <w:p>
      <w:pPr>
        <w:spacing w:after="0" w:line="110" w:lineRule="exact"/>
        <w:rPr>
          <w:sz w:val="20"/>
          <w:szCs w:val="20"/>
          <w:color w:val="auto"/>
        </w:rPr>
      </w:pPr>
    </w:p>
    <w:p>
      <w:pPr>
        <w:ind w:left="432" w:right="60" w:hanging="4"/>
        <w:spacing w:after="0" w:line="331" w:lineRule="auto"/>
        <w:tabs>
          <w:tab w:leader="none" w:pos="711" w:val="left"/>
        </w:tabs>
        <w:numPr>
          <w:ilvl w:val="0"/>
          <w:numId w:val="6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Human Biological Samples have or will be collected or obtained by or on behalf of Tempus for or on behalf of GSK, the consent form used will include appropriate statements required by Applicable Law to permit Tempus to perform the Activities with respect to such Human</w:t>
      </w:r>
    </w:p>
    <w:p>
      <w:pPr>
        <w:spacing w:after="0" w:line="5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672"/>
          </w:cols>
          <w:pgMar w:left="588" w:top="265" w:right="639" w:bottom="1440" w:gutter="0" w:footer="0" w:header="0"/>
        </w:sectPr>
      </w:pPr>
    </w:p>
    <w:bookmarkStart w:id="672" w:name="page673"/>
    <w:bookmarkEnd w:id="672"/>
    <w:p>
      <w:pPr>
        <w:ind w:left="4" w:right="20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Biological Samples, including but not limited to informing the donor (and in the case of post mortem Human Biological Samples, supplied with consent provided by or on behalf of the original donor) of the following and receiving consent therefor:</w:t>
      </w:r>
    </w:p>
    <w:p>
      <w:pPr>
        <w:spacing w:after="0" w:line="65" w:lineRule="exact"/>
        <w:rPr>
          <w:sz w:val="20"/>
          <w:szCs w:val="20"/>
          <w:color w:val="auto"/>
        </w:rPr>
      </w:pPr>
    </w:p>
    <w:p>
      <w:pPr>
        <w:ind w:left="4" w:right="180" w:hanging="4"/>
        <w:spacing w:after="0" w:line="267" w:lineRule="auto"/>
        <w:tabs>
          <w:tab w:leader="none" w:pos="300" w:val="left"/>
        </w:tabs>
        <w:numPr>
          <w:ilvl w:val="0"/>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Human Biological Sample may be used for research purposes which may include DNA and/or Personal Information research or analysis (as applicable) and does not exclude the Activities;</w:t>
      </w:r>
    </w:p>
    <w:p>
      <w:pPr>
        <w:spacing w:after="0" w:line="64" w:lineRule="exact"/>
        <w:rPr>
          <w:rFonts w:ascii="Times New Roman" w:cs="Times New Roman" w:eastAsia="Times New Roman" w:hAnsi="Times New Roman"/>
          <w:sz w:val="18"/>
          <w:szCs w:val="18"/>
          <w:color w:val="auto"/>
        </w:rPr>
      </w:pPr>
    </w:p>
    <w:p>
      <w:pPr>
        <w:ind w:left="4" w:right="260" w:hanging="4"/>
        <w:spacing w:after="0" w:line="267" w:lineRule="auto"/>
        <w:tabs>
          <w:tab w:leader="none" w:pos="310" w:val="left"/>
        </w:tabs>
        <w:numPr>
          <w:ilvl w:val="0"/>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Human Biological Sample may be transferred to a third party for testing, a subsequent research use and storage purposes conducted for and on behalf of a commercial organisation and its third-party collaborators;</w:t>
      </w:r>
    </w:p>
    <w:p>
      <w:pPr>
        <w:spacing w:after="0" w:line="64" w:lineRule="exact"/>
        <w:rPr>
          <w:rFonts w:ascii="Times New Roman" w:cs="Times New Roman" w:eastAsia="Times New Roman" w:hAnsi="Times New Roman"/>
          <w:sz w:val="18"/>
          <w:szCs w:val="18"/>
          <w:color w:val="auto"/>
        </w:rPr>
      </w:pPr>
    </w:p>
    <w:p>
      <w:pPr>
        <w:ind w:left="4" w:right="200" w:hanging="4"/>
        <w:spacing w:after="0" w:line="267" w:lineRule="auto"/>
        <w:tabs>
          <w:tab w:leader="none" w:pos="300" w:val="left"/>
        </w:tabs>
        <w:numPr>
          <w:ilvl w:val="0"/>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Human Biological Sample and any accompanying clinical information will be either anonymised or coded before use of the Human Biological Sample;</w:t>
      </w:r>
    </w:p>
    <w:p>
      <w:pPr>
        <w:spacing w:after="0" w:line="64"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6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 commercial organisation will have ownership of the Results and may file patents or otherwise protect and commercialise any Results;</w:t>
      </w:r>
    </w:p>
    <w:p>
      <w:pPr>
        <w:spacing w:after="0" w:line="43"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and</w:t>
      </w:r>
    </w:p>
    <w:p>
      <w:pPr>
        <w:spacing w:after="0" w:line="90" w:lineRule="exact"/>
        <w:rPr>
          <w:rFonts w:ascii="Times New Roman" w:cs="Times New Roman" w:eastAsia="Times New Roman" w:hAnsi="Times New Roman"/>
          <w:sz w:val="16"/>
          <w:szCs w:val="16"/>
          <w:color w:val="auto"/>
        </w:rPr>
      </w:pPr>
    </w:p>
    <w:p>
      <w:pPr>
        <w:ind w:left="304" w:hanging="304"/>
        <w:spacing w:after="0"/>
        <w:tabs>
          <w:tab w:leader="none" w:pos="304" w:val="left"/>
        </w:tabs>
        <w:numPr>
          <w:ilvl w:val="0"/>
          <w:numId w:val="6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will be no financial benefit to the donor whatsoever in respect of commercialisation of the Results or the original human tissue sample;</w:t>
      </w:r>
    </w:p>
    <w:p>
      <w:pPr>
        <w:spacing w:after="0" w:line="131" w:lineRule="exact"/>
        <w:rPr>
          <w:sz w:val="20"/>
          <w:szCs w:val="20"/>
          <w:color w:val="auto"/>
        </w:rPr>
      </w:pPr>
    </w:p>
    <w:p>
      <w:pPr>
        <w:ind w:left="324" w:hanging="324"/>
        <w:spacing w:after="0"/>
        <w:tabs>
          <w:tab w:leader="none" w:pos="324" w:val="left"/>
        </w:tabs>
        <w:numPr>
          <w:ilvl w:val="0"/>
          <w:numId w:val="6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Tempus will use the Human Biological Samples only for the purposes that are consistent with consent referred to under paragraph (i) above.</w:t>
      </w:r>
    </w:p>
    <w:p>
      <w:pPr>
        <w:spacing w:after="0" w:line="131" w:lineRule="exact"/>
        <w:rPr>
          <w:rFonts w:ascii="Times New Roman" w:cs="Times New Roman" w:eastAsia="Times New Roman" w:hAnsi="Times New Roman"/>
          <w:sz w:val="16"/>
          <w:szCs w:val="16"/>
          <w:color w:val="auto"/>
        </w:rPr>
      </w:pPr>
    </w:p>
    <w:p>
      <w:pPr>
        <w:ind w:left="4" w:right="280" w:hanging="4"/>
        <w:spacing w:after="0" w:line="267" w:lineRule="auto"/>
        <w:tabs>
          <w:tab w:leader="none" w:pos="383"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human embryonic or foetal derived material (including cell lines) will be used in connection with performance of the Activities or the Deliverables without the express prior written approval of GSK.</w:t>
      </w:r>
    </w:p>
    <w:p>
      <w:pPr>
        <w:spacing w:after="0" w:line="64" w:lineRule="exact"/>
        <w:rPr>
          <w:rFonts w:ascii="Times New Roman" w:cs="Times New Roman" w:eastAsia="Times New Roman" w:hAnsi="Times New Roman"/>
          <w:sz w:val="18"/>
          <w:szCs w:val="18"/>
          <w:color w:val="auto"/>
        </w:rPr>
      </w:pPr>
    </w:p>
    <w:p>
      <w:pPr>
        <w:ind w:left="4" w:right="100" w:hanging="4"/>
        <w:spacing w:after="0" w:line="249" w:lineRule="auto"/>
        <w:tabs>
          <w:tab w:leader="none" w:pos="370"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that provides Human Biological Samples required for Tempus’s provision of the Activities certifies (and, in respect of Human Biological Samples that are obtained from a third party, its Tempus of those Human Biological Samples) it has all the necessary authorisations, licenses, consents and approvals (for example, ethical approval from an ethics committee, or as may be otherwise prescribed by Applicable Law) to obtain, collect, store, transfer, use (including subsequent use by a commercial organisation), disclose, import, export and dispose of the Human Biological Samples in Tempus’s performance of the Activities.</w:t>
      </w:r>
    </w:p>
    <w:p>
      <w:pPr>
        <w:spacing w:after="0" w:line="81" w:lineRule="exact"/>
        <w:rPr>
          <w:rFonts w:ascii="Times New Roman" w:cs="Times New Roman" w:eastAsia="Times New Roman" w:hAnsi="Times New Roman"/>
          <w:sz w:val="18"/>
          <w:szCs w:val="18"/>
          <w:color w:val="auto"/>
        </w:rPr>
      </w:pPr>
    </w:p>
    <w:p>
      <w:pPr>
        <w:ind w:left="4" w:right="260" w:hanging="4"/>
        <w:spacing w:after="0" w:line="267" w:lineRule="auto"/>
        <w:tabs>
          <w:tab w:leader="none" w:pos="325"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comply with and will continue to comply with all Applicable Law and issued codes of practice and guidance relating to the collection, storage, use and disposal of Human Biological Samples for use in the performance of the Activities and</w:t>
      </w:r>
    </w:p>
    <w:p>
      <w:pPr>
        <w:spacing w:after="0" w:line="64" w:lineRule="exact"/>
        <w:rPr>
          <w:rFonts w:ascii="Times New Roman" w:cs="Times New Roman" w:eastAsia="Times New Roman" w:hAnsi="Times New Roman"/>
          <w:sz w:val="18"/>
          <w:szCs w:val="18"/>
          <w:color w:val="auto"/>
        </w:rPr>
      </w:pPr>
    </w:p>
    <w:p>
      <w:pPr>
        <w:ind w:left="4" w:hanging="4"/>
        <w:spacing w:after="0" w:line="255" w:lineRule="auto"/>
        <w:tabs>
          <w:tab w:leader="none" w:pos="370"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that provides Human Biological Samples required for Tempus’s performance of the Activities certifies that appropriate consent at the material time has on all occasions been given to the extent by Applicable Law and will be obtained by/from an appropriate Person in respect of Human Biological Samples collected, transferred, stored, used and subsequently disposed of.</w:t>
      </w:r>
    </w:p>
    <w:p>
      <w:pPr>
        <w:spacing w:after="0" w:line="115"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284"/>
          </w:cols>
          <w:pgMar w:left="1016" w:top="266" w:right="599" w:bottom="1440" w:gutter="0" w:footer="0" w:header="0"/>
        </w:sectPr>
      </w:pPr>
    </w:p>
    <w:bookmarkStart w:id="673" w:name="page674"/>
    <w:bookmarkEnd w:id="673"/>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29.6</w:t>
      </w:r>
      <w:r>
        <w:rPr>
          <w:sz w:val="20"/>
          <w:szCs w:val="20"/>
          <w:color w:val="auto"/>
        </w:rPr>
        <w:tab/>
      </w:r>
      <w:r>
        <w:rPr>
          <w:rFonts w:ascii="Times New Roman" w:cs="Times New Roman" w:eastAsia="Times New Roman" w:hAnsi="Times New Roman"/>
          <w:sz w:val="16"/>
          <w:szCs w:val="16"/>
          <w:b w:val="1"/>
          <w:bCs w:val="1"/>
          <w:color w:val="auto"/>
        </w:rPr>
        <w:t>Notification of default</w:t>
      </w:r>
    </w:p>
    <w:p>
      <w:pPr>
        <w:spacing w:after="0" w:line="110" w:lineRule="exact"/>
        <w:rPr>
          <w:sz w:val="20"/>
          <w:szCs w:val="20"/>
          <w:color w:val="auto"/>
        </w:rPr>
      </w:pPr>
    </w:p>
    <w:p>
      <w:pPr>
        <w:ind w:left="432" w:right="300"/>
        <w:spacing w:after="0" w:line="267" w:lineRule="auto"/>
        <w:rPr>
          <w:sz w:val="20"/>
          <w:szCs w:val="20"/>
          <w:color w:val="auto"/>
        </w:rPr>
      </w:pPr>
      <w:r>
        <w:rPr>
          <w:rFonts w:ascii="Times New Roman" w:cs="Times New Roman" w:eastAsia="Times New Roman" w:hAnsi="Times New Roman"/>
          <w:sz w:val="18"/>
          <w:szCs w:val="18"/>
          <w:color w:val="auto"/>
        </w:rPr>
        <w:t>Each Party shall notify the other Party in writing promptly on becoming aware of a breach of any of the warranties and representations in this Agreement.</w:t>
      </w:r>
    </w:p>
    <w:p>
      <w:pPr>
        <w:spacing w:after="0" w:line="312"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29.7</w:t>
      </w:r>
      <w:r>
        <w:rPr>
          <w:sz w:val="20"/>
          <w:szCs w:val="20"/>
          <w:color w:val="auto"/>
        </w:rPr>
        <w:tab/>
      </w:r>
      <w:r>
        <w:rPr>
          <w:rFonts w:ascii="Times New Roman" w:cs="Times New Roman" w:eastAsia="Times New Roman" w:hAnsi="Times New Roman"/>
          <w:sz w:val="16"/>
          <w:szCs w:val="16"/>
          <w:b w:val="1"/>
          <w:bCs w:val="1"/>
          <w:color w:val="auto"/>
        </w:rPr>
        <w:t>De-Identified Records</w:t>
      </w:r>
    </w:p>
    <w:p>
      <w:pPr>
        <w:spacing w:after="0" w:line="110" w:lineRule="exact"/>
        <w:rPr>
          <w:sz w:val="20"/>
          <w:szCs w:val="20"/>
          <w:color w:val="auto"/>
        </w:rPr>
      </w:pPr>
    </w:p>
    <w:p>
      <w:pPr>
        <w:ind w:left="432"/>
        <w:spacing w:after="0" w:line="247" w:lineRule="auto"/>
        <w:rPr>
          <w:sz w:val="20"/>
          <w:szCs w:val="20"/>
          <w:color w:val="auto"/>
        </w:rPr>
      </w:pPr>
      <w:r>
        <w:rPr>
          <w:rFonts w:ascii="Times New Roman" w:cs="Times New Roman" w:eastAsia="Times New Roman" w:hAnsi="Times New Roman"/>
          <w:sz w:val="18"/>
          <w:szCs w:val="18"/>
          <w:color w:val="auto"/>
        </w:rPr>
        <w:t>All De-Identified Records contained within the Tempus Dataset have (i) been de-identified in accordance with 45 C.F.R § 164.514 (a)-(b) and for which there is no reasonable basis to believe that the data can be used to determine the identity of an individual, or (ii) Tempus has obtained all necessary written patient authorizations to permit access, use and disclosure to GSK in accordance with HIPAA and applicable state and federal privacy laws. There are no contractual restrictions preventing Tempus from providing access, use or disclosure of the De-Identified Records or other information contained within the Tempus Dataset to GSK. In the event that De-Identified Records or other information contained within the Tempus Dataset include information on individuals residing outside of the United States, Tempus further represents and warrants that it has obtained all necessary written patient consents for the access, use or disclosure of De-Identified Records by GSK in accordance with applicable local and national law.</w:t>
      </w:r>
    </w:p>
    <w:p>
      <w:pPr>
        <w:spacing w:after="0" w:line="329"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29.8</w:t>
      </w:r>
      <w:r>
        <w:rPr>
          <w:sz w:val="20"/>
          <w:szCs w:val="20"/>
          <w:color w:val="auto"/>
        </w:rPr>
        <w:tab/>
      </w:r>
      <w:r>
        <w:rPr>
          <w:rFonts w:ascii="Times New Roman" w:cs="Times New Roman" w:eastAsia="Times New Roman" w:hAnsi="Times New Roman"/>
          <w:sz w:val="16"/>
          <w:szCs w:val="16"/>
          <w:b w:val="1"/>
          <w:bCs w:val="1"/>
          <w:color w:val="auto"/>
        </w:rPr>
        <w:t>Tempus Biotechnology Platform</w:t>
      </w:r>
    </w:p>
    <w:p>
      <w:pPr>
        <w:spacing w:after="0" w:line="123" w:lineRule="exact"/>
        <w:rPr>
          <w:sz w:val="20"/>
          <w:szCs w:val="20"/>
          <w:color w:val="auto"/>
        </w:rPr>
      </w:pPr>
    </w:p>
    <w:p>
      <w:pPr>
        <w:ind w:left="412" w:right="520" w:hanging="412"/>
        <w:spacing w:after="0" w:line="267" w:lineRule="auto"/>
        <w:tabs>
          <w:tab w:leader="none" w:pos="412"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has no knowledge of any viruses, malware or other malicious code or security vulnerabilities affecting the Tempus Biotechnology Platform or Tempus Background IP and has disclosed to GSK the existence of any of the foregoing;</w:t>
      </w:r>
    </w:p>
    <w:p>
      <w:pPr>
        <w:spacing w:after="0" w:line="77" w:lineRule="exact"/>
        <w:rPr>
          <w:rFonts w:ascii="Times New Roman" w:cs="Times New Roman" w:eastAsia="Times New Roman" w:hAnsi="Times New Roman"/>
          <w:sz w:val="18"/>
          <w:szCs w:val="18"/>
          <w:color w:val="auto"/>
        </w:rPr>
      </w:pPr>
    </w:p>
    <w:p>
      <w:pPr>
        <w:ind w:left="412" w:right="320" w:hanging="412"/>
        <w:spacing w:after="0" w:line="267" w:lineRule="auto"/>
        <w:tabs>
          <w:tab w:leader="none" w:pos="412"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Tempus Biotechnology Platform and Tempus Background IP does not and shall not contain Viral Open Source Software or any Software based on Viral Open Source Software;</w:t>
      </w:r>
    </w:p>
    <w:p>
      <w:pPr>
        <w:spacing w:after="0" w:line="77"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Tempus Biotechnology Platform, any software updates, bug fixes and improvements that may be accessed or licensed hereunder</w:t>
      </w:r>
    </w:p>
    <w:p>
      <w:pPr>
        <w:spacing w:after="0" w:line="20" w:lineRule="exact"/>
        <w:rPr>
          <w:rFonts w:ascii="Times New Roman" w:cs="Times New Roman" w:eastAsia="Times New Roman" w:hAnsi="Times New Roman"/>
          <w:sz w:val="18"/>
          <w:szCs w:val="18"/>
          <w:color w:val="auto"/>
        </w:rPr>
      </w:pPr>
    </w:p>
    <w:p>
      <w:pPr>
        <w:ind w:left="412" w:right="20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Improvements</w:t>
      </w:r>
      <w:r>
        <w:rPr>
          <w:rFonts w:ascii="Times New Roman" w:cs="Times New Roman" w:eastAsia="Times New Roman" w:hAnsi="Times New Roman"/>
          <w:sz w:val="16"/>
          <w:szCs w:val="16"/>
          <w:color w:val="auto"/>
        </w:rPr>
        <w:t>”) and the GSK Work Product are not and shall not be subject to, and Tempus shall not develop, maintain, improve, modify, enhance or otherwise alter the Tempus Biotechnology Platform or any Improvements in a manner that could (A) result in any “copyleft”, “share-a-like” or other obligation or condition (including any obligation or condition under any Viral Open Source Software license) that could</w:t>
      </w:r>
    </w:p>
    <w:p>
      <w:pPr>
        <w:jc w:val="both"/>
        <w:ind w:left="412" w:right="8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(x) require, or condition the use, licensing, disclosure, making available or distribution of the Tempus Biotechnology Platform, Improvements or GSK Work Product (including any portion of source code therein) or (y) otherwise impose any limitation, restriction, or condition on the right or ability of GSK to use, access and exploit any portion of the Tempus Biotechnology Platform, Improvements or GSK Work Product or</w:t>
      </w:r>
    </w:p>
    <w:p>
      <w:pPr>
        <w:ind w:left="412" w:right="26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otherwise adversely affect GSK’s rights under this Agreement or any Task Order or its ownership of or rights in respect of any GSK Work Product, GSK Background IP or GSK Arising IP.</w:t>
      </w:r>
    </w:p>
    <w:p>
      <w:pPr>
        <w:spacing w:after="0" w:line="121"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632"/>
          </w:cols>
          <w:pgMar w:left="588" w:top="264" w:right="679" w:bottom="1440" w:gutter="0" w:footer="0" w:header="0"/>
        </w:sectPr>
      </w:pPr>
    </w:p>
    <w:bookmarkStart w:id="674" w:name="page675"/>
    <w:bookmarkEnd w:id="674"/>
    <w:p>
      <w:pPr>
        <w:ind w:left="412" w:right="140" w:hanging="412"/>
        <w:spacing w:after="0" w:line="251" w:lineRule="auto"/>
        <w:tabs>
          <w:tab w:leader="none" w:pos="412"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 consent, approval or authorization is required from any Third Party in respect of any Third Party Software necessary to enable GSK to fully exploit the Tempus Biotechnology Platform and its Improvements as contemplated by this Agreement. GSK shall not be responsible for any fees or payments due to any third party in respect of any Third Party Software in connection with the GSK Data Activities and the other matters contemplated hereby.</w:t>
      </w:r>
    </w:p>
    <w:p>
      <w:pPr>
        <w:spacing w:after="0" w:line="327" w:lineRule="exact"/>
        <w:rPr>
          <w:sz w:val="20"/>
          <w:szCs w:val="20"/>
          <w:color w:val="auto"/>
        </w:rPr>
      </w:pPr>
    </w:p>
    <w:p>
      <w:pPr>
        <w:ind w:left="412" w:hanging="412"/>
        <w:spacing w:after="0"/>
        <w:tabs>
          <w:tab w:leader="none" w:pos="412"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Regulatory Requirements</w:t>
      </w:r>
    </w:p>
    <w:p>
      <w:pPr>
        <w:spacing w:after="0" w:line="110" w:lineRule="exact"/>
        <w:rPr>
          <w:rFonts w:ascii="Times New Roman" w:cs="Times New Roman" w:eastAsia="Times New Roman" w:hAnsi="Times New Roman"/>
          <w:sz w:val="18"/>
          <w:szCs w:val="18"/>
          <w:color w:val="auto"/>
        </w:rPr>
      </w:pPr>
    </w:p>
    <w:p>
      <w:pPr>
        <w:ind w:left="432" w:right="8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Tempus shall identify, secure and maintain (or, as applicable, procure the identification, securing and maintenance of) any and all approvals, licenses, permits and certificates required by Applicable Law (including (EU) 2017/746 (IVDR)) which are or may become applicable to Tempus or Approved Subcontractors in connection with any Activities to be performed by any of them under this Agreement and any Task Order.</w:t>
      </w:r>
    </w:p>
    <w:p>
      <w:pPr>
        <w:spacing w:after="0" w:line="288"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Anti-bribery and Corruption</w:t>
      </w:r>
    </w:p>
    <w:p>
      <w:pPr>
        <w:spacing w:after="0" w:line="123" w:lineRule="exact"/>
        <w:rPr>
          <w:rFonts w:ascii="Times New Roman" w:cs="Times New Roman" w:eastAsia="Times New Roman" w:hAnsi="Times New Roman"/>
          <w:sz w:val="18"/>
          <w:szCs w:val="18"/>
          <w:color w:val="auto"/>
        </w:rPr>
      </w:pPr>
    </w:p>
    <w:p>
      <w:pPr>
        <w:ind w:left="1052" w:hanging="63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31.1Tempus will, and will take reasonable measures to ensure its subcontractors, agents or any other third parties subject to its control or determining influence will, comply with anti-corruption laws and will not, in connection with the performance of this Agreement, directly or indirectly make, promise, authorise, ratify or offer to make, or take any act in furtherance of any payment or transfer of anything of value for the purpose of influencing, inducing or rewarding any act, omission or decision to secure an improper advantage; or improperly assisting Tempus or GSK in obtaining or retaining business, or in any way with the purpose or effect of public or commercial bribery. For clarity this includes facilitating payments, which are unofficial, improper, small payments or gifts offered or made to Government Officials to secure or expedite a routine or necessary action to which GSK is legally entitled.</w:t>
      </w:r>
    </w:p>
    <w:p>
      <w:pPr>
        <w:spacing w:after="0" w:line="97" w:lineRule="exact"/>
        <w:rPr>
          <w:rFonts w:ascii="Times New Roman" w:cs="Times New Roman" w:eastAsia="Times New Roman" w:hAnsi="Times New Roman"/>
          <w:sz w:val="18"/>
          <w:szCs w:val="18"/>
          <w:color w:val="auto"/>
        </w:rPr>
      </w:pPr>
    </w:p>
    <w:p>
      <w:pPr>
        <w:ind w:left="1052" w:right="60" w:hanging="630"/>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31.2Tempus represents and warrants that, except as disclosed to GSK in writing prior to the commencement of the Agreement: (i) none of its significant shareholders (&gt;25% shareholding) or senior management has influence over GSK’s business; (ii) no significant shareholders, members of senior management, members of the Board of Directors, or key individuals who will be responsible for the provision of goods or services are currently or have been in the past two (2) years a Government Official with actual or perceived influence which could affect GSK business; (iii) it is not aware of any immediate relatives (e.g. spouse, parents, children or siblings) of the persons listed above having a public or private role which involves making decisions which could affect GSK business or providing services or products to, or on behalf of GSK; (iv) it does not have any other interest which directly or indirectly conflicts with its proper and ethical performance of the Agreement; and (v) it will maintain arm’s length relations with all third parties with which it deals for or on behalf of GSK in performance of the Agreement. Tempus will inform GSK in writing at the earliest possible opportunity of any conflict of interest as described in this paragraph that arises during the performance of the Agreement.</w:t>
      </w:r>
    </w:p>
    <w:p>
      <w:pPr>
        <w:spacing w:after="0" w:line="12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692"/>
          </w:cols>
          <w:pgMar w:left="588" w:top="265" w:right="619" w:bottom="1440" w:gutter="0" w:footer="0" w:header="0"/>
        </w:sectPr>
      </w:pPr>
    </w:p>
    <w:bookmarkStart w:id="675" w:name="page676"/>
    <w:bookmarkEnd w:id="675"/>
    <w:p>
      <w:pPr>
        <w:ind w:left="1060" w:right="60" w:hanging="629"/>
        <w:spacing w:after="0" w:line="246" w:lineRule="auto"/>
        <w:tabs>
          <w:tab w:leader="none" w:pos="10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31.3</w:t>
      </w:r>
      <w:r>
        <w:rPr>
          <w:sz w:val="20"/>
          <w:szCs w:val="20"/>
          <w:color w:val="auto"/>
        </w:rPr>
        <w:tab/>
      </w:r>
      <w:r>
        <w:rPr>
          <w:rFonts w:ascii="Times New Roman" w:cs="Times New Roman" w:eastAsia="Times New Roman" w:hAnsi="Times New Roman"/>
          <w:sz w:val="18"/>
          <w:szCs w:val="18"/>
          <w:color w:val="auto"/>
        </w:rPr>
        <w:t>Unless requested by and with the prior written approval of GSK, Tempus will not contact, or otherwise knowingly meet with any Government Official for the purpose of discussing activities arising out of or in connection with the Agreement. When engaging in government relations, advocacy or lobbying activity expressly authorised by GSK, Tempus will in all interactions with Government Officials identify that it acts on behalf of GSK and will at all times during the term of the Agreement maintain (separately from any of its business records not relating to the Agreement) a log documenting all interactions with Government Officials on behalf of GSK or in relation to the activities arising out of or in connection with the Agreement to include, at least, the following information: (i) the title of the Government Official with whom they interacted; (ii) the location and context in which such interaction took place; (iii) the subject matter of the interaction; and (iv) whether any transfer of value to the Government Official was made or offered and a description of the same. Tempus will provide a copy of the log referred to above to GSK upon request and no less frequently than every [***] during the term of the Agreement.</w:t>
      </w:r>
    </w:p>
    <w:p>
      <w:pPr>
        <w:spacing w:after="0" w:line="97" w:lineRule="exact"/>
        <w:rPr>
          <w:sz w:val="20"/>
          <w:szCs w:val="20"/>
          <w:color w:val="auto"/>
        </w:rPr>
      </w:pPr>
    </w:p>
    <w:p>
      <w:pPr>
        <w:ind w:left="1060" w:right="720" w:hanging="629"/>
        <w:spacing w:after="0" w:line="267" w:lineRule="auto"/>
        <w:tabs>
          <w:tab w:leader="none" w:pos="10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Tempus, upon request by GSK, will certify that adequate anti-bribery and anti-corruption training has been provided to relevant Personnel.</w:t>
      </w:r>
    </w:p>
    <w:p>
      <w:pPr>
        <w:spacing w:after="0" w:line="78" w:lineRule="exact"/>
        <w:rPr>
          <w:sz w:val="20"/>
          <w:szCs w:val="20"/>
          <w:color w:val="auto"/>
        </w:rPr>
      </w:pPr>
    </w:p>
    <w:p>
      <w:pPr>
        <w:ind w:left="1060" w:right="100" w:hanging="629"/>
        <w:spacing w:after="0" w:line="255" w:lineRule="auto"/>
        <w:tabs>
          <w:tab w:leader="none" w:pos="104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color w:val="auto"/>
        </w:rPr>
        <w:t>Notwithstanding any other provision in the Agreement, if GSK terminates the Agreement due to Tempus breach of these Anti-Bribery and Corruption requirements, GSK will not be obliged to make any payments, indemnify, or otherwise provide compensation to Tempus subsequent to the termination of the Agreement.</w:t>
      </w:r>
    </w:p>
    <w:p>
      <w:pPr>
        <w:spacing w:after="0" w:line="323" w:lineRule="exact"/>
        <w:rPr>
          <w:sz w:val="20"/>
          <w:szCs w:val="20"/>
          <w:color w:val="auto"/>
        </w:rPr>
      </w:pPr>
    </w:p>
    <w:p>
      <w:pPr>
        <w:ind w:left="420" w:hanging="412"/>
        <w:spacing w:after="0"/>
        <w:tabs>
          <w:tab w:leader="none" w:pos="420"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Human Safety Information</w:t>
      </w:r>
    </w:p>
    <w:p>
      <w:pPr>
        <w:spacing w:after="0" w:line="110" w:lineRule="exact"/>
        <w:rPr>
          <w:rFonts w:ascii="Times New Roman" w:cs="Times New Roman" w:eastAsia="Times New Roman" w:hAnsi="Times New Roman"/>
          <w:sz w:val="18"/>
          <w:szCs w:val="18"/>
          <w:color w:val="auto"/>
        </w:rPr>
      </w:pPr>
    </w:p>
    <w:p>
      <w:pPr>
        <w:ind w:left="440" w:right="200"/>
        <w:spacing w:after="0" w:line="2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“Adverse Event” or “AE” shall mean any medical occurrence in a patient, temporally associated with the use of a GSK Product, whether or not considered drug-related. If, in the course of performing the Activities, the Tempus or any of its contractors is informed or becomes aware of any AE (whether the information relates to the GSK Product by reference to its generic name or by reference to its trade mark) as a result of the Activities, it shall forward such information to GSK. All such AEs must be reported to GSK within [***] of initial receipt (or [***]).</w:t>
      </w:r>
    </w:p>
    <w:p>
      <w:pPr>
        <w:spacing w:after="0" w:line="294"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w:t>
      </w:r>
    </w:p>
    <w:p>
      <w:pPr>
        <w:spacing w:after="0" w:line="123" w:lineRule="exact"/>
        <w:rPr>
          <w:rFonts w:ascii="Times New Roman" w:cs="Times New Roman" w:eastAsia="Times New Roman" w:hAnsi="Times New Roman"/>
          <w:sz w:val="18"/>
          <w:szCs w:val="18"/>
          <w:color w:val="auto"/>
        </w:rPr>
      </w:pPr>
    </w:p>
    <w:p>
      <w:pPr>
        <w:jc w:val="center"/>
        <w:ind w:left="1060" w:hanging="630"/>
        <w:spacing w:after="0" w:line="3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33.1</w:t>
      </w:r>
      <w:r>
        <w:rPr>
          <w:rFonts w:ascii="Times New Roman" w:cs="Times New Roman" w:eastAsia="Times New Roman" w:hAnsi="Times New Roman"/>
          <w:sz w:val="16"/>
          <w:szCs w:val="16"/>
          <w:color w:val="auto"/>
        </w:rPr>
        <w:t>If any injury is suffered by a non-patient subject participating in a Study for GSK, GSK agrees to abide by the guidelines published by the Association of British Pharmaceutical Industry entitled “Guidelines for Medical Experiments in Non-Patient Human Volunteers”.</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720"/>
          </w:cols>
          <w:pgMar w:left="580" w:top="265" w:right="599" w:bottom="1440" w:gutter="0" w:footer="0" w:header="0"/>
        </w:sectPr>
      </w:pPr>
    </w:p>
    <w:bookmarkStart w:id="676" w:name="page677"/>
    <w:bookmarkEnd w:id="676"/>
    <w:p>
      <w:pPr>
        <w:ind w:left="1052" w:right="260" w:hanging="629"/>
        <w:spacing w:after="0" w:line="267" w:lineRule="auto"/>
        <w:tabs>
          <w:tab w:leader="none" w:pos="103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33.2</w:t>
      </w:r>
      <w:r>
        <w:rPr>
          <w:sz w:val="20"/>
          <w:szCs w:val="20"/>
          <w:color w:val="auto"/>
        </w:rPr>
        <w:tab/>
      </w:r>
      <w:r>
        <w:rPr>
          <w:rFonts w:ascii="Times New Roman" w:cs="Times New Roman" w:eastAsia="Times New Roman" w:hAnsi="Times New Roman"/>
          <w:sz w:val="18"/>
          <w:szCs w:val="18"/>
          <w:color w:val="auto"/>
        </w:rPr>
        <w:t>If any injury is suffered by a patient subject participating in a Study for GSK, GSK agrees to abide by the guidelines published by the Association of British Pharmaceutical Industry entitled “Clinical Trial Compensation Guidelines”.</w:t>
      </w:r>
    </w:p>
    <w:p>
      <w:pPr>
        <w:spacing w:after="0" w:line="78" w:lineRule="exact"/>
        <w:rPr>
          <w:sz w:val="20"/>
          <w:szCs w:val="20"/>
          <w:color w:val="auto"/>
        </w:rPr>
      </w:pPr>
    </w:p>
    <w:p>
      <w:pPr>
        <w:ind w:left="1052" w:right="180" w:hanging="629"/>
        <w:spacing w:after="0" w:line="267" w:lineRule="auto"/>
        <w:tabs>
          <w:tab w:leader="none" w:pos="1032" w:val="left"/>
        </w:tabs>
        <w:rPr>
          <w:sz w:val="20"/>
          <w:szCs w:val="20"/>
          <w:color w:val="auto"/>
        </w:rPr>
      </w:pPr>
      <w:r>
        <w:rPr>
          <w:rFonts w:ascii="Times New Roman" w:cs="Times New Roman" w:eastAsia="Times New Roman" w:hAnsi="Times New Roman"/>
          <w:sz w:val="18"/>
          <w:szCs w:val="18"/>
          <w:color w:val="auto"/>
        </w:rPr>
        <w:t>33.3</w:t>
      </w:r>
      <w:r>
        <w:rPr>
          <w:sz w:val="20"/>
          <w:szCs w:val="20"/>
          <w:color w:val="auto"/>
        </w:rPr>
        <w:tab/>
      </w:r>
      <w:r>
        <w:rPr>
          <w:rFonts w:ascii="Times New Roman" w:cs="Times New Roman" w:eastAsia="Times New Roman" w:hAnsi="Times New Roman"/>
          <w:sz w:val="18"/>
          <w:szCs w:val="18"/>
          <w:color w:val="auto"/>
        </w:rPr>
        <w:t>In countries where similar compensation is provided under Applicable Law, or there are other appropriate arrangements, Sections 33.1 and 33.2 above shall not apply and GSK shall comply with the relevant local requirements.</w:t>
      </w:r>
    </w:p>
    <w:p>
      <w:pPr>
        <w:spacing w:after="0" w:line="312" w:lineRule="exact"/>
        <w:rPr>
          <w:sz w:val="20"/>
          <w:szCs w:val="20"/>
          <w:color w:val="auto"/>
        </w:rPr>
      </w:pPr>
    </w:p>
    <w:p>
      <w:pPr>
        <w:ind w:left="412" w:hanging="412"/>
        <w:spacing w:after="0"/>
        <w:tabs>
          <w:tab w:leader="none" w:pos="412"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p>
    <w:p>
      <w:pPr>
        <w:spacing w:after="0" w:line="123" w:lineRule="exact"/>
        <w:rPr>
          <w:sz w:val="20"/>
          <w:szCs w:val="20"/>
          <w:color w:val="auto"/>
        </w:rPr>
      </w:pPr>
    </w:p>
    <w:p>
      <w:pPr>
        <w:ind w:left="412"/>
        <w:spacing w:after="0"/>
        <w:tabs>
          <w:tab w:leader="none" w:pos="1032" w:val="left"/>
        </w:tabs>
        <w:rPr>
          <w:sz w:val="20"/>
          <w:szCs w:val="20"/>
          <w:color w:val="auto"/>
        </w:rPr>
      </w:pPr>
      <w:r>
        <w:rPr>
          <w:rFonts w:ascii="Times New Roman" w:cs="Times New Roman" w:eastAsia="Times New Roman" w:hAnsi="Times New Roman"/>
          <w:sz w:val="18"/>
          <w:szCs w:val="18"/>
          <w:color w:val="auto"/>
        </w:rPr>
        <w:t>34.1</w:t>
      </w:r>
      <w:r>
        <w:rPr>
          <w:sz w:val="20"/>
          <w:szCs w:val="20"/>
          <w:color w:val="auto"/>
        </w:rPr>
        <w:tab/>
      </w:r>
      <w:r>
        <w:rPr>
          <w:rFonts w:ascii="Times New Roman" w:cs="Times New Roman" w:eastAsia="Times New Roman" w:hAnsi="Times New Roman"/>
          <w:sz w:val="16"/>
          <w:szCs w:val="16"/>
          <w:color w:val="auto"/>
        </w:rPr>
        <w:t>Notice given under or in connection with this Agreement shall be:</w:t>
      </w:r>
    </w:p>
    <w:p>
      <w:pPr>
        <w:spacing w:after="0" w:line="121" w:lineRule="exact"/>
        <w:rPr>
          <w:sz w:val="20"/>
          <w:szCs w:val="20"/>
          <w:color w:val="auto"/>
        </w:rPr>
      </w:pPr>
    </w:p>
    <w:p>
      <w:pPr>
        <w:ind w:left="412" w:hanging="412"/>
        <w:spacing w:after="0"/>
        <w:tabs>
          <w:tab w:leader="none" w:pos="412"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 and signed by or on behalf of the Party giving the notice;</w:t>
      </w:r>
    </w:p>
    <w:p>
      <w:pPr>
        <w:spacing w:after="0" w:line="121"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for the attention of the Person and to the address given in this Section 34 (as amended from time to time) and;</w:t>
      </w:r>
    </w:p>
    <w:p>
      <w:pPr>
        <w:spacing w:after="0" w:line="121"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by hand;</w:t>
      </w:r>
    </w:p>
    <w:p>
      <w:pPr>
        <w:spacing w:after="0" w:line="121"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by commercial courier; or</w:t>
      </w:r>
    </w:p>
    <w:p>
      <w:pPr>
        <w:spacing w:after="0" w:line="121" w:lineRule="exact"/>
        <w:rPr>
          <w:rFonts w:ascii="Times New Roman" w:cs="Times New Roman" w:eastAsia="Times New Roman" w:hAnsi="Times New Roman"/>
          <w:sz w:val="18"/>
          <w:szCs w:val="18"/>
          <w:color w:val="auto"/>
        </w:rPr>
      </w:pPr>
    </w:p>
    <w:p>
      <w:pPr>
        <w:ind w:left="412" w:right="60" w:hanging="412"/>
        <w:spacing w:after="0" w:line="249" w:lineRule="auto"/>
        <w:tabs>
          <w:tab w:leader="none" w:pos="412"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registered post or pre-paid first class recorded delivery post in the country in which the recipient’s address is located (or such other next working day postal delivery service in that country). Notices to Tempus shall be sent to Tempus Labs, Inc, Attn: Chief Operating Officer, 600 W Chicago Ave Ste. 510, Chicago, IL 60654, with a copy to its General Counsel at the same address. Notices to GSK shall be sent to GSK attention Rav Briscall, Gunnels Wood Road, Stevenage, Hertfordshire, SG1 2NY, United Kingdom, with a copy to VP and Head of Legal, Business Corporate and Development, 980 Great West Road, Brentford, TW8 9GS, UK.</w:t>
      </w:r>
    </w:p>
    <w:p>
      <w:pPr>
        <w:spacing w:after="0" w:line="94" w:lineRule="exact"/>
        <w:rPr>
          <w:rFonts w:ascii="Times New Roman" w:cs="Times New Roman" w:eastAsia="Times New Roman" w:hAnsi="Times New Roman"/>
          <w:sz w:val="18"/>
          <w:szCs w:val="18"/>
          <w:color w:val="auto"/>
        </w:rPr>
      </w:pPr>
    </w:p>
    <w:p>
      <w:pPr>
        <w:ind w:left="4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34.2</w:t>
      </w:r>
      <w:r>
        <w:rPr>
          <w:rFonts w:ascii="Times New Roman" w:cs="Times New Roman" w:eastAsia="Times New Roman" w:hAnsi="Times New Roman"/>
          <w:sz w:val="16"/>
          <w:szCs w:val="16"/>
          <w:color w:val="auto"/>
        </w:rPr>
        <w:t xml:space="preserve">Unless proved otherwise and subject to this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a notice is deemed to have been received:</w:t>
      </w:r>
    </w:p>
    <w:p>
      <w:pPr>
        <w:spacing w:after="0" w:line="121" w:lineRule="exact"/>
        <w:rPr>
          <w:sz w:val="20"/>
          <w:szCs w:val="20"/>
          <w:color w:val="auto"/>
        </w:rPr>
      </w:pPr>
    </w:p>
    <w:p>
      <w:pPr>
        <w:ind w:left="412" w:hanging="412"/>
        <w:spacing w:after="0"/>
        <w:tabs>
          <w:tab w:leader="none" w:pos="412"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hand, at the time of delivery;</w:t>
      </w:r>
    </w:p>
    <w:p>
      <w:pPr>
        <w:spacing w:after="0" w:line="121"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commercial courier, at the time of signature of the courier’s receipt; or</w:t>
      </w:r>
    </w:p>
    <w:p>
      <w:pPr>
        <w:spacing w:after="0" w:line="121" w:lineRule="exact"/>
        <w:rPr>
          <w:rFonts w:ascii="Times New Roman" w:cs="Times New Roman" w:eastAsia="Times New Roman" w:hAnsi="Times New Roman"/>
          <w:sz w:val="18"/>
          <w:szCs w:val="18"/>
          <w:color w:val="auto"/>
        </w:rPr>
      </w:pPr>
    </w:p>
    <w:p>
      <w:pPr>
        <w:ind w:left="412" w:hanging="412"/>
        <w:spacing w:after="0" w:line="267" w:lineRule="auto"/>
        <w:tabs>
          <w:tab w:leader="none" w:pos="412"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pre-paid first class recorded delivery post or other next working day delivery service, seventy-two (72) hours from the date of posting or at the time recorded by the delivery service.</w:t>
      </w:r>
    </w:p>
    <w:p>
      <w:pPr>
        <w:spacing w:after="0" w:line="77" w:lineRule="exact"/>
        <w:rPr>
          <w:rFonts w:ascii="Times New Roman" w:cs="Times New Roman" w:eastAsia="Times New Roman" w:hAnsi="Times New Roman"/>
          <w:sz w:val="18"/>
          <w:szCs w:val="18"/>
          <w:color w:val="auto"/>
        </w:rPr>
      </w:pPr>
    </w:p>
    <w:p>
      <w:pPr>
        <w:ind w:left="412" w:right="20" w:hanging="412"/>
        <w:spacing w:after="0" w:line="255" w:lineRule="auto"/>
        <w:tabs>
          <w:tab w:leader="none" w:pos="412"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deemed receipt under the previous paragraph of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is not within business hours in the place of deemed receipt (meaning 9.00 am to 5.30 pm local time in the place of receipt Monday to Friday on a day that is a Business Day), the notice will be deemed received at the start of business hours on the next Business Day in the place of receipt.</w:t>
      </w:r>
    </w:p>
    <w:p>
      <w:pPr>
        <w:spacing w:after="0" w:line="88" w:lineRule="exact"/>
        <w:rPr>
          <w:rFonts w:ascii="Times New Roman" w:cs="Times New Roman" w:eastAsia="Times New Roman" w:hAnsi="Times New Roman"/>
          <w:sz w:val="18"/>
          <w:szCs w:val="18"/>
          <w:color w:val="auto"/>
        </w:rPr>
      </w:pPr>
    </w:p>
    <w:p>
      <w:pPr>
        <w:ind w:left="1052" w:right="160" w:hanging="63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34.3A Party may change its address details for receipt of notices by notice to the other Party. Such change shall take effect on one Business Day after that notice is deemed received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652"/>
          </w:cols>
          <w:pgMar w:left="588" w:top="265" w:right="659" w:bottom="1440" w:gutter="0" w:footer="0" w:header="0"/>
        </w:sectPr>
      </w:pPr>
    </w:p>
    <w:bookmarkStart w:id="677" w:name="page678"/>
    <w:bookmarkEnd w:id="677"/>
    <w:p>
      <w:pPr>
        <w:ind w:left="1060" w:right="20" w:hanging="629"/>
        <w:spacing w:after="0" w:line="267" w:lineRule="auto"/>
        <w:tabs>
          <w:tab w:leader="none" w:pos="10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34.4</w:t>
      </w:r>
      <w:r>
        <w:rPr>
          <w:sz w:val="20"/>
          <w:szCs w:val="20"/>
          <w:color w:val="auto"/>
        </w:rPr>
        <w:tab/>
      </w:r>
      <w:r>
        <w:rPr>
          <w:rFonts w:ascii="Times New Roman" w:cs="Times New Roman" w:eastAsia="Times New Roman" w:hAnsi="Times New Roman"/>
          <w:sz w:val="18"/>
          <w:szCs w:val="18"/>
          <w:color w:val="auto"/>
        </w:rPr>
        <w:t>A notice given under this Agreement is not valid if sent by fax or by e-mail. However, this is not intended to prohibit the use of e-mail for day to day operational communications between the Parties or their Affiliates.</w:t>
      </w:r>
    </w:p>
    <w:p>
      <w:pPr>
        <w:spacing w:after="0" w:line="312"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color w:val="auto"/>
        </w:rPr>
        <w:t>34.5</w:t>
      </w:r>
      <w:r>
        <w:rPr>
          <w:sz w:val="20"/>
          <w:szCs w:val="20"/>
          <w:color w:val="auto"/>
        </w:rPr>
        <w:tab/>
      </w:r>
      <w:r>
        <w:rPr>
          <w:rFonts w:ascii="Times New Roman" w:cs="Times New Roman" w:eastAsia="Times New Roman" w:hAnsi="Times New Roman"/>
          <w:sz w:val="16"/>
          <w:szCs w:val="16"/>
          <w:b w:val="1"/>
          <w:bCs w:val="1"/>
          <w:color w:val="auto"/>
        </w:rPr>
        <w:t>Exceptions</w:t>
      </w:r>
    </w:p>
    <w:p>
      <w:pPr>
        <w:spacing w:after="0" w:line="110" w:lineRule="exact"/>
        <w:rPr>
          <w:sz w:val="20"/>
          <w:szCs w:val="20"/>
          <w:color w:val="auto"/>
        </w:rPr>
      </w:pPr>
    </w:p>
    <w:p>
      <w:pPr>
        <w:ind w:left="440" w:right="300"/>
        <w:spacing w:after="0" w:line="267" w:lineRule="auto"/>
        <w:rPr>
          <w:sz w:val="20"/>
          <w:szCs w:val="20"/>
          <w:color w:val="auto"/>
        </w:rPr>
      </w:pPr>
      <w:r>
        <w:rPr>
          <w:rFonts w:ascii="Times New Roman" w:cs="Times New Roman" w:eastAsia="Times New Roman" w:hAnsi="Times New Roman"/>
          <w:sz w:val="18"/>
          <w:szCs w:val="18"/>
          <w:color w:val="auto"/>
        </w:rPr>
        <w:t xml:space="preserve">For clarity, the preceding provisions of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do not apply to the service of any proceedings or other documents in any legal action or where, applicable, any arbitration or other method of dispute resolution.</w:t>
      </w:r>
    </w:p>
    <w:p>
      <w:pPr>
        <w:spacing w:after="0" w:line="312" w:lineRule="exact"/>
        <w:rPr>
          <w:sz w:val="20"/>
          <w:szCs w:val="20"/>
          <w:color w:val="auto"/>
        </w:rPr>
      </w:pPr>
    </w:p>
    <w:p>
      <w:pPr>
        <w:ind w:left="420" w:hanging="412"/>
        <w:spacing w:after="0"/>
        <w:tabs>
          <w:tab w:leader="none" w:pos="420"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p>
    <w:p>
      <w:pPr>
        <w:spacing w:after="0" w:line="110" w:lineRule="exact"/>
        <w:rPr>
          <w:rFonts w:ascii="Times New Roman" w:cs="Times New Roman" w:eastAsia="Times New Roman" w:hAnsi="Times New Roman"/>
          <w:sz w:val="18"/>
          <w:szCs w:val="18"/>
          <w:color w:val="auto"/>
        </w:rPr>
      </w:pPr>
    </w:p>
    <w:p>
      <w:pPr>
        <w:ind w:left="4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provision(s) of this Agreement should be illegal or unenforceable in any respect, the legality and enforceability of the remaining provisions contained in it shall not be affected and the Parties shall make a good faith effort to replace any invalid or unenforceable provision with a valid and enforceable one such that the objectives contemplated by the Parties when entering this Agreement may be maintained.</w:t>
      </w:r>
    </w:p>
    <w:p>
      <w:pPr>
        <w:spacing w:after="0" w:line="322"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w:t>
      </w:r>
    </w:p>
    <w:p>
      <w:pPr>
        <w:spacing w:after="0" w:line="110" w:lineRule="exact"/>
        <w:rPr>
          <w:rFonts w:ascii="Times New Roman" w:cs="Times New Roman" w:eastAsia="Times New Roman" w:hAnsi="Times New Roman"/>
          <w:sz w:val="18"/>
          <w:szCs w:val="18"/>
          <w:color w:val="auto"/>
        </w:rPr>
      </w:pPr>
    </w:p>
    <w:p>
      <w:pPr>
        <w:ind w:left="440" w:right="140"/>
        <w:spacing w:after="0" w:line="2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Any delay in enforcing a Party’s rights shall not be construed as a waiver. Any waiver of any right in connection with this Agreement is only effective if it is in writing, refers expressly to the right waived and is signed by the waiving Party. It applies only in the circumstance for which it is given. If a Party waives any right on one occasion it shall not mean that such rights are waived throughout the term of this Agreement. The waiver of any breach of this Agreement or any Task Order shall not mean that there shall be a waiver of any subsequent breach.</w:t>
      </w:r>
    </w:p>
    <w:p>
      <w:pPr>
        <w:spacing w:after="0" w:line="294"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and Variation</w:t>
      </w:r>
    </w:p>
    <w:p>
      <w:pPr>
        <w:spacing w:after="0" w:line="110" w:lineRule="exact"/>
        <w:rPr>
          <w:rFonts w:ascii="Times New Roman" w:cs="Times New Roman" w:eastAsia="Times New Roman" w:hAnsi="Times New Roman"/>
          <w:sz w:val="18"/>
          <w:szCs w:val="18"/>
          <w:color w:val="auto"/>
        </w:rPr>
      </w:pPr>
    </w:p>
    <w:p>
      <w:pPr>
        <w:ind w:left="440" w:right="30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or variation of this Agreement or any Task Order shall be in writing and signed by each Party’s authorised representatives. The JSC will not have authority to amend this Agreement.</w:t>
      </w:r>
    </w:p>
    <w:p>
      <w:pPr>
        <w:spacing w:after="0" w:line="312"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Force Majeure</w:t>
      </w:r>
    </w:p>
    <w:p>
      <w:pPr>
        <w:spacing w:after="0" w:line="110" w:lineRule="exact"/>
        <w:rPr>
          <w:rFonts w:ascii="Times New Roman" w:cs="Times New Roman" w:eastAsia="Times New Roman" w:hAnsi="Times New Roman"/>
          <w:sz w:val="18"/>
          <w:szCs w:val="18"/>
          <w:color w:val="auto"/>
        </w:rPr>
      </w:pPr>
    </w:p>
    <w:p>
      <w:pPr>
        <w:ind w:left="440" w:right="1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party is delayed in performing an obligation under this Agreement by strike, lockout, or other labour troubles of a third party; by restrictive governmental or judicial order not directly related to this Agreement; or by riots, insurrections, war, epidemics, pandemics, inclement weather, or Acts of god; performance is excused for a period of such delay. The delayed party shall promptly notify the other in writing of the delaying event and any actions taken to mitigate it effects, where practicable.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720"/>
          </w:cols>
          <w:pgMar w:left="580" w:top="266" w:right="599" w:bottom="1440" w:gutter="0" w:footer="0" w:header="0"/>
        </w:sectPr>
      </w:pPr>
    </w:p>
    <w:bookmarkStart w:id="678" w:name="page679"/>
    <w:bookmarkEnd w:id="678"/>
    <w:p>
      <w:pPr>
        <w:ind w:left="412" w:hanging="412"/>
        <w:spacing w:after="0"/>
        <w:tabs>
          <w:tab w:leader="none" w:pos="412"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Assignment</w:t>
      </w:r>
    </w:p>
    <w:p>
      <w:pPr>
        <w:spacing w:after="0" w:line="110" w:lineRule="exact"/>
        <w:rPr>
          <w:rFonts w:ascii="Times New Roman" w:cs="Times New Roman" w:eastAsia="Times New Roman" w:hAnsi="Times New Roman"/>
          <w:sz w:val="18"/>
          <w:szCs w:val="18"/>
          <w:color w:val="auto"/>
        </w:rPr>
      </w:pPr>
    </w:p>
    <w:p>
      <w:pPr>
        <w:ind w:left="432"/>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GSK may assign its rights and duties under this Agreement without Tempus’s consent. Any assignment of the performance of any obligations under this Agreement by Tempus is valid only upon the prior written consent of GSK; provided, however, either Party may assign this Agreement in its entirety, without the other Party’s consent to its Affiliate or in connection with a merger, acquisition, corporate reorganization, or sale of all or substantially all of its assets, in which case Tempus shall provide GSK with prior written notice of the assignment. No assignment, delegation or transfer will relieve either party of the performance of any accrued obligation that such party may then have under this Agreement. Any attempted assignment or delegation in violation of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shall be void and of no effect. To the extent permitted above, this Agreement all validly assigned and delegated rights and obligations of either Party hereunder shall be binding upon and inure to the benefit of the parties and be enforceable by and against the successors and their permitted successors and assigns. In the event Tempus seeks and obtains GSK’s consent to assign or delegate its rights or obligations to a Third Party, the assignee or transferee shall assume all obligations of its assignor or transferor under this Agreement.</w:t>
      </w:r>
    </w:p>
    <w:p>
      <w:pPr>
        <w:spacing w:after="0" w:line="331"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Relationship of the Parties</w:t>
      </w:r>
    </w:p>
    <w:p>
      <w:pPr>
        <w:spacing w:after="0" w:line="110" w:lineRule="exact"/>
        <w:rPr>
          <w:rFonts w:ascii="Times New Roman" w:cs="Times New Roman" w:eastAsia="Times New Roman" w:hAnsi="Times New Roman"/>
          <w:sz w:val="18"/>
          <w:szCs w:val="18"/>
          <w:color w:val="auto"/>
        </w:rPr>
      </w:pPr>
    </w:p>
    <w:p>
      <w:pPr>
        <w:ind w:left="432"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is an independent contractor, and neither is the agent of the other. Neither Party is authorised to make any statements, bind or commit the other Party in any way whatsoever. Save where expressly stated in this Agreement, neither Party is authorised to incur any expenditure or cost for the other Party or any of its Affiliates without the written consent of that other Party.</w:t>
      </w:r>
    </w:p>
    <w:p>
      <w:pPr>
        <w:spacing w:after="0" w:line="322"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of Third Parties</w:t>
      </w:r>
    </w:p>
    <w:p>
      <w:pPr>
        <w:spacing w:after="0" w:line="110" w:lineRule="exact"/>
        <w:rPr>
          <w:rFonts w:ascii="Times New Roman" w:cs="Times New Roman" w:eastAsia="Times New Roman" w:hAnsi="Times New Roman"/>
          <w:sz w:val="18"/>
          <w:szCs w:val="18"/>
          <w:color w:val="auto"/>
        </w:rPr>
      </w:pPr>
    </w:p>
    <w:p>
      <w:pPr>
        <w:ind w:left="432" w:right="2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GSK’s Affiliates, a Person who is not a Party to this Agreement has no right to enforce any of its terms. GSK’s Affiliates shall have the right to enforce any obligations under this Agreement, but their consent shall not be required to make any amendment or termination of this Agreement.</w:t>
      </w:r>
    </w:p>
    <w:p>
      <w:pPr>
        <w:spacing w:after="0" w:line="322"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Further Assurances</w:t>
      </w:r>
    </w:p>
    <w:p>
      <w:pPr>
        <w:spacing w:after="0" w:line="110" w:lineRule="exact"/>
        <w:rPr>
          <w:rFonts w:ascii="Times New Roman" w:cs="Times New Roman" w:eastAsia="Times New Roman" w:hAnsi="Times New Roman"/>
          <w:sz w:val="18"/>
          <w:szCs w:val="18"/>
          <w:color w:val="auto"/>
        </w:rPr>
      </w:pPr>
    </w:p>
    <w:p>
      <w:pPr>
        <w:ind w:left="432" w:right="20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and shall ensure that their agents, employees and approved sub-contractors shall, do all things reasonably necessary, including executing any additional documents and instruments, to give full effect to the terms and conditions of this Agreement.</w:t>
      </w:r>
    </w:p>
    <w:p>
      <w:pPr>
        <w:spacing w:after="0" w:line="1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692"/>
          </w:cols>
          <w:pgMar w:left="588" w:top="264" w:right="619" w:bottom="1440" w:gutter="0" w:footer="0" w:header="0"/>
        </w:sectPr>
      </w:pPr>
    </w:p>
    <w:bookmarkStart w:id="679" w:name="page680"/>
    <w:bookmarkEnd w:id="679"/>
    <w:p>
      <w:pPr>
        <w:ind w:left="412" w:hanging="412"/>
        <w:spacing w:after="0"/>
        <w:tabs>
          <w:tab w:leader="none" w:pos="412"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78040" cy="36830"/>
                    </a:xfrm>
                    <a:prstGeom prst="rect">
                      <a:avLst/>
                    </a:prstGeom>
                    <a:noFill/>
                  </pic:spPr>
                </pic:pic>
              </a:graphicData>
            </a:graphic>
          </wp:anchor>
        </w:drawing>
        <w:t>Survival</w:t>
      </w:r>
    </w:p>
    <w:p>
      <w:pPr>
        <w:spacing w:after="0" w:line="123" w:lineRule="exact"/>
        <w:rPr>
          <w:rFonts w:ascii="Times New Roman" w:cs="Times New Roman" w:eastAsia="Times New Roman" w:hAnsi="Times New Roman"/>
          <w:sz w:val="18"/>
          <w:szCs w:val="18"/>
          <w:color w:val="auto"/>
        </w:rPr>
      </w:pPr>
    </w:p>
    <w:p>
      <w:pPr>
        <w:ind w:left="1052" w:right="20" w:hanging="63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43.1The expiry or termination of this Agreement shall not release either Party from any liability or right of action which at the time of expiry or termination has already accrued to such Party or which may thereafter accrue in respect of any act or omission prior to such expiry or termination. Such rights shall include recovery of any monies due under this Agreement.</w:t>
      </w:r>
    </w:p>
    <w:p>
      <w:pPr>
        <w:spacing w:after="0" w:line="88" w:lineRule="exact"/>
        <w:rPr>
          <w:rFonts w:ascii="Times New Roman" w:cs="Times New Roman" w:eastAsia="Times New Roman" w:hAnsi="Times New Roman"/>
          <w:sz w:val="18"/>
          <w:szCs w:val="18"/>
          <w:color w:val="auto"/>
        </w:rPr>
      </w:pPr>
    </w:p>
    <w:p>
      <w:pPr>
        <w:ind w:left="1052" w:hanging="63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43.2The expiry or termination of this Agreement shall not affect the coming into force or continuation in force of any provision hereof which is expressly or by implication intended to come into force or continue in force on or after such expiry or termination.</w:t>
      </w:r>
    </w:p>
    <w:p>
      <w:pPr>
        <w:spacing w:after="0" w:line="77" w:lineRule="exact"/>
        <w:rPr>
          <w:rFonts w:ascii="Times New Roman" w:cs="Times New Roman" w:eastAsia="Times New Roman" w:hAnsi="Times New Roman"/>
          <w:sz w:val="18"/>
          <w:szCs w:val="18"/>
          <w:color w:val="auto"/>
        </w:rPr>
      </w:pPr>
    </w:p>
    <w:p>
      <w:pPr>
        <w:ind w:left="1052" w:right="160" w:hanging="630"/>
        <w:spacing w:after="0" w:line="28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43.3</w:t>
      </w:r>
      <w:r>
        <w:rPr>
          <w:rFonts w:ascii="Times New Roman" w:cs="Times New Roman" w:eastAsia="Times New Roman" w:hAnsi="Times New Roman"/>
          <w:sz w:val="16"/>
          <w:szCs w:val="16"/>
          <w:color w:val="auto"/>
        </w:rPr>
        <w:t>Without prejudice to the generality of paragraph 43.2 above, Sections 1 (Definitions), 2 (Interpretation), 12 (Effect of Termination), 13 (Audit and Recordkeeping), 15 (Confidentiality), 17 (Intellectual Property), 22 (Materials and equipment), 25 (Indemnities), 26 (Insurance), 27 (Damages), 35 (Severability), 36 (Waivers), 37 (Amendment and Variation), 39 (Assignment), 41 (Rights of Third Parties), 43 (Survival), 44 (Entire Agreement), 46 (Languages), 48 (Dispute resolution) and 49 (Governing Law and Jurisdiction) shall survive the expiry or termination of this Agreement for such periods as are set forth in the respective Section.</w:t>
      </w:r>
    </w:p>
    <w:p>
      <w:pPr>
        <w:spacing w:after="0" w:line="298"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p>
    <w:p>
      <w:pPr>
        <w:spacing w:after="0" w:line="110" w:lineRule="exact"/>
        <w:rPr>
          <w:rFonts w:ascii="Times New Roman" w:cs="Times New Roman" w:eastAsia="Times New Roman" w:hAnsi="Times New Roman"/>
          <w:sz w:val="18"/>
          <w:szCs w:val="18"/>
          <w:color w:val="auto"/>
        </w:rPr>
      </w:pPr>
    </w:p>
    <w:p>
      <w:pPr>
        <w:ind w:left="432" w:right="1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including its Schedules contains the full and complete understanding of the Parties with respect to the subject matter of this Agreement and supersedes all prior representations and understandings, whether oral or written. No course of dealing or usage of trade shall be used to modify the terms of this Agreement. Notwithstanding the foregoing, except as expressly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nothing herein shall supersede or replace any Additional Agreement.</w:t>
      </w:r>
    </w:p>
    <w:p>
      <w:pPr>
        <w:spacing w:after="0" w:line="326"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Agency/Partnership</w:t>
      </w:r>
    </w:p>
    <w:p>
      <w:pPr>
        <w:spacing w:after="0" w:line="110" w:lineRule="exact"/>
        <w:rPr>
          <w:rFonts w:ascii="Times New Roman" w:cs="Times New Roman" w:eastAsia="Times New Roman" w:hAnsi="Times New Roman"/>
          <w:sz w:val="18"/>
          <w:szCs w:val="18"/>
          <w:color w:val="auto"/>
        </w:rPr>
      </w:pPr>
    </w:p>
    <w:p>
      <w:pPr>
        <w:ind w:left="432" w:right="60"/>
        <w:spacing w:after="0" w:line="3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Nothing in this Agreement creates, implies or evidences any partnership or joint venture between the Parties, or the relationship between them of principal and agent. Neither Party has any authority to make any representation or commitment, or to incur any liability, on behalf of the other.</w:t>
      </w:r>
    </w:p>
    <w:p>
      <w:pPr>
        <w:spacing w:after="0" w:line="265"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Languages</w:t>
      </w:r>
    </w:p>
    <w:p>
      <w:pPr>
        <w:spacing w:after="0" w:line="110" w:lineRule="exact"/>
        <w:rPr>
          <w:rFonts w:ascii="Times New Roman" w:cs="Times New Roman" w:eastAsia="Times New Roman" w:hAnsi="Times New Roman"/>
          <w:sz w:val="18"/>
          <w:szCs w:val="18"/>
          <w:color w:val="auto"/>
        </w:rPr>
      </w:pPr>
    </w:p>
    <w:p>
      <w:pPr>
        <w:ind w:left="4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under or in connection with this Agreement and any Task Order must be in English.</w:t>
      </w:r>
    </w:p>
    <w:p>
      <w:pPr>
        <w:spacing w:after="0" w:line="147"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632"/>
          </w:cols>
          <w:pgMar w:left="588" w:top="263" w:right="679" w:bottom="1440" w:gutter="0" w:footer="0" w:header="0"/>
        </w:sectPr>
      </w:pPr>
    </w:p>
    <w:bookmarkStart w:id="680" w:name="page681"/>
    <w:bookmarkEnd w:id="680"/>
    <w:p>
      <w:pPr>
        <w:ind w:left="420" w:hanging="412"/>
        <w:spacing w:after="0"/>
        <w:tabs>
          <w:tab w:leader="none" w:pos="420"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Counterparts</w:t>
      </w:r>
    </w:p>
    <w:p>
      <w:pPr>
        <w:spacing w:after="0" w:line="123" w:lineRule="exact"/>
        <w:rPr>
          <w:rFonts w:ascii="Times New Roman" w:cs="Times New Roman" w:eastAsia="Times New Roman" w:hAnsi="Times New Roman"/>
          <w:sz w:val="18"/>
          <w:szCs w:val="18"/>
          <w:color w:val="auto"/>
        </w:rPr>
      </w:pPr>
    </w:p>
    <w:p>
      <w:pPr>
        <w:ind w:left="1060" w:right="200" w:hanging="63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47.1This Agreement may be entered into in the form of two or more counterparts each executed by at least one or more of the Parties. Each counterpart will be an original of this Agreement and all counterparts taken together will constitute one instrument.</w:t>
      </w:r>
    </w:p>
    <w:p>
      <w:pPr>
        <w:spacing w:after="0" w:line="7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47.2</w:t>
      </w:r>
      <w:r>
        <w:rPr>
          <w:rFonts w:ascii="Times New Roman" w:cs="Times New Roman" w:eastAsia="Times New Roman" w:hAnsi="Times New Roman"/>
          <w:sz w:val="16"/>
          <w:szCs w:val="16"/>
          <w:color w:val="auto"/>
        </w:rPr>
        <w:t>This Agreement shall become effective only after each party has executed and delivered its counterpart to the other Party.</w:t>
      </w:r>
    </w:p>
    <w:p>
      <w:pPr>
        <w:spacing w:after="0" w:line="121" w:lineRule="exact"/>
        <w:rPr>
          <w:rFonts w:ascii="Times New Roman" w:cs="Times New Roman" w:eastAsia="Times New Roman" w:hAnsi="Times New Roman"/>
          <w:sz w:val="18"/>
          <w:szCs w:val="18"/>
          <w:color w:val="auto"/>
        </w:rPr>
      </w:pPr>
    </w:p>
    <w:p>
      <w:pPr>
        <w:ind w:left="1060" w:right="60" w:hanging="63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47.3An executed counterpart of this Agreement (the entire Agreement, not just a signature page) may be delivered by e-mail (in PDF or other agreed format).</w:t>
      </w:r>
    </w:p>
    <w:p>
      <w:pPr>
        <w:spacing w:after="0" w:line="312"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Dispute Resolution</w:t>
      </w:r>
    </w:p>
    <w:p>
      <w:pPr>
        <w:spacing w:after="0" w:line="121" w:lineRule="exact"/>
        <w:rPr>
          <w:rFonts w:ascii="Times New Roman" w:cs="Times New Roman" w:eastAsia="Times New Roman" w:hAnsi="Times New Roman"/>
          <w:sz w:val="18"/>
          <w:szCs w:val="18"/>
          <w:color w:val="auto"/>
        </w:rPr>
      </w:pPr>
    </w:p>
    <w:p>
      <w:pPr>
        <w:ind w:left="1060" w:right="420" w:hanging="63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48.1Any dispute arising out of or relating to this Agreement, including the breach, termination or validity thereof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shall be resolved pursuant to the following provisions:</w:t>
      </w:r>
    </w:p>
    <w:p>
      <w:pPr>
        <w:spacing w:after="0" w:line="73" w:lineRule="exact"/>
        <w:rPr>
          <w:sz w:val="20"/>
          <w:szCs w:val="20"/>
          <w:color w:val="auto"/>
        </w:rPr>
      </w:pPr>
    </w:p>
    <w:p>
      <w:pPr>
        <w:ind w:left="420" w:right="60" w:hanging="412"/>
        <w:spacing w:after="0" w:line="256" w:lineRule="auto"/>
        <w:tabs>
          <w:tab w:leader="none" w:pos="42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Escalation </w:t>
      </w:r>
      <w:r>
        <w:rPr>
          <w:rFonts w:ascii="Times New Roman" w:cs="Times New Roman" w:eastAsia="Times New Roman" w:hAnsi="Times New Roman"/>
          <w:sz w:val="18"/>
          <w:szCs w:val="18"/>
          <w:color w:val="auto"/>
        </w:rPr>
        <w:t>- In the event of a Dispute which cannot be resolved by respective Personnel assigned to the subject matter, such Dispute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submitted in writing for negotiation to the Parties’ Executive Officers (consisting of [***]), or duly authorized delegate, for good faith discussions which shall take place within [***] of written notice.</w:t>
      </w:r>
    </w:p>
    <w:p>
      <w:pPr>
        <w:spacing w:after="0" w:line="85" w:lineRule="exact"/>
        <w:rPr>
          <w:rFonts w:ascii="Times New Roman" w:cs="Times New Roman" w:eastAsia="Times New Roman" w:hAnsi="Times New Roman"/>
          <w:sz w:val="18"/>
          <w:szCs w:val="18"/>
          <w:color w:val="auto"/>
        </w:rPr>
      </w:pPr>
    </w:p>
    <w:p>
      <w:pPr>
        <w:ind w:left="420" w:hanging="412"/>
        <w:spacing w:after="0" w:line="248" w:lineRule="auto"/>
        <w:tabs>
          <w:tab w:leader="none" w:pos="42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Mediation </w:t>
      </w:r>
      <w:r>
        <w:rPr>
          <w:rFonts w:ascii="Times New Roman" w:cs="Times New Roman" w:eastAsia="Times New Roman" w:hAnsi="Times New Roman"/>
          <w:sz w:val="18"/>
          <w:szCs w:val="18"/>
          <w:color w:val="auto"/>
        </w:rPr>
        <w:t>- Either Party may refer the Dispute to non-binding mediation in the event that the Executive Officers have not resolved a Dispute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referred to them for resolution within [***]. The Parties agree that they shall attempt in good faith to resolve the Dispute under the fast track mediation rules of procedure of the International Institute for Conflict Prevention &amp; Resolution (“</w:t>
      </w:r>
      <w:r>
        <w:rPr>
          <w:rFonts w:ascii="Times New Roman" w:cs="Times New Roman" w:eastAsia="Times New Roman" w:hAnsi="Times New Roman"/>
          <w:sz w:val="18"/>
          <w:szCs w:val="18"/>
          <w:b w:val="1"/>
          <w:bCs w:val="1"/>
          <w:color w:val="auto"/>
        </w:rPr>
        <w:t>CPR</w:t>
      </w:r>
      <w:r>
        <w:rPr>
          <w:rFonts w:ascii="Times New Roman" w:cs="Times New Roman" w:eastAsia="Times New Roman" w:hAnsi="Times New Roman"/>
          <w:sz w:val="18"/>
          <w:szCs w:val="18"/>
          <w:color w:val="auto"/>
        </w:rPr>
        <w:t>”) in effect as of the date the mediation is initiated. Unless otherwise agreed, the Parties shall select a mediator from the CPR Panels of Distinguished Neutrals. If the Parties cannot agree on the selection within [***] after the matter has been referred to mediation, they will defer to the CPR to select a mediator pursuant to the CPR rules. The cost of the mediator shall be borne equally by the Parties.</w:t>
      </w:r>
    </w:p>
    <w:p>
      <w:pPr>
        <w:spacing w:after="0" w:line="95" w:lineRule="exact"/>
        <w:rPr>
          <w:rFonts w:ascii="Times New Roman" w:cs="Times New Roman" w:eastAsia="Times New Roman" w:hAnsi="Times New Roman"/>
          <w:sz w:val="18"/>
          <w:szCs w:val="18"/>
          <w:color w:val="auto"/>
        </w:rPr>
      </w:pPr>
    </w:p>
    <w:p>
      <w:pPr>
        <w:ind w:left="420" w:right="120" w:hanging="412"/>
        <w:spacing w:after="0" w:line="252" w:lineRule="auto"/>
        <w:tabs>
          <w:tab w:leader="none" w:pos="42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Arbitration </w:t>
      </w:r>
      <w:r>
        <w:rPr>
          <w:rFonts w:ascii="Times New Roman" w:cs="Times New Roman" w:eastAsia="Times New Roman" w:hAnsi="Times New Roman"/>
          <w:sz w:val="18"/>
          <w:szCs w:val="18"/>
          <w:color w:val="auto"/>
        </w:rPr>
        <w:t>- Any Dispute not resolved within [***] (or within such other time period as may be agreed by the Parties in writing)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appointment of the mediator, shall be finally resolved by arbitration pursuant to the International Arbitration Rules of the International Centre for Dispute Resolution or other acceptable rules (see appendix) provided that to the extent that the following provision of this Section conflicts with the said International Arbitration Rules the following provisions shall prevail:</w:t>
      </w:r>
    </w:p>
    <w:p>
      <w:pPr>
        <w:spacing w:after="0" w:line="91" w:lineRule="exact"/>
        <w:rPr>
          <w:rFonts w:ascii="Times New Roman" w:cs="Times New Roman" w:eastAsia="Times New Roman" w:hAnsi="Times New Roman"/>
          <w:sz w:val="18"/>
          <w:szCs w:val="18"/>
          <w:color w:val="auto"/>
        </w:rPr>
      </w:pPr>
    </w:p>
    <w:p>
      <w:pPr>
        <w:ind w:left="1060" w:right="420" w:hanging="632"/>
        <w:spacing w:after="0" w:line="331" w:lineRule="auto"/>
        <w:tabs>
          <w:tab w:leader="none" w:pos="1060" w:val="left"/>
        </w:tabs>
        <w:numPr>
          <w:ilvl w:val="1"/>
          <w:numId w:val="6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arbitration shall be conducted by a sole arbitrator. If the Parties cannot agree on an arbitrator within [***] of a Party demanding arbitration, the arbitrator shall be selected according to the applicable rules. In the event that the aggregate damages sought and/or</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720"/>
          </w:cols>
          <w:pgMar w:left="580" w:top="263" w:right="599" w:bottom="1440" w:gutter="0" w:footer="0" w:header="0"/>
        </w:sectPr>
      </w:pPr>
    </w:p>
    <w:bookmarkStart w:id="681" w:name="page682"/>
    <w:bookmarkEnd w:id="681"/>
    <w:p>
      <w:pPr>
        <w:ind w:left="1072"/>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value of Dispute exceeds $10 million, the number of arbitrators shall be (3) three. In such case, within [***] after a Party demands arbitration, each Party shall select one person to act as arbitrator, and the two Party-selected arbitrators shall select a third arbitrator within [***] after their own appointment. If the arbitrators selected by the Parties are unable or fail to agree upon the third arbitrator, then the third arbitrator shall be appointed by the International Centre for Dispute Resolution.</w:t>
      </w:r>
    </w:p>
    <w:p>
      <w:pPr>
        <w:spacing w:after="0" w:line="92" w:lineRule="exact"/>
        <w:rPr>
          <w:sz w:val="20"/>
          <w:szCs w:val="20"/>
          <w:color w:val="auto"/>
        </w:rPr>
      </w:pPr>
    </w:p>
    <w:p>
      <w:pPr>
        <w:ind w:left="1052" w:hanging="632"/>
        <w:spacing w:after="0"/>
        <w:tabs>
          <w:tab w:leader="none" w:pos="1052"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seat of the arbitration shall be in Wilmington, Delaware:</w:t>
      </w:r>
    </w:p>
    <w:p>
      <w:pPr>
        <w:spacing w:after="0" w:line="121" w:lineRule="exact"/>
        <w:rPr>
          <w:rFonts w:ascii="Times New Roman" w:cs="Times New Roman" w:eastAsia="Times New Roman" w:hAnsi="Times New Roman"/>
          <w:sz w:val="18"/>
          <w:szCs w:val="18"/>
          <w:color w:val="auto"/>
        </w:rPr>
      </w:pPr>
    </w:p>
    <w:p>
      <w:pPr>
        <w:ind w:left="1052" w:hanging="632"/>
        <w:spacing w:after="0"/>
        <w:tabs>
          <w:tab w:leader="none" w:pos="1052"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language of the arbitration shall be English;</w:t>
      </w:r>
    </w:p>
    <w:p>
      <w:pPr>
        <w:spacing w:after="0" w:line="121" w:lineRule="exact"/>
        <w:rPr>
          <w:rFonts w:ascii="Times New Roman" w:cs="Times New Roman" w:eastAsia="Times New Roman" w:hAnsi="Times New Roman"/>
          <w:sz w:val="18"/>
          <w:szCs w:val="18"/>
          <w:color w:val="auto"/>
        </w:rPr>
      </w:pPr>
    </w:p>
    <w:p>
      <w:pPr>
        <w:ind w:left="1052" w:right="260" w:hanging="632"/>
        <w:spacing w:after="0" w:line="267" w:lineRule="auto"/>
        <w:tabs>
          <w:tab w:leader="none" w:pos="1052"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arbitrator’s decision shall be in writing and shall state his reasons for his decision. The decision of the arbitrator shall be final and binding on both parties. The costs of the arbitration will be in the discretion of the arbitrator.</w:t>
      </w:r>
    </w:p>
    <w:p>
      <w:pPr>
        <w:spacing w:after="0" w:line="77" w:lineRule="exact"/>
        <w:rPr>
          <w:rFonts w:ascii="Times New Roman" w:cs="Times New Roman" w:eastAsia="Times New Roman" w:hAnsi="Times New Roman"/>
          <w:sz w:val="18"/>
          <w:szCs w:val="18"/>
          <w:color w:val="auto"/>
        </w:rPr>
      </w:pPr>
    </w:p>
    <w:p>
      <w:pPr>
        <w:ind w:left="1052" w:right="80" w:hanging="632"/>
        <w:spacing w:after="0" w:line="255" w:lineRule="auto"/>
        <w:tabs>
          <w:tab w:leader="none" w:pos="1052"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and proceedings in any arbitration pursuant to this Section shall be confidential and all hearings shall be held in private, save to the extent necessary to enforce any award or to comply with any requirement of any lawful authorities. No public statement shall be made with regard to any arbitral proceedings save to the extent agreed between the Parties.</w:t>
      </w:r>
    </w:p>
    <w:p>
      <w:pPr>
        <w:spacing w:after="0" w:line="89" w:lineRule="exact"/>
        <w:rPr>
          <w:sz w:val="20"/>
          <w:szCs w:val="20"/>
          <w:color w:val="auto"/>
        </w:rPr>
      </w:pPr>
    </w:p>
    <w:p>
      <w:pPr>
        <w:jc w:val="both"/>
        <w:ind w:left="1052" w:right="200" w:hanging="629"/>
        <w:spacing w:after="0" w:line="251" w:lineRule="auto"/>
        <w:tabs>
          <w:tab w:leader="none" w:pos="1032" w:val="left"/>
        </w:tabs>
        <w:rPr>
          <w:sz w:val="20"/>
          <w:szCs w:val="20"/>
          <w:color w:val="auto"/>
        </w:rPr>
      </w:pPr>
      <w:r>
        <w:rPr>
          <w:rFonts w:ascii="Times New Roman" w:cs="Times New Roman" w:eastAsia="Times New Roman" w:hAnsi="Times New Roman"/>
          <w:sz w:val="18"/>
          <w:szCs w:val="18"/>
          <w:color w:val="auto"/>
        </w:rPr>
        <w:t>48.2</w:t>
      </w:r>
      <w:r>
        <w:rPr>
          <w:sz w:val="20"/>
          <w:szCs w:val="20"/>
          <w:color w:val="auto"/>
        </w:rPr>
        <w:tab/>
      </w:r>
      <w:r>
        <w:rPr>
          <w:rFonts w:ascii="Times New Roman" w:cs="Times New Roman" w:eastAsia="Times New Roman" w:hAnsi="Times New Roman"/>
          <w:sz w:val="18"/>
          <w:szCs w:val="18"/>
          <w:color w:val="auto"/>
        </w:rPr>
        <w:t>The Parties hereby submit to the non-exclusive jurisdiction of the courts in the State of Delaware US for the enforcement of any award issued hereunder for the limited purpose of enforcing this agreement to arbitrate. That arbitration award shall be final and binding and judgment upon the award may be entered by any court having jurisdiction thereof or having jurisdiction over the relevant Party and its assets.</w:t>
      </w:r>
    </w:p>
    <w:p>
      <w:pPr>
        <w:spacing w:after="0" w:line="90" w:lineRule="exact"/>
        <w:rPr>
          <w:sz w:val="20"/>
          <w:szCs w:val="20"/>
          <w:color w:val="auto"/>
        </w:rPr>
      </w:pPr>
    </w:p>
    <w:p>
      <w:pPr>
        <w:ind w:left="1052" w:right="240" w:hanging="629"/>
        <w:spacing w:after="0" w:line="252" w:lineRule="auto"/>
        <w:tabs>
          <w:tab w:leader="none" w:pos="1032" w:val="left"/>
        </w:tabs>
        <w:rPr>
          <w:sz w:val="20"/>
          <w:szCs w:val="20"/>
          <w:color w:val="auto"/>
        </w:rPr>
      </w:pPr>
      <w:r>
        <w:rPr>
          <w:rFonts w:ascii="Times New Roman" w:cs="Times New Roman" w:eastAsia="Times New Roman" w:hAnsi="Times New Roman"/>
          <w:sz w:val="18"/>
          <w:szCs w:val="18"/>
          <w:color w:val="auto"/>
        </w:rPr>
        <w:t>48.3</w:t>
      </w:r>
      <w:r>
        <w:rPr>
          <w:sz w:val="20"/>
          <w:szCs w:val="20"/>
          <w:color w:val="auto"/>
        </w:rPr>
        <w:tab/>
      </w:r>
      <w:r>
        <w:rPr>
          <w:rFonts w:ascii="Times New Roman" w:cs="Times New Roman" w:eastAsia="Times New Roman" w:hAnsi="Times New Roman"/>
          <w:sz w:val="18"/>
          <w:szCs w:val="18"/>
          <w:b w:val="1"/>
          <w:bCs w:val="1"/>
          <w:color w:val="auto"/>
        </w:rPr>
        <w:t xml:space="preserve">Injunctive Relief </w:t>
      </w:r>
      <w:r>
        <w:rPr>
          <w:rFonts w:ascii="Times New Roman" w:cs="Times New Roman" w:eastAsia="Times New Roman" w:hAnsi="Times New Roman"/>
          <w:sz w:val="18"/>
          <w:szCs w:val="18"/>
          <w:color w:val="auto"/>
        </w:rPr>
        <w:t>- Notwithstanding the foregoing, nothing in this provision shall be construed as precluding a Party from bringing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in court for interim injunctive relief or other interim equitable relief pursuant to (the applicable provisions above), prior to the initiation of any such arbitration. Once established, the arbitrators shall have the exclusive jurisdiction to consider applications for permanent relief, including injunctive or other equitable relief.</w:t>
      </w:r>
    </w:p>
    <w:p>
      <w:pPr>
        <w:spacing w:after="0" w:line="325" w:lineRule="exact"/>
        <w:rPr>
          <w:sz w:val="20"/>
          <w:szCs w:val="20"/>
          <w:color w:val="auto"/>
        </w:rPr>
      </w:pPr>
    </w:p>
    <w:p>
      <w:pPr>
        <w:ind w:left="412" w:hanging="412"/>
        <w:spacing w:after="0"/>
        <w:tabs>
          <w:tab w:leader="none" w:pos="412"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 and Jurisdiction</w:t>
      </w:r>
    </w:p>
    <w:p>
      <w:pPr>
        <w:spacing w:after="0" w:line="110" w:lineRule="exact"/>
        <w:rPr>
          <w:rFonts w:ascii="Times New Roman" w:cs="Times New Roman" w:eastAsia="Times New Roman" w:hAnsi="Times New Roman"/>
          <w:sz w:val="18"/>
          <w:szCs w:val="18"/>
          <w:color w:val="auto"/>
        </w:rPr>
      </w:pPr>
    </w:p>
    <w:p>
      <w:pPr>
        <w:ind w:left="432" w:right="38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Task Order shall be governed by and construed in accordance with the laws of Delaware, USA, without reference to conflicts of law principles. This Agreement has been entered into on the date stated at the beginning of this Agreement.</w:t>
      </w:r>
    </w:p>
    <w:p>
      <w:pPr>
        <w:spacing w:after="0" w:line="1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692"/>
          </w:cols>
          <w:pgMar w:left="588" w:top="266" w:right="619" w:bottom="1440" w:gutter="0" w:footer="0" w:header="0"/>
        </w:sectPr>
      </w:pPr>
    </w:p>
    <w:bookmarkStart w:id="682" w:name="page683"/>
    <w:bookmarkEnd w:id="68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This Agreement has been entered into: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For and on behalf of </w:t>
      </w:r>
      <w:r>
        <w:rPr>
          <w:rFonts w:ascii="Times New Roman" w:cs="Times New Roman" w:eastAsia="Times New Roman" w:hAnsi="Times New Roman"/>
          <w:sz w:val="16"/>
          <w:szCs w:val="16"/>
          <w:b w:val="1"/>
          <w:bCs w:val="1"/>
          <w:color w:val="auto"/>
        </w:rPr>
        <w:t>GlaxoSmithKline LLC</w:t>
      </w:r>
      <w:r>
        <w:rPr>
          <w:rFonts w:ascii="Times New Roman" w:cs="Times New Roman" w:eastAsia="Times New Roman" w:hAnsi="Times New Roman"/>
          <w:sz w:val="16"/>
          <w:szCs w:val="16"/>
          <w:color w:val="auto"/>
        </w:rPr>
        <w:t xml:space="preserve"> by: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Hatixhe Hoxha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Assistant Secretary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Signature: </w:t>
      </w:r>
      <w:r>
        <w:rPr>
          <w:rFonts w:ascii="Times New Roman" w:cs="Times New Roman" w:eastAsia="Times New Roman" w:hAnsi="Times New Roman"/>
          <w:sz w:val="18"/>
          <w:szCs w:val="18"/>
          <w:i w:val="1"/>
          <w:iCs w:val="1"/>
          <w:color w:val="auto"/>
        </w:rPr>
        <w:t>/s/ Hatixhe Hoxha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01-Aug-2022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and on behalf of </w:t>
      </w:r>
      <w:r>
        <w:rPr>
          <w:rFonts w:ascii="Times New Roman" w:cs="Times New Roman" w:eastAsia="Times New Roman" w:hAnsi="Times New Roman"/>
          <w:sz w:val="18"/>
          <w:szCs w:val="18"/>
          <w:b w:val="1"/>
          <w:bCs w:val="1"/>
          <w:color w:val="auto"/>
        </w:rPr>
        <w:t>Tempus Labs, Inc.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Jim Rogers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Treasurer and Chief Financial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Signature: </w:t>
      </w:r>
      <w:r>
        <w:rPr>
          <w:rFonts w:ascii="Times New Roman" w:cs="Times New Roman" w:eastAsia="Times New Roman" w:hAnsi="Times New Roman"/>
          <w:sz w:val="18"/>
          <w:szCs w:val="18"/>
          <w:i w:val="1"/>
          <w:iCs w:val="1"/>
          <w:color w:val="auto"/>
        </w:rPr>
        <w:t>/s/ Jim Rogers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7/29/2022</w:t>
      </w:r>
    </w:p>
    <w:p>
      <w:pPr>
        <w:sectPr>
          <w:pgSz w:w="11900" w:h="16838" w:orient="portrait"/>
          <w:cols w:equalWidth="0" w:num="1">
            <w:col w:w="9879"/>
          </w:cols>
          <w:pgMar w:left="580" w:top="263" w:right="1440" w:bottom="1440" w:gutter="0" w:footer="0" w:header="0"/>
        </w:sectPr>
      </w:pPr>
    </w:p>
    <w:bookmarkStart w:id="683" w:name="page684"/>
    <w:bookmarkEnd w:id="683"/>
    <w:p>
      <w:pPr>
        <w:jc w:val="right"/>
        <w:ind w:right="1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683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78040" cy="36830"/>
                    </a:xfrm>
                    <a:prstGeom prst="rect">
                      <a:avLst/>
                    </a:prstGeom>
                    <a:noFill/>
                  </pic:spPr>
                </pic:pic>
              </a:graphicData>
            </a:graphic>
          </wp:anchor>
        </w:drawing>
        <w:t>APPENDICES TO THE STRATEGIC COLLABORATION AGREEMENT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 – Form of Task Order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 – Further Auditing Requirements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 – Project Change Form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 – GSK Payment Procedures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5 – Form of Material Transfer Record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 – Additional Good Data Management Practices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7 – Key Performance Indicators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8 – Data Privacy Schedule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9 – Cyber Security Schedule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10 – Pricing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11 – Minimum Scientific &amp; Operational Excellence Requirements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12 – Licensed Data Terms and Conditions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13 – LENS Subscription Agreement Schedule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14 – Tempus Software Terms of Use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15 – Form of Associated Party Access Agreement</w:t>
      </w:r>
    </w:p>
    <w:p>
      <w:pPr>
        <w:sectPr>
          <w:pgSz w:w="11900" w:h="16838" w:orient="portrait"/>
          <w:cols w:equalWidth="0" w:num="1">
            <w:col w:w="9879"/>
          </w:cols>
          <w:pgMar w:left="580" w:top="264" w:right="1440" w:bottom="1440" w:gutter="0" w:footer="0" w:header="0"/>
        </w:sectPr>
      </w:pPr>
    </w:p>
    <w:bookmarkStart w:id="684" w:name="page685"/>
    <w:bookmarkEnd w:id="68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78040" cy="36830"/>
                    </a:xfrm>
                    <a:prstGeom prst="rect">
                      <a:avLst/>
                    </a:prstGeom>
                    <a:noFill/>
                  </pic:spPr>
                </pic:pic>
              </a:graphicData>
            </a:graphic>
          </wp:anchor>
        </w:drawing>
        <w:t>Schedule 1 - FORM OF TASK ORDER</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[Drafting Note to GSK project team: Please engage support from GSK Alliance Director and R&amp;D Legal before finalising any Task Orders.]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Task Order number [# - to include] is effective as of the Effective Date given below between:</w:t>
      </w:r>
    </w:p>
    <w:p>
      <w:pPr>
        <w:spacing w:after="0" w:line="211" w:lineRule="exact"/>
        <w:rPr>
          <w:sz w:val="20"/>
          <w:szCs w:val="20"/>
          <w:color w:val="auto"/>
        </w:rPr>
      </w:pPr>
    </w:p>
    <w:p>
      <w:pPr>
        <w:ind w:left="280" w:hanging="272"/>
        <w:spacing w:after="0"/>
        <w:tabs>
          <w:tab w:leader="none" w:pos="280"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Tempus</w:t>
      </w:r>
      <w:r>
        <w:rPr>
          <w:rFonts w:ascii="Times New Roman" w:cs="Times New Roman" w:eastAsia="Times New Roman" w:hAnsi="Times New Roman"/>
          <w:sz w:val="18"/>
          <w:szCs w:val="18"/>
          <w:color w:val="auto"/>
        </w:rPr>
        <w:t>”), with offices located at [●]; and</w:t>
      </w:r>
    </w:p>
    <w:p>
      <w:pPr>
        <w:spacing w:after="0" w:line="21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GSK</w:t>
      </w:r>
      <w:r>
        <w:rPr>
          <w:rFonts w:ascii="Times New Roman" w:cs="Times New Roman" w:eastAsia="Times New Roman" w:hAnsi="Times New Roman"/>
          <w:sz w:val="18"/>
          <w:szCs w:val="18"/>
          <w:color w:val="auto"/>
        </w:rPr>
        <w:t>”), with offices located at [●].</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1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GSK and Tempus are parties to a Strategic Collaboration Agreement (or are Affiliates of the parties to the Agreement) with an effective date of [●]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terms and conditions of that Agreement are used by GSK and the Tempus, by executing this Task Order, to contract for the services described in this Task Order. Capitalized terms used but not otherwise defined in herein shall have the meanings ascribed to such terms in the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shall apply in this Task Order and to the GSK Research Program which is the subject of this Task Order:</w:t>
      </w:r>
    </w:p>
    <w:p>
      <w:pPr>
        <w:sectPr>
          <w:pgSz w:w="11900" w:h="16838" w:orient="portrait"/>
          <w:cols w:equalWidth="0" w:num="1">
            <w:col w:w="10680"/>
          </w:cols>
          <w:pgMar w:left="580" w:top="263" w:right="639" w:bottom="1440" w:gutter="0" w:footer="0" w:header="0"/>
        </w:sectPr>
      </w:pPr>
    </w:p>
    <w:p>
      <w:pPr>
        <w:spacing w:after="0" w:line="2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Task Order Effective Date: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31" w:lineRule="exact"/>
        <w:rPr>
          <w:sz w:val="20"/>
          <w:szCs w:val="20"/>
          <w:color w:val="auto"/>
        </w:rPr>
      </w:pPr>
    </w:p>
    <w:p>
      <w:pPr>
        <w:sectPr>
          <w:pgSz w:w="11900" w:h="16838" w:orient="portrait"/>
          <w:cols w:equalWidth="0" w:num="2">
            <w:col w:w="3960" w:space="720"/>
            <w:col w:w="6000"/>
          </w:cols>
          <w:pgMar w:left="580" w:top="263" w:right="6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6"/>
          <w:szCs w:val="16"/>
          <w:color w:val="auto"/>
        </w:rPr>
        <w:t>GSK Research Program: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131" w:lineRule="exact"/>
        <w:rPr>
          <w:sz w:val="20"/>
          <w:szCs w:val="20"/>
          <w:color w:val="auto"/>
        </w:rPr>
      </w:pPr>
    </w:p>
    <w:p>
      <w:pPr>
        <w:sectPr>
          <w:pgSz w:w="11900" w:h="16838" w:orient="portrait"/>
          <w:cols w:equalWidth="0" w:num="2">
            <w:col w:w="3960" w:space="720"/>
            <w:col w:w="6000"/>
          </w:cols>
          <w:pgMar w:left="580" w:top="263" w:right="6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6"/>
          <w:szCs w:val="16"/>
          <w:color w:val="auto"/>
        </w:rPr>
        <w:t>Department: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131" w:lineRule="exact"/>
        <w:rPr>
          <w:sz w:val="20"/>
          <w:szCs w:val="20"/>
          <w:color w:val="auto"/>
        </w:rPr>
      </w:pPr>
    </w:p>
    <w:p>
      <w:pPr>
        <w:sectPr>
          <w:pgSz w:w="11900" w:h="16838" w:orient="portrait"/>
          <w:cols w:equalWidth="0" w:num="2">
            <w:col w:w="3960" w:space="720"/>
            <w:col w:w="6000"/>
          </w:cols>
          <w:pgMar w:left="580" w:top="263" w:right="6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6"/>
          <w:szCs w:val="16"/>
          <w:color w:val="auto"/>
        </w:rPr>
        <w:t>Period of Performance: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131" w:lineRule="exact"/>
        <w:rPr>
          <w:sz w:val="20"/>
          <w:szCs w:val="20"/>
          <w:color w:val="auto"/>
        </w:rPr>
      </w:pPr>
    </w:p>
    <w:p>
      <w:pPr>
        <w:sectPr>
          <w:pgSz w:w="11900" w:h="16838" w:orient="portrait"/>
          <w:cols w:equalWidth="0" w:num="5">
            <w:col w:w="3960" w:space="720"/>
            <w:col w:w="420" w:space="180"/>
            <w:col w:w="340" w:space="720"/>
            <w:col w:w="240" w:space="180"/>
            <w:col w:w="3920"/>
          </w:cols>
          <w:pgMar w:left="580" w:top="263" w:right="6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Alliance Directors: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GSK Representative:</w:t>
      </w:r>
    </w:p>
    <w:p>
      <w:pPr>
        <w:sectPr>
          <w:pgSz w:w="11900" w:h="16838" w:orient="portrait"/>
          <w:cols w:equalWidth="0" w:num="1">
            <w:col w:w="10680"/>
          </w:cols>
          <w:pgMar w:left="580" w:top="263" w:right="639"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Activities</w:t>
      </w:r>
    </w:p>
    <w:p>
      <w:pPr>
        <w:spacing w:after="0" w:line="1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Tempus agrees to perform Activities with respect to the GSK Research Program in accordance with the terms of the Agreement and in accordance with the description of services outlined in Annexure A attached and incorporated by reference as part of this Task Order, which services shall constitute Activities pursuant to the Agreement.</w:t>
      </w:r>
    </w:p>
    <w:p>
      <w:pPr>
        <w:sectPr>
          <w:pgSz w:w="11900" w:h="16838" w:orient="portrait"/>
          <w:cols w:equalWidth="0" w:num="1">
            <w:col w:w="10680"/>
          </w:cols>
          <w:pgMar w:left="580" w:top="263" w:right="639" w:bottom="1440" w:gutter="0" w:footer="0" w:header="0"/>
          <w:type w:val="continuous"/>
        </w:sectPr>
      </w:pPr>
    </w:p>
    <w:bookmarkStart w:id="685" w:name="page686"/>
    <w:bookmarkEnd w:id="68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[Human Biological Samples (“HBS”)</w:t>
      </w:r>
    </w:p>
    <w:p>
      <w:pPr>
        <w:spacing w:after="0" w:line="11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 xml:space="preserve">GSK shall provide [●] HBS. Tempus shall record each HBS provided in an appropriate tracking system within [***]. Pursuant to </w:t>
      </w:r>
      <w:r>
        <w:rPr>
          <w:rFonts w:ascii="Times New Roman" w:cs="Times New Roman" w:eastAsia="Times New Roman" w:hAnsi="Times New Roman"/>
          <w:sz w:val="18"/>
          <w:szCs w:val="18"/>
          <w:u w:val="single" w:color="auto"/>
          <w:color w:val="auto"/>
        </w:rPr>
        <w:t>Section 23.6</w:t>
      </w:r>
      <w:r>
        <w:rPr>
          <w:rFonts w:ascii="Times New Roman" w:cs="Times New Roman" w:eastAsia="Times New Roman" w:hAnsi="Times New Roman"/>
          <w:sz w:val="18"/>
          <w:szCs w:val="18"/>
          <w:color w:val="auto"/>
        </w:rPr>
        <w:t xml:space="preserve"> of the Agreement (Retention Periods). The Retention Period for HBS provided under this Task Order shall be [●] year(s).]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1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consideration for its performance of services under this Task Order, GSK shall pay Tempus in accordance with the payment schedule documented in Annexure B, attached and incorporated by reference as part of this Task Order. All payments to be made under this Task Order shall be made in accordance with the GSK Payment Procedures.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Task Order shall continue until all services to be performed under this Task Order are completed or until terminated as provided in the Agreement.</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of Agreement by Reference</w:t>
      </w:r>
    </w:p>
    <w:p>
      <w:pPr>
        <w:spacing w:after="0" w:line="11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The terms and conditions of the Agreement are hereby incorporated by reference into and made a part of this Task Order. All defined terms within the Agreement shall have the same meaning when used in this Task Order.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recipients of notice listed in the Agreement, notices applicable to this Task Order Agreement shall be sent to:</w:t>
      </w:r>
    </w:p>
    <w:p>
      <w:pPr>
        <w:sectPr>
          <w:pgSz w:w="11900" w:h="16838" w:orient="portrait"/>
          <w:cols w:equalWidth="0" w:num="1">
            <w:col w:w="10600"/>
          </w:cols>
          <w:pgMar w:left="580" w:top="264" w:right="719" w:bottom="1440" w:gutter="0" w:footer="0" w:header="0"/>
        </w:sectPr>
      </w:pPr>
    </w:p>
    <w:p>
      <w:pPr>
        <w:spacing w:after="0" w:line="2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Tempus: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6"/>
          <w:szCs w:val="16"/>
          <w:color w:val="auto"/>
        </w:rPr>
        <w:t>If to GSK:</w:t>
      </w:r>
    </w:p>
    <w:p>
      <w:pPr>
        <w:spacing w:after="0" w:line="131" w:lineRule="exact"/>
        <w:rPr>
          <w:sz w:val="20"/>
          <w:szCs w:val="20"/>
          <w:color w:val="auto"/>
        </w:rPr>
      </w:pPr>
    </w:p>
    <w:p>
      <w:pPr>
        <w:sectPr>
          <w:pgSz w:w="11900" w:h="16838" w:orient="portrait"/>
          <w:cols w:equalWidth="0" w:num="2">
            <w:col w:w="4920" w:space="720"/>
            <w:col w:w="4960"/>
          </w:cols>
          <w:pgMar w:left="580" w:top="264" w:right="71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6"/>
          <w:szCs w:val="16"/>
          <w:color w:val="auto"/>
        </w:rPr>
        <w:t>Name: [●]</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Times New Roman" w:cs="Times New Roman" w:eastAsia="Times New Roman" w:hAnsi="Times New Roman"/>
          <w:sz w:val="16"/>
          <w:szCs w:val="16"/>
          <w:color w:val="auto"/>
        </w:rPr>
        <w:t>Name: [●]</w:t>
      </w:r>
    </w:p>
    <w:p>
      <w:pPr>
        <w:spacing w:after="0" w:line="131" w:lineRule="exact"/>
        <w:rPr>
          <w:sz w:val="20"/>
          <w:szCs w:val="20"/>
          <w:color w:val="auto"/>
        </w:rPr>
      </w:pPr>
    </w:p>
    <w:p>
      <w:pPr>
        <w:sectPr>
          <w:pgSz w:w="11900" w:h="16838" w:orient="portrait"/>
          <w:cols w:equalWidth="0" w:num="2">
            <w:col w:w="4920" w:space="720"/>
            <w:col w:w="4960"/>
          </w:cols>
          <w:pgMar w:left="580" w:top="264" w:right="71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6"/>
          <w:szCs w:val="16"/>
          <w:color w:val="auto"/>
        </w:rPr>
        <w:t>Address: [●]</w:t>
      </w:r>
    </w:p>
    <w:p>
      <w:pPr>
        <w:spacing w:after="0" w:line="20" w:lineRule="exact"/>
        <w:rPr>
          <w:sz w:val="20"/>
          <w:szCs w:val="20"/>
          <w:color w:val="auto"/>
        </w:rPr>
      </w:pPr>
      <w:r>
        <w:rPr>
          <w:sz w:val="20"/>
          <w:szCs w:val="20"/>
          <w:color w:val="auto"/>
        </w:rPr>
        <w:br w:type="column"/>
      </w:r>
    </w:p>
    <w:p>
      <w:pPr>
        <w:jc w:val="center"/>
        <w:ind w:right="4060"/>
        <w:spacing w:after="0"/>
        <w:rPr>
          <w:sz w:val="20"/>
          <w:szCs w:val="20"/>
          <w:color w:val="auto"/>
        </w:rPr>
      </w:pPr>
      <w:r>
        <w:rPr>
          <w:rFonts w:ascii="Times New Roman" w:cs="Times New Roman" w:eastAsia="Times New Roman" w:hAnsi="Times New Roman"/>
          <w:sz w:val="16"/>
          <w:szCs w:val="16"/>
          <w:color w:val="auto"/>
        </w:rPr>
        <w:t>Address: [●]</w:t>
      </w:r>
    </w:p>
    <w:p>
      <w:pPr>
        <w:spacing w:after="0" w:line="131" w:lineRule="exact"/>
        <w:rPr>
          <w:sz w:val="20"/>
          <w:szCs w:val="20"/>
          <w:color w:val="auto"/>
        </w:rPr>
      </w:pPr>
    </w:p>
    <w:p>
      <w:pPr>
        <w:sectPr>
          <w:pgSz w:w="11900" w:h="16838" w:orient="portrait"/>
          <w:cols w:equalWidth="0" w:num="2">
            <w:col w:w="4920" w:space="720"/>
            <w:col w:w="4960"/>
          </w:cols>
          <w:pgMar w:left="580" w:top="264" w:right="719" w:bottom="1440" w:gutter="0" w:footer="0" w:header="0"/>
          <w:type w:val="continuous"/>
        </w:sectPr>
      </w:pPr>
    </w:p>
    <w:p>
      <w:pPr>
        <w:ind w:left="5640"/>
        <w:spacing w:after="0"/>
        <w:rPr>
          <w:sz w:val="20"/>
          <w:szCs w:val="20"/>
          <w:color w:val="auto"/>
        </w:rPr>
      </w:pPr>
      <w:r>
        <w:rPr>
          <w:rFonts w:ascii="Times New Roman" w:cs="Times New Roman" w:eastAsia="Times New Roman" w:hAnsi="Times New Roman"/>
          <w:sz w:val="16"/>
          <w:szCs w:val="16"/>
          <w:color w:val="auto"/>
        </w:rPr>
        <w:t>Phone Number: [●]</w:t>
      </w:r>
    </w:p>
    <w:p>
      <w:pPr>
        <w:spacing w:after="0" w:line="1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Fax number: [●]</w:t>
      </w:r>
    </w:p>
    <w:p>
      <w:pPr>
        <w:spacing w:after="0" w:line="1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Copy to: [●]</w:t>
      </w:r>
    </w:p>
    <w:p>
      <w:pPr>
        <w:sectPr>
          <w:pgSz w:w="11900" w:h="16838" w:orient="portrait"/>
          <w:cols w:equalWidth="0" w:num="1">
            <w:col w:w="10600"/>
          </w:cols>
          <w:pgMar w:left="580" w:top="264" w:right="719" w:bottom="1440" w:gutter="0" w:footer="0" w:header="0"/>
          <w:type w:val="continuous"/>
        </w:sectPr>
      </w:pPr>
    </w:p>
    <w:bookmarkStart w:id="686" w:name="page687"/>
    <w:bookmarkEnd w:id="68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Entire Agreement</w:t>
      </w:r>
    </w:p>
    <w:p>
      <w:pPr>
        <w:spacing w:after="0" w:line="110" w:lineRule="exact"/>
        <w:rPr>
          <w:sz w:val="20"/>
          <w:szCs w:val="20"/>
          <w:color w:val="auto"/>
        </w:rPr>
      </w:pPr>
    </w:p>
    <w:p>
      <w:pPr>
        <w:ind w:right="440"/>
        <w:spacing w:after="0" w:line="267" w:lineRule="auto"/>
        <w:rPr>
          <w:sz w:val="20"/>
          <w:szCs w:val="20"/>
          <w:color w:val="auto"/>
        </w:rPr>
      </w:pPr>
      <w:r>
        <w:rPr>
          <w:rFonts w:ascii="Times New Roman" w:cs="Times New Roman" w:eastAsia="Times New Roman" w:hAnsi="Times New Roman"/>
          <w:sz w:val="18"/>
          <w:szCs w:val="18"/>
          <w:color w:val="auto"/>
        </w:rPr>
        <w:t>This Task Order, including the incorporated terms of the Agreement, represents the entire and integrated agreement between Tempus and GSK and supersedes all prior negotiations, representations or agreements, either written or oral, regarding the Activities set forth herein.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Task Order shall be governed by and construed in accordance with the laws of Delaware, USA, without reference to conflicts of law principles.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Task Order has been entered into on the date stated at the beginning of this Task Order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[GlaxoSmithKline LLC]</w:t>
            </w:r>
          </w:p>
        </w:tc>
        <w:tc>
          <w:tcPr>
            <w:tcW w:w="566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Tempus Labs, Inc.</w:t>
            </w:r>
          </w:p>
        </w:tc>
      </w:tr>
      <w:tr>
        <w:trPr>
          <w:trHeight w:val="42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gridSpan w:val="2"/>
          </w:tcPr>
          <w:p>
            <w:pPr>
              <w:spacing w:after="0"/>
              <w:rPr>
                <w:sz w:val="24"/>
                <w:szCs w:val="24"/>
                <w:color w:val="auto"/>
              </w:rPr>
            </w:pPr>
          </w:p>
        </w:tc>
        <w:tc>
          <w:tcPr>
            <w:tcW w:w="1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gridSpan w:val="2"/>
          </w:tcPr>
          <w:p>
            <w:pPr>
              <w:spacing w:after="0"/>
              <w:rPr>
                <w:sz w:val="24"/>
                <w:szCs w:val="24"/>
                <w:color w:val="auto"/>
              </w:rPr>
            </w:pPr>
          </w:p>
        </w:tc>
      </w:tr>
      <w:tr>
        <w:trPr>
          <w:trHeight w:val="426"/>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56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Name:</w:t>
            </w:r>
          </w:p>
        </w:tc>
      </w:tr>
      <w:tr>
        <w:trPr>
          <w:trHeight w:val="420"/>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w:t>
            </w:r>
          </w:p>
        </w:tc>
        <w:tc>
          <w:tcPr>
            <w:tcW w:w="56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Title:</w:t>
            </w:r>
          </w:p>
        </w:tc>
      </w:tr>
      <w:tr>
        <w:trPr>
          <w:trHeight w:val="38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800" w:type="dxa"/>
            <w:vAlign w:val="bottom"/>
            <w:tcBorders>
              <w:bottom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1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Date:</w:t>
            </w:r>
          </w:p>
        </w:tc>
        <w:tc>
          <w:tcPr>
            <w:tcW w:w="1780" w:type="dxa"/>
            <w:vAlign w:val="bottom"/>
            <w:tcBorders>
              <w:bottom w:val="single" w:sz="8" w:color="auto"/>
            </w:tcBorders>
          </w:tcPr>
          <w:p>
            <w:pPr>
              <w:spacing w:after="0"/>
              <w:rPr>
                <w:sz w:val="24"/>
                <w:szCs w:val="24"/>
                <w:color w:val="auto"/>
              </w:rPr>
            </w:pPr>
          </w:p>
        </w:tc>
        <w:tc>
          <w:tcPr>
            <w:tcW w:w="2600" w:type="dxa"/>
            <w:vAlign w:val="bottom"/>
          </w:tcPr>
          <w:p>
            <w:pPr>
              <w:spacing w:after="0"/>
              <w:rPr>
                <w:sz w:val="24"/>
                <w:szCs w:val="24"/>
                <w:color w:val="auto"/>
              </w:rPr>
            </w:pPr>
          </w:p>
        </w:tc>
      </w:tr>
      <w:tr>
        <w:trPr>
          <w:trHeight w:val="439"/>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Attachments:</w:t>
            </w:r>
          </w:p>
        </w:tc>
        <w:tc>
          <w:tcPr>
            <w:tcW w:w="1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420"/>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[TBD]</w:t>
            </w:r>
          </w:p>
        </w:tc>
        <w:tc>
          <w:tcPr>
            <w:tcW w:w="1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0" w:type="dxa"/>
            <w:vAlign w:val="bottom"/>
          </w:tcPr>
          <w:p>
            <w:pPr>
              <w:spacing w:after="0"/>
              <w:rPr>
                <w:sz w:val="24"/>
                <w:szCs w:val="24"/>
                <w:color w:val="auto"/>
              </w:rPr>
            </w:pPr>
          </w:p>
        </w:tc>
      </w:tr>
    </w:tbl>
    <w:p>
      <w:pPr>
        <w:sectPr>
          <w:pgSz w:w="11900" w:h="16838" w:orient="portrait"/>
          <w:cols w:equalWidth="0" w:num="1">
            <w:col w:w="10720"/>
          </w:cols>
          <w:pgMar w:left="580" w:top="263" w:right="599" w:bottom="1440" w:gutter="0" w:footer="0" w:header="0"/>
        </w:sectPr>
      </w:pPr>
    </w:p>
    <w:bookmarkStart w:id="687" w:name="page688"/>
    <w:bookmarkEnd w:id="687"/>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Annexure A – Services</w:t>
      </w:r>
    </w:p>
    <w:p>
      <w:pPr>
        <w:sectPr>
          <w:pgSz w:w="11900" w:h="16838" w:orient="portrait"/>
          <w:cols w:equalWidth="0" w:num="1">
            <w:col w:w="9879"/>
          </w:cols>
          <w:pgMar w:left="580" w:top="263" w:right="1440" w:bottom="1440" w:gutter="0" w:footer="0" w:header="0"/>
        </w:sect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ectPr>
          <w:pgSz w:w="11900" w:h="16838" w:orient="portrait"/>
          <w:cols w:equalWidth="0" w:num="2">
            <w:col w:w="1760" w:space="720"/>
            <w:col w:w="7399"/>
          </w:cols>
          <w:pgMar w:left="580" w:top="263" w:right="1440"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Annexure B – Payment Schedule</w:t>
      </w:r>
    </w:p>
    <w:p>
      <w:pPr>
        <w:spacing w:after="0" w:line="133" w:lineRule="exact"/>
        <w:rPr>
          <w:sz w:val="20"/>
          <w:szCs w:val="20"/>
          <w:color w:val="auto"/>
        </w:rPr>
      </w:pPr>
    </w:p>
    <w:p>
      <w:pPr>
        <w:ind w:left="440"/>
        <w:spacing w:after="0"/>
        <w:tabs>
          <w:tab w:leader="none" w:pos="70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9879"/>
          </w:cols>
          <w:pgMar w:left="580" w:top="263" w:right="1440" w:bottom="1440" w:gutter="0" w:footer="0" w:header="0"/>
          <w:type w:val="continuous"/>
        </w:sectPr>
      </w:pPr>
    </w:p>
    <w:bookmarkStart w:id="688" w:name="page689"/>
    <w:bookmarkEnd w:id="688"/>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2 - FURTHER AUDITING REQUIREMENTS</w:t>
      </w:r>
    </w:p>
    <w:p>
      <w:pPr>
        <w:spacing w:after="0" w:line="21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Purpose: To assess against ICH GCP guidelines, FDA GCP Regulations, FDA 21 CFR Part 11, GCLP, aspects of CAP/CLIA requirements, as well as GSK expectations pertaining to the analysis of clinical trial participant samples from GSK sponsored clinical studies.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should be made available upon arrival of the inspection team:</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480"/>
          </w:cols>
          <w:pgMar w:left="580" w:top="264" w:right="839" w:bottom="1440" w:gutter="0" w:footer="0" w:header="0"/>
        </w:sectPr>
      </w:pPr>
    </w:p>
    <w:bookmarkStart w:id="689" w:name="page690"/>
    <w:bookmarkEnd w:id="689"/>
    <w:tbl>
      <w:tblPr>
        <w:tblLayout w:type="fixed"/>
        <w:tblInd w:w="10" w:type="dxa"/>
        <w:tblCellMar>
          <w:top w:w="0" w:type="dxa"/>
          <w:left w:w="0" w:type="dxa"/>
          <w:bottom w:w="0" w:type="dxa"/>
          <w:right w:w="0" w:type="dxa"/>
        </w:tblCellMar>
      </w:tblPr>
      <w:tr>
        <w:trPr>
          <w:trHeight w:val="230"/>
        </w:trPr>
        <w:tc>
          <w:tcPr>
            <w:tcW w:w="3460" w:type="dxa"/>
            <w:vAlign w:val="bottom"/>
          </w:tcPr>
          <w:p>
            <w:pPr>
              <w:spacing w:after="0"/>
              <w:rPr>
                <w:sz w:val="19"/>
                <w:szCs w:val="19"/>
                <w:color w:val="auto"/>
              </w:rPr>
            </w:pPr>
          </w:p>
        </w:tc>
        <w:tc>
          <w:tcPr>
            <w:tcW w:w="654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Schedule 3 - PROJECT CHANGE FORM</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gridSpan w:val="3"/>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0"/>
        </w:trPr>
        <w:tc>
          <w:tcPr>
            <w:tcW w:w="3460" w:type="dxa"/>
            <w:vAlign w:val="bottom"/>
            <w:tcBorders>
              <w:lef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FROM:</w:t>
            </w:r>
          </w:p>
        </w:tc>
        <w:tc>
          <w:tcPr>
            <w:tcW w:w="540" w:type="dxa"/>
            <w:vAlign w:val="bottom"/>
          </w:tcPr>
          <w:p>
            <w:pPr>
              <w:spacing w:after="0"/>
              <w:rPr>
                <w:sz w:val="24"/>
                <w:szCs w:val="24"/>
                <w:color w:val="auto"/>
              </w:rPr>
            </w:pPr>
          </w:p>
        </w:tc>
        <w:tc>
          <w:tcPr>
            <w:tcW w:w="60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auto"/>
              </w:rPr>
              <w:t>TO:</w:t>
            </w: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60" w:type="dxa"/>
            <w:vAlign w:val="bottom"/>
            <w:tcBorders>
              <w:left w:val="single" w:sz="8" w:color="auto"/>
            </w:tcBorders>
            <w:vMerge w:val="continue"/>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000" w:type="dxa"/>
            <w:vAlign w:val="bottom"/>
            <w:gridSpan w:val="3"/>
            <w:vMerge w:val="continue"/>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16"/>
        </w:trPr>
        <w:tc>
          <w:tcPr>
            <w:tcW w:w="346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4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PROPOSED IMPLEMENTATION DATE</w:t>
            </w:r>
          </w:p>
        </w:tc>
        <w:tc>
          <w:tcPr>
            <w:tcW w:w="5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346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4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DETAILS OF CHANGE</w:t>
            </w:r>
          </w:p>
        </w:tc>
        <w:tc>
          <w:tcPr>
            <w:tcW w:w="5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346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4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Approved by [GSK]</w:t>
            </w:r>
          </w:p>
        </w:tc>
        <w:tc>
          <w:tcPr>
            <w:tcW w:w="540" w:type="dxa"/>
            <w:vAlign w:val="bottom"/>
          </w:tcPr>
          <w:p>
            <w:pPr>
              <w:spacing w:after="0"/>
              <w:rPr>
                <w:sz w:val="19"/>
                <w:szCs w:val="19"/>
                <w:color w:val="auto"/>
              </w:rPr>
            </w:pPr>
          </w:p>
        </w:tc>
        <w:tc>
          <w:tcPr>
            <w:tcW w:w="4320" w:type="dxa"/>
            <w:vAlign w:val="bottom"/>
            <w:tcBorders>
              <w:right w:val="single" w:sz="8" w:color="auto"/>
            </w:tcBorders>
          </w:tcPr>
          <w:p>
            <w:pPr>
              <w:spacing w:after="0"/>
              <w:rPr>
                <w:sz w:val="19"/>
                <w:szCs w:val="19"/>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Date</w:t>
            </w:r>
          </w:p>
        </w:tc>
        <w:tc>
          <w:tcPr>
            <w:tcW w:w="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346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3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4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Approved by [Supplier]</w:t>
            </w:r>
          </w:p>
        </w:tc>
        <w:tc>
          <w:tcPr>
            <w:tcW w:w="540" w:type="dxa"/>
            <w:vAlign w:val="bottom"/>
          </w:tcPr>
          <w:p>
            <w:pPr>
              <w:spacing w:after="0"/>
              <w:rPr>
                <w:sz w:val="19"/>
                <w:szCs w:val="19"/>
                <w:color w:val="auto"/>
              </w:rPr>
            </w:pPr>
          </w:p>
        </w:tc>
        <w:tc>
          <w:tcPr>
            <w:tcW w:w="4320" w:type="dxa"/>
            <w:vAlign w:val="bottom"/>
            <w:tcBorders>
              <w:right w:val="single" w:sz="8" w:color="auto"/>
            </w:tcBorders>
          </w:tcPr>
          <w:p>
            <w:pPr>
              <w:spacing w:after="0"/>
              <w:rPr>
                <w:sz w:val="19"/>
                <w:szCs w:val="19"/>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Date</w:t>
            </w:r>
          </w:p>
        </w:tc>
        <w:tc>
          <w:tcPr>
            <w:tcW w:w="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346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32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4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NOTES</w:t>
            </w:r>
          </w:p>
        </w:tc>
        <w:tc>
          <w:tcPr>
            <w:tcW w:w="5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31"/>
        </w:trPr>
        <w:tc>
          <w:tcPr>
            <w:tcW w:w="346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4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For GSK Use</w:t>
            </w:r>
          </w:p>
        </w:tc>
        <w:tc>
          <w:tcPr>
            <w:tcW w:w="5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32"/>
        </w:trPr>
        <w:tc>
          <w:tcPr>
            <w:tcW w:w="4000" w:type="dxa"/>
            <w:vAlign w:val="bottom"/>
            <w:tcBorders>
              <w:left w:val="single" w:sz="8" w:color="auto"/>
              <w:bottom w:val="single" w:sz="8" w:color="auto"/>
            </w:tcBorders>
            <w:gridSpan w:val="2"/>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9360" w:type="dxa"/>
            <w:vAlign w:val="bottom"/>
            <w:tcBorders>
              <w:left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Is an amendment to the Task Order required for this change? (Place X in appropriate box)</w:t>
            </w:r>
          </w:p>
        </w:tc>
        <w:tc>
          <w:tcPr>
            <w:tcW w:w="640" w:type="dxa"/>
            <w:vAlign w:val="bottom"/>
            <w:tcBorders>
              <w:righ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00" w:type="dxa"/>
            <w:vAlign w:val="bottom"/>
            <w:tcBorders>
              <w:left w:val="single" w:sz="8" w:color="auto"/>
              <w:bottom w:val="single" w:sz="8" w:color="auto"/>
            </w:tcBorders>
            <w:gridSpan w:val="2"/>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0000" w:type="dxa"/>
            <w:vAlign w:val="bottom"/>
            <w:tcBorders>
              <w:lef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If Yes, follow process for requesting a task order amendment.</w:t>
            </w:r>
          </w:p>
        </w:tc>
        <w:tc>
          <w:tcPr>
            <w:tcW w:w="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10000" w:type="dxa"/>
            <w:vAlign w:val="bottom"/>
            <w:tcBorders>
              <w:lef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If No, attach this document to the Project’s Oversight Plan.</w:t>
            </w: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left w:val="single" w:sz="8" w:color="auto"/>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620"/>
          </w:cols>
          <w:pgMar w:left="580" w:top="264" w:right="69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690" w:name="page691"/>
    <w:bookmarkEnd w:id="690"/>
    <w:p>
      <w:pPr>
        <w:jc w:val="right"/>
        <w:ind w:right="18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4 – GSK PAYMENT PROCEDURES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Payments</w:t>
      </w:r>
      <w:r>
        <w:rPr>
          <w:rFonts w:ascii="Times New Roman" w:cs="Times New Roman" w:eastAsia="Times New Roman" w:hAnsi="Times New Roman"/>
          <w:sz w:val="18"/>
          <w:szCs w:val="18"/>
          <w:b w:val="1"/>
          <w:bCs w:val="1"/>
          <w:color w:val="auto"/>
        </w:rPr>
        <w: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Upfront Payment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 due</w:t>
            </w:r>
          </w:p>
        </w:tc>
        <w:tc>
          <w:tcPr>
            <w:tcW w:w="220" w:type="dxa"/>
            <w:vAlign w:val="bottom"/>
          </w:tcPr>
          <w:p>
            <w:pPr>
              <w:spacing w:after="0"/>
              <w:rPr>
                <w:sz w:val="16"/>
                <w:szCs w:val="16"/>
                <w:color w:val="auto"/>
              </w:rPr>
            </w:pPr>
          </w:p>
        </w:tc>
        <w:tc>
          <w:tcPr>
            <w:tcW w:w="21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Invoice issued</w:t>
            </w:r>
          </w:p>
        </w:tc>
        <w:tc>
          <w:tcPr>
            <w:tcW w:w="100" w:type="dxa"/>
            <w:vAlign w:val="bottom"/>
          </w:tcPr>
          <w:p>
            <w:pPr>
              <w:spacing w:after="0"/>
              <w:rPr>
                <w:sz w:val="16"/>
                <w:szCs w:val="16"/>
                <w:color w:val="auto"/>
              </w:rPr>
            </w:pPr>
          </w:p>
        </w:tc>
        <w:tc>
          <w:tcPr>
            <w:tcW w:w="546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Payment terms</w:t>
            </w:r>
          </w:p>
        </w:tc>
      </w:tr>
      <w:tr>
        <w:trPr>
          <w:trHeight w:val="178"/>
        </w:trPr>
        <w:tc>
          <w:tcPr>
            <w:tcW w:w="70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8"/>
                <w:szCs w:val="18"/>
                <w:color w:val="auto"/>
                <w:w w:val="81"/>
              </w:rPr>
              <w:t>$70 million</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8"/>
                <w:szCs w:val="18"/>
                <w:color w:val="auto"/>
              </w:rPr>
              <w:t>On or after Effective Date</w:t>
            </w:r>
          </w:p>
        </w:tc>
        <w:tc>
          <w:tcPr>
            <w:tcW w:w="100" w:type="dxa"/>
            <w:vAlign w:val="bottom"/>
          </w:tcPr>
          <w:p>
            <w:pPr>
              <w:spacing w:after="0"/>
              <w:rPr>
                <w:sz w:val="15"/>
                <w:szCs w:val="15"/>
                <w:color w:val="auto"/>
              </w:rPr>
            </w:pPr>
          </w:p>
        </w:tc>
        <w:tc>
          <w:tcPr>
            <w:tcW w:w="546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8"/>
                <w:szCs w:val="18"/>
                <w:color w:val="auto"/>
                <w:w w:val="97"/>
              </w:rPr>
              <w:t>Within [***] of receipt of an accurate, complete and audit-worthy invoice, in</w:t>
            </w:r>
          </w:p>
        </w:tc>
      </w:tr>
      <w:tr>
        <w:trPr>
          <w:trHeight w:val="228"/>
        </w:trPr>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accordance with the requirements set forth in this Schedule 4</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Payments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GSK’s standard payment terms will otherwise be: [***].</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Invoicing</w:t>
      </w:r>
      <w:r>
        <w:rPr>
          <w:rFonts w:ascii="Times New Roman" w:cs="Times New Roman" w:eastAsia="Times New Roman" w:hAnsi="Times New Roman"/>
          <w:sz w:val="18"/>
          <w:szCs w:val="18"/>
          <w:b w:val="1"/>
          <w:bCs w:val="1"/>
          <w:color w:val="auto"/>
        </w:rPr>
        <w: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Invoice Requirements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invoices delivered pursuant to the Agreement must include the following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following shall apply to invoices delivered pursuant to the Agreement: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Upfront Payment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invoice for the initial payment of $70 million above will be addressed to: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copy of invoice via email to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invoice must include the information set forth above under “General Invoice Requirements”.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 other payments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invoice must include the information set forth above under “General Invoice Requirements”.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Allocated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01727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Tempus Products and Services</w:t>
      </w:r>
    </w:p>
    <w:p>
      <w:pPr>
        <w:sectPr>
          <w:pgSz w:w="11900" w:h="16838" w:orient="portrait"/>
          <w:cols w:equalWidth="0" w:num="2">
            <w:col w:w="8980" w:space="140"/>
            <w:col w:w="1500"/>
          </w:cols>
          <w:pgMar w:left="580" w:top="263" w:right="699" w:bottom="1440" w:gutter="0" w:footer="0" w:header="0"/>
        </w:sectPr>
      </w:pPr>
    </w:p>
    <w:bookmarkStart w:id="691" w:name="page692"/>
    <w:bookmarkEnd w:id="69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Quarterly Fee Statement and Annual Fee Statement:</w:t>
      </w:r>
    </w:p>
    <w:p>
      <w:pPr>
        <w:spacing w:after="0" w:line="11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Tempus shall ensure that the Quarterly Fee Statement and Annual Fee Statement each specify a breakdown of Creditable Fees incurred in each quarter/year as applicable, to include the following: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000"/>
          </w:cols>
          <w:pgMar w:left="580" w:top="263" w:right="1319" w:bottom="1440" w:gutter="0" w:footer="0" w:header="0"/>
        </w:sectPr>
      </w:pPr>
    </w:p>
    <w:bookmarkStart w:id="692" w:name="page693"/>
    <w:bookmarkEnd w:id="69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5 - FORM OF MATERIAL TRANSFER RECORD</w:t>
      </w:r>
    </w:p>
    <w:p>
      <w:pPr>
        <w:spacing w:after="0" w:line="21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GSK</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Tempus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660"/>
        <w:spacing w:after="0" w:line="487" w:lineRule="auto"/>
        <w:rPr>
          <w:sz w:val="20"/>
          <w:szCs w:val="20"/>
          <w:color w:val="auto"/>
        </w:rPr>
      </w:pPr>
      <w:r>
        <w:rPr>
          <w:rFonts w:ascii="Times New Roman" w:cs="Times New Roman" w:eastAsia="Times New Roman" w:hAnsi="Times New Roman"/>
          <w:sz w:val="18"/>
          <w:szCs w:val="18"/>
          <w:color w:val="auto"/>
        </w:rPr>
        <w:t>We refer to the Strategic Collaboration Agreement dated [●]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between GSK and Tempus or one of their respective Affiliates. The Supplied Materials described below are supplied by GSK to the Tempus subject to the terms and conditions set out in the Agreement. Description of Supplied Materials: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4720" w:type="dxa"/>
            <w:vAlign w:val="bottom"/>
          </w:tcPr>
          <w:p>
            <w:pPr>
              <w:spacing w:after="0"/>
              <w:rPr>
                <w:sz w:val="19"/>
                <w:szCs w:val="19"/>
                <w:color w:val="auto"/>
              </w:rPr>
            </w:pPr>
          </w:p>
        </w:tc>
      </w:tr>
      <w:tr>
        <w:trPr>
          <w:trHeight w:val="44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r>
        <w:trPr>
          <w:trHeight w:val="42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 [●] as GSK</w:t>
            </w:r>
          </w:p>
        </w:tc>
        <w:tc>
          <w:tcPr>
            <w:tcW w:w="54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Date material sent/provided to Tempus</w:t>
            </w:r>
          </w:p>
        </w:tc>
      </w:tr>
      <w:tr>
        <w:trPr>
          <w:trHeight w:val="42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r>
        <w:trPr>
          <w:trHeight w:val="42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 [●] as Tempus</w:t>
            </w:r>
          </w:p>
        </w:tc>
        <w:tc>
          <w:tcPr>
            <w:tcW w:w="54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Date material received by Tempus</w:t>
            </w:r>
          </w:p>
        </w:tc>
      </w:tr>
    </w:tbl>
    <w:p>
      <w:pPr>
        <w:sectPr>
          <w:pgSz w:w="11900" w:h="16838" w:orient="portrait"/>
          <w:cols w:equalWidth="0" w:num="1">
            <w:col w:w="10720"/>
          </w:cols>
          <w:pgMar w:left="580" w:top="264" w:right="599" w:bottom="1440" w:gutter="0" w:footer="0" w:header="0"/>
        </w:sectPr>
      </w:pPr>
    </w:p>
    <w:bookmarkStart w:id="693" w:name="page694"/>
    <w:bookmarkEnd w:id="69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6 - ADDITIONAL GOOD DATA MANAGEMENT PRACTICES</w:t>
      </w:r>
    </w:p>
    <w:p>
      <w:pPr>
        <w:spacing w:after="0" w:line="21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This Schedule is composed of three sections. The table labeled Clinical Laboratory Testing Projects (CLIA or equivalent) is for those projects. A table titled Research Projects contains Good Data Management Practices for those activities. The table ALCOA CCEA applies to all projects.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Laboratory Testing Projects (CLIA or equivalent)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Projects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ALCOA CCEA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540"/>
          </w:cols>
          <w:pgMar w:left="580" w:top="263" w:right="779" w:bottom="1440" w:gutter="0" w:footer="0" w:header="0"/>
        </w:sectPr>
      </w:pPr>
    </w:p>
    <w:bookmarkStart w:id="694" w:name="page695"/>
    <w:bookmarkEnd w:id="69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7 - KEY PERFORMANCE INDICATORS</w:t>
      </w:r>
    </w:p>
    <w:p>
      <w:pPr>
        <w:spacing w:after="0" w:line="21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There are two lists of KPIs. The General KPIs apply to all projects, as may be amended from time to time for a specific Task Order. The Clinical Testing Project KPIs shall be relevant to each Task Order involving clinical work unless other specified in such Task Order. If prior to the execution of a Task Order the Parties determine acting reasonably that certain KPIs are not within Tempus’ control to achieve or otherwise not applicable to the Task Order, the Parties may agree to modify the affected KPIs for each applicable Task Order as may be expressly set forth in any such Task Order.</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KPIs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specific KPIs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680"/>
          </w:cols>
          <w:pgMar w:left="580" w:top="264" w:right="639" w:bottom="1440" w:gutter="0" w:footer="0" w:header="0"/>
        </w:sectPr>
      </w:pPr>
    </w:p>
    <w:bookmarkStart w:id="695" w:name="page696"/>
    <w:bookmarkEnd w:id="695"/>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8 - DATA PRIVACY SCHEDULE</w:t>
      </w:r>
    </w:p>
    <w:p>
      <w:pPr>
        <w:sectPr>
          <w:pgSz w:w="11900" w:h="16838" w:orient="portrait"/>
          <w:cols w:equalWidth="0" w:num="1">
            <w:col w:w="9019"/>
          </w:cols>
          <w:pgMar w:left="1440" w:top="263" w:right="1440" w:bottom="1440" w:gutter="0" w:footer="0" w:header="0"/>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PERSONAL INFORMATION</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3" w:right="1440" w:bottom="1440" w:gutter="0" w:footer="0" w:header="0"/>
          <w:type w:val="continuous"/>
        </w:sectPr>
      </w:pPr>
    </w:p>
    <w:bookmarkStart w:id="696" w:name="page697"/>
    <w:bookmarkEnd w:id="6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9 – CYBER SECURITY SCHEDULE</w:t>
      </w:r>
    </w:p>
    <w:p>
      <w:pPr>
        <w:spacing w:after="0" w:line="21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This Cyber Security Schedule (this “</w:t>
      </w:r>
      <w:r>
        <w:rPr>
          <w:rFonts w:ascii="Times New Roman" w:cs="Times New Roman" w:eastAsia="Times New Roman" w:hAnsi="Times New Roman"/>
          <w:sz w:val="18"/>
          <w:szCs w:val="18"/>
          <w:b w:val="1"/>
          <w:bCs w:val="1"/>
          <w:color w:val="auto"/>
        </w:rPr>
        <w:t>Schedule</w:t>
      </w:r>
      <w:r>
        <w:rPr>
          <w:rFonts w:ascii="Times New Roman" w:cs="Times New Roman" w:eastAsia="Times New Roman" w:hAnsi="Times New Roman"/>
          <w:sz w:val="18"/>
          <w:szCs w:val="18"/>
          <w:color w:val="auto"/>
        </w:rPr>
        <w:t>”) forms a part of the Agreement by and between GSK and Tempus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In the event of any conflict with respect to cyber security between the terms of this Schedule and the terms of the Agreement, this Schedule will control.</w:t>
      </w:r>
    </w:p>
    <w:p>
      <w:pPr>
        <w:spacing w:after="0" w:line="309" w:lineRule="exact"/>
        <w:rPr>
          <w:sz w:val="20"/>
          <w:szCs w:val="20"/>
          <w:color w:val="auto"/>
        </w:rPr>
      </w:pPr>
    </w:p>
    <w:p>
      <w:pPr>
        <w:ind w:left="420" w:hanging="412"/>
        <w:spacing w:after="0"/>
        <w:tabs>
          <w:tab w:leader="none" w:pos="420" w:val="left"/>
        </w:tabs>
        <w:numPr>
          <w:ilvl w:val="0"/>
          <w:numId w:val="6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10" w:lineRule="exact"/>
        <w:rPr>
          <w:rFonts w:ascii="Times New Roman" w:cs="Times New Roman" w:eastAsia="Times New Roman" w:hAnsi="Times New Roman"/>
          <w:sz w:val="18"/>
          <w:szCs w:val="18"/>
          <w:b w:val="1"/>
          <w:bCs w:val="1"/>
          <w:color w:val="auto"/>
        </w:rPr>
      </w:pPr>
    </w:p>
    <w:p>
      <w:pPr>
        <w:ind w:left="440" w:right="46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the Schedule, the following terms have the following meanings. Capitalized terms not defined in this Schedule will have the meanings ascribed to them in other parts of the Agreement.</w:t>
      </w:r>
    </w:p>
    <w:p>
      <w:pPr>
        <w:spacing w:after="0" w:line="62" w:lineRule="exact"/>
        <w:rPr>
          <w:rFonts w:ascii="Times New Roman" w:cs="Times New Roman" w:eastAsia="Times New Roman" w:hAnsi="Times New Roman"/>
          <w:sz w:val="18"/>
          <w:szCs w:val="18"/>
          <w:b w:val="1"/>
          <w:bCs w:val="1"/>
          <w:color w:val="auto"/>
        </w:rPr>
      </w:pPr>
    </w:p>
    <w:p>
      <w:pPr>
        <w:ind w:left="440" w:right="86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Counterparty Environment</w:t>
      </w:r>
      <w:r>
        <w:rPr>
          <w:rFonts w:ascii="Times New Roman" w:cs="Times New Roman" w:eastAsia="Times New Roman" w:hAnsi="Times New Roman"/>
          <w:sz w:val="18"/>
          <w:szCs w:val="18"/>
          <w:color w:val="auto"/>
        </w:rPr>
        <w:t>” means the combination of hardware, software, operating systems, database systems, tools and network components used by or on behalf of Counterparty to receive, maintain, Process, store, access or transmit GSK Data.</w:t>
      </w:r>
    </w:p>
    <w:p>
      <w:pPr>
        <w:spacing w:after="0" w:line="59" w:lineRule="exact"/>
        <w:rPr>
          <w:rFonts w:ascii="Times New Roman" w:cs="Times New Roman" w:eastAsia="Times New Roman" w:hAnsi="Times New Roman"/>
          <w:sz w:val="18"/>
          <w:szCs w:val="18"/>
          <w:b w:val="1"/>
          <w:bCs w:val="1"/>
          <w:color w:val="auto"/>
        </w:rPr>
      </w:pPr>
    </w:p>
    <w:p>
      <w:pPr>
        <w:ind w:left="440" w:right="1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means any operation or set of operations which is performed on any information or data, whether or not by automated means, such as collection, recording, organisation, structuring, storage, adaptation or alteration, retrieval, consultation, use, disclosure by transmission, dissemination or otherwise making available, alignment or combination, restriction, erasure or destruction.</w:t>
      </w:r>
    </w:p>
    <w:p>
      <w:pPr>
        <w:spacing w:after="0" w:line="72" w:lineRule="exact"/>
        <w:rPr>
          <w:rFonts w:ascii="Times New Roman" w:cs="Times New Roman" w:eastAsia="Times New Roman" w:hAnsi="Times New Roman"/>
          <w:sz w:val="18"/>
          <w:szCs w:val="18"/>
          <w:b w:val="1"/>
          <w:bCs w:val="1"/>
          <w:color w:val="auto"/>
        </w:rPr>
      </w:pPr>
    </w:p>
    <w:p>
      <w:pPr>
        <w:ind w:left="440" w:right="180"/>
        <w:spacing w:after="0" w:line="33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Subcontractor</w:t>
      </w:r>
      <w:r>
        <w:rPr>
          <w:rFonts w:ascii="Times New Roman" w:cs="Times New Roman" w:eastAsia="Times New Roman" w:hAnsi="Times New Roman"/>
          <w:sz w:val="16"/>
          <w:szCs w:val="16"/>
          <w:color w:val="auto"/>
        </w:rPr>
        <w:t>” means any third party (including Counterparty Affiliates) who performs on behalf of Counterparty or any Subcontractor any part of the Services, or any of Counterparty’s or a Subcontractor’s obligations under this Agreement or any Service Order or Statement of Work.</w:t>
      </w:r>
    </w:p>
    <w:p>
      <w:pPr>
        <w:spacing w:after="0" w:line="264" w:lineRule="exact"/>
        <w:rPr>
          <w:sz w:val="20"/>
          <w:szCs w:val="20"/>
          <w:color w:val="auto"/>
        </w:rPr>
      </w:pPr>
    </w:p>
    <w:p>
      <w:pPr>
        <w:ind w:left="420" w:hanging="412"/>
        <w:spacing w:after="0"/>
        <w:tabs>
          <w:tab w:leader="none" w:pos="420" w:val="left"/>
        </w:tabs>
        <w:numPr>
          <w:ilvl w:val="0"/>
          <w:numId w:val="6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COUNTERPARTY LOCATIONS AND PERSONNEL</w:t>
      </w:r>
    </w:p>
    <w:p>
      <w:pPr>
        <w:spacing w:after="0" w:line="121" w:lineRule="exact"/>
        <w:rPr>
          <w:sz w:val="20"/>
          <w:szCs w:val="20"/>
          <w:color w:val="auto"/>
        </w:rPr>
      </w:pPr>
    </w:p>
    <w:p>
      <w:pPr>
        <w:ind w:left="420" w:right="240" w:hanging="419"/>
        <w:spacing w:after="0" w:line="270" w:lineRule="auto"/>
        <w:tabs>
          <w:tab w:leader="none" w:pos="4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b w:val="1"/>
          <w:bCs w:val="1"/>
          <w:color w:val="auto"/>
        </w:rPr>
        <w:t>Facility Locations</w:t>
      </w:r>
      <w:r>
        <w:rPr>
          <w:rFonts w:ascii="Times New Roman" w:cs="Times New Roman" w:eastAsia="Times New Roman" w:hAnsi="Times New Roman"/>
          <w:sz w:val="18"/>
          <w:szCs w:val="18"/>
          <w:color w:val="auto"/>
        </w:rPr>
        <w:t>. Counterparty Personnel will Process GSK Data only from the following facilities, and will not change the facilities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GSK’s prior written consent (such consent not to be unreasonably withheld): [***].</w:t>
      </w:r>
    </w:p>
    <w:p>
      <w:pPr>
        <w:spacing w:after="0" w:line="73" w:lineRule="exact"/>
        <w:rPr>
          <w:sz w:val="20"/>
          <w:szCs w:val="20"/>
          <w:color w:val="auto"/>
        </w:rPr>
      </w:pPr>
    </w:p>
    <w:p>
      <w:pPr>
        <w:ind w:left="420" w:right="100" w:hanging="419"/>
        <w:spacing w:after="0" w:line="248" w:lineRule="auto"/>
        <w:tabs>
          <w:tab w:leader="none" w:pos="4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b w:val="1"/>
          <w:bCs w:val="1"/>
          <w:color w:val="auto"/>
        </w:rPr>
        <w:t>Subcontractors</w:t>
      </w:r>
      <w:r>
        <w:rPr>
          <w:rFonts w:ascii="Times New Roman" w:cs="Times New Roman" w:eastAsia="Times New Roman" w:hAnsi="Times New Roman"/>
          <w:sz w:val="18"/>
          <w:szCs w:val="18"/>
          <w:color w:val="auto"/>
        </w:rPr>
        <w:t>, Vendor Risk Management. Counterparty will ensure all Subcontractors with access to or who Process GSK Data maintain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standards and processes no less stringent than Counterparty security standards. Counterparty will maintain a continuous vendor risk management program that assesses all Subcontractors that access, store, process or transmit GSK Data for appropriate security controls and cyber security practices and will only engage Subcontractors who demonstrate compliance with Counterparty’s standards. For clarity, Counterparty will remain liable and responsible for the action, inactions and performance of all obligations performed by any Subcontractor to the same extent as if such actions, inaction or obligations were performed by Counterparty.</w:t>
      </w:r>
    </w:p>
    <w:p>
      <w:pPr>
        <w:spacing w:after="0" w:line="95" w:lineRule="exact"/>
        <w:rPr>
          <w:sz w:val="20"/>
          <w:szCs w:val="20"/>
          <w:color w:val="auto"/>
        </w:rPr>
      </w:pPr>
    </w:p>
    <w:p>
      <w:pPr>
        <w:ind w:left="420" w:right="460" w:hanging="419"/>
        <w:spacing w:after="0" w:line="270" w:lineRule="auto"/>
        <w:tabs>
          <w:tab w:leader="none" w:pos="40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b w:val="1"/>
          <w:bCs w:val="1"/>
          <w:color w:val="auto"/>
        </w:rPr>
        <w:t>Background Screening</w:t>
      </w:r>
      <w:r>
        <w:rPr>
          <w:rFonts w:ascii="Times New Roman" w:cs="Times New Roman" w:eastAsia="Times New Roman" w:hAnsi="Times New Roman"/>
          <w:sz w:val="18"/>
          <w:szCs w:val="18"/>
          <w:color w:val="auto"/>
        </w:rPr>
        <w:t>. Counterparty will perform background screening on Counterparty Personnel at the time of hire that includes,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by applicable Law in the country of hire, proof of identity using government issued identification documents.</w:t>
      </w:r>
    </w:p>
    <w:p>
      <w:pPr>
        <w:spacing w:after="0" w:line="309" w:lineRule="exact"/>
        <w:rPr>
          <w:sz w:val="20"/>
          <w:szCs w:val="20"/>
          <w:color w:val="auto"/>
        </w:rPr>
      </w:pPr>
    </w:p>
    <w:p>
      <w:pPr>
        <w:ind w:left="420" w:hanging="412"/>
        <w:spacing w:after="0"/>
        <w:tabs>
          <w:tab w:leader="none" w:pos="420" w:val="left"/>
        </w:tabs>
        <w:numPr>
          <w:ilvl w:val="0"/>
          <w:numId w:val="6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SECURITY MEASURES</w:t>
      </w:r>
    </w:p>
    <w:p>
      <w:pPr>
        <w:spacing w:after="0" w:line="12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6"/>
          <w:szCs w:val="16"/>
          <w:b w:val="1"/>
          <w:bCs w:val="1"/>
          <w:color w:val="auto"/>
        </w:rPr>
        <w:t>Access Management</w:t>
      </w:r>
      <w:r>
        <w:rPr>
          <w:rFonts w:ascii="Times New Roman" w:cs="Times New Roman" w:eastAsia="Times New Roman" w:hAnsi="Times New Roman"/>
          <w:sz w:val="16"/>
          <w:szCs w:val="16"/>
          <w:color w:val="auto"/>
        </w:rPr>
        <w:t>. Counterparty will limit access to the Counterparty Environment that host or process GSK Data to authorised persons only.</w:t>
      </w:r>
    </w:p>
    <w:p>
      <w:pPr>
        <w:sectPr>
          <w:pgSz w:w="11900" w:h="16838" w:orient="portrait"/>
          <w:cols w:equalWidth="0" w:num="1">
            <w:col w:w="10720"/>
          </w:cols>
          <w:pgMar w:left="580" w:top="263" w:right="599" w:bottom="1440" w:gutter="0" w:footer="0" w:header="0"/>
        </w:sectPr>
      </w:pPr>
    </w:p>
    <w:bookmarkStart w:id="697" w:name="page698"/>
    <w:bookmarkEnd w:id="697"/>
    <w:p>
      <w:pPr>
        <w:ind w:left="412" w:right="40" w:hanging="419"/>
        <w:spacing w:after="0" w:line="270" w:lineRule="auto"/>
        <w:tabs>
          <w:tab w:leader="none" w:pos="39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4.2</w:t>
      </w:r>
      <w:r>
        <w:rPr>
          <w:sz w:val="20"/>
          <w:szCs w:val="20"/>
          <w:color w:val="auto"/>
        </w:rPr>
        <w:tab/>
      </w:r>
      <w:r>
        <w:rPr>
          <w:rFonts w:ascii="Times New Roman" w:cs="Times New Roman" w:eastAsia="Times New Roman" w:hAnsi="Times New Roman"/>
          <w:sz w:val="18"/>
          <w:szCs w:val="18"/>
          <w:b w:val="1"/>
          <w:bCs w:val="1"/>
          <w:color w:val="auto"/>
        </w:rPr>
        <w:t>Access Notification</w:t>
      </w:r>
      <w:r>
        <w:rPr>
          <w:rFonts w:ascii="Times New Roman" w:cs="Times New Roman" w:eastAsia="Times New Roman" w:hAnsi="Times New Roman"/>
          <w:sz w:val="18"/>
          <w:szCs w:val="18"/>
          <w:color w:val="auto"/>
        </w:rPr>
        <w:t>. Counterparty will notify GSK in a timely manner of Counterparty Personnel who no longer require access to GSK Websites,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or other systems.</w:t>
      </w:r>
    </w:p>
    <w:p>
      <w:pPr>
        <w:spacing w:after="0" w:line="73" w:lineRule="exact"/>
        <w:rPr>
          <w:sz w:val="20"/>
          <w:szCs w:val="20"/>
          <w:color w:val="auto"/>
        </w:rPr>
      </w:pPr>
    </w:p>
    <w:p>
      <w:pPr>
        <w:ind w:left="412" w:right="140" w:hanging="419"/>
        <w:spacing w:after="0" w:line="256" w:lineRule="auto"/>
        <w:tabs>
          <w:tab w:leader="none" w:pos="392"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b w:val="1"/>
          <w:bCs w:val="1"/>
          <w:color w:val="auto"/>
        </w:rPr>
        <w:t>Malware</w:t>
      </w:r>
      <w:r>
        <w:rPr>
          <w:rFonts w:ascii="Times New Roman" w:cs="Times New Roman" w:eastAsia="Times New Roman" w:hAnsi="Times New Roman"/>
          <w:sz w:val="18"/>
          <w:szCs w:val="18"/>
          <w:color w:val="auto"/>
        </w:rPr>
        <w:t>. Counterparty will install commercially reasonable malicious code prevention and detection software, to include virus prevention,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detection and malware detectors, on hosting systems used to access, process or store GSK Data. All such software shall be updated regularly and shall provide protection consistent with generally accepted industry standards.</w:t>
      </w:r>
    </w:p>
    <w:p>
      <w:pPr>
        <w:spacing w:after="0" w:line="86" w:lineRule="exact"/>
        <w:rPr>
          <w:sz w:val="20"/>
          <w:szCs w:val="20"/>
          <w:color w:val="auto"/>
        </w:rPr>
      </w:pPr>
    </w:p>
    <w:p>
      <w:pPr>
        <w:ind w:left="412" w:hanging="419"/>
        <w:spacing w:after="0" w:line="248" w:lineRule="auto"/>
        <w:tabs>
          <w:tab w:leader="none" w:pos="392"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b w:val="1"/>
          <w:bCs w:val="1"/>
          <w:color w:val="auto"/>
        </w:rPr>
        <w:t>Security Breach</w:t>
      </w:r>
      <w:r>
        <w:rPr>
          <w:rFonts w:ascii="Times New Roman" w:cs="Times New Roman" w:eastAsia="Times New Roman" w:hAnsi="Times New Roman"/>
          <w:sz w:val="18"/>
          <w:szCs w:val="18"/>
          <w:color w:val="auto"/>
        </w:rPr>
        <w:t>. Counterparty will report to GSK by email to [***] any verified accidental, unauthorised or unlawful use, loss, destruction,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access, corruption, modification, sale, rental or other Processing of any GSK Data (a “Security Breach”) within [***] of Counterparty’s verification. Counterparty will activate and follow the requirements of Counterparty’s incident response plan, including requirements and processes for post-mortem reviews, root cause analysis and remediation plans and timelines. As information about the root cause and implications of the Security Breach become known, Counterparty will provide to GSK any further information regarding the nature and consequences of the Security Breach, including any information shared with other customers of Counterparty.</w:t>
      </w:r>
    </w:p>
    <w:p>
      <w:pPr>
        <w:spacing w:after="0" w:line="331" w:lineRule="exact"/>
        <w:rPr>
          <w:sz w:val="20"/>
          <w:szCs w:val="20"/>
          <w:color w:val="auto"/>
        </w:rPr>
      </w:pPr>
    </w:p>
    <w:p>
      <w:pPr>
        <w:ind w:left="412" w:hanging="412"/>
        <w:spacing w:after="0"/>
        <w:tabs>
          <w:tab w:leader="none" w:pos="412" w:val="left"/>
        </w:tabs>
        <w:numPr>
          <w:ilvl w:val="0"/>
          <w:numId w:val="6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w:t>
      </w:r>
    </w:p>
    <w:p>
      <w:pPr>
        <w:spacing w:after="0" w:line="121" w:lineRule="exact"/>
        <w:rPr>
          <w:sz w:val="20"/>
          <w:szCs w:val="20"/>
          <w:color w:val="auto"/>
        </w:rPr>
      </w:pPr>
    </w:p>
    <w:p>
      <w:pPr>
        <w:ind w:left="412" w:right="240" w:hanging="419"/>
        <w:spacing w:after="0" w:line="270" w:lineRule="auto"/>
        <w:tabs>
          <w:tab w:leader="none" w:pos="392"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color w:val="auto"/>
        </w:rPr>
        <w:t>Counterparty Self-Assessment</w:t>
      </w:r>
      <w:r>
        <w:rPr>
          <w:rFonts w:ascii="Times New Roman" w:cs="Times New Roman" w:eastAsia="Times New Roman" w:hAnsi="Times New Roman"/>
          <w:sz w:val="18"/>
          <w:szCs w:val="18"/>
          <w:color w:val="auto"/>
        </w:rPr>
        <w:t>. Counterparty will conduct not less than annually a self-assessment of its compliance with all requirements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this Schedule.</w:t>
      </w:r>
    </w:p>
    <w:p>
      <w:pPr>
        <w:spacing w:after="0" w:line="73" w:lineRule="exact"/>
        <w:rPr>
          <w:sz w:val="20"/>
          <w:szCs w:val="20"/>
          <w:color w:val="auto"/>
        </w:rPr>
      </w:pPr>
    </w:p>
    <w:p>
      <w:pPr>
        <w:ind w:left="412" w:hanging="419"/>
        <w:spacing w:after="0" w:line="277" w:lineRule="auto"/>
        <w:tabs>
          <w:tab w:leader="none" w:pos="392"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6"/>
          <w:szCs w:val="16"/>
          <w:b w:val="1"/>
          <w:bCs w:val="1"/>
          <w:color w:val="auto"/>
        </w:rPr>
        <w:t>GSK Audit Rights</w:t>
      </w:r>
      <w:r>
        <w:rPr>
          <w:rFonts w:ascii="Times New Roman" w:cs="Times New Roman" w:eastAsia="Times New Roman" w:hAnsi="Times New Roman"/>
          <w:sz w:val="16"/>
          <w:szCs w:val="16"/>
          <w:color w:val="auto"/>
        </w:rPr>
        <w:t>. GSK or its representatives may inspect, examine and review the systems, records, data, practices and procedures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Counterparty (and its Subcontractors) that are used in rendering the Services or any technical, consulting or related professional services under the Agreement to verify the integrity of GSK Data and Counterparty’s compliance with the confidentiality, data protection and security requirements of the Agreement, including this Schedule; provided that: (i) any such GSK audit will be conducted only during business hours and upon reasonable prior notice to Counterparty, and not more often than once annually, unless a Security Breach (defined in the Security Breach clause) has occurred within [***] or in the case of an audit conducted by a regulatory authority, in which case notice may be reduced; (ii) such access may be subject to Tempus’s reasonable and standard policies and procedures with respect to privacy, confidentiality, security, and safety, but only to the extent such policies and procedures do not materially impact the purpose of the applicable audit, or conflict with the terms of this Agreement; and</w:t>
      </w:r>
    </w:p>
    <w:p>
      <w:pPr>
        <w:spacing w:after="0" w:line="2" w:lineRule="exact"/>
        <w:rPr>
          <w:sz w:val="20"/>
          <w:szCs w:val="20"/>
          <w:color w:val="auto"/>
        </w:rPr>
      </w:pPr>
    </w:p>
    <w:p>
      <w:pPr>
        <w:jc w:val="both"/>
        <w:ind w:left="412" w:right="400" w:firstLine="8"/>
        <w:spacing w:after="0" w:line="244" w:lineRule="auto"/>
        <w:tabs>
          <w:tab w:leader="none" w:pos="715"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use Commercially Reasonable Efforts to provide such access as may be requested by GSK pursuant to this Section 5.2 in a manner that comports with any such reasonable and standard policies and procedures to the fullest extent practicable. GSK will comply with Counterparty’s reasonable security requirements while conducting any audit. GSK will bear its own expenses, and Counterparty and its Subcontractors will reasonably cooperate with GSK and its designated auditors, in connection with any audit.</w:t>
      </w:r>
    </w:p>
    <w:p>
      <w:pPr>
        <w:sectPr>
          <w:pgSz w:w="11900" w:h="16838" w:orient="portrait"/>
          <w:cols w:equalWidth="0" w:num="1">
            <w:col w:w="10692"/>
          </w:cols>
          <w:pgMar w:left="588" w:top="264" w:right="619" w:bottom="1440" w:gutter="0" w:footer="0" w:header="0"/>
        </w:sectPr>
      </w:pPr>
    </w:p>
    <w:bookmarkStart w:id="698" w:name="page699"/>
    <w:bookmarkEnd w:id="698"/>
    <w:p>
      <w:pPr>
        <w:ind w:left="4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10 – PRICING [***]</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5"/>
        </w:trPr>
        <w:tc>
          <w:tcPr>
            <w:tcW w:w="1720" w:type="dxa"/>
            <w:vAlign w:val="bottom"/>
          </w:tcPr>
          <w:p>
            <w:pPr>
              <w:jc w:val="right"/>
              <w:ind w:right="1254"/>
              <w:spacing w:after="0" w:line="185" w:lineRule="exact"/>
              <w:rPr>
                <w:sz w:val="20"/>
                <w:szCs w:val="20"/>
                <w:color w:val="auto"/>
              </w:rPr>
            </w:pPr>
            <w:r>
              <w:rPr>
                <w:rFonts w:ascii="Times New Roman" w:cs="Times New Roman" w:eastAsia="Times New Roman" w:hAnsi="Times New Roman"/>
                <w:sz w:val="18"/>
                <w:szCs w:val="18"/>
                <w:color w:val="auto"/>
                <w:w w:val="92"/>
              </w:rPr>
              <w:t>[***]</w:t>
            </w:r>
          </w:p>
        </w:tc>
        <w:tc>
          <w:tcPr>
            <w:tcW w:w="320" w:type="dxa"/>
            <w:vAlign w:val="bottom"/>
            <w:tcBorders>
              <w:top w:val="single" w:sz="8" w:color="auto"/>
            </w:tcBorders>
          </w:tcPr>
          <w:p>
            <w:pPr>
              <w:spacing w:after="0"/>
              <w:rPr>
                <w:sz w:val="16"/>
                <w:szCs w:val="16"/>
                <w:color w:val="auto"/>
              </w:rPr>
            </w:pPr>
          </w:p>
        </w:tc>
        <w:tc>
          <w:tcPr>
            <w:tcW w:w="3400" w:type="dxa"/>
            <w:vAlign w:val="bottom"/>
          </w:tcPr>
          <w:p>
            <w:pPr>
              <w:jc w:val="right"/>
              <w:ind w:right="1094"/>
              <w:spacing w:after="0" w:line="185"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spacing w:after="0"/>
              <w:rPr>
                <w:sz w:val="16"/>
                <w:szCs w:val="16"/>
                <w:color w:val="auto"/>
              </w:rPr>
            </w:pPr>
          </w:p>
        </w:tc>
        <w:tc>
          <w:tcPr>
            <w:tcW w:w="3140" w:type="dxa"/>
            <w:vAlign w:val="bottom"/>
          </w:tcPr>
          <w:p>
            <w:pPr>
              <w:jc w:val="right"/>
              <w:ind w:right="1014"/>
              <w:spacing w:after="0" w:line="185"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spacing w:after="0"/>
              <w:rPr>
                <w:sz w:val="16"/>
                <w:szCs w:val="16"/>
                <w:color w:val="auto"/>
              </w:rPr>
            </w:pPr>
          </w:p>
        </w:tc>
      </w:tr>
      <w:tr>
        <w:trPr>
          <w:trHeight w:val="210"/>
        </w:trPr>
        <w:tc>
          <w:tcPr>
            <w:tcW w:w="1720" w:type="dxa"/>
            <w:vAlign w:val="bottom"/>
          </w:tcPr>
          <w:p>
            <w:pPr>
              <w:jc w:val="right"/>
              <w:ind w:right="1254"/>
              <w:spacing w:after="0"/>
              <w:rPr>
                <w:sz w:val="20"/>
                <w:szCs w:val="20"/>
                <w:color w:val="auto"/>
              </w:rPr>
            </w:pPr>
            <w:r>
              <w:rPr>
                <w:rFonts w:ascii="Times New Roman" w:cs="Times New Roman" w:eastAsia="Times New Roman" w:hAnsi="Times New Roman"/>
                <w:sz w:val="18"/>
                <w:szCs w:val="18"/>
                <w:color w:val="auto"/>
                <w:w w:val="92"/>
              </w:rPr>
              <w:t>[***]</w:t>
            </w:r>
          </w:p>
        </w:tc>
        <w:tc>
          <w:tcPr>
            <w:tcW w:w="320" w:type="dxa"/>
            <w:vAlign w:val="bottom"/>
          </w:tcPr>
          <w:p>
            <w:pPr>
              <w:spacing w:after="0"/>
              <w:rPr>
                <w:sz w:val="18"/>
                <w:szCs w:val="18"/>
                <w:color w:val="auto"/>
              </w:rPr>
            </w:pPr>
          </w:p>
        </w:tc>
        <w:tc>
          <w:tcPr>
            <w:tcW w:w="340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140" w:type="dxa"/>
            <w:vAlign w:val="bottom"/>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r>
      <w:tr>
        <w:trPr>
          <w:trHeight w:val="210"/>
        </w:trPr>
        <w:tc>
          <w:tcPr>
            <w:tcW w:w="1720" w:type="dxa"/>
            <w:vAlign w:val="bottom"/>
          </w:tcPr>
          <w:p>
            <w:pPr>
              <w:jc w:val="right"/>
              <w:ind w:right="1254"/>
              <w:spacing w:after="0"/>
              <w:rPr>
                <w:sz w:val="20"/>
                <w:szCs w:val="20"/>
                <w:color w:val="auto"/>
              </w:rPr>
            </w:pPr>
            <w:r>
              <w:rPr>
                <w:rFonts w:ascii="Times New Roman" w:cs="Times New Roman" w:eastAsia="Times New Roman" w:hAnsi="Times New Roman"/>
                <w:sz w:val="18"/>
                <w:szCs w:val="18"/>
                <w:color w:val="auto"/>
                <w:w w:val="92"/>
              </w:rPr>
              <w:t>[***]</w:t>
            </w:r>
          </w:p>
        </w:tc>
        <w:tc>
          <w:tcPr>
            <w:tcW w:w="320" w:type="dxa"/>
            <w:vAlign w:val="bottom"/>
          </w:tcPr>
          <w:p>
            <w:pPr>
              <w:spacing w:after="0"/>
              <w:rPr>
                <w:sz w:val="18"/>
                <w:szCs w:val="18"/>
                <w:color w:val="auto"/>
              </w:rPr>
            </w:pPr>
          </w:p>
        </w:tc>
        <w:tc>
          <w:tcPr>
            <w:tcW w:w="340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140" w:type="dxa"/>
            <w:vAlign w:val="bottom"/>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r>
      <w:tr>
        <w:trPr>
          <w:trHeight w:val="210"/>
        </w:trPr>
        <w:tc>
          <w:tcPr>
            <w:tcW w:w="1720" w:type="dxa"/>
            <w:vAlign w:val="bottom"/>
          </w:tcPr>
          <w:p>
            <w:pPr>
              <w:jc w:val="right"/>
              <w:ind w:right="1254"/>
              <w:spacing w:after="0"/>
              <w:rPr>
                <w:sz w:val="20"/>
                <w:szCs w:val="20"/>
                <w:color w:val="auto"/>
              </w:rPr>
            </w:pPr>
            <w:r>
              <w:rPr>
                <w:rFonts w:ascii="Times New Roman" w:cs="Times New Roman" w:eastAsia="Times New Roman" w:hAnsi="Times New Roman"/>
                <w:sz w:val="18"/>
                <w:szCs w:val="18"/>
                <w:color w:val="auto"/>
                <w:w w:val="92"/>
              </w:rPr>
              <w:t>[***]</w:t>
            </w:r>
          </w:p>
        </w:tc>
        <w:tc>
          <w:tcPr>
            <w:tcW w:w="320" w:type="dxa"/>
            <w:vAlign w:val="bottom"/>
          </w:tcPr>
          <w:p>
            <w:pPr>
              <w:spacing w:after="0"/>
              <w:rPr>
                <w:sz w:val="18"/>
                <w:szCs w:val="18"/>
                <w:color w:val="auto"/>
              </w:rPr>
            </w:pPr>
          </w:p>
        </w:tc>
        <w:tc>
          <w:tcPr>
            <w:tcW w:w="340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140" w:type="dxa"/>
            <w:vAlign w:val="bottom"/>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r>
      <w:tr>
        <w:trPr>
          <w:trHeight w:val="210"/>
        </w:trPr>
        <w:tc>
          <w:tcPr>
            <w:tcW w:w="1720" w:type="dxa"/>
            <w:vAlign w:val="bottom"/>
          </w:tcPr>
          <w:p>
            <w:pPr>
              <w:jc w:val="right"/>
              <w:ind w:right="1254"/>
              <w:spacing w:after="0"/>
              <w:rPr>
                <w:sz w:val="20"/>
                <w:szCs w:val="20"/>
                <w:color w:val="auto"/>
              </w:rPr>
            </w:pPr>
            <w:r>
              <w:rPr>
                <w:rFonts w:ascii="Times New Roman" w:cs="Times New Roman" w:eastAsia="Times New Roman" w:hAnsi="Times New Roman"/>
                <w:sz w:val="18"/>
                <w:szCs w:val="18"/>
                <w:color w:val="auto"/>
                <w:w w:val="92"/>
              </w:rPr>
              <w:t>[***]</w:t>
            </w:r>
          </w:p>
        </w:tc>
        <w:tc>
          <w:tcPr>
            <w:tcW w:w="320" w:type="dxa"/>
            <w:vAlign w:val="bottom"/>
          </w:tcPr>
          <w:p>
            <w:pPr>
              <w:spacing w:after="0"/>
              <w:rPr>
                <w:sz w:val="18"/>
                <w:szCs w:val="18"/>
                <w:color w:val="auto"/>
              </w:rPr>
            </w:pPr>
          </w:p>
        </w:tc>
        <w:tc>
          <w:tcPr>
            <w:tcW w:w="340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140" w:type="dxa"/>
            <w:vAlign w:val="bottom"/>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r>
      <w:tr>
        <w:trPr>
          <w:trHeight w:val="210"/>
        </w:trPr>
        <w:tc>
          <w:tcPr>
            <w:tcW w:w="1720" w:type="dxa"/>
            <w:vAlign w:val="bottom"/>
          </w:tcPr>
          <w:p>
            <w:pPr>
              <w:jc w:val="right"/>
              <w:ind w:right="1254"/>
              <w:spacing w:after="0"/>
              <w:rPr>
                <w:sz w:val="20"/>
                <w:szCs w:val="20"/>
                <w:color w:val="auto"/>
              </w:rPr>
            </w:pPr>
            <w:r>
              <w:rPr>
                <w:rFonts w:ascii="Times New Roman" w:cs="Times New Roman" w:eastAsia="Times New Roman" w:hAnsi="Times New Roman"/>
                <w:sz w:val="18"/>
                <w:szCs w:val="18"/>
                <w:color w:val="auto"/>
                <w:w w:val="92"/>
              </w:rPr>
              <w:t>[***]</w:t>
            </w:r>
          </w:p>
        </w:tc>
        <w:tc>
          <w:tcPr>
            <w:tcW w:w="320" w:type="dxa"/>
            <w:vAlign w:val="bottom"/>
          </w:tcPr>
          <w:p>
            <w:pPr>
              <w:spacing w:after="0"/>
              <w:rPr>
                <w:sz w:val="18"/>
                <w:szCs w:val="18"/>
                <w:color w:val="auto"/>
              </w:rPr>
            </w:pPr>
          </w:p>
        </w:tc>
        <w:tc>
          <w:tcPr>
            <w:tcW w:w="340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140" w:type="dxa"/>
            <w:vAlign w:val="bottom"/>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r>
      <w:tr>
        <w:trPr>
          <w:trHeight w:val="210"/>
        </w:trPr>
        <w:tc>
          <w:tcPr>
            <w:tcW w:w="1720" w:type="dxa"/>
            <w:vAlign w:val="bottom"/>
          </w:tcPr>
          <w:p>
            <w:pPr>
              <w:jc w:val="right"/>
              <w:ind w:right="1254"/>
              <w:spacing w:after="0"/>
              <w:rPr>
                <w:sz w:val="20"/>
                <w:szCs w:val="20"/>
                <w:color w:val="auto"/>
              </w:rPr>
            </w:pPr>
            <w:r>
              <w:rPr>
                <w:rFonts w:ascii="Times New Roman" w:cs="Times New Roman" w:eastAsia="Times New Roman" w:hAnsi="Times New Roman"/>
                <w:sz w:val="18"/>
                <w:szCs w:val="18"/>
                <w:color w:val="auto"/>
                <w:w w:val="92"/>
              </w:rPr>
              <w:t>[***]</w:t>
            </w:r>
          </w:p>
        </w:tc>
        <w:tc>
          <w:tcPr>
            <w:tcW w:w="320" w:type="dxa"/>
            <w:vAlign w:val="bottom"/>
          </w:tcPr>
          <w:p>
            <w:pPr>
              <w:spacing w:after="0"/>
              <w:rPr>
                <w:sz w:val="18"/>
                <w:szCs w:val="18"/>
                <w:color w:val="auto"/>
              </w:rPr>
            </w:pPr>
          </w:p>
        </w:tc>
        <w:tc>
          <w:tcPr>
            <w:tcW w:w="340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140" w:type="dxa"/>
            <w:vAlign w:val="bottom"/>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r>
      <w:tr>
        <w:trPr>
          <w:trHeight w:val="210"/>
        </w:trPr>
        <w:tc>
          <w:tcPr>
            <w:tcW w:w="1720" w:type="dxa"/>
            <w:vAlign w:val="bottom"/>
          </w:tcPr>
          <w:p>
            <w:pPr>
              <w:jc w:val="right"/>
              <w:ind w:right="1254"/>
              <w:spacing w:after="0"/>
              <w:rPr>
                <w:sz w:val="20"/>
                <w:szCs w:val="20"/>
                <w:color w:val="auto"/>
              </w:rPr>
            </w:pPr>
            <w:r>
              <w:rPr>
                <w:rFonts w:ascii="Times New Roman" w:cs="Times New Roman" w:eastAsia="Times New Roman" w:hAnsi="Times New Roman"/>
                <w:sz w:val="18"/>
                <w:szCs w:val="18"/>
                <w:color w:val="auto"/>
                <w:w w:val="92"/>
              </w:rPr>
              <w:t>[***]</w:t>
            </w:r>
          </w:p>
        </w:tc>
        <w:tc>
          <w:tcPr>
            <w:tcW w:w="320" w:type="dxa"/>
            <w:vAlign w:val="bottom"/>
          </w:tcPr>
          <w:p>
            <w:pPr>
              <w:spacing w:after="0"/>
              <w:rPr>
                <w:sz w:val="18"/>
                <w:szCs w:val="18"/>
                <w:color w:val="auto"/>
              </w:rPr>
            </w:pPr>
          </w:p>
        </w:tc>
        <w:tc>
          <w:tcPr>
            <w:tcW w:w="340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140" w:type="dxa"/>
            <w:vAlign w:val="bottom"/>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r>
      <w:tr>
        <w:trPr>
          <w:trHeight w:val="210"/>
        </w:trPr>
        <w:tc>
          <w:tcPr>
            <w:tcW w:w="1720" w:type="dxa"/>
            <w:vAlign w:val="bottom"/>
          </w:tcPr>
          <w:p>
            <w:pPr>
              <w:jc w:val="right"/>
              <w:ind w:right="1254"/>
              <w:spacing w:after="0"/>
              <w:rPr>
                <w:sz w:val="20"/>
                <w:szCs w:val="20"/>
                <w:color w:val="auto"/>
              </w:rPr>
            </w:pPr>
            <w:r>
              <w:rPr>
                <w:rFonts w:ascii="Times New Roman" w:cs="Times New Roman" w:eastAsia="Times New Roman" w:hAnsi="Times New Roman"/>
                <w:sz w:val="18"/>
                <w:szCs w:val="18"/>
                <w:color w:val="auto"/>
                <w:w w:val="92"/>
              </w:rPr>
              <w:t>[***]</w:t>
            </w:r>
          </w:p>
        </w:tc>
        <w:tc>
          <w:tcPr>
            <w:tcW w:w="320" w:type="dxa"/>
            <w:vAlign w:val="bottom"/>
          </w:tcPr>
          <w:p>
            <w:pPr>
              <w:spacing w:after="0"/>
              <w:rPr>
                <w:sz w:val="18"/>
                <w:szCs w:val="18"/>
                <w:color w:val="auto"/>
              </w:rPr>
            </w:pPr>
          </w:p>
        </w:tc>
        <w:tc>
          <w:tcPr>
            <w:tcW w:w="340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140" w:type="dxa"/>
            <w:vAlign w:val="bottom"/>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r>
      <w:tr>
        <w:trPr>
          <w:trHeight w:val="210"/>
        </w:trPr>
        <w:tc>
          <w:tcPr>
            <w:tcW w:w="1720" w:type="dxa"/>
            <w:vAlign w:val="bottom"/>
          </w:tcPr>
          <w:p>
            <w:pPr>
              <w:jc w:val="right"/>
              <w:ind w:right="1254"/>
              <w:spacing w:after="0"/>
              <w:rPr>
                <w:sz w:val="20"/>
                <w:szCs w:val="20"/>
                <w:color w:val="auto"/>
              </w:rPr>
            </w:pPr>
            <w:r>
              <w:rPr>
                <w:rFonts w:ascii="Times New Roman" w:cs="Times New Roman" w:eastAsia="Times New Roman" w:hAnsi="Times New Roman"/>
                <w:sz w:val="18"/>
                <w:szCs w:val="18"/>
                <w:color w:val="auto"/>
                <w:w w:val="92"/>
              </w:rPr>
              <w:t>[***]</w:t>
            </w:r>
          </w:p>
        </w:tc>
        <w:tc>
          <w:tcPr>
            <w:tcW w:w="320" w:type="dxa"/>
            <w:vAlign w:val="bottom"/>
          </w:tcPr>
          <w:p>
            <w:pPr>
              <w:spacing w:after="0"/>
              <w:rPr>
                <w:sz w:val="18"/>
                <w:szCs w:val="18"/>
                <w:color w:val="auto"/>
              </w:rPr>
            </w:pPr>
          </w:p>
        </w:tc>
        <w:tc>
          <w:tcPr>
            <w:tcW w:w="340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140" w:type="dxa"/>
            <w:vAlign w:val="bottom"/>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r>
      <w:tr>
        <w:trPr>
          <w:trHeight w:val="210"/>
        </w:trPr>
        <w:tc>
          <w:tcPr>
            <w:tcW w:w="1720" w:type="dxa"/>
            <w:vAlign w:val="bottom"/>
          </w:tcPr>
          <w:p>
            <w:pPr>
              <w:jc w:val="right"/>
              <w:ind w:right="1254"/>
              <w:spacing w:after="0"/>
              <w:rPr>
                <w:sz w:val="20"/>
                <w:szCs w:val="20"/>
                <w:color w:val="auto"/>
              </w:rPr>
            </w:pPr>
            <w:r>
              <w:rPr>
                <w:rFonts w:ascii="Times New Roman" w:cs="Times New Roman" w:eastAsia="Times New Roman" w:hAnsi="Times New Roman"/>
                <w:sz w:val="18"/>
                <w:szCs w:val="18"/>
                <w:color w:val="auto"/>
                <w:w w:val="92"/>
              </w:rPr>
              <w:t>[***]</w:t>
            </w:r>
          </w:p>
        </w:tc>
        <w:tc>
          <w:tcPr>
            <w:tcW w:w="320" w:type="dxa"/>
            <w:vAlign w:val="bottom"/>
          </w:tcPr>
          <w:p>
            <w:pPr>
              <w:spacing w:after="0"/>
              <w:rPr>
                <w:sz w:val="18"/>
                <w:szCs w:val="18"/>
                <w:color w:val="auto"/>
              </w:rPr>
            </w:pPr>
          </w:p>
        </w:tc>
        <w:tc>
          <w:tcPr>
            <w:tcW w:w="340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140" w:type="dxa"/>
            <w:vAlign w:val="bottom"/>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r>
      <w:tr>
        <w:trPr>
          <w:trHeight w:val="210"/>
        </w:trPr>
        <w:tc>
          <w:tcPr>
            <w:tcW w:w="1720" w:type="dxa"/>
            <w:vAlign w:val="bottom"/>
          </w:tcPr>
          <w:p>
            <w:pPr>
              <w:jc w:val="right"/>
              <w:ind w:right="1254"/>
              <w:spacing w:after="0"/>
              <w:rPr>
                <w:sz w:val="20"/>
                <w:szCs w:val="20"/>
                <w:color w:val="auto"/>
              </w:rPr>
            </w:pPr>
            <w:r>
              <w:rPr>
                <w:rFonts w:ascii="Times New Roman" w:cs="Times New Roman" w:eastAsia="Times New Roman" w:hAnsi="Times New Roman"/>
                <w:sz w:val="18"/>
                <w:szCs w:val="18"/>
                <w:color w:val="auto"/>
                <w:w w:val="92"/>
              </w:rPr>
              <w:t>[***]</w:t>
            </w:r>
          </w:p>
        </w:tc>
        <w:tc>
          <w:tcPr>
            <w:tcW w:w="320" w:type="dxa"/>
            <w:vAlign w:val="bottom"/>
          </w:tcPr>
          <w:p>
            <w:pPr>
              <w:spacing w:after="0"/>
              <w:rPr>
                <w:sz w:val="18"/>
                <w:szCs w:val="18"/>
                <w:color w:val="auto"/>
              </w:rPr>
            </w:pPr>
          </w:p>
        </w:tc>
        <w:tc>
          <w:tcPr>
            <w:tcW w:w="340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140" w:type="dxa"/>
            <w:vAlign w:val="bottom"/>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r>
      <w:tr>
        <w:trPr>
          <w:trHeight w:val="210"/>
        </w:trPr>
        <w:tc>
          <w:tcPr>
            <w:tcW w:w="1720" w:type="dxa"/>
            <w:vAlign w:val="bottom"/>
          </w:tcPr>
          <w:p>
            <w:pPr>
              <w:jc w:val="right"/>
              <w:ind w:right="1254"/>
              <w:spacing w:after="0"/>
              <w:rPr>
                <w:sz w:val="20"/>
                <w:szCs w:val="20"/>
                <w:color w:val="auto"/>
              </w:rPr>
            </w:pPr>
            <w:r>
              <w:rPr>
                <w:rFonts w:ascii="Times New Roman" w:cs="Times New Roman" w:eastAsia="Times New Roman" w:hAnsi="Times New Roman"/>
                <w:sz w:val="18"/>
                <w:szCs w:val="18"/>
                <w:color w:val="auto"/>
                <w:w w:val="92"/>
              </w:rPr>
              <w:t>[***]</w:t>
            </w:r>
          </w:p>
        </w:tc>
        <w:tc>
          <w:tcPr>
            <w:tcW w:w="320" w:type="dxa"/>
            <w:vAlign w:val="bottom"/>
          </w:tcPr>
          <w:p>
            <w:pPr>
              <w:spacing w:after="0"/>
              <w:rPr>
                <w:sz w:val="18"/>
                <w:szCs w:val="18"/>
                <w:color w:val="auto"/>
              </w:rPr>
            </w:pPr>
          </w:p>
        </w:tc>
        <w:tc>
          <w:tcPr>
            <w:tcW w:w="340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140" w:type="dxa"/>
            <w:vAlign w:val="bottom"/>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r>
      <w:tr>
        <w:trPr>
          <w:trHeight w:val="228"/>
        </w:trPr>
        <w:tc>
          <w:tcPr>
            <w:tcW w:w="1720" w:type="dxa"/>
            <w:vAlign w:val="bottom"/>
          </w:tcPr>
          <w:p>
            <w:pPr>
              <w:jc w:val="right"/>
              <w:ind w:right="1254"/>
              <w:spacing w:after="0"/>
              <w:rPr>
                <w:sz w:val="20"/>
                <w:szCs w:val="20"/>
                <w:color w:val="auto"/>
              </w:rPr>
            </w:pPr>
            <w:r>
              <w:rPr>
                <w:rFonts w:ascii="Times New Roman" w:cs="Times New Roman" w:eastAsia="Times New Roman" w:hAnsi="Times New Roman"/>
                <w:sz w:val="18"/>
                <w:szCs w:val="18"/>
                <w:color w:val="auto"/>
                <w:w w:val="92"/>
              </w:rPr>
              <w:t>[***]</w:t>
            </w:r>
          </w:p>
        </w:tc>
        <w:tc>
          <w:tcPr>
            <w:tcW w:w="320" w:type="dxa"/>
            <w:vAlign w:val="bottom"/>
          </w:tcPr>
          <w:p>
            <w:pPr>
              <w:spacing w:after="0"/>
              <w:rPr>
                <w:sz w:val="19"/>
                <w:szCs w:val="19"/>
                <w:color w:val="auto"/>
              </w:rPr>
            </w:pPr>
          </w:p>
        </w:tc>
        <w:tc>
          <w:tcPr>
            <w:tcW w:w="340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3140" w:type="dxa"/>
            <w:vAlign w:val="bottom"/>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r>
    </w:tbl>
    <w:p>
      <w:pPr>
        <w:spacing w:after="0" w:line="19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i w:val="1"/>
          <w:iCs w:val="1"/>
          <w:color w:val="auto"/>
        </w:rPr>
        <w:t>The fee schedule above is current as of the Effective Date and subject to change [***].</w:t>
      </w:r>
    </w:p>
    <w:p>
      <w:pPr>
        <w:sectPr>
          <w:pgSz w:w="11900" w:h="16838" w:orient="portrait"/>
          <w:cols w:equalWidth="0" w:num="1">
            <w:col w:w="9879"/>
          </w:cols>
          <w:pgMar w:left="580" w:top="263" w:right="1440" w:bottom="1440" w:gutter="0" w:footer="0" w:header="0"/>
        </w:sectPr>
      </w:pPr>
    </w:p>
    <w:bookmarkStart w:id="699" w:name="page700"/>
    <w:bookmarkEnd w:id="699"/>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11 - MINIMUM SCIENTIFIC &amp; OPERATIONAL</w:t>
      </w:r>
    </w:p>
    <w:p>
      <w:pPr>
        <w:spacing w:after="0" w:line="23"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EXCELLENCE REQUIREMENTS</w:t>
      </w:r>
    </w:p>
    <w:p>
      <w:pPr>
        <w:spacing w:after="0" w:line="220" w:lineRule="exact"/>
        <w:rPr>
          <w:sz w:val="20"/>
          <w:szCs w:val="20"/>
          <w:color w:val="auto"/>
        </w:rPr>
      </w:pPr>
    </w:p>
    <w:p>
      <w:pPr>
        <w:ind w:left="412" w:right="260" w:hanging="412"/>
        <w:spacing w:after="0" w:line="256" w:lineRule="auto"/>
        <w:tabs>
          <w:tab w:leader="none" w:pos="412"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Personnel</w:t>
      </w:r>
      <w:r>
        <w:rPr>
          <w:rFonts w:ascii="Times New Roman" w:cs="Times New Roman" w:eastAsia="Times New Roman" w:hAnsi="Times New Roman"/>
          <w:sz w:val="18"/>
          <w:szCs w:val="18"/>
          <w:color w:val="auto"/>
        </w:rPr>
        <w:t>. For each Tempus Personnel involved in the performance of the Activities under this Agreement, Tempus shall define in formal job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descriptions, the respective job roles of such Personnel as well as the necessary and relevant experience, expertise, qualifications and competencies.</w:t>
      </w:r>
    </w:p>
    <w:p>
      <w:pPr>
        <w:spacing w:after="0" w:line="85" w:lineRule="exact"/>
        <w:rPr>
          <w:rFonts w:ascii="Times New Roman" w:cs="Times New Roman" w:eastAsia="Times New Roman" w:hAnsi="Times New Roman"/>
          <w:sz w:val="18"/>
          <w:szCs w:val="18"/>
          <w:color w:val="auto"/>
        </w:rPr>
      </w:pPr>
    </w:p>
    <w:p>
      <w:pPr>
        <w:ind w:left="412" w:hanging="412"/>
        <w:spacing w:after="0" w:line="270" w:lineRule="auto"/>
        <w:tabs>
          <w:tab w:leader="none" w:pos="412"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Facilities</w:t>
      </w:r>
      <w:r>
        <w:rPr>
          <w:rFonts w:ascii="Times New Roman" w:cs="Times New Roman" w:eastAsia="Times New Roman" w:hAnsi="Times New Roman"/>
          <w:sz w:val="18"/>
          <w:szCs w:val="18"/>
          <w:color w:val="auto"/>
        </w:rPr>
        <w:t>. Facilities in which the Activities will be performed should be of adequate size, construction and location to provide an effective, secure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safe environment conducive to the work in hand.</w:t>
      </w:r>
    </w:p>
    <w:p>
      <w:pPr>
        <w:spacing w:after="0" w:line="308"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Equipment, Materials and Reagents</w:t>
      </w:r>
      <w:r>
        <w:rPr>
          <w:rFonts w:ascii="Times New Roman" w:cs="Times New Roman" w:eastAsia="Times New Roman" w:hAnsi="Times New Roman"/>
          <w:sz w:val="18"/>
          <w:szCs w:val="18"/>
          <w:color w:val="auto"/>
        </w:rPr>
        <w:t>.</w:t>
      </w:r>
    </w:p>
    <w:p>
      <w:pPr>
        <w:spacing w:after="0" w:line="123" w:lineRule="exact"/>
        <w:rPr>
          <w:rFonts w:ascii="Times New Roman" w:cs="Times New Roman" w:eastAsia="Times New Roman" w:hAnsi="Times New Roman"/>
          <w:sz w:val="18"/>
          <w:szCs w:val="18"/>
          <w:color w:val="auto"/>
        </w:rPr>
      </w:pPr>
    </w:p>
    <w:p>
      <w:pPr>
        <w:ind w:left="1052" w:right="100" w:hanging="632"/>
        <w:spacing w:after="0" w:line="331" w:lineRule="auto"/>
        <w:tabs>
          <w:tab w:leader="none" w:pos="1052" w:val="left"/>
        </w:tabs>
        <w:numPr>
          <w:ilvl w:val="1"/>
          <w:numId w:val="6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Equipment used to perform the Activities shall be appropriate and functioning properly. This can be ensured by appropriate installation, regular maintenance and proper use. Equipment maintenance and commissioning should be documented and archived adequately.</w:t>
      </w:r>
    </w:p>
    <w:p>
      <w:pPr>
        <w:spacing w:after="0" w:line="30" w:lineRule="exact"/>
        <w:rPr>
          <w:rFonts w:ascii="Times New Roman" w:cs="Times New Roman" w:eastAsia="Times New Roman" w:hAnsi="Times New Roman"/>
          <w:sz w:val="16"/>
          <w:szCs w:val="16"/>
          <w:color w:val="auto"/>
        </w:rPr>
      </w:pPr>
    </w:p>
    <w:p>
      <w:pPr>
        <w:ind w:left="1052" w:right="860" w:hanging="632"/>
        <w:spacing w:after="0" w:line="267" w:lineRule="auto"/>
        <w:tabs>
          <w:tab w:leader="none" w:pos="1052" w:val="left"/>
        </w:tabs>
        <w:numPr>
          <w:ilvl w:val="1"/>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labelling of any chemicals and biological reagents should be used to demonstrate their identification and storage requirements.</w:t>
      </w:r>
    </w:p>
    <w:p>
      <w:pPr>
        <w:spacing w:after="0" w:line="77" w:lineRule="exact"/>
        <w:rPr>
          <w:rFonts w:ascii="Times New Roman" w:cs="Times New Roman" w:eastAsia="Times New Roman" w:hAnsi="Times New Roman"/>
          <w:sz w:val="18"/>
          <w:szCs w:val="18"/>
          <w:color w:val="auto"/>
        </w:rPr>
      </w:pPr>
    </w:p>
    <w:p>
      <w:pPr>
        <w:ind w:left="1052" w:right="60" w:hanging="632"/>
        <w:spacing w:after="0" w:line="255" w:lineRule="auto"/>
        <w:tabs>
          <w:tab w:leader="none" w:pos="1052" w:val="left"/>
        </w:tabs>
        <w:numPr>
          <w:ilvl w:val="1"/>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equipment, material and reagents to carry out the Activities shall be documented, at minimum, in accordance with the recommendations set forth by the International Committee of Medical Journal Editors for the conduct, reporting, editing and publication of scholarly work in medical journals (refer to www.ICMJE.org).</w:t>
      </w:r>
    </w:p>
    <w:p>
      <w:pPr>
        <w:spacing w:after="0" w:line="86" w:lineRule="exact"/>
        <w:rPr>
          <w:rFonts w:ascii="Times New Roman" w:cs="Times New Roman" w:eastAsia="Times New Roman" w:hAnsi="Times New Roman"/>
          <w:sz w:val="18"/>
          <w:szCs w:val="18"/>
          <w:color w:val="auto"/>
        </w:rPr>
      </w:pPr>
    </w:p>
    <w:p>
      <w:pPr>
        <w:ind w:left="412" w:right="40" w:hanging="412"/>
        <w:spacing w:after="0" w:line="293" w:lineRule="auto"/>
        <w:tabs>
          <w:tab w:leader="none" w:pos="412" w:val="left"/>
        </w:tabs>
        <w:numPr>
          <w:ilvl w:val="0"/>
          <w:numId w:val="6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Quality Systems</w:t>
      </w:r>
      <w:r>
        <w:rPr>
          <w:rFonts w:ascii="Times New Roman" w:cs="Times New Roman" w:eastAsia="Times New Roman" w:hAnsi="Times New Roman"/>
          <w:sz w:val="16"/>
          <w:szCs w:val="16"/>
          <w:color w:val="auto"/>
        </w:rPr>
        <w:t>. Tempus shall monitor the Activities during the Term to assure that overall quality is under appropriate control, to initiate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corrective actions and prevent recurrence of issues as well as to ensure that the appropriate resources to carry out the Activities under this Agreement are made available. Tempus will report to GSK in a timely manner any significant event identified by its Personnel, including without limitation, loss of or damage to GSK Supplied Material and any non-compliance with data integrity provisions under the Agreement.</w:t>
      </w:r>
    </w:p>
    <w:p>
      <w:pPr>
        <w:sectPr>
          <w:pgSz w:w="11900" w:h="16838" w:orient="portrait"/>
          <w:cols w:equalWidth="0" w:num="1">
            <w:col w:w="10652"/>
          </w:cols>
          <w:pgMar w:left="588" w:top="264" w:right="659" w:bottom="1440" w:gutter="0" w:footer="0" w:header="0"/>
        </w:sectPr>
      </w:pPr>
    </w:p>
    <w:bookmarkStart w:id="700" w:name="page701"/>
    <w:bookmarkEnd w:id="70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78040" cy="36830"/>
                    </a:xfrm>
                    <a:prstGeom prst="rect">
                      <a:avLst/>
                    </a:prstGeom>
                    <a:noFill/>
                  </pic:spPr>
                </pic:pic>
              </a:graphicData>
            </a:graphic>
          </wp:anchor>
        </w:drawing>
        <w:t>Schedule 12 - LICENSED DATA TERMS AND CONDITIONS</w:t>
      </w:r>
    </w:p>
    <w:p>
      <w:pPr>
        <w:spacing w:after="0" w:line="21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following standard terms and conditions (the “</w:t>
      </w:r>
      <w:r>
        <w:rPr>
          <w:rFonts w:ascii="Times New Roman" w:cs="Times New Roman" w:eastAsia="Times New Roman" w:hAnsi="Times New Roman"/>
          <w:sz w:val="18"/>
          <w:szCs w:val="18"/>
          <w:b w:val="1"/>
          <w:bCs w:val="1"/>
          <w:color w:val="auto"/>
        </w:rPr>
        <w:t>Licensed Data T&amp;C</w:t>
      </w:r>
      <w:r>
        <w:rPr>
          <w:rFonts w:ascii="Times New Roman" w:cs="Times New Roman" w:eastAsia="Times New Roman" w:hAnsi="Times New Roman"/>
          <w:sz w:val="18"/>
          <w:szCs w:val="18"/>
          <w:color w:val="auto"/>
        </w:rPr>
        <w:t>”) apply to GSK’s use of the Licensed Data pursuant to the underlying agreement to which the Schedules are attached (the “</w:t>
      </w:r>
      <w:r>
        <w:rPr>
          <w:rFonts w:ascii="Times New Roman" w:cs="Times New Roman" w:eastAsia="Times New Roman" w:hAnsi="Times New Roman"/>
          <w:sz w:val="18"/>
          <w:szCs w:val="18"/>
          <w:b w:val="1"/>
          <w:bCs w:val="1"/>
          <w:color w:val="auto"/>
        </w:rPr>
        <w:t>Underlying Agreement</w:t>
      </w:r>
      <w:r>
        <w:rPr>
          <w:rFonts w:ascii="Times New Roman" w:cs="Times New Roman" w:eastAsia="Times New Roman" w:hAnsi="Times New Roman"/>
          <w:sz w:val="18"/>
          <w:szCs w:val="18"/>
          <w:color w:val="auto"/>
        </w:rPr>
        <w:t>”), provided, that to the extent there is any conflict or inconsistency between the terms of the Agreement and the Licensed Data T&amp;C, the terms of the Underlying Agreement shall control in accordance with and subject to the acknowledgments and agreements set forth in Section 6.10 of the Underlying Agreement.</w:t>
      </w:r>
    </w:p>
    <w:p>
      <w:pPr>
        <w:spacing w:after="0" w:line="183" w:lineRule="exact"/>
        <w:rPr>
          <w:sz w:val="20"/>
          <w:szCs w:val="20"/>
          <w:color w:val="auto"/>
        </w:rPr>
      </w:pPr>
    </w:p>
    <w:p>
      <w:pPr>
        <w:ind w:right="100" w:firstLine="436"/>
        <w:spacing w:after="0" w:line="248" w:lineRule="auto"/>
        <w:tabs>
          <w:tab w:leader="none" w:pos="734"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 Grant to Licensed Data</w:t>
      </w:r>
      <w:r>
        <w:rPr>
          <w:rFonts w:ascii="Times New Roman" w:cs="Times New Roman" w:eastAsia="Times New Roman" w:hAnsi="Times New Roman"/>
          <w:sz w:val="18"/>
          <w:szCs w:val="18"/>
          <w:color w:val="auto"/>
        </w:rPr>
        <w:t>. Subject to the terms and conditions of the Underlying Agreement and payment of all fees set forth therein, Tempus hereby grants to GSK (“</w:t>
      </w:r>
      <w:r>
        <w:rPr>
          <w:rFonts w:ascii="Times New Roman" w:cs="Times New Roman" w:eastAsia="Times New Roman" w:hAnsi="Times New Roman"/>
          <w:sz w:val="18"/>
          <w:szCs w:val="18"/>
          <w:b w:val="1"/>
          <w:bCs w:val="1"/>
          <w:color w:val="auto"/>
        </w:rPr>
        <w:t>Client</w:t>
      </w:r>
      <w:r>
        <w:rPr>
          <w:rFonts w:ascii="Times New Roman" w:cs="Times New Roman" w:eastAsia="Times New Roman" w:hAnsi="Times New Roman"/>
          <w:sz w:val="18"/>
          <w:szCs w:val="18"/>
          <w:color w:val="auto"/>
        </w:rPr>
        <w:t>”) rights to use the Licensed Data during the Term, in accordance with and to give effect to the terms of the Underlying Agreement. Client shall ensure that any reproduction, display, disclosure or publication by Client of results obtained by Client from the use of Licensed Data (or the Licensed Data itself) shall be subject to appropriate attribution to Tempus with respect to the use and involvement of the Licensed Data obtained from Tempus (or its licensors) and any mutually agreed proprietary rights and disclaimer language with respect to the Licensed Data.</w:t>
      </w:r>
    </w:p>
    <w:p>
      <w:pPr>
        <w:spacing w:after="0" w:line="331"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06" w:lineRule="exact"/>
        <w:rPr>
          <w:rFonts w:ascii="Times New Roman" w:cs="Times New Roman" w:eastAsia="Times New Roman" w:hAnsi="Times New Roman"/>
          <w:sz w:val="18"/>
          <w:szCs w:val="18"/>
          <w:color w:val="auto"/>
        </w:rPr>
      </w:pPr>
    </w:p>
    <w:p>
      <w:pPr>
        <w:ind w:left="1260" w:hanging="288"/>
        <w:spacing w:after="0"/>
        <w:tabs>
          <w:tab w:leader="none" w:pos="1260" w:val="left"/>
        </w:tabs>
        <w:numPr>
          <w:ilvl w:val="1"/>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have the meaning set out in the Underlying Agreement.</w:t>
      </w:r>
    </w:p>
    <w:p>
      <w:pPr>
        <w:spacing w:after="0" w:line="213" w:lineRule="exact"/>
        <w:rPr>
          <w:rFonts w:ascii="Times New Roman" w:cs="Times New Roman" w:eastAsia="Times New Roman" w:hAnsi="Times New Roman"/>
          <w:sz w:val="18"/>
          <w:szCs w:val="18"/>
          <w:color w:val="auto"/>
        </w:rPr>
      </w:pPr>
    </w:p>
    <w:p>
      <w:pPr>
        <w:ind w:right="20" w:firstLine="972"/>
        <w:spacing w:after="0" w:line="246" w:lineRule="auto"/>
        <w:tabs>
          <w:tab w:leader="none" w:pos="1270" w:val="left"/>
        </w:tabs>
        <w:numPr>
          <w:ilvl w:val="1"/>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Users</w:t>
      </w:r>
      <w:r>
        <w:rPr>
          <w:rFonts w:ascii="Times New Roman" w:cs="Times New Roman" w:eastAsia="Times New Roman" w:hAnsi="Times New Roman"/>
          <w:sz w:val="18"/>
          <w:szCs w:val="18"/>
          <w:color w:val="auto"/>
        </w:rPr>
        <w:t>” means Client, its Affiliates, Personnel of Client or its Affiliates, and their Associated Parties (to the extent expressly permitted in the Underlying Agreement), provided that each such user shall be a named individual as notified to Tempus in writing notified by the GSK Alliance Director to the Tempus Alliance Director and subject to the terms of this Schedule, and GSK shall procure that such users acknowledge the terms of this Schedule. Additionally, each Authorized User shall be authorized by Client pursuant to its rigorous data access controls, and Client shall bear responsibility for the actions or inactions any Authorized Users that would, if performed by Client, constitute a breach of the Underlying Agreement. Each Authorized User shall be trained on the use of the Licensed Data and be made aware of the obligations of the Underlying Agreement, including the restrictions set forth in Section 3. As it relates to sign-on, the Parties shall work together, through the Data Oversight Committee and the JSC, to develop plans for single or aggregate sign-on for all Authorized Users, to allow GSK and Tempus and track sign-on and usage.</w:t>
      </w:r>
    </w:p>
    <w:p>
      <w:pPr>
        <w:spacing w:after="0" w:line="191" w:lineRule="exact"/>
        <w:rPr>
          <w:rFonts w:ascii="Times New Roman" w:cs="Times New Roman" w:eastAsia="Times New Roman" w:hAnsi="Times New Roman"/>
          <w:sz w:val="18"/>
          <w:szCs w:val="18"/>
          <w:color w:val="auto"/>
        </w:rPr>
      </w:pPr>
    </w:p>
    <w:p>
      <w:pPr>
        <w:jc w:val="both"/>
        <w:ind w:right="80" w:firstLine="972"/>
        <w:spacing w:after="0" w:line="250" w:lineRule="auto"/>
        <w:tabs>
          <w:tab w:leader="none" w:pos="1261" w:val="left"/>
        </w:tabs>
        <w:numPr>
          <w:ilvl w:val="1"/>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 Term</w:t>
      </w:r>
      <w:r>
        <w:rPr>
          <w:rFonts w:ascii="Times New Roman" w:cs="Times New Roman" w:eastAsia="Times New Roman" w:hAnsi="Times New Roman"/>
          <w:sz w:val="18"/>
          <w:szCs w:val="18"/>
          <w:color w:val="auto"/>
        </w:rPr>
        <w:t>” will mean: (i) for the Licensed Data access rights set forth in Section 6.4(i) of the Underlying Agreement, the Term of the Underlying Agreement, (ii) for the Licensed Data download rights for the Licensed Data included in the initial set of [***] Licensed Records set forth in Section 6.4(iii) of the Underlying Agreement, the Term of the Underlying Agreement; and (iii) for any additional De-Identified Patient Records licensed by Client under Section 6.4(iii) of the Underlying Agreement, the applicable license term for such De-Identified Patient Records as set forth in the applicable Task Order.</w:t>
      </w:r>
    </w:p>
    <w:p>
      <w:pPr>
        <w:spacing w:after="0" w:line="328"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Licensed Data Restrictions</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right="20" w:firstLine="972"/>
        <w:spacing w:after="0" w:line="251" w:lineRule="auto"/>
        <w:tabs>
          <w:tab w:leader="none" w:pos="1261" w:val="left"/>
        </w:tabs>
        <w:numPr>
          <w:ilvl w:val="1"/>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shall not, and shall ensure that Client Affiliates and Authorized Users do not, attempt to re-identify the Licensed Data as to patient, provider, or practice, and shall use best efforts, including by establishing a related internal governance procedure, to ensure that the Licensed Data is not intentionally or inadvertently re-identified. Client shall not, and shall not permit any third party to, and shall ensure that no Client Affiliate or Authorized user shall, contact any individuals whose information is included in the Licensed Data.</w:t>
      </w:r>
    </w:p>
    <w:p>
      <w:pPr>
        <w:sectPr>
          <w:pgSz w:w="11900" w:h="16838" w:orient="portrait"/>
          <w:cols w:equalWidth="0" w:num="1">
            <w:col w:w="10700"/>
          </w:cols>
          <w:pgMar w:left="580" w:top="262" w:right="619" w:bottom="1440" w:gutter="0" w:footer="0" w:header="0"/>
        </w:sectPr>
      </w:pPr>
    </w:p>
    <w:bookmarkStart w:id="701" w:name="page702"/>
    <w:bookmarkEnd w:id="701"/>
    <w:p>
      <w:pPr>
        <w:ind w:firstLine="972"/>
        <w:spacing w:after="0" w:line="255" w:lineRule="auto"/>
        <w:tabs>
          <w:tab w:leader="none" w:pos="1270" w:val="left"/>
        </w:tabs>
        <w:numPr>
          <w:ilvl w:val="1"/>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Client shall not, and shall ensure that Client Affiliates and Authorized Users shall not, remove or alter any correct notice of confidentiality, copyright, trademark, logo or other notice of ownership, origin, or confidentiality in any report, other document or copies of the Licensed Data provided to Client by or on behalf of Tempus.</w:t>
      </w:r>
    </w:p>
    <w:p>
      <w:pPr>
        <w:spacing w:after="0" w:line="180" w:lineRule="exact"/>
        <w:rPr>
          <w:rFonts w:ascii="Times New Roman" w:cs="Times New Roman" w:eastAsia="Times New Roman" w:hAnsi="Times New Roman"/>
          <w:sz w:val="18"/>
          <w:szCs w:val="18"/>
          <w:color w:val="auto"/>
        </w:rPr>
      </w:pPr>
    </w:p>
    <w:p>
      <w:pPr>
        <w:ind w:right="240" w:firstLine="972"/>
        <w:spacing w:after="0" w:line="331" w:lineRule="auto"/>
        <w:tabs>
          <w:tab w:leader="none" w:pos="1261" w:val="left"/>
        </w:tabs>
        <w:numPr>
          <w:ilvl w:val="1"/>
          <w:numId w:val="6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Client will not, and shall ensure that the Client Affiliates and its and their Authorized Users do not, attempt to gain unauthorized access to any other Tempus systems or data, to the Tempus accounts of third parties, or to Tempus services for which Client has not engaged Tempus.</w:t>
      </w:r>
    </w:p>
    <w:p>
      <w:pPr>
        <w:spacing w:after="0" w:line="122" w:lineRule="exact"/>
        <w:rPr>
          <w:rFonts w:ascii="Times New Roman" w:cs="Times New Roman" w:eastAsia="Times New Roman" w:hAnsi="Times New Roman"/>
          <w:sz w:val="16"/>
          <w:szCs w:val="16"/>
          <w:color w:val="auto"/>
        </w:rPr>
      </w:pPr>
    </w:p>
    <w:p>
      <w:pPr>
        <w:ind w:right="260" w:firstLine="972"/>
        <w:spacing w:after="0" w:line="267" w:lineRule="auto"/>
        <w:tabs>
          <w:tab w:leader="none" w:pos="1270" w:val="left"/>
        </w:tabs>
        <w:numPr>
          <w:ilvl w:val="1"/>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will not, and shall ensure that Client Affiliates and Authorized Users do not, access or use the Tempus Materials or Licensed Data for any purposes not permitted by the Underlying Agreement.</w:t>
      </w:r>
    </w:p>
    <w:p>
      <w:pPr>
        <w:spacing w:after="0" w:line="169" w:lineRule="exact"/>
        <w:rPr>
          <w:rFonts w:ascii="Times New Roman" w:cs="Times New Roman" w:eastAsia="Times New Roman" w:hAnsi="Times New Roman"/>
          <w:sz w:val="18"/>
          <w:szCs w:val="18"/>
          <w:color w:val="auto"/>
        </w:rPr>
      </w:pPr>
    </w:p>
    <w:p>
      <w:pPr>
        <w:ind w:right="440" w:firstLine="972"/>
        <w:spacing w:after="0" w:line="267" w:lineRule="auto"/>
        <w:tabs>
          <w:tab w:leader="none" w:pos="1261" w:val="left"/>
        </w:tabs>
        <w:numPr>
          <w:ilvl w:val="1"/>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will not, and shall ensure that Client Affiliates and Authorized Users do not, re-sell or transfer Licensed Data (or access to Licensed Data) to any third party not otherwise specifically authorized herein, without prior written permission from Tempus.</w:t>
      </w:r>
    </w:p>
    <w:p>
      <w:pPr>
        <w:spacing w:after="0" w:line="169" w:lineRule="exact"/>
        <w:rPr>
          <w:rFonts w:ascii="Times New Roman" w:cs="Times New Roman" w:eastAsia="Times New Roman" w:hAnsi="Times New Roman"/>
          <w:sz w:val="18"/>
          <w:szCs w:val="18"/>
          <w:color w:val="auto"/>
        </w:rPr>
      </w:pPr>
    </w:p>
    <w:p>
      <w:pPr>
        <w:ind w:left="1240" w:hanging="268"/>
        <w:spacing w:after="0"/>
        <w:tabs>
          <w:tab w:leader="none" w:pos="1240" w:val="left"/>
        </w:tabs>
        <w:numPr>
          <w:ilvl w:val="1"/>
          <w:numId w:val="6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use of Licensed Data resulting in a cohort of fewer than [***] research subjects/patients per any three digit zip code range is not</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permitted.</w:t>
      </w:r>
    </w:p>
    <w:p>
      <w:pPr>
        <w:spacing w:after="0" w:line="195" w:lineRule="exact"/>
        <w:rPr>
          <w:rFonts w:ascii="Times New Roman" w:cs="Times New Roman" w:eastAsia="Times New Roman" w:hAnsi="Times New Roman"/>
          <w:sz w:val="16"/>
          <w:szCs w:val="16"/>
          <w:color w:val="auto"/>
        </w:rPr>
      </w:pPr>
    </w:p>
    <w:p>
      <w:pPr>
        <w:ind w:left="1280" w:hanging="308"/>
        <w:spacing w:after="0"/>
        <w:tabs>
          <w:tab w:leader="none" w:pos="1280" w:val="left"/>
        </w:tabs>
        <w:numPr>
          <w:ilvl w:val="1"/>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and Client Affiliates are expected to act in an ethical and responsible manner when accessing and using Licensed Data.</w:t>
      </w:r>
    </w:p>
    <w:p>
      <w:pPr>
        <w:spacing w:after="0" w:line="213" w:lineRule="exact"/>
        <w:rPr>
          <w:rFonts w:ascii="Times New Roman" w:cs="Times New Roman" w:eastAsia="Times New Roman" w:hAnsi="Times New Roman"/>
          <w:sz w:val="18"/>
          <w:szCs w:val="18"/>
          <w:color w:val="auto"/>
        </w:rPr>
      </w:pPr>
    </w:p>
    <w:p>
      <w:pPr>
        <w:ind w:right="180" w:firstLine="972"/>
        <w:spacing w:after="0" w:line="267" w:lineRule="auto"/>
        <w:tabs>
          <w:tab w:leader="none" w:pos="1270" w:val="left"/>
        </w:tabs>
        <w:numPr>
          <w:ilvl w:val="1"/>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understands that Tempus (and any of its licensors of Licensed Data) does not endorse any Research, report or Publication and Client will not attempt to indicate or imply any such endorsement.</w:t>
      </w:r>
    </w:p>
    <w:p>
      <w:pPr>
        <w:spacing w:after="0" w:line="314" w:lineRule="exact"/>
        <w:rPr>
          <w:rFonts w:ascii="Times New Roman" w:cs="Times New Roman" w:eastAsia="Times New Roman" w:hAnsi="Times New Roman"/>
          <w:sz w:val="18"/>
          <w:szCs w:val="18"/>
          <w:color w:val="auto"/>
        </w:rPr>
      </w:pPr>
    </w:p>
    <w:p>
      <w:pPr>
        <w:ind w:left="1060" w:hanging="632"/>
        <w:spacing w:after="0"/>
        <w:tabs>
          <w:tab w:leader="none" w:pos="1060"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right="80" w:firstLine="972"/>
        <w:spacing w:after="0" w:line="279" w:lineRule="auto"/>
        <w:tabs>
          <w:tab w:leader="none" w:pos="1261" w:val="left"/>
        </w:tabs>
        <w:numPr>
          <w:ilvl w:val="1"/>
          <w:numId w:val="6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Client shall, and Client shall ensure that the Client Affiliates, comply with applicable law in the exercise of its rights and the performance of its obligations under the Underlying Agreement, including, as applicable, securities laws, antitrust laws, HIPAA, the U.S. Food and Drug Administration (FDA) Guidance on Industry-Supported Scientific and Educational Activities, the Federal Food, Drug, and Cosmetic Act and regulations promulgated thereunder, federal and state anti-kickback laws and applicable guidance, the Council of Medical Specialty Societies (CMSS) Code of Interactions with Companies, the American Medical Association Code of Medical Ethics and applicable opinions, policies adopted by the FDA relating to industry-sponsored educational activities, the Accreditation Council for Continuing Medical Education (ACCME) Standards for Commercial Support, the Pharmaceutical Research and Manufacturers of America (PhRMA) Code on Interactions with Healthcare Professionals, and the ICMJE Recommendations for publication authorship. Tempus and Client agree that the funds provided hereunder are not being given in exchange for any explicit or implicit agreement to purchase, prescribe, recommend, influence or provide favorable formulary status for any of Client’s products. The Underlying Agreement is not for the purpose of promoting any product, service, or company. Client shall not, and shall ensure that the Client Affiliates do not, offer any inducements to Tempus, any of their Affiliates, their volunteers, or any health care providers relating to the Underlying Agreement.</w:t>
      </w:r>
    </w:p>
    <w:p>
      <w:pPr>
        <w:spacing w:after="0" w:line="165" w:lineRule="exact"/>
        <w:rPr>
          <w:rFonts w:ascii="Times New Roman" w:cs="Times New Roman" w:eastAsia="Times New Roman" w:hAnsi="Times New Roman"/>
          <w:sz w:val="16"/>
          <w:szCs w:val="16"/>
          <w:color w:val="auto"/>
        </w:rPr>
      </w:pPr>
    </w:p>
    <w:p>
      <w:pPr>
        <w:ind w:right="140" w:firstLine="972"/>
        <w:spacing w:after="0" w:line="270" w:lineRule="auto"/>
        <w:tabs>
          <w:tab w:leader="none" w:pos="1261" w:val="left"/>
        </w:tabs>
        <w:numPr>
          <w:ilvl w:val="1"/>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physician licensed to practice in the U.S. and any U.S. teaching hospital is a “</w:t>
      </w:r>
      <w:r>
        <w:rPr>
          <w:rFonts w:ascii="Times New Roman" w:cs="Times New Roman" w:eastAsia="Times New Roman" w:hAnsi="Times New Roman"/>
          <w:sz w:val="18"/>
          <w:szCs w:val="18"/>
          <w:b w:val="1"/>
          <w:bCs w:val="1"/>
          <w:color w:val="auto"/>
        </w:rPr>
        <w:t>Covered Recipient</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Transfer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Value</w:t>
      </w:r>
      <w:r>
        <w:rPr>
          <w:rFonts w:ascii="Times New Roman" w:cs="Times New Roman" w:eastAsia="Times New Roman" w:hAnsi="Times New Roman"/>
          <w:sz w:val="18"/>
          <w:szCs w:val="18"/>
          <w:color w:val="auto"/>
        </w:rPr>
        <w:t>” is any payment or transfer of value as defined</w:t>
      </w:r>
    </w:p>
    <w:p>
      <w:pPr>
        <w:sectPr>
          <w:pgSz w:w="11900" w:h="16838" w:orient="portrait"/>
          <w:cols w:equalWidth="0" w:num="1">
            <w:col w:w="10720"/>
          </w:cols>
          <w:pgMar w:left="580" w:top="265" w:right="599" w:bottom="1440" w:gutter="0" w:footer="0" w:header="0"/>
        </w:sectPr>
      </w:pPr>
    </w:p>
    <w:bookmarkStart w:id="702" w:name="page703"/>
    <w:bookmarkEnd w:id="702"/>
    <w:p>
      <w:pPr>
        <w:ind w:right="40"/>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the U.S. Physician Payment Sunshine Act (42 USC 1320a-7h(e)), and implementing regulations (42 CFR 403.900 et seq.), and includes compensation, reimbursement for expenses, meals, travel, medical journal reprints, study drug, study supplies and medical writing and publications assistance. Tempus acknowledges and agrees that any direct or indirect Payments or Transfers of Value to Covered Recipients are subject to transparency reporting requirements, including disclosure on Client’s website. Tempus and Client shall not, and Client shall ensure that the Client Affiliates do not, knowingly make any indirect or direct Payment or Transfer of Value to a Covered Recipient on behalf of Client in connection with the Underlying Agreement without the other Party’s consent and prior written approval. Client shall report all Payments or Transfers of Value to U.S. Covered Recipients according to a centrally managed, pre-set rate structure based on a fair market value analysis conducted by Client and in accordance with applicable law. Tempus and Client acknowledge and agree that none of the following give rise to or constitute a Payment or Transfer of Value to a Covered Recipient: the licenses to Licensed Data, the Activities described in the Task Orders executed contemporaneously with the execution of the Underlying Agreement. Tempus and Client further agree that prior to executing any Task Orders that contemplate payments to be made by Client to Tempus beyond those described in the preceding sentence, the Parties shall jointly determine whether the payments with respect to such Task Order would be reportable under applicable law, and if they determine that such payments are, or may be, reportable, Tempus may elect to decline the activity giving rise to the reportable Payment or Transfer of Value.</w:t>
      </w:r>
    </w:p>
    <w:p>
      <w:pPr>
        <w:spacing w:after="0" w:line="194" w:lineRule="exact"/>
        <w:rPr>
          <w:sz w:val="20"/>
          <w:szCs w:val="20"/>
          <w:color w:val="auto"/>
        </w:rPr>
      </w:pPr>
    </w:p>
    <w:p>
      <w:pPr>
        <w:jc w:val="both"/>
        <w:ind w:right="120" w:firstLine="972"/>
        <w:spacing w:after="0" w:line="251" w:lineRule="auto"/>
        <w:tabs>
          <w:tab w:leader="none" w:pos="1257" w:val="left"/>
        </w:tabs>
        <w:numPr>
          <w:ilvl w:val="2"/>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and Client and their respective Affiliates, representatives, agents and employees shall comply with the U.S. Foreign Corrupt Practices Act, as amended, the UK Bribery Act of 2010, and any other applicable anti-corruption laws for the prevention of fraud, racketeering, money laundering or terrorism, and shall not knowingly take any action that will, or would reasonably be expected to, cause the other Party or its Affiliates to be in violation of any such laws or policies.</w:t>
      </w:r>
    </w:p>
    <w:p>
      <w:pPr>
        <w:spacing w:after="0" w:line="184"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1"/>
          <w:numId w:val="6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Cooperation</w:t>
      </w:r>
      <w:r>
        <w:rPr>
          <w:rFonts w:ascii="Times New Roman" w:cs="Times New Roman" w:eastAsia="Times New Roman" w:hAnsi="Times New Roman"/>
          <w:sz w:val="16"/>
          <w:szCs w:val="16"/>
          <w:color w:val="auto"/>
        </w:rPr>
        <w:t>. Client shall have sole control over any regulatory filings with respect to results obtained by Client from the use of the Licensed</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Data.</w:t>
      </w:r>
    </w:p>
    <w:p>
      <w:pPr>
        <w:spacing w:after="0" w:line="195" w:lineRule="exact"/>
        <w:rPr>
          <w:rFonts w:ascii="Times New Roman" w:cs="Times New Roman" w:eastAsia="Times New Roman" w:hAnsi="Times New Roman"/>
          <w:sz w:val="16"/>
          <w:szCs w:val="16"/>
          <w:color w:val="auto"/>
        </w:rPr>
      </w:pPr>
    </w:p>
    <w:p>
      <w:pPr>
        <w:ind w:right="300" w:firstLine="436"/>
        <w:spacing w:after="0" w:line="285" w:lineRule="auto"/>
        <w:tabs>
          <w:tab w:leader="none" w:pos="734" w:val="left"/>
        </w:tabs>
        <w:numPr>
          <w:ilvl w:val="1"/>
          <w:numId w:val="6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Security Incident Reporting</w:t>
      </w:r>
      <w:r>
        <w:rPr>
          <w:rFonts w:ascii="Times New Roman" w:cs="Times New Roman" w:eastAsia="Times New Roman" w:hAnsi="Times New Roman"/>
          <w:sz w:val="16"/>
          <w:szCs w:val="16"/>
          <w:color w:val="auto"/>
        </w:rPr>
        <w:t>. Each Party agrees to notify the other Party promptly, but in no event later than [***] (or sooner is required in accordance with Schedule 10 Section 4.4) after becoming aware of the occurrence of (i) a Security Incident involving Licensed Data,</w:t>
      </w:r>
    </w:p>
    <w:p>
      <w:pPr>
        <w:spacing w:after="0" w:line="1" w:lineRule="exact"/>
        <w:rPr>
          <w:rFonts w:ascii="Times New Roman" w:cs="Times New Roman" w:eastAsia="Times New Roman" w:hAnsi="Times New Roman"/>
          <w:sz w:val="16"/>
          <w:szCs w:val="16"/>
          <w:color w:val="auto"/>
        </w:rPr>
      </w:pPr>
    </w:p>
    <w:p>
      <w:pPr>
        <w:ind w:firstLine="8"/>
        <w:spacing w:after="0" w:line="244" w:lineRule="auto"/>
        <w:tabs>
          <w:tab w:leader="none" w:pos="258"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re-identification of any of the Licensed Data, (iii) a complaint related to a request for access to the Licensed Data made by an individual or organization, or (iv) any inquiry, investigation, audit, or government enforcement action related to the Licensed Data made by any Governmental Authority. If Client or any Client Affiliate becomes legally compelled to disclose any Licensed Data, Client shall notify Tempus as soon as practical but in any event within than [***] (unless forbidden by law) so that Tempus may seek a protective order or other appropriate remedy. If a protective order or similar order is not obtained by the time Client or any Client Affiliate must comply with the request, Client or the Client Affiliate may provide the legally required portion of the Licensed Data. If any of the events set out in this Section 6 occurs, Client agrees to cooperate and cause the Client Affiliates to cooperate with Tempus’s reasonable requests, and at Tempus’s cost (except in the event of a Security Incident involving Licensed Data in Client’s possession) take such actions as appropriate or reasonably requested by Tempus to minimize the re-identification risk and potential damage resulting from the event.</w:t>
      </w:r>
    </w:p>
    <w:p>
      <w:pPr>
        <w:spacing w:after="0" w:line="188"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1"/>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w:t>
      </w:r>
      <w:r>
        <w:rPr>
          <w:rFonts w:ascii="Times New Roman" w:cs="Times New Roman" w:eastAsia="Times New Roman" w:hAnsi="Times New Roman"/>
          <w:sz w:val="18"/>
          <w:szCs w:val="18"/>
          <w:color w:val="auto"/>
        </w:rPr>
        <w:t>. This is a non-exclusive agreement as respects services and licenses. Nothing in the Underlying Agreement shall prevent</w:t>
      </w:r>
    </w:p>
    <w:p>
      <w:pPr>
        <w:spacing w:after="0" w:line="21" w:lineRule="exact"/>
        <w:rPr>
          <w:sz w:val="20"/>
          <w:szCs w:val="20"/>
          <w:color w:val="auto"/>
        </w:rPr>
      </w:pPr>
    </w:p>
    <w:p>
      <w:pPr>
        <w:ind w:right="60" w:firstLine="8"/>
        <w:spacing w:after="0" w:line="244" w:lineRule="auto"/>
        <w:tabs>
          <w:tab w:leader="none" w:pos="235"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from making available services and/or licenses the same or substantially similar to the services and licenses provided hereunder, (b) Tempus from making available, or other Tempus licensees from using, custom data sets that are the same or similar to the Licensed Data, so long as none of the foregoing include use of or constitute Client’s Confidential Information. To the extent the same or similar outcomes, conclusions, reports, and other results may be</w:t>
      </w:r>
    </w:p>
    <w:p>
      <w:pPr>
        <w:sectPr>
          <w:pgSz w:w="11900" w:h="16838" w:orient="portrait"/>
          <w:cols w:equalWidth="0" w:num="1">
            <w:col w:w="10700"/>
          </w:cols>
          <w:pgMar w:left="580" w:top="265" w:right="619" w:bottom="1440" w:gutter="0" w:footer="0" w:header="0"/>
        </w:sectPr>
      </w:pPr>
    </w:p>
    <w:bookmarkStart w:id="703" w:name="page704"/>
    <w:bookmarkEnd w:id="703"/>
    <w:p>
      <w:pPr>
        <w:ind w:right="30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78040" cy="38100"/>
                    </a:xfrm>
                    <a:prstGeom prst="rect">
                      <a:avLst/>
                    </a:prstGeom>
                    <a:noFill/>
                  </pic:spPr>
                </pic:pic>
              </a:graphicData>
            </a:graphic>
          </wp:anchor>
        </w:drawing>
        <w:t>created or derived from Tempus’s or other Tempus licensees’ use of the Licensed Data, the foregoing shall be deemed to be “other user results”. It is recognized and agreed that other user results may be the same or similar to results obtained by Client.</w:t>
      </w:r>
    </w:p>
    <w:p>
      <w:pPr>
        <w:spacing w:after="0" w:line="170" w:lineRule="exact"/>
        <w:rPr>
          <w:sz w:val="20"/>
          <w:szCs w:val="20"/>
          <w:color w:val="auto"/>
        </w:rPr>
      </w:pPr>
    </w:p>
    <w:p>
      <w:pPr>
        <w:ind w:right="200" w:firstLine="436"/>
        <w:spacing w:after="0" w:line="267" w:lineRule="auto"/>
        <w:tabs>
          <w:tab w:leader="none" w:pos="734"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EXCEPT AS OTHERWISE EXPRESSLY PROVIDED IN THE UNDERLYING AGREEMENT:</w:t>
      </w:r>
    </w:p>
    <w:p>
      <w:pPr>
        <w:spacing w:after="0" w:line="169" w:lineRule="exact"/>
        <w:rPr>
          <w:rFonts w:ascii="Times New Roman" w:cs="Times New Roman" w:eastAsia="Times New Roman" w:hAnsi="Times New Roman"/>
          <w:sz w:val="18"/>
          <w:szCs w:val="18"/>
          <w:color w:val="auto"/>
        </w:rPr>
      </w:pPr>
    </w:p>
    <w:p>
      <w:pPr>
        <w:ind w:right="460" w:firstLine="972"/>
        <w:spacing w:after="0" w:line="255" w:lineRule="auto"/>
        <w:tabs>
          <w:tab w:leader="none" w:pos="1257" w:val="left"/>
        </w:tabs>
        <w:numPr>
          <w:ilvl w:val="1"/>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HEREBY DISCLAIMS ANY AND ALL EXPRESS, IMPLIED, STATUTORY, AND OTHER WARRANTIES AND REPRESENTATIONS OF EVERY KIND, INCLUDING WITHOUT LIMITATION THE IMPLIED WARRANTIES OF FITNESS FOR A PARTICULAR PURPOSE, QUIET ENJOYMENT, QUALITY OF INFORMATION, TITLE.</w:t>
      </w:r>
    </w:p>
    <w:p>
      <w:pPr>
        <w:spacing w:after="0" w:line="180" w:lineRule="exact"/>
        <w:rPr>
          <w:rFonts w:ascii="Times New Roman" w:cs="Times New Roman" w:eastAsia="Times New Roman" w:hAnsi="Times New Roman"/>
          <w:sz w:val="18"/>
          <w:szCs w:val="18"/>
          <w:color w:val="auto"/>
        </w:rPr>
      </w:pPr>
    </w:p>
    <w:p>
      <w:pPr>
        <w:ind w:firstLine="972"/>
        <w:spacing w:after="0" w:line="247" w:lineRule="auto"/>
        <w:tabs>
          <w:tab w:leader="none" w:pos="1267" w:val="left"/>
        </w:tabs>
        <w:numPr>
          <w:ilvl w:val="1"/>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MAKES NO REPRESENTATIONS OR WARRANTIES ABOUT THE SUITABILITY OR ACCURACY OF THE SERVICES, THE LICENSED DATA, OR ANY OTHER TEMPUS MATERIALS. TEMPUS USES ALL DATA PROVIDED TO TEMPUS BY THIRD PARTIES THAT HAS BEEN DE-IDENTIFIED TO CREATE THE LICENSED DATA “AS IS” AND IS NOT AND SHALL NOT BE HELD RESPONSIBLE FOR THE ACCURACY, COMPLETENESS, AND/OR INTEGRITY OF SUCH DATA AND TEMPUS EXPRESSLY DISCLAIMS ANY LIABILITY RESULTING FROM ANY SUCH ISSUES RELATING TO SUCH DATA. TEMPUS HAS NO LIABILITY FOR CLINICAL, OPERATIONAL, BUSINESS, OR ANY OTHER DECISIONS MADE BY CLIENT OR ITS AFFILIATES OR AUTHORIZED USERS ON THE BASIS OF THE LICENSED DATA.</w:t>
      </w:r>
    </w:p>
    <w:p>
      <w:pPr>
        <w:spacing w:after="0" w:line="189" w:lineRule="exact"/>
        <w:rPr>
          <w:rFonts w:ascii="Times New Roman" w:cs="Times New Roman" w:eastAsia="Times New Roman" w:hAnsi="Times New Roman"/>
          <w:sz w:val="18"/>
          <w:szCs w:val="18"/>
          <w:color w:val="auto"/>
        </w:rPr>
      </w:pPr>
    </w:p>
    <w:p>
      <w:pPr>
        <w:ind w:right="40" w:firstLine="972"/>
        <w:spacing w:after="0" w:line="267" w:lineRule="auto"/>
        <w:tabs>
          <w:tab w:leader="none" w:pos="1251" w:val="left"/>
        </w:tabs>
        <w:numPr>
          <w:ilvl w:val="1"/>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TECHNOLOGY, RIGHTS AND SERVICES ARE LICENSED AND OTHERWISE PROVIDED “AS IS,” “WHERE-IS,” AND “WITH ALL FAULTS.”</w:t>
      </w:r>
    </w:p>
    <w:p>
      <w:pPr>
        <w:sectPr>
          <w:pgSz w:w="11900" w:h="16838" w:orient="portrait"/>
          <w:cols w:equalWidth="0" w:num="1">
            <w:col w:w="10700"/>
          </w:cols>
          <w:pgMar w:left="580" w:top="266" w:right="619" w:bottom="1440" w:gutter="0" w:footer="0" w:header="0"/>
        </w:sectPr>
      </w:pPr>
    </w:p>
    <w:bookmarkStart w:id="704" w:name="page705"/>
    <w:bookmarkEnd w:id="7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13 – LENS SUBSCRIPTION EXHIBIT</w:t>
      </w:r>
    </w:p>
    <w:p>
      <w:pPr>
        <w:spacing w:after="0" w:line="215"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6"/>
          <w:szCs w:val="16"/>
          <w:color w:val="auto"/>
        </w:rPr>
        <w:t>The following subscription agreement and terms of use (the “LENS Subscription Exhibit” or this “Exhibit”) apply to GSK’s use of the Tempus Software pursuant to the Underlying Agreement; provided, that to the extent there is any conflict or inconsistency between the terms of the Agreement and the LENS Subscription Exhibit, the terms of the Underlying Agreement shall control in accordance with Section 6.10 of the Underlying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LENS Subscription Exhibit is entered into by and between Tempus and GSK (“Client”).</w:t>
      </w:r>
    </w:p>
    <w:p>
      <w:pPr>
        <w:spacing w:after="0" w:line="356" w:lineRule="exact"/>
        <w:rPr>
          <w:sz w:val="20"/>
          <w:szCs w:val="20"/>
          <w:color w:val="auto"/>
        </w:rPr>
      </w:pPr>
    </w:p>
    <w:p>
      <w:pPr>
        <w:ind w:left="420" w:hanging="412"/>
        <w:spacing w:after="0"/>
        <w:tabs>
          <w:tab w:leader="none" w:pos="420" w:val="left"/>
        </w:tabs>
        <w:numPr>
          <w:ilvl w:val="0"/>
          <w:numId w:val="6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Software and Accounts.</w:t>
      </w:r>
    </w:p>
    <w:p>
      <w:pPr>
        <w:spacing w:after="0" w:line="121" w:lineRule="exact"/>
        <w:rPr>
          <w:rFonts w:ascii="Times New Roman" w:cs="Times New Roman" w:eastAsia="Times New Roman" w:hAnsi="Times New Roman"/>
          <w:sz w:val="18"/>
          <w:szCs w:val="18"/>
          <w:b w:val="1"/>
          <w:bCs w:val="1"/>
          <w:color w:val="auto"/>
        </w:rPr>
      </w:pPr>
    </w:p>
    <w:p>
      <w:pPr>
        <w:ind w:left="1060" w:right="180" w:hanging="632"/>
        <w:spacing w:after="0" w:line="293" w:lineRule="auto"/>
        <w:tabs>
          <w:tab w:leader="none" w:pos="1060" w:val="left"/>
        </w:tabs>
        <w:numPr>
          <w:ilvl w:val="1"/>
          <w:numId w:val="6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Software</w:t>
      </w:r>
      <w:r>
        <w:rPr>
          <w:rFonts w:ascii="Times New Roman" w:cs="Times New Roman" w:eastAsia="Times New Roman" w:hAnsi="Times New Roman"/>
          <w:sz w:val="16"/>
          <w:szCs w:val="16"/>
          <w:color w:val="auto"/>
        </w:rPr>
        <w:t>. The “Software” is Tempus’ LENS software, an online application that permits the viewing and analysis of clinical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molecular health data maintained by Tempus. The Software provides a view of health information that has been de-identified in accordance with the United States’ Health Insurance Portability and Accountability Act and 45 C.F.R. § 164.514(b). The features, functionality, user interface, look-and-feel, and other aspects of the Software may change from time to time in Tempus’ sole discretion.</w:t>
      </w:r>
    </w:p>
    <w:p>
      <w:pPr>
        <w:spacing w:after="0" w:line="59" w:lineRule="exact"/>
        <w:rPr>
          <w:rFonts w:ascii="Times New Roman" w:cs="Times New Roman" w:eastAsia="Times New Roman" w:hAnsi="Times New Roman"/>
          <w:sz w:val="16"/>
          <w:szCs w:val="16"/>
          <w:color w:val="auto"/>
        </w:rPr>
      </w:pPr>
    </w:p>
    <w:p>
      <w:pPr>
        <w:ind w:left="1060" w:right="100" w:hanging="632"/>
        <w:spacing w:after="0" w:line="246" w:lineRule="auto"/>
        <w:tabs>
          <w:tab w:leader="none" w:pos="1060"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 of LENS</w:t>
      </w:r>
      <w:r>
        <w:rPr>
          <w:rFonts w:ascii="Times New Roman" w:cs="Times New Roman" w:eastAsia="Times New Roman" w:hAnsi="Times New Roman"/>
          <w:sz w:val="18"/>
          <w:szCs w:val="18"/>
          <w:color w:val="auto"/>
        </w:rPr>
        <w:t>. Subject to the terms of the Underlying Agreement and this Exhibit, Tempus grants Client, its Affiliates, Personnel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 or its Affiliates, and their Approved Associated Parties (each a “User”) a non-exclusive license to access and use the Software in accordance with and to give effect to the terms of the Underlying Agreement, subject to the number of seat licenses purchased by Client under Section 6.3 of the Underlying Agreement. An “Approved Associated Party” is an Associated Party that has entered into a direct access agreement with Tempus that permits access to Lens, as required under Section 6.1 of the Underlying Agreement. As it relates to sign-on, the Parties shall work together, through the Data Governance committee and the JSC, to develop plans for single or aggregates sign-on for all GSK users, to allow GSK and Tempus and track sign-on and usage. Tempus will rely on Client and/or its authorized representative to manage its permissions with respect to the Software. Client is responsible for all acts and omissions of its Users and their compliance with all terms of this Exhibit.</w:t>
      </w:r>
    </w:p>
    <w:p>
      <w:pPr>
        <w:spacing w:after="0" w:line="99" w:lineRule="exact"/>
        <w:rPr>
          <w:rFonts w:ascii="Times New Roman" w:cs="Times New Roman" w:eastAsia="Times New Roman" w:hAnsi="Times New Roman"/>
          <w:sz w:val="18"/>
          <w:szCs w:val="18"/>
          <w:color w:val="auto"/>
        </w:rPr>
      </w:pPr>
    </w:p>
    <w:p>
      <w:pPr>
        <w:ind w:left="420" w:hanging="412"/>
        <w:spacing w:after="0" w:line="286" w:lineRule="auto"/>
        <w:tabs>
          <w:tab w:leader="none" w:pos="420" w:val="left"/>
        </w:tabs>
        <w:numPr>
          <w:ilvl w:val="0"/>
          <w:numId w:val="6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Term and Termination</w:t>
      </w:r>
      <w:r>
        <w:rPr>
          <w:rFonts w:ascii="Times New Roman" w:cs="Times New Roman" w:eastAsia="Times New Roman" w:hAnsi="Times New Roman"/>
          <w:sz w:val="16"/>
          <w:szCs w:val="16"/>
          <w:color w:val="auto"/>
        </w:rPr>
        <w:t>. Client’s license to use the Software will terminate upon any termination or expiration of the Underlying Agreement, or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accordance with Section 11 of the Underlying Agreement. In addition, Tempus may suspend Client’s access to the Software without liability if</w:t>
      </w:r>
    </w:p>
    <w:p>
      <w:pPr>
        <w:spacing w:after="0" w:line="1" w:lineRule="exact"/>
        <w:rPr>
          <w:rFonts w:ascii="Times New Roman" w:cs="Times New Roman" w:eastAsia="Times New Roman" w:hAnsi="Times New Roman"/>
          <w:sz w:val="16"/>
          <w:szCs w:val="16"/>
          <w:color w:val="auto"/>
        </w:rPr>
      </w:pPr>
    </w:p>
    <w:p>
      <w:pPr>
        <w:jc w:val="both"/>
        <w:ind w:left="420" w:right="18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Client breaches this Exhibit, (b) Tempus has reasonable cause to believe that Client is misusing the Software or is using it unlawfully or in a manner that threatens the security or integrity of the Software, as evidenced to GSK, in each case until such breach, misuse or use is rectified by GSK.</w:t>
      </w:r>
    </w:p>
    <w:p>
      <w:pPr>
        <w:spacing w:after="0" w:line="94" w:lineRule="exact"/>
        <w:rPr>
          <w:rFonts w:ascii="Times New Roman" w:cs="Times New Roman" w:eastAsia="Times New Roman" w:hAnsi="Times New Roman"/>
          <w:sz w:val="16"/>
          <w:szCs w:val="16"/>
          <w:color w:val="auto"/>
        </w:rPr>
      </w:pPr>
    </w:p>
    <w:p>
      <w:pPr>
        <w:ind w:left="420" w:right="20" w:hanging="412"/>
        <w:spacing w:after="0" w:line="252" w:lineRule="auto"/>
        <w:tabs>
          <w:tab w:leader="none" w:pos="420"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 Use</w:t>
      </w:r>
      <w:r>
        <w:rPr>
          <w:rFonts w:ascii="Times New Roman" w:cs="Times New Roman" w:eastAsia="Times New Roman" w:hAnsi="Times New Roman"/>
          <w:sz w:val="18"/>
          <w:szCs w:val="18"/>
          <w:color w:val="auto"/>
        </w:rPr>
        <w:t>. Through its use of the Software, Client and its Users will have access to De-identified Records from the Tempus Dataset. Access 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of Tempus Dataset is subject to all associated terms in the Underlying Agreement, including terms prohibiting re-identification, as well as security and confidentiality requirements. Except to the extent expressly permitted in the Underlying Agreement, Client may not download, screenshot, or otherwise copy or extract any Tempus Data from the Software.</w:t>
      </w:r>
    </w:p>
    <w:p>
      <w:pPr>
        <w:spacing w:after="0" w:line="89" w:lineRule="exact"/>
        <w:rPr>
          <w:rFonts w:ascii="Times New Roman" w:cs="Times New Roman" w:eastAsia="Times New Roman" w:hAnsi="Times New Roman"/>
          <w:sz w:val="18"/>
          <w:szCs w:val="18"/>
          <w:color w:val="auto"/>
        </w:rPr>
      </w:pPr>
    </w:p>
    <w:p>
      <w:pPr>
        <w:ind w:left="420" w:right="280" w:hanging="412"/>
        <w:spacing w:after="0" w:line="250" w:lineRule="auto"/>
        <w:tabs>
          <w:tab w:leader="none" w:pos="420"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Tempus Materials</w:t>
      </w:r>
      <w:r>
        <w:rPr>
          <w:rFonts w:ascii="Times New Roman" w:cs="Times New Roman" w:eastAsia="Times New Roman" w:hAnsi="Times New Roman"/>
          <w:sz w:val="18"/>
          <w:szCs w:val="18"/>
          <w:color w:val="auto"/>
        </w:rPr>
        <w:t>. Tempus retains ownership of the Software. The Software will be considered Tempus Background IP or Tempus Arising 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Underlying Agreement, and subject to all rights and restrictions associated with Tempus Background IP and Tempus Arising IP. However, notwithstanding anything to the contrary, no license terms in the Underlying Agreement with respect to Tempus Background IP or Tempus Arising IP shall give GSK rights to use the Software after the Term. The Software is not a Deliverable, a Result or GSK Work Product under the Agreement.</w:t>
      </w:r>
    </w:p>
    <w:p>
      <w:pPr>
        <w:sectPr>
          <w:pgSz w:w="11900" w:h="16838" w:orient="portrait"/>
          <w:cols w:equalWidth="0" w:num="1">
            <w:col w:w="10700"/>
          </w:cols>
          <w:pgMar w:left="580" w:top="264" w:right="619" w:bottom="1440" w:gutter="0" w:footer="0" w:header="0"/>
        </w:sectPr>
      </w:pPr>
    </w:p>
    <w:bookmarkStart w:id="705" w:name="page706"/>
    <w:bookmarkEnd w:id="705"/>
    <w:p>
      <w:pPr>
        <w:ind w:left="412" w:right="60" w:hanging="412"/>
        <w:spacing w:after="0" w:line="256" w:lineRule="auto"/>
        <w:tabs>
          <w:tab w:leader="none" w:pos="412"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Feedback</w:t>
      </w:r>
      <w:r>
        <w:rPr>
          <w:rFonts w:ascii="Times New Roman" w:cs="Times New Roman" w:eastAsia="Times New Roman" w:hAnsi="Times New Roman"/>
          <w:sz w:val="18"/>
          <w:szCs w:val="18"/>
          <w:color w:val="auto"/>
        </w:rPr>
        <w:t>. Client hereby grants Tempus a perpetual, irrevocable, royalty-free and fully paid right to use and otherwise exploit in any manner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suggestions, ideas, enhancement requests, feedback, or recommendations provided by Client via the Data Oversight Committee related to the Software or the structuring and arrangement of data contained therein.</w:t>
      </w:r>
    </w:p>
    <w:p>
      <w:pPr>
        <w:spacing w:after="0" w:line="85" w:lineRule="exact"/>
        <w:rPr>
          <w:rFonts w:ascii="Times New Roman" w:cs="Times New Roman" w:eastAsia="Times New Roman" w:hAnsi="Times New Roman"/>
          <w:sz w:val="18"/>
          <w:szCs w:val="18"/>
          <w:color w:val="auto"/>
        </w:rPr>
      </w:pPr>
    </w:p>
    <w:p>
      <w:pPr>
        <w:jc w:val="both"/>
        <w:ind w:left="412" w:right="160" w:hanging="412"/>
        <w:spacing w:after="0" w:line="256" w:lineRule="auto"/>
        <w:tabs>
          <w:tab w:leader="none" w:pos="412"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Publications</w:t>
      </w:r>
      <w:r>
        <w:rPr>
          <w:rFonts w:ascii="Times New Roman" w:cs="Times New Roman" w:eastAsia="Times New Roman" w:hAnsi="Times New Roman"/>
          <w:sz w:val="18"/>
          <w:szCs w:val="18"/>
          <w:color w:val="auto"/>
        </w:rPr>
        <w:t>. If Client prepares any publications or conference posters that use the results of research conducted using the Software, Client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Tempus and the use of such Software in the development of such publication/poster, but will not state or imply that Tempus has endorsed the research.</w:t>
      </w:r>
    </w:p>
    <w:p>
      <w:pPr>
        <w:spacing w:after="0" w:line="85" w:lineRule="exact"/>
        <w:rPr>
          <w:rFonts w:ascii="Times New Roman" w:cs="Times New Roman" w:eastAsia="Times New Roman" w:hAnsi="Times New Roman"/>
          <w:sz w:val="18"/>
          <w:szCs w:val="18"/>
          <w:color w:val="auto"/>
        </w:rPr>
      </w:pPr>
    </w:p>
    <w:p>
      <w:pPr>
        <w:ind w:left="412" w:right="100" w:hanging="412"/>
        <w:spacing w:after="0" w:line="252" w:lineRule="auto"/>
        <w:tabs>
          <w:tab w:leader="none" w:pos="412"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Client will comply with all applicable laws and industry-standard guidelines when carrying out activities related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Exhibit. As provided in the LENS Terms of Use, the Parties agree that no part of any remuneration provided under this Agreement or any other agreement between the Parties is a prohibited payment in exchange for recommending or arranging for the referral of business or the ordering of items or services, or otherwise intended to induce illegal referrals of business.</w:t>
      </w:r>
    </w:p>
    <w:p>
      <w:pPr>
        <w:spacing w:after="0" w:line="89" w:lineRule="exact"/>
        <w:rPr>
          <w:rFonts w:ascii="Times New Roman" w:cs="Times New Roman" w:eastAsia="Times New Roman" w:hAnsi="Times New Roman"/>
          <w:sz w:val="18"/>
          <w:szCs w:val="18"/>
          <w:color w:val="auto"/>
        </w:rPr>
      </w:pPr>
    </w:p>
    <w:p>
      <w:pPr>
        <w:ind w:left="412" w:hanging="412"/>
        <w:spacing w:after="0" w:line="250" w:lineRule="auto"/>
        <w:tabs>
          <w:tab w:leader="none" w:pos="412"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Disclaimer; Restrictions</w:t>
      </w:r>
      <w:r>
        <w:rPr>
          <w:rFonts w:ascii="Times New Roman" w:cs="Times New Roman" w:eastAsia="Times New Roman" w:hAnsi="Times New Roman"/>
          <w:sz w:val="18"/>
          <w:szCs w:val="18"/>
          <w:color w:val="auto"/>
        </w:rPr>
        <w:t>. Except as otherwise expressly provided in the Underlying Agreement, Tempus provides the Software “as-is” and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faults” and disclaims any implied warranties with respect to the Software. Client agrees that it will not: (a) modify, port, adapt, copy, reverse engineer, decompile, disassemble or otherwise attempt to discover the source code of the Software and/or rebuild the Software, (b) provide, disclose, divulge or make available to or permit access to or use of the Software by any third party, and will not (c) distribute, market, sell, lease, transfer, license or sublicense the Software.</w:t>
      </w:r>
    </w:p>
    <w:p>
      <w:pPr>
        <w:spacing w:after="0" w:line="90" w:lineRule="exact"/>
        <w:rPr>
          <w:rFonts w:ascii="Times New Roman" w:cs="Times New Roman" w:eastAsia="Times New Roman" w:hAnsi="Times New Roman"/>
          <w:sz w:val="18"/>
          <w:szCs w:val="18"/>
          <w:color w:val="auto"/>
        </w:rPr>
      </w:pPr>
    </w:p>
    <w:p>
      <w:pPr>
        <w:ind w:left="412" w:right="120" w:hanging="412"/>
        <w:spacing w:after="0" w:line="270" w:lineRule="auto"/>
        <w:tabs>
          <w:tab w:leader="none" w:pos="412"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Sections 3 through 8 of this Exhibit will survive any termination or expiration of this Exhibit or the Underlying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this Exhibit do not limit any similar or overlapping terms in the LENS Terms of Use.</w:t>
      </w:r>
    </w:p>
    <w:p>
      <w:pPr>
        <w:sectPr>
          <w:pgSz w:w="11900" w:h="16838" w:orient="portrait"/>
          <w:cols w:equalWidth="0" w:num="1">
            <w:col w:w="10652"/>
          </w:cols>
          <w:pgMar w:left="588" w:top="264" w:right="659" w:bottom="1440" w:gutter="0" w:footer="0" w:header="0"/>
        </w:sectPr>
      </w:pPr>
    </w:p>
    <w:bookmarkStart w:id="706" w:name="page707"/>
    <w:bookmarkEnd w:id="70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78040" cy="36830"/>
                    </a:xfrm>
                    <a:prstGeom prst="rect">
                      <a:avLst/>
                    </a:prstGeom>
                    <a:noFill/>
                  </pic:spPr>
                </pic:pic>
              </a:graphicData>
            </a:graphic>
          </wp:anchor>
        </w:drawing>
        <w:t>Schedule 14 - TEMPUS SOFTWARE TERMS OF USE</w:t>
      </w:r>
    </w:p>
    <w:p>
      <w:pPr>
        <w:spacing w:after="0" w:line="2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Software Terms of Use attached to this Schedule 14 (the “Terms of Use”) apply to GSK’s use of the Tempus Software pursuant to the Underlying Agreement; provided, that to the extent there is any conflict or inconsistency between the terms of the Underlying Agreement and the Terms of Use, the terms of the Underlying Agreement shall control in accordance with Section 6.10 of the Underlying Agreement.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attached.]</w:t>
      </w:r>
    </w:p>
    <w:p>
      <w:pPr>
        <w:sectPr>
          <w:pgSz w:w="11900" w:h="16838" w:orient="portrait"/>
          <w:cols w:equalWidth="0" w:num="1">
            <w:col w:w="10640"/>
          </w:cols>
          <w:pgMar w:left="580" w:top="263" w:right="679" w:bottom="1440" w:gutter="0" w:footer="0" w:header="0"/>
        </w:sectPr>
      </w:pPr>
    </w:p>
    <w:bookmarkStart w:id="707" w:name="page708"/>
    <w:bookmarkEnd w:id="70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15 – Form of Associated Party Access Agreement</w:t>
      </w:r>
    </w:p>
    <w:p>
      <w:pPr>
        <w:spacing w:after="0" w:line="2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Third Party Data Access Confirmation</w:t>
      </w:r>
    </w:p>
    <w:p>
      <w:pPr>
        <w:spacing w:after="0" w:line="213" w:lineRule="exact"/>
        <w:rPr>
          <w:sz w:val="20"/>
          <w:szCs w:val="20"/>
          <w:color w:val="auto"/>
        </w:rPr>
      </w:pPr>
    </w:p>
    <w:p>
      <w:pPr>
        <w:ind w:right="200" w:firstLine="428"/>
        <w:spacing w:after="0" w:line="252" w:lineRule="auto"/>
        <w:rPr>
          <w:sz w:val="20"/>
          <w:szCs w:val="20"/>
          <w:color w:val="auto"/>
        </w:rPr>
      </w:pPr>
      <w:r>
        <w:rPr>
          <w:rFonts w:ascii="Times New Roman" w:cs="Times New Roman" w:eastAsia="Times New Roman" w:hAnsi="Times New Roman"/>
          <w:sz w:val="18"/>
          <w:szCs w:val="18"/>
          <w:color w:val="auto"/>
        </w:rPr>
        <w:t>This Data Access Confirmation (“</w:t>
      </w:r>
      <w:r>
        <w:rPr>
          <w:rFonts w:ascii="Times New Roman" w:cs="Times New Roman" w:eastAsia="Times New Roman" w:hAnsi="Times New Roman"/>
          <w:sz w:val="18"/>
          <w:szCs w:val="18"/>
          <w:b w:val="1"/>
          <w:bCs w:val="1"/>
          <w:color w:val="auto"/>
        </w:rPr>
        <w:t>DAC</w:t>
      </w:r>
      <w:r>
        <w:rPr>
          <w:rFonts w:ascii="Times New Roman" w:cs="Times New Roman" w:eastAsia="Times New Roman" w:hAnsi="Times New Roman"/>
          <w:sz w:val="18"/>
          <w:szCs w:val="18"/>
          <w:color w:val="auto"/>
        </w:rPr>
        <w:t>”) is by and among Tempus Labs, Inc. (“</w:t>
      </w:r>
      <w:r>
        <w:rPr>
          <w:rFonts w:ascii="Times New Roman" w:cs="Times New Roman" w:eastAsia="Times New Roman" w:hAnsi="Times New Roman"/>
          <w:sz w:val="18"/>
          <w:szCs w:val="18"/>
          <w:b w:val="1"/>
          <w:bCs w:val="1"/>
          <w:color w:val="auto"/>
        </w:rPr>
        <w:t>Tempus</w:t>
      </w:r>
      <w:r>
        <w:rPr>
          <w:rFonts w:ascii="Times New Roman" w:cs="Times New Roman" w:eastAsia="Times New Roman" w:hAnsi="Times New Roman"/>
          <w:sz w:val="18"/>
          <w:szCs w:val="18"/>
          <w:color w:val="auto"/>
        </w:rPr>
        <w:t>”) and [Insert Name]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with acknowledgement by GlaxoSmithKline LLC (“</w:t>
      </w:r>
      <w:r>
        <w:rPr>
          <w:rFonts w:ascii="Times New Roman" w:cs="Times New Roman" w:eastAsia="Times New Roman" w:hAnsi="Times New Roman"/>
          <w:sz w:val="18"/>
          <w:szCs w:val="18"/>
          <w:b w:val="1"/>
          <w:bCs w:val="1"/>
          <w:color w:val="auto"/>
        </w:rPr>
        <w:t>GSK</w:t>
      </w:r>
      <w:r>
        <w:rPr>
          <w:rFonts w:ascii="Times New Roman" w:cs="Times New Roman" w:eastAsia="Times New Roman" w:hAnsi="Times New Roman"/>
          <w:sz w:val="18"/>
          <w:szCs w:val="18"/>
          <w:color w:val="auto"/>
        </w:rPr>
        <w:t>”). This DAC is entered into pursuant to the terms and subject to the conditions of that certain Strategic Collaboration Agreement, dated as of [Insert Date]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between GSK and Tempus. Capitalized terms used and not defined herein shall have the meaning provided in the Agreement.</w:t>
      </w:r>
    </w:p>
    <w:p>
      <w:pPr>
        <w:spacing w:after="0" w:line="183" w:lineRule="exact"/>
        <w:rPr>
          <w:sz w:val="20"/>
          <w:szCs w:val="20"/>
          <w:color w:val="auto"/>
        </w:rPr>
      </w:pPr>
    </w:p>
    <w:p>
      <w:pPr>
        <w:ind w:right="40" w:firstLine="428"/>
        <w:spacing w:after="0" w:line="255" w:lineRule="auto"/>
        <w:rPr>
          <w:sz w:val="20"/>
          <w:szCs w:val="20"/>
          <w:color w:val="auto"/>
        </w:rPr>
      </w:pPr>
      <w:r>
        <w:rPr>
          <w:rFonts w:ascii="Times New Roman" w:cs="Times New Roman" w:eastAsia="Times New Roman" w:hAnsi="Times New Roman"/>
          <w:sz w:val="18"/>
          <w:szCs w:val="18"/>
          <w:color w:val="auto"/>
        </w:rPr>
        <w:t>A partially executed copy of this DAC shall be submitted to Tempus at the attention of the Alliance Director, with a copy to [***], and must be signed by Tempus prior to Third Party receiving access to any Tempus Software. Tempus shall return a signed copy of this DAC, or otherwise respond appropriately, to GSK’s Alliance Director, within [***] of receipt of GSK’s partially copy.</w:t>
      </w:r>
    </w:p>
    <w:p>
      <w:pPr>
        <w:spacing w:after="0" w:line="180" w:lineRule="exact"/>
        <w:rPr>
          <w:sz w:val="20"/>
          <w:szCs w:val="20"/>
          <w:color w:val="auto"/>
        </w:rPr>
      </w:pPr>
    </w:p>
    <w:p>
      <w:pPr>
        <w:ind w:firstLine="428"/>
        <w:spacing w:after="0" w:line="255" w:lineRule="auto"/>
        <w:rPr>
          <w:sz w:val="20"/>
          <w:szCs w:val="20"/>
          <w:color w:val="auto"/>
        </w:rPr>
      </w:pPr>
      <w:r>
        <w:rPr>
          <w:rFonts w:ascii="Times New Roman" w:cs="Times New Roman" w:eastAsia="Times New Roman" w:hAnsi="Times New Roman"/>
          <w:sz w:val="18"/>
          <w:szCs w:val="18"/>
          <w:color w:val="auto"/>
        </w:rPr>
        <w:t>By the respective signatures below of an authorized representative of GSK, Tempus and the Third Party, this DAC shall be sufficient to allow the Third Party to access and use Tempus Software (including any Tempus Licensed Data accessible to GSK therein), subject to the terms and conditions contained in this DAC and the Agreement.</w:t>
      </w:r>
    </w:p>
    <w:p>
      <w:pPr>
        <w:sectPr>
          <w:pgSz w:w="11900" w:h="16838" w:orient="portrait"/>
          <w:cols w:equalWidth="0" w:num="1">
            <w:col w:w="10600"/>
          </w:cols>
          <w:pgMar w:left="580" w:top="263" w:right="719" w:bottom="1440" w:gutter="0" w:footer="0" w:header="0"/>
        </w:sectPr>
      </w:pPr>
    </w:p>
    <w:p>
      <w:pPr>
        <w:spacing w:after="0" w:line="205" w:lineRule="exact"/>
        <w:rPr>
          <w:sz w:val="20"/>
          <w:szCs w:val="20"/>
          <w:color w:val="auto"/>
        </w:rPr>
      </w:pPr>
    </w:p>
    <w:p>
      <w:pPr>
        <w:ind w:right="880"/>
        <w:spacing w:after="0" w:line="270" w:lineRule="auto"/>
        <w:rPr>
          <w:sz w:val="20"/>
          <w:szCs w:val="20"/>
          <w:color w:val="auto"/>
        </w:rPr>
      </w:pPr>
      <w:r>
        <w:rPr>
          <w:rFonts w:ascii="Times New Roman" w:cs="Times New Roman" w:eastAsia="Times New Roman" w:hAnsi="Times New Roman"/>
          <w:sz w:val="18"/>
          <w:szCs w:val="18"/>
          <w:b w:val="1"/>
          <w:bCs w:val="1"/>
          <w:color w:val="auto"/>
        </w:rPr>
        <w:t>Third Party Name and Address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Name]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101" w:lineRule="exact"/>
        <w:rPr>
          <w:sz w:val="20"/>
          <w:szCs w:val="20"/>
          <w:color w:val="auto"/>
        </w:rPr>
      </w:pPr>
    </w:p>
    <w:p>
      <w:pPr>
        <w:sectPr>
          <w:pgSz w:w="11900" w:h="16838" w:orient="portrait"/>
          <w:cols w:equalWidth="0" w:num="2">
            <w:col w:w="2600" w:space="720"/>
            <w:col w:w="7280"/>
          </w:cols>
          <w:pgMar w:left="580" w:top="263" w:right="71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GSK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Office Address: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101" w:lineRule="exact"/>
        <w:rPr>
          <w:sz w:val="20"/>
          <w:szCs w:val="20"/>
          <w:color w:val="auto"/>
        </w:rPr>
      </w:pPr>
    </w:p>
    <w:p>
      <w:pPr>
        <w:sectPr>
          <w:pgSz w:w="11900" w:h="16838" w:orient="portrait"/>
          <w:cols w:equalWidth="0" w:num="2">
            <w:col w:w="2600" w:space="720"/>
            <w:col w:w="7280"/>
          </w:cols>
          <w:pgMar w:left="580" w:top="263" w:right="719" w:bottom="1440" w:gutter="0" w:footer="0" w:header="0"/>
          <w:type w:val="continuous"/>
        </w:sectPr>
      </w:pPr>
    </w:p>
    <w:p>
      <w:pPr>
        <w:spacing w:after="0" w:line="270" w:lineRule="auto"/>
        <w:rPr>
          <w:sz w:val="20"/>
          <w:szCs w:val="20"/>
          <w:color w:val="auto"/>
        </w:rPr>
      </w:pPr>
      <w:r>
        <w:rPr>
          <w:rFonts w:ascii="Times New Roman" w:cs="Times New Roman" w:eastAsia="Times New Roman" w:hAnsi="Times New Roman"/>
          <w:sz w:val="18"/>
          <w:szCs w:val="18"/>
          <w:b w:val="1"/>
          <w:bCs w:val="1"/>
          <w:color w:val="auto"/>
        </w:rPr>
        <w:t>Description of Software Access and Permitted Purpose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[Insert description of access and intended use]</w:t>
      </w:r>
    </w:p>
    <w:p>
      <w:pPr>
        <w:spacing w:after="0" w:line="338" w:lineRule="exact"/>
        <w:rPr>
          <w:sz w:val="20"/>
          <w:szCs w:val="20"/>
          <w:color w:val="auto"/>
        </w:rPr>
      </w:pPr>
    </w:p>
    <w:p>
      <w:pPr>
        <w:sectPr>
          <w:pgSz w:w="11900" w:h="16838" w:orient="portrait"/>
          <w:cols w:equalWidth="0" w:num="2">
            <w:col w:w="2640" w:space="680"/>
            <w:col w:w="7280"/>
          </w:cols>
          <w:pgMar w:left="580" w:top="263" w:right="71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Other Relevant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[To be provided as necessary]</w:t>
      </w:r>
    </w:p>
    <w:p>
      <w:pPr>
        <w:spacing w:after="0" w:line="200" w:lineRule="exact"/>
        <w:rPr>
          <w:sz w:val="20"/>
          <w:szCs w:val="20"/>
          <w:color w:val="auto"/>
        </w:rPr>
      </w:pPr>
    </w:p>
    <w:p>
      <w:pPr>
        <w:sectPr>
          <w:pgSz w:w="11900" w:h="16838" w:orient="portrait"/>
          <w:cols w:equalWidth="0" w:num="2">
            <w:col w:w="2600" w:space="720"/>
            <w:col w:w="7280"/>
          </w:cols>
          <w:pgMar w:left="580" w:top="263" w:right="71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and conditions apply to all Third Party access to Tempus Software granted by GSK under the Agreement:</w:t>
      </w:r>
    </w:p>
    <w:p>
      <w:pPr>
        <w:spacing w:after="0" w:line="211" w:lineRule="exact"/>
        <w:rPr>
          <w:sz w:val="20"/>
          <w:szCs w:val="20"/>
          <w:color w:val="auto"/>
        </w:rPr>
      </w:pPr>
    </w:p>
    <w:p>
      <w:pPr>
        <w:ind w:right="180" w:firstLine="436"/>
        <w:spacing w:after="0" w:line="270" w:lineRule="auto"/>
        <w:tabs>
          <w:tab w:leader="none" w:pos="734" w:val="left"/>
        </w:tabs>
        <w:numPr>
          <w:ilvl w:val="1"/>
          <w:numId w:val="6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Licensed Data Restrictions</w:t>
      </w:r>
      <w:r>
        <w:rPr>
          <w:rFonts w:ascii="Times New Roman" w:cs="Times New Roman" w:eastAsia="Times New Roman" w:hAnsi="Times New Roman"/>
          <w:sz w:val="18"/>
          <w:szCs w:val="18"/>
          <w:color w:val="auto"/>
        </w:rPr>
        <w:t>. The Licensed Data Terms and Conditions set forth in Schedule 12 of the Agreement, and all other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 terms set forth in the Agreement, shall apply to any Third Party access granted pursuant to this DAC.</w:t>
      </w:r>
    </w:p>
    <w:p>
      <w:pPr>
        <w:spacing w:after="0" w:line="164" w:lineRule="exact"/>
        <w:rPr>
          <w:rFonts w:ascii="Times New Roman" w:cs="Times New Roman" w:eastAsia="Times New Roman" w:hAnsi="Times New Roman"/>
          <w:sz w:val="18"/>
          <w:szCs w:val="18"/>
          <w:b w:val="1"/>
          <w:bCs w:val="1"/>
          <w:color w:val="auto"/>
        </w:rPr>
      </w:pPr>
    </w:p>
    <w:p>
      <w:pPr>
        <w:ind w:right="240" w:firstLine="436"/>
        <w:spacing w:after="0" w:line="270" w:lineRule="auto"/>
        <w:tabs>
          <w:tab w:leader="none" w:pos="734" w:val="left"/>
        </w:tabs>
        <w:numPr>
          <w:ilvl w:val="1"/>
          <w:numId w:val="6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Tempus Software Terms of Use</w:t>
      </w:r>
      <w:r>
        <w:rPr>
          <w:rFonts w:ascii="Times New Roman" w:cs="Times New Roman" w:eastAsia="Times New Roman" w:hAnsi="Times New Roman"/>
          <w:sz w:val="18"/>
          <w:szCs w:val="18"/>
          <w:color w:val="auto"/>
        </w:rPr>
        <w:t>. The Tempus Software Terms of Use set forth in Schedule 14 of the Agreement, and all other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 terms set forth in the Agreement, shall apply to any Third Party access granted pursuant to this DAC.</w:t>
      </w:r>
    </w:p>
    <w:p>
      <w:pPr>
        <w:spacing w:after="0" w:line="164" w:lineRule="exact"/>
        <w:rPr>
          <w:rFonts w:ascii="Times New Roman" w:cs="Times New Roman" w:eastAsia="Times New Roman" w:hAnsi="Times New Roman"/>
          <w:sz w:val="18"/>
          <w:szCs w:val="18"/>
          <w:b w:val="1"/>
          <w:bCs w:val="1"/>
          <w:color w:val="auto"/>
        </w:rPr>
      </w:pPr>
    </w:p>
    <w:p>
      <w:pPr>
        <w:ind w:right="40" w:firstLine="436"/>
        <w:spacing w:after="0" w:line="280" w:lineRule="auto"/>
        <w:tabs>
          <w:tab w:leader="none" w:pos="734" w:val="left"/>
        </w:tabs>
        <w:numPr>
          <w:ilvl w:val="1"/>
          <w:numId w:val="6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Third Party Representations, Warranties, and Covenants</w:t>
      </w:r>
      <w:r>
        <w:rPr>
          <w:rFonts w:ascii="Times New Roman" w:cs="Times New Roman" w:eastAsia="Times New Roman" w:hAnsi="Times New Roman"/>
          <w:sz w:val="16"/>
          <w:szCs w:val="16"/>
          <w:color w:val="auto"/>
        </w:rPr>
        <w:t>. Third Party represents, warrants, and covenants that (i) it will not copy,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distribute, disclose, review or otherwise use the Tempus Software or Licensed Data, for any purpose, except as authorized to perform the services for GSK and consistent with the terms of this DAC (including the permitted purpose stated above), (ii) it shall not use the Tempus Software or Licensed Data for its own benefit or business purpose; (iii) it shall treat confidentially and maintain in strict confidence all Tempus Software and Licensed Data;</w:t>
      </w:r>
    </w:p>
    <w:p>
      <w:pPr>
        <w:spacing w:after="0" w:line="1" w:lineRule="exact"/>
        <w:rPr>
          <w:rFonts w:ascii="Times New Roman" w:cs="Times New Roman" w:eastAsia="Times New Roman" w:hAnsi="Times New Roman"/>
          <w:sz w:val="16"/>
          <w:szCs w:val="16"/>
          <w:b w:val="1"/>
          <w:bCs w:val="1"/>
          <w:color w:val="auto"/>
        </w:rPr>
      </w:pPr>
    </w:p>
    <w:p>
      <w:pPr>
        <w:ind w:right="220" w:firstLine="8"/>
        <w:spacing w:after="0" w:line="308" w:lineRule="auto"/>
        <w:tabs>
          <w:tab w:leader="none" w:pos="296" w:val="left"/>
        </w:tabs>
        <w:numPr>
          <w:ilvl w:val="0"/>
          <w:numId w:val="6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will not remove or modify any copyright, trademark, or other proprietary notices that Tempus has placed on the Tempus Software or Licensed Data, and (v) it will not acquire any right, title, or interests, express or implied, in the Tempus Software and Licensed Data by virtue of this DAC.</w:t>
      </w:r>
    </w:p>
    <w:p>
      <w:pPr>
        <w:sectPr>
          <w:pgSz w:w="11900" w:h="16838" w:orient="portrait"/>
          <w:cols w:equalWidth="0" w:num="1">
            <w:col w:w="10600"/>
          </w:cols>
          <w:pgMar w:left="580" w:top="263" w:right="719" w:bottom="1440" w:gutter="0" w:footer="0" w:header="0"/>
          <w:type w:val="continuous"/>
        </w:sectPr>
      </w:pPr>
    </w:p>
    <w:bookmarkStart w:id="708" w:name="page709"/>
    <w:bookmarkEnd w:id="708"/>
    <w:p>
      <w:pPr>
        <w:ind w:right="140" w:firstLine="436"/>
        <w:spacing w:after="0" w:line="248" w:lineRule="auto"/>
        <w:tabs>
          <w:tab w:leader="none" w:pos="734" w:val="left"/>
        </w:tabs>
        <w:numPr>
          <w:ilvl w:val="0"/>
          <w:numId w:val="6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Term of DAC</w:t>
      </w:r>
      <w:r>
        <w:rPr>
          <w:rFonts w:ascii="Times New Roman" w:cs="Times New Roman" w:eastAsia="Times New Roman" w:hAnsi="Times New Roman"/>
          <w:sz w:val="18"/>
          <w:szCs w:val="18"/>
          <w:color w:val="auto"/>
        </w:rPr>
        <w:t>. This DAC will be effective as of the date it is signed by all three parties below, and shall terminate on the earliest of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when Third Party no longer reasonably needs access to Tempus Software to support the permitted purpose set forth above; (ii) the date when GSK chooses to terminate Third Party’s access to Tempus Software; (iii) the termination or expiration of the Agreement (which date shall be communicated by GSK to Third Party); or (iv) immediately upon Tempus’ notice of any reasonably suspected breach of this DAC (including any applicable terms of the Agreement incorporated by reference) by Tempus. Upon any termination or expiration of this DAC or the Agreement, all of Third Party’s rights of access and use of Tempus Software and Licensed Data shall terminate.</w:t>
      </w:r>
    </w:p>
    <w:p>
      <w:pPr>
        <w:spacing w:after="0" w:line="187" w:lineRule="exact"/>
        <w:rPr>
          <w:rFonts w:ascii="Times New Roman" w:cs="Times New Roman" w:eastAsia="Times New Roman" w:hAnsi="Times New Roman"/>
          <w:sz w:val="18"/>
          <w:szCs w:val="18"/>
          <w:b w:val="1"/>
          <w:bCs w:val="1"/>
          <w:color w:val="auto"/>
        </w:rPr>
      </w:pPr>
    </w:p>
    <w:p>
      <w:pPr>
        <w:ind w:firstLine="436"/>
        <w:spacing w:after="0" w:line="247" w:lineRule="auto"/>
        <w:tabs>
          <w:tab w:leader="none" w:pos="734" w:val="left"/>
        </w:tabs>
        <w:numPr>
          <w:ilvl w:val="0"/>
          <w:numId w:val="6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Return and Destruction of Licensed Data</w:t>
      </w:r>
      <w:r>
        <w:rPr>
          <w:rFonts w:ascii="Times New Roman" w:cs="Times New Roman" w:eastAsia="Times New Roman" w:hAnsi="Times New Roman"/>
          <w:sz w:val="18"/>
          <w:szCs w:val="18"/>
          <w:color w:val="auto"/>
        </w:rPr>
        <w:t>. Third Party acknowledges and agrees that the Agreement and this DAC do not allow Third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receive or otherwise physically possess any extracted copy or excerpt of Licensed Data, and that it may solely access the Licensed Data and Software through a secure mechanism of remote access through GSK systems. Without limiting the generality of the foregoing, Third Party shall return the Tempus Software or Licensed Data to GSK, and/or destroy any and all copies (or derivatives thereof) it may have at the earliest of (i) its discovery that it has such Licensed Data or Software is in its possession, or (ii) the termination or expiration of this DAC or the Agreement (which date shall be communicated by GSK to Third Party), upon which Third Party will diligently and thoroughly search its systems to confirm it has complied with this provision.</w:t>
      </w:r>
    </w:p>
    <w:p>
      <w:pPr>
        <w:spacing w:after="0" w:line="189" w:lineRule="exact"/>
        <w:rPr>
          <w:rFonts w:ascii="Times New Roman" w:cs="Times New Roman" w:eastAsia="Times New Roman" w:hAnsi="Times New Roman"/>
          <w:sz w:val="18"/>
          <w:szCs w:val="18"/>
          <w:b w:val="1"/>
          <w:bCs w:val="1"/>
          <w:color w:val="auto"/>
        </w:rPr>
      </w:pPr>
    </w:p>
    <w:p>
      <w:pPr>
        <w:ind w:right="20" w:firstLine="436"/>
        <w:spacing w:after="0" w:line="256" w:lineRule="auto"/>
        <w:tabs>
          <w:tab w:leader="none" w:pos="734" w:val="left"/>
        </w:tabs>
        <w:numPr>
          <w:ilvl w:val="0"/>
          <w:numId w:val="6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GSK Responsibilities</w:t>
      </w:r>
      <w:r>
        <w:rPr>
          <w:rFonts w:ascii="Times New Roman" w:cs="Times New Roman" w:eastAsia="Times New Roman" w:hAnsi="Times New Roman"/>
          <w:sz w:val="18"/>
          <w:szCs w:val="18"/>
          <w:color w:val="auto"/>
        </w:rPr>
        <w:t>. As between Tempus and GSK only, GSK shall be wholly and fully responsible for the acts and omissions of any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who receives access to Tempus Software or Licensed Data (or any other Tempus Confidential Information, Tempus Background IP, or Tempus Arising IP) under this DAC as if such act or omission was performed by GSK Personnel.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this DAC are agreed an acknowledged by the signature below of each Party’s authorized representative.</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[Third Party]</w:t>
            </w:r>
          </w:p>
        </w:tc>
        <w:tc>
          <w:tcPr>
            <w:tcW w:w="5680" w:type="dxa"/>
            <w:vAlign w:val="bottom"/>
            <w:gridSpan w:val="7"/>
          </w:tcPr>
          <w:p>
            <w:pPr>
              <w:ind w:left="1280"/>
              <w:spacing w:after="0"/>
              <w:rPr>
                <w:sz w:val="20"/>
                <w:szCs w:val="20"/>
                <w:color w:val="auto"/>
              </w:rPr>
            </w:pPr>
            <w:r>
              <w:rPr>
                <w:rFonts w:ascii="Times New Roman" w:cs="Times New Roman" w:eastAsia="Times New Roman" w:hAnsi="Times New Roman"/>
                <w:sz w:val="18"/>
                <w:szCs w:val="18"/>
                <w:b w:val="1"/>
                <w:bCs w:val="1"/>
                <w:color w:val="auto"/>
              </w:rPr>
              <w:t>TEMPUS LABS, INC.</w:t>
            </w:r>
          </w:p>
        </w:tc>
      </w:tr>
      <w:tr>
        <w:trPr>
          <w:trHeight w:val="381"/>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gridSpan w:val="6"/>
          </w:tcPr>
          <w:p>
            <w:pPr>
              <w:spacing w:after="0"/>
              <w:rPr>
                <w:sz w:val="24"/>
                <w:szCs w:val="24"/>
                <w:color w:val="auto"/>
              </w:rPr>
            </w:pPr>
          </w:p>
        </w:tc>
        <w:tc>
          <w:tcPr>
            <w:tcW w:w="156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By:</w:t>
            </w:r>
          </w:p>
        </w:tc>
        <w:tc>
          <w:tcPr>
            <w:tcW w:w="4120" w:type="dxa"/>
            <w:vAlign w:val="bottom"/>
            <w:tcBorders>
              <w:bottom w:val="single" w:sz="8" w:color="auto"/>
            </w:tcBorders>
            <w:gridSpan w:val="6"/>
          </w:tcPr>
          <w:p>
            <w:pPr>
              <w:spacing w:after="0"/>
              <w:rPr>
                <w:sz w:val="24"/>
                <w:szCs w:val="24"/>
                <w:color w:val="auto"/>
              </w:rPr>
            </w:pPr>
          </w:p>
        </w:tc>
      </w:tr>
      <w:tr>
        <w:trPr>
          <w:trHeight w:val="400"/>
        </w:trPr>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Printed Name:</w:t>
            </w:r>
          </w:p>
        </w:tc>
        <w:tc>
          <w:tcPr>
            <w:tcW w:w="3280" w:type="dxa"/>
            <w:vAlign w:val="bottom"/>
            <w:tcBorders>
              <w:bottom w:val="single" w:sz="8" w:color="auto"/>
            </w:tcBorders>
          </w:tcPr>
          <w:p>
            <w:pPr>
              <w:spacing w:after="0"/>
              <w:rPr>
                <w:sz w:val="24"/>
                <w:szCs w:val="24"/>
                <w:color w:val="auto"/>
              </w:rPr>
            </w:pPr>
          </w:p>
        </w:tc>
        <w:tc>
          <w:tcPr>
            <w:tcW w:w="80" w:type="dxa"/>
            <w:vAlign w:val="bottom"/>
            <w:gridSpan w:val="2"/>
          </w:tcPr>
          <w:p>
            <w:pPr>
              <w:spacing w:after="0"/>
              <w:rPr>
                <w:sz w:val="24"/>
                <w:szCs w:val="24"/>
                <w:color w:val="auto"/>
              </w:rPr>
            </w:pPr>
          </w:p>
        </w:tc>
        <w:tc>
          <w:tcPr>
            <w:tcW w:w="2340" w:type="dxa"/>
            <w:vAlign w:val="bottom"/>
            <w:gridSpan w:val="4"/>
          </w:tcPr>
          <w:p>
            <w:pPr>
              <w:ind w:left="1280"/>
              <w:spacing w:after="0"/>
              <w:rPr>
                <w:sz w:val="20"/>
                <w:szCs w:val="20"/>
                <w:color w:val="auto"/>
              </w:rPr>
            </w:pPr>
            <w:r>
              <w:rPr>
                <w:rFonts w:ascii="Times New Roman" w:cs="Times New Roman" w:eastAsia="Times New Roman" w:hAnsi="Times New Roman"/>
                <w:sz w:val="18"/>
                <w:szCs w:val="18"/>
                <w:color w:val="auto"/>
                <w:w w:val="99"/>
              </w:rPr>
              <w:t>Printed Name:</w:t>
            </w:r>
          </w:p>
        </w:tc>
        <w:tc>
          <w:tcPr>
            <w:tcW w:w="3280" w:type="dxa"/>
            <w:vAlign w:val="bottom"/>
            <w:tcBorders>
              <w:bottom w:val="single" w:sz="8" w:color="auto"/>
            </w:tcBorders>
          </w:tcPr>
          <w:p>
            <w:pPr>
              <w:spacing w:after="0"/>
              <w:rPr>
                <w:sz w:val="24"/>
                <w:szCs w:val="24"/>
                <w:color w:val="auto"/>
              </w:rPr>
            </w:pPr>
          </w:p>
        </w:tc>
        <w:tc>
          <w:tcPr>
            <w:tcW w:w="60" w:type="dxa"/>
            <w:vAlign w:val="bottom"/>
            <w:gridSpan w:val="2"/>
          </w:tcPr>
          <w:p>
            <w:pPr>
              <w:spacing w:after="0"/>
              <w:rPr>
                <w:sz w:val="24"/>
                <w:szCs w:val="24"/>
                <w:color w:val="auto"/>
              </w:rPr>
            </w:pPr>
          </w:p>
        </w:tc>
      </w:tr>
      <w:tr>
        <w:trPr>
          <w:trHeight w:val="400"/>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Borders>
              <w:bottom w:val="single" w:sz="8" w:color="auto"/>
            </w:tcBorders>
            <w:gridSpan w:val="4"/>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w w:val="97"/>
              </w:rPr>
              <w:t>Title:</w:t>
            </w:r>
          </w:p>
        </w:tc>
        <w:tc>
          <w:tcPr>
            <w:tcW w:w="3980" w:type="dxa"/>
            <w:vAlign w:val="bottom"/>
            <w:tcBorders>
              <w:bottom w:val="single" w:sz="8" w:color="auto"/>
            </w:tcBorders>
            <w:gridSpan w:val="4"/>
          </w:tcPr>
          <w:p>
            <w:pPr>
              <w:spacing w:after="0"/>
              <w:rPr>
                <w:sz w:val="24"/>
                <w:szCs w:val="24"/>
                <w:color w:val="auto"/>
              </w:rPr>
            </w:pPr>
          </w:p>
        </w:tc>
        <w:tc>
          <w:tcPr>
            <w:tcW w:w="20" w:type="dxa"/>
            <w:vAlign w:val="bottom"/>
          </w:tcPr>
          <w:p>
            <w:pPr>
              <w:spacing w:after="0"/>
              <w:rPr>
                <w:sz w:val="24"/>
                <w:szCs w:val="24"/>
                <w:color w:val="auto"/>
              </w:rPr>
            </w:pPr>
          </w:p>
        </w:tc>
      </w:tr>
      <w:tr>
        <w:trPr>
          <w:trHeight w:val="400"/>
        </w:trPr>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c>
          <w:tcPr>
            <w:tcW w:w="3980" w:type="dxa"/>
            <w:vAlign w:val="bottom"/>
            <w:tcBorders>
              <w:bottom w:val="single" w:sz="8" w:color="auto"/>
            </w:tcBorders>
            <w:gridSpan w:val="4"/>
          </w:tcPr>
          <w:p>
            <w:pPr>
              <w:spacing w:after="0"/>
              <w:rPr>
                <w:sz w:val="24"/>
                <w:szCs w:val="24"/>
                <w:color w:val="auto"/>
              </w:rPr>
            </w:pPr>
          </w:p>
        </w:tc>
        <w:tc>
          <w:tcPr>
            <w:tcW w:w="1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Date:</w:t>
            </w:r>
          </w:p>
        </w:tc>
        <w:tc>
          <w:tcPr>
            <w:tcW w:w="3980" w:type="dxa"/>
            <w:vAlign w:val="bottom"/>
            <w:tcBorders>
              <w:bottom w:val="single" w:sz="8" w:color="auto"/>
            </w:tcBorders>
            <w:gridSpan w:val="4"/>
          </w:tcPr>
          <w:p>
            <w:pPr>
              <w:spacing w:after="0"/>
              <w:rPr>
                <w:sz w:val="24"/>
                <w:szCs w:val="24"/>
                <w:color w:val="auto"/>
              </w:rPr>
            </w:pPr>
          </w:p>
        </w:tc>
      </w:tr>
    </w:tbl>
    <w:p>
      <w:pPr>
        <w:sectPr>
          <w:pgSz w:w="11900" w:h="16838" w:orient="portrait"/>
          <w:cols w:equalWidth="0" w:num="1">
            <w:col w:w="10720"/>
          </w:cols>
          <w:pgMar w:left="580" w:top="264" w:right="599" w:bottom="1440" w:gutter="0" w:footer="0" w:header="0"/>
        </w:sectPr>
      </w:pPr>
    </w:p>
    <w:bookmarkStart w:id="709" w:name="page710"/>
    <w:bookmarkEnd w:id="709"/>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terms of this DAC are hereby acknowledged by: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GLAXOSMITHKLINE LLC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-10795</wp:posOffset>
            </wp:positionV>
            <wp:extent cx="205549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2055495"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-10795</wp:posOffset>
            </wp:positionV>
            <wp:extent cx="155575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555750"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-10795</wp:posOffset>
            </wp:positionV>
            <wp:extent cx="197231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972310"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-10795</wp:posOffset>
            </wp:positionV>
            <wp:extent cx="197231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972310" cy="8255"/>
                    </a:xfrm>
                    <a:prstGeom prst="rect">
                      <a:avLst/>
                    </a:prstGeom>
                    <a:noFill/>
                  </pic:spPr>
                </pic:pic>
              </a:graphicData>
            </a:graphic>
          </wp:anchor>
        </w:drawing>
      </w:r>
    </w:p>
    <w:p>
      <w:pPr>
        <w:sectPr>
          <w:pgSz w:w="11900" w:h="16838" w:orient="portrait"/>
          <w:cols w:equalWidth="0" w:num="1">
            <w:col w:w="9879"/>
          </w:cols>
          <w:pgMar w:left="580" w:top="265" w:right="1440" w:bottom="1440" w:gutter="0" w:footer="0" w:header="0"/>
        </w:sectPr>
      </w:pPr>
    </w:p>
    <w:bookmarkStart w:id="710" w:name="page711"/>
    <w:bookmarkEnd w:id="710"/>
    <w:p>
      <w:pPr>
        <w:jc w:val="right"/>
        <w:spacing w:after="0"/>
        <w:rPr>
          <w:sz w:val="20"/>
          <w:szCs w:val="20"/>
          <w:color w:val="auto"/>
        </w:rPr>
      </w:pPr>
      <w:r>
        <w:rPr>
          <w:rFonts w:ascii="Times New Roman" w:cs="Times New Roman" w:eastAsia="Times New Roman" w:hAnsi="Times New Roman"/>
          <w:sz w:val="18"/>
          <w:szCs w:val="18"/>
          <w:color w:val="auto"/>
        </w:rPr>
        <w:t>Exhibit 10.19</w:t>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w:t>
      </w:r>
      <w:r>
        <w:rPr>
          <w:rFonts w:ascii="Times New Roman" w:cs="Times New Roman" w:eastAsia="Times New Roman" w:hAnsi="Times New Roman"/>
          <w:sz w:val="14"/>
          <w:szCs w:val="14"/>
          <w:b w:val="1"/>
          <w:bCs w:val="1"/>
          <w:i w:val="1"/>
          <w:iCs w:val="1"/>
          <w:color w:val="auto"/>
        </w:rPr>
        <w:t>XECUTION</w:t>
      </w:r>
      <w:r>
        <w:rPr>
          <w:rFonts w:ascii="Times New Roman" w:cs="Times New Roman" w:eastAsia="Times New Roman" w:hAnsi="Times New Roman"/>
          <w:sz w:val="18"/>
          <w:szCs w:val="18"/>
          <w:b w:val="1"/>
          <w:bCs w:val="1"/>
          <w:i w:val="1"/>
          <w:iCs w:val="1"/>
          <w:color w:val="auto"/>
        </w:rPr>
        <w:t xml:space="preserve"> V</w:t>
      </w:r>
      <w:r>
        <w:rPr>
          <w:rFonts w:ascii="Times New Roman" w:cs="Times New Roman" w:eastAsia="Times New Roman" w:hAnsi="Times New Roman"/>
          <w:sz w:val="14"/>
          <w:szCs w:val="14"/>
          <w:b w:val="1"/>
          <w:bCs w:val="1"/>
          <w:i w:val="1"/>
          <w:iCs w:val="1"/>
          <w:color w:val="auto"/>
        </w:rPr>
        <w:t>ERSION</w:t>
      </w:r>
    </w:p>
    <w:p>
      <w:pPr>
        <w:spacing w:after="0" w:line="2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1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dated as of</w:t>
      </w:r>
    </w:p>
    <w:p>
      <w:pPr>
        <w:spacing w:after="0" w:line="21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September 22, 2022</w:t>
      </w:r>
    </w:p>
    <w:p>
      <w:pPr>
        <w:spacing w:after="0" w:line="21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among</w:t>
      </w:r>
    </w:p>
    <w:p>
      <w:pPr>
        <w:spacing w:after="0" w:line="21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TEMPUS LABS, INC.,</w:t>
      </w:r>
    </w:p>
    <w:p>
      <w:pPr>
        <w:spacing w:after="0" w:line="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as the Borrower</w:t>
      </w:r>
    </w:p>
    <w:p>
      <w:pPr>
        <w:spacing w:after="0" w:line="19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6"/>
          <w:szCs w:val="16"/>
          <w:color w:val="auto"/>
        </w:rPr>
        <w:t>The Lenders Party Hereto from Time to Time,</w:t>
      </w:r>
    </w:p>
    <w:p>
      <w:pPr>
        <w:spacing w:after="0" w:line="23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and</w:t>
      </w:r>
    </w:p>
    <w:p>
      <w:pPr>
        <w:spacing w:after="0" w:line="21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ARES CAPITAL CORPORATION,</w:t>
      </w:r>
    </w:p>
    <w:p>
      <w:pPr>
        <w:spacing w:after="0" w:line="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6"/>
          <w:szCs w:val="16"/>
          <w:color w:val="auto"/>
        </w:rPr>
        <w:t>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2143125</wp:posOffset>
            </wp:positionH>
            <wp:positionV relativeFrom="paragraph">
              <wp:posOffset>233680</wp:posOffset>
            </wp:positionV>
            <wp:extent cx="143383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ARES CAPITAL MANAGEMENT LLC,</w:t>
      </w:r>
    </w:p>
    <w:p>
      <w:pPr>
        <w:spacing w:after="0" w:line="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as Lead Arranger and Bookrunner</w:t>
      </w:r>
    </w:p>
    <w:p>
      <w:pPr>
        <w:sectPr>
          <w:pgSz w:w="11900" w:h="16838" w:orient="portrait"/>
          <w:cols w:equalWidth="0" w:num="1">
            <w:col w:w="9860"/>
          </w:cols>
          <w:pgMar w:left="1440" w:top="121" w:right="599" w:bottom="1440" w:gutter="0" w:footer="0" w:header="0"/>
        </w:sectPr>
      </w:pPr>
    </w:p>
    <w:bookmarkStart w:id="711" w:name="page712"/>
    <w:bookmarkEnd w:id="71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78040" cy="36830"/>
                    </a:xfrm>
                    <a:prstGeom prst="rect">
                      <a:avLst/>
                    </a:prstGeom>
                    <a:noFill/>
                  </pic:spPr>
                </pic:pic>
              </a:graphicData>
            </a:graphic>
          </wp:anchor>
        </w:drawing>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8"/>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68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Defined Terms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Classification of Loans and Borrowings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Terms Generally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Terms; GAAP</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Divisions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5"/>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w w:val="98"/>
              </w:rPr>
              <w:t>ARTICLE II THE CREDITS</w:t>
            </w:r>
          </w:p>
        </w:tc>
        <w:tc>
          <w:tcPr>
            <w:tcW w:w="68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and Borrowings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Requests for Borrowings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2.05.</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Funding of Borrowings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2.07.</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Elections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of Commitments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2.09.</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Evidence of Debt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Loans; Amortization of Term Loans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Prepayment of Loans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2.14.</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Benchmark Replacement Setting</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2.15.</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Increased Costs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2.16.</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Break Funding Payments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2.17.</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2.18.</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2.19.</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15"/>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Organization; Power</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Governmental Approvals; No Conflicts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Condition; No Material Adverse Change; Projections; No Default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54"/>
        </w:trPr>
        <w:tc>
          <w:tcPr>
            <w:tcW w:w="2100" w:type="dxa"/>
            <w:vAlign w:val="bottom"/>
          </w:tcPr>
          <w:p>
            <w:pPr>
              <w:spacing w:after="0"/>
              <w:rPr>
                <w:sz w:val="24"/>
                <w:szCs w:val="24"/>
                <w:color w:val="auto"/>
              </w:rPr>
            </w:pPr>
          </w:p>
        </w:tc>
        <w:tc>
          <w:tcPr>
            <w:tcW w:w="680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-i-</w:t>
            </w:r>
          </w:p>
        </w:tc>
        <w:tc>
          <w:tcPr>
            <w:tcW w:w="1760" w:type="dxa"/>
            <w:vAlign w:val="bottom"/>
          </w:tcPr>
          <w:p>
            <w:pPr>
              <w:spacing w:after="0"/>
              <w:rPr>
                <w:sz w:val="24"/>
                <w:szCs w:val="24"/>
                <w:color w:val="auto"/>
              </w:rPr>
            </w:pPr>
          </w:p>
        </w:tc>
      </w:tr>
    </w:tbl>
    <w:p>
      <w:pPr>
        <w:sectPr>
          <w:pgSz w:w="11900" w:h="16838" w:orient="portrait"/>
          <w:cols w:equalWidth="0" w:num="1">
            <w:col w:w="10660"/>
          </w:cols>
          <w:pgMar w:left="580" w:top="263" w:right="659" w:bottom="1440" w:gutter="0" w:footer="0" w:header="0"/>
        </w:sectPr>
      </w:pPr>
    </w:p>
    <w:bookmarkStart w:id="712" w:name="page713"/>
    <w:bookmarkEnd w:id="7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(continued)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8"/>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3.05.</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3.06.</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Litigation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3.07.</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 with Laws and Agreements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3.08.</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Company Status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3.09.</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ERISA</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3.12.</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3.13.</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3.14.</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Labor Matters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3.15.</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Solvency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3.16.</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Margin Regulations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3.17.</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Patriot Act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3.18.</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Anti-Corruption Laws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3.19.</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Intellectual Property; Licenses, Etc</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3.20.</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3.21.</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Environmental Compliance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3.22.</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Health Care Regulatory Matters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3.23.</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Deposit Accounts and Securities Accounts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3.24.</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Use of Proceeds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3.25.</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Absence of Undisclosed Liabilities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15"/>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w w:val="97"/>
              </w:rPr>
              <w:t>ARTICLE IV CONDITIONS</w:t>
            </w:r>
          </w:p>
        </w:tc>
        <w:tc>
          <w:tcPr>
            <w:tcW w:w="600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Date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15"/>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Statements and Other Information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 of Material Events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5.03.</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Information Regarding Collateral</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5.04.</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Existence; Conduct of Business; Public Health Laws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5.05.</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Taxes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5.06.</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5.07.</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15"/>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5.08.</w:t>
            </w: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Casualty and Condemnation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54"/>
        </w:trPr>
        <w:tc>
          <w:tcPr>
            <w:tcW w:w="2100" w:type="dxa"/>
            <w:vAlign w:val="bottom"/>
          </w:tcPr>
          <w:p>
            <w:pPr>
              <w:spacing w:after="0"/>
              <w:rPr>
                <w:sz w:val="24"/>
                <w:szCs w:val="24"/>
                <w:color w:val="auto"/>
              </w:rPr>
            </w:pPr>
          </w:p>
        </w:tc>
        <w:tc>
          <w:tcPr>
            <w:tcW w:w="60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-ii-</w:t>
            </w:r>
          </w:p>
        </w:tc>
        <w:tc>
          <w:tcPr>
            <w:tcW w:w="2560" w:type="dxa"/>
            <w:vAlign w:val="bottom"/>
          </w:tcPr>
          <w:p>
            <w:pPr>
              <w:spacing w:after="0"/>
              <w:rPr>
                <w:sz w:val="24"/>
                <w:szCs w:val="24"/>
                <w:color w:val="auto"/>
              </w:rPr>
            </w:pPr>
          </w:p>
        </w:tc>
      </w:tr>
    </w:tbl>
    <w:p>
      <w:pPr>
        <w:sectPr>
          <w:pgSz w:w="11900" w:h="16838" w:orient="portrait"/>
          <w:cols w:equalWidth="0" w:num="1">
            <w:col w:w="10660"/>
          </w:cols>
          <w:pgMar w:left="580" w:top="264" w:right="659" w:bottom="1440" w:gutter="0" w:footer="0" w:header="0"/>
        </w:sectPr>
      </w:pPr>
    </w:p>
    <w:bookmarkStart w:id="713" w:name="page714"/>
    <w:bookmarkEnd w:id="71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(continued)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8"/>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5.09.</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Books and Records; Inspection and Audit Rights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Compliance with Laws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Use of Proceeds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5.12.</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Additional Subsidiaries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5.13.</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Further Assurances.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5.14.</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Environmental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5.15.</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Annual Lender Meeting</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5.16.</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Post-Closing Covenants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15"/>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Indebtedness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Liens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Fundamental Changes; Line of Business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6.04.</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Investments, Loans, Advances, Guarantees and Acquisitions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6.05.</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Asset Sales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6.06.</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Sale and Leaseback Transactions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6.07.</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6.08.</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Restricted Payments; Certain Payments of Indebtedness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6.09.</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Restrictive Agreements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6.11.</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of Material Documents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6.12.</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Financial Performance Covenants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6.13.</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Accounting; Fiscal Year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6.14.</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Swap Agreements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6.15.</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Name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6.16.</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OFAC; Patriot Act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6.17.</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Issuance or Repurchase of Equity Interests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6.18.</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Capital Expenditures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15"/>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Events of Default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15"/>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w:t>
            </w:r>
          </w:p>
        </w:tc>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Right to Cure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54"/>
        </w:trPr>
        <w:tc>
          <w:tcPr>
            <w:tcW w:w="1820" w:type="dxa"/>
            <w:vAlign w:val="bottom"/>
          </w:tcPr>
          <w:p>
            <w:pPr>
              <w:spacing w:after="0"/>
              <w:rPr>
                <w:sz w:val="24"/>
                <w:szCs w:val="24"/>
                <w:color w:val="auto"/>
              </w:rPr>
            </w:pPr>
          </w:p>
        </w:tc>
        <w:tc>
          <w:tcPr>
            <w:tcW w:w="65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-iii-</w:t>
            </w:r>
          </w:p>
        </w:tc>
        <w:tc>
          <w:tcPr>
            <w:tcW w:w="2280" w:type="dxa"/>
            <w:vAlign w:val="bottom"/>
          </w:tcPr>
          <w:p>
            <w:pPr>
              <w:spacing w:after="0"/>
              <w:rPr>
                <w:sz w:val="24"/>
                <w:szCs w:val="24"/>
                <w:color w:val="auto"/>
              </w:rPr>
            </w:pPr>
          </w:p>
        </w:tc>
      </w:tr>
    </w:tbl>
    <w:p>
      <w:pPr>
        <w:sectPr>
          <w:pgSz w:w="11900" w:h="16838" w:orient="portrait"/>
          <w:cols w:equalWidth="0" w:num="1">
            <w:col w:w="10660"/>
          </w:cols>
          <w:pgMar w:left="580" w:top="263" w:right="659" w:bottom="1440" w:gutter="0" w:footer="0" w:header="0"/>
        </w:sectPr>
      </w:pPr>
    </w:p>
    <w:bookmarkStart w:id="714" w:name="page715"/>
    <w:bookmarkEnd w:id="7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8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40" w:type="dxa"/>
            <w:vAlign w:val="bottom"/>
          </w:tcPr>
          <w:p>
            <w:pPr>
              <w:spacing w:after="0"/>
              <w:rPr>
                <w:sz w:val="18"/>
                <w:szCs w:val="18"/>
                <w:color w:val="auto"/>
              </w:rPr>
            </w:pPr>
          </w:p>
        </w:tc>
      </w:tr>
      <w:tr>
        <w:trPr>
          <w:trHeight w:val="228"/>
        </w:trPr>
        <w:tc>
          <w:tcPr>
            <w:tcW w:w="1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58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(continued)</w:t>
            </w:r>
          </w:p>
        </w:tc>
        <w:tc>
          <w:tcPr>
            <w:tcW w:w="1740" w:type="dxa"/>
            <w:vAlign w:val="bottom"/>
          </w:tcPr>
          <w:p>
            <w:pPr>
              <w:spacing w:after="0"/>
              <w:rPr>
                <w:sz w:val="19"/>
                <w:szCs w:val="19"/>
                <w:color w:val="auto"/>
              </w:rPr>
            </w:pPr>
          </w:p>
        </w:tc>
      </w:tr>
      <w:tr>
        <w:trPr>
          <w:trHeight w:val="271"/>
        </w:trPr>
        <w:tc>
          <w:tcPr>
            <w:tcW w:w="1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5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THE AGENTS</w:t>
            </w:r>
          </w:p>
        </w:tc>
        <w:tc>
          <w:tcPr>
            <w:tcW w:w="65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Appointment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Administrative Agent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8.03.</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Exculpatory Provisions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8.04.</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8.05.</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Notice of Default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8.06.</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Non-Reliance on Agents and Other Lenders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8.07.</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Indemnification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8.08.</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Agent in Its Individual Capacity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8.09.</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Successor Administrative Agent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8.10.</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Erroneous Payments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15"/>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Notices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Waivers; Amendments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Successors and Assigns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Survival</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9.06.</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9.07.</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Severability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9.08.</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Right of Setoff</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9.09.</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9.10.</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WAIVER OF JURY TRIAL</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9.11.</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Headings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9.12.</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Confidentiality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9.13.</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Rate Limitation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9.14.</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USA Patriot Act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9.15.</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Release of Collateral</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15"/>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9.16.</w:t>
            </w: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420"/>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 TO DISCLOSURE LETTER:</w:t>
            </w:r>
          </w:p>
        </w:tc>
        <w:tc>
          <w:tcPr>
            <w:tcW w:w="1740" w:type="dxa"/>
            <w:vAlign w:val="bottom"/>
          </w:tcPr>
          <w:p>
            <w:pPr>
              <w:spacing w:after="0"/>
              <w:rPr>
                <w:sz w:val="24"/>
                <w:szCs w:val="24"/>
                <w:color w:val="auto"/>
              </w:rPr>
            </w:pPr>
          </w:p>
        </w:tc>
      </w:tr>
      <w:tr>
        <w:trPr>
          <w:trHeight w:val="42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2.01</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 Loan Commitments</w:t>
            </w:r>
          </w:p>
        </w:tc>
        <w:tc>
          <w:tcPr>
            <w:tcW w:w="1740" w:type="dxa"/>
            <w:vAlign w:val="bottom"/>
          </w:tcPr>
          <w:p>
            <w:pPr>
              <w:spacing w:after="0"/>
              <w:rPr>
                <w:sz w:val="24"/>
                <w:szCs w:val="24"/>
                <w:color w:val="auto"/>
              </w:rPr>
            </w:pP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3.03</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Conflicts</w:t>
            </w:r>
          </w:p>
        </w:tc>
        <w:tc>
          <w:tcPr>
            <w:tcW w:w="1740" w:type="dxa"/>
            <w:vAlign w:val="bottom"/>
          </w:tcPr>
          <w:p>
            <w:pPr>
              <w:spacing w:after="0"/>
              <w:rPr>
                <w:sz w:val="18"/>
                <w:szCs w:val="18"/>
                <w:color w:val="auto"/>
              </w:rPr>
            </w:pP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3.05</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Property</w:t>
            </w:r>
          </w:p>
        </w:tc>
        <w:tc>
          <w:tcPr>
            <w:tcW w:w="1740" w:type="dxa"/>
            <w:vAlign w:val="bottom"/>
          </w:tcPr>
          <w:p>
            <w:pPr>
              <w:spacing w:after="0"/>
              <w:rPr>
                <w:sz w:val="18"/>
                <w:szCs w:val="18"/>
                <w:color w:val="auto"/>
              </w:rPr>
            </w:pP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1740" w:type="dxa"/>
            <w:vAlign w:val="bottom"/>
          </w:tcPr>
          <w:p>
            <w:pPr>
              <w:spacing w:after="0"/>
              <w:rPr>
                <w:sz w:val="18"/>
                <w:szCs w:val="18"/>
                <w:color w:val="auto"/>
              </w:rPr>
            </w:pP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3.07</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Laws</w:t>
            </w:r>
          </w:p>
        </w:tc>
        <w:tc>
          <w:tcPr>
            <w:tcW w:w="1740" w:type="dxa"/>
            <w:vAlign w:val="bottom"/>
          </w:tcPr>
          <w:p>
            <w:pPr>
              <w:spacing w:after="0"/>
              <w:rPr>
                <w:sz w:val="18"/>
                <w:szCs w:val="18"/>
                <w:color w:val="auto"/>
              </w:rPr>
            </w:pPr>
          </w:p>
        </w:tc>
      </w:tr>
      <w:tr>
        <w:trPr>
          <w:trHeight w:val="22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3.12</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w:t>
            </w:r>
          </w:p>
        </w:tc>
        <w:tc>
          <w:tcPr>
            <w:tcW w:w="1740" w:type="dxa"/>
            <w:vAlign w:val="bottom"/>
          </w:tcPr>
          <w:p>
            <w:pPr>
              <w:spacing w:after="0"/>
              <w:rPr>
                <w:sz w:val="19"/>
                <w:szCs w:val="19"/>
                <w:color w:val="auto"/>
              </w:rPr>
            </w:pPr>
          </w:p>
        </w:tc>
      </w:tr>
    </w:tbl>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660"/>
          </w:cols>
          <w:pgMar w:left="580" w:top="264" w:right="659" w:bottom="1440" w:gutter="0" w:footer="0" w:header="0"/>
        </w:sectPr>
      </w:pPr>
    </w:p>
    <w:bookmarkStart w:id="715" w:name="page716"/>
    <w:bookmarkEnd w:id="715"/>
    <w:tbl>
      <w:tblPr>
        <w:tblLayout w:type="fixed"/>
        <w:tblInd w:w="0" w:type="dxa"/>
        <w:tblCellMar>
          <w:top w:w="0" w:type="dxa"/>
          <w:left w:w="0" w:type="dxa"/>
          <w:bottom w:w="0" w:type="dxa"/>
          <w:right w:w="0" w:type="dxa"/>
        </w:tblCellMar>
      </w:tblPr>
      <w:tr>
        <w:trPr>
          <w:trHeight w:val="212"/>
        </w:trPr>
        <w:tc>
          <w:tcPr>
            <w:tcW w:w="1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6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r>
      <w:tr>
        <w:trPr>
          <w:trHeight w:val="228"/>
        </w:trPr>
        <w:tc>
          <w:tcPr>
            <w:tcW w:w="1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6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(continued)</w:t>
            </w:r>
          </w:p>
        </w:tc>
      </w:tr>
      <w:tr>
        <w:trPr>
          <w:trHeight w:val="337"/>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3.13</w:t>
            </w: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r>
      <w:tr>
        <w:trPr>
          <w:trHeight w:val="2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3.14</w:t>
            </w: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Collective Bargaining Agreements</w:t>
            </w:r>
          </w:p>
        </w:tc>
      </w:tr>
      <w:tr>
        <w:trPr>
          <w:trHeight w:val="2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3.23</w:t>
            </w: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Deposit Accounts and Securities Account</w:t>
            </w:r>
          </w:p>
        </w:tc>
      </w:tr>
      <w:tr>
        <w:trPr>
          <w:trHeight w:val="2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5.16</w:t>
            </w: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Post-Closing Covenants</w:t>
            </w:r>
          </w:p>
        </w:tc>
      </w:tr>
      <w:tr>
        <w:trPr>
          <w:trHeight w:val="2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6.01(iii)</w:t>
            </w: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 Date Indebtedness</w:t>
            </w:r>
          </w:p>
        </w:tc>
      </w:tr>
      <w:tr>
        <w:trPr>
          <w:trHeight w:val="2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6.01(xiii)</w:t>
            </w: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8"/>
              </w:rPr>
              <w:t>—   Effective Date Non-Loan Party Subsidiary Indebtedness</w:t>
            </w:r>
          </w:p>
        </w:tc>
      </w:tr>
      <w:tr>
        <w:trPr>
          <w:trHeight w:val="2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Liens</w:t>
            </w:r>
          </w:p>
        </w:tc>
      </w:tr>
      <w:tr>
        <w:trPr>
          <w:trHeight w:val="2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6.04(iii)</w:t>
            </w: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 Date Investments</w:t>
            </w:r>
          </w:p>
        </w:tc>
      </w:tr>
      <w:tr>
        <w:trPr>
          <w:trHeight w:val="2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6.04(xvii)</w:t>
            </w: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Effective Date Non-Loan Party Subsidiary Investments</w:t>
            </w:r>
          </w:p>
        </w:tc>
      </w:tr>
      <w:tr>
        <w:trPr>
          <w:trHeight w:val="2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6.09</w:t>
            </w: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228"/>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6.10</w:t>
            </w: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Restrictions</w:t>
            </w:r>
          </w:p>
        </w:tc>
      </w:tr>
      <w:tr>
        <w:trPr>
          <w:trHeight w:val="42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6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28"/>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Form of Assignment and Assumption</w:t>
            </w:r>
          </w:p>
        </w:tc>
      </w:tr>
      <w:tr>
        <w:trPr>
          <w:trHeight w:val="2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r>
      <w:tr>
        <w:trPr>
          <w:trHeight w:val="2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r>
      <w:tr>
        <w:trPr>
          <w:trHeight w:val="2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Form of Perfection Certificate</w:t>
            </w:r>
          </w:p>
        </w:tc>
      </w:tr>
      <w:tr>
        <w:trPr>
          <w:trHeight w:val="2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Form of Borrowing Request</w:t>
            </w:r>
          </w:p>
        </w:tc>
      </w:tr>
      <w:tr>
        <w:trPr>
          <w:trHeight w:val="2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Form of Interest Election Request</w:t>
            </w:r>
          </w:p>
        </w:tc>
      </w:tr>
      <w:tr>
        <w:trPr>
          <w:trHeight w:val="2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Form of Term Loan Note</w:t>
            </w:r>
          </w:p>
        </w:tc>
      </w:tr>
      <w:tr>
        <w:trPr>
          <w:trHeight w:val="2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r>
      <w:tr>
        <w:trPr>
          <w:trHeight w:val="2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I-1-4</w:t>
            </w: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U.S. Tax Compliance Certificates</w:t>
            </w:r>
          </w:p>
        </w:tc>
      </w:tr>
      <w:tr>
        <w:trPr>
          <w:trHeight w:val="228"/>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Solvency Certificate</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ind w:left="526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9879"/>
          </w:cols>
          <w:pgMar w:left="580" w:top="264" w:right="1440" w:bottom="1440" w:gutter="0" w:footer="0" w:header="0"/>
        </w:sectPr>
      </w:pPr>
    </w:p>
    <w:bookmarkStart w:id="716" w:name="page717"/>
    <w:bookmarkEnd w:id="716"/>
    <w:p>
      <w:pPr>
        <w:ind w:right="320" w:firstLine="96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This CREDIT AGREEMENT is entered into as of September 22, 2022, by and among TEMPUS LABS,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party hereto from time to time, ARES CAPITAL CORPORATION, as Administrative Agent, and ARES CAPITAL MANAGEMENT LLC, as Lead Arranger and Bookrunner.</w:t>
      </w:r>
    </w:p>
    <w:p>
      <w:pPr>
        <w:spacing w:after="0" w:line="180" w:lineRule="exact"/>
        <w:rPr>
          <w:sz w:val="20"/>
          <w:szCs w:val="20"/>
          <w:color w:val="auto"/>
        </w:rPr>
      </w:pPr>
    </w:p>
    <w:p>
      <w:pPr>
        <w:ind w:right="260" w:firstLine="964"/>
        <w:spacing w:after="0" w:line="267" w:lineRule="auto"/>
        <w:rPr>
          <w:sz w:val="20"/>
          <w:szCs w:val="20"/>
          <w:color w:val="auto"/>
        </w:rPr>
      </w:pPr>
      <w:r>
        <w:rPr>
          <w:rFonts w:ascii="Times New Roman" w:cs="Times New Roman" w:eastAsia="Times New Roman" w:hAnsi="Times New Roman"/>
          <w:sz w:val="18"/>
          <w:szCs w:val="18"/>
          <w:color w:val="auto"/>
        </w:rPr>
        <w:t>The Borrower has requested that the Lenders extend credit to the Borrower in the form of Term Loans in an aggregate principal amount not to exceed $175,000,000, upon and subject to the terms and conditions set forth in this Agreement.</w:t>
      </w:r>
    </w:p>
    <w:p>
      <w:pPr>
        <w:spacing w:after="0" w:line="170" w:lineRule="exact"/>
        <w:rPr>
          <w:sz w:val="20"/>
          <w:szCs w:val="20"/>
          <w:color w:val="auto"/>
        </w:rPr>
      </w:pPr>
    </w:p>
    <w:p>
      <w:pPr>
        <w:ind w:firstLine="964"/>
        <w:spacing w:after="0" w:line="267" w:lineRule="auto"/>
        <w:rPr>
          <w:sz w:val="20"/>
          <w:szCs w:val="20"/>
          <w:color w:val="auto"/>
        </w:rPr>
      </w:pPr>
      <w:r>
        <w:rPr>
          <w:rFonts w:ascii="Times New Roman" w:cs="Times New Roman" w:eastAsia="Times New Roman" w:hAnsi="Times New Roman"/>
          <w:sz w:val="18"/>
          <w:szCs w:val="18"/>
          <w:color w:val="auto"/>
        </w:rPr>
        <w:t>The proceeds of the Term Loans will be used by the Borrower (i) for working capital and general corporate purposes, (ii) to finance growth initiatives, (iii) to pay for operating expenses and (iv) to pay the Transaction Costs.</w:t>
      </w:r>
    </w:p>
    <w:p>
      <w:pPr>
        <w:spacing w:after="0" w:line="170" w:lineRule="exact"/>
        <w:rPr>
          <w:sz w:val="20"/>
          <w:szCs w:val="20"/>
          <w:color w:val="auto"/>
        </w:rPr>
      </w:pPr>
    </w:p>
    <w:p>
      <w:pPr>
        <w:ind w:right="80" w:firstLine="964"/>
        <w:spacing w:after="0" w:line="267" w:lineRule="auto"/>
        <w:rPr>
          <w:sz w:val="20"/>
          <w:szCs w:val="20"/>
          <w:color w:val="auto"/>
        </w:rPr>
      </w:pPr>
      <w:r>
        <w:rPr>
          <w:rFonts w:ascii="Times New Roman" w:cs="Times New Roman" w:eastAsia="Times New Roman" w:hAnsi="Times New Roman"/>
          <w:sz w:val="18"/>
          <w:szCs w:val="18"/>
          <w:color w:val="auto"/>
        </w:rPr>
        <w:t>The Lenders are willing to extend such credit to the Borrower, on the terms and subject to the conditions set forth herein. Accordingly, the parties hereto agree as follows: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w:t>
      </w:r>
    </w:p>
    <w:p>
      <w:pPr>
        <w:spacing w:after="0" w:line="213"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6"/>
          <w:szCs w:val="16"/>
          <w:u w:val="single" w:color="auto"/>
          <w:color w:val="auto"/>
        </w:rPr>
        <w:t>Defined Terms</w:t>
      </w:r>
      <w:r>
        <w:rPr>
          <w:rFonts w:ascii="Times New Roman" w:cs="Times New Roman" w:eastAsia="Times New Roman" w:hAnsi="Times New Roman"/>
          <w:sz w:val="16"/>
          <w:szCs w:val="16"/>
          <w:color w:val="auto"/>
        </w:rPr>
        <w:t>. As used in this Agreement, the following terms have the meanings specified below:</w:t>
      </w:r>
    </w:p>
    <w:p>
      <w:pPr>
        <w:spacing w:after="0" w:line="213" w:lineRule="exact"/>
        <w:rPr>
          <w:sz w:val="20"/>
          <w:szCs w:val="20"/>
          <w:color w:val="auto"/>
        </w:rPr>
      </w:pPr>
    </w:p>
    <w:p>
      <w:pPr>
        <w:ind w:right="84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Ares Capital Corporation, in its capacity as administrative agent for the Lenders under the Loan Documents, and any successor administrative agent.</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13" w:lineRule="exact"/>
        <w:rPr>
          <w:sz w:val="20"/>
          <w:szCs w:val="20"/>
          <w:color w:val="auto"/>
        </w:rPr>
      </w:pPr>
    </w:p>
    <w:p>
      <w:pPr>
        <w:ind w:right="42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any other Person that directly, or indirectly through one or more intermediaries, Controls, is Controlled by or is under common Control with the Person specified.</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Indemnitee</w:t>
      </w:r>
      <w:r>
        <w:rPr>
          <w:rFonts w:ascii="Times New Roman" w:cs="Times New Roman" w:eastAsia="Times New Roman" w:hAnsi="Times New Roman"/>
          <w:sz w:val="18"/>
          <w:szCs w:val="18"/>
          <w:color w:val="auto"/>
        </w:rPr>
        <w:t>” has the meaning set forth in Section 8.07.</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as applicable, the Administrative Agent and the Collateral Agent.</w:t>
      </w:r>
    </w:p>
    <w:p>
      <w:pPr>
        <w:spacing w:after="0" w:line="213" w:lineRule="exact"/>
        <w:rPr>
          <w:sz w:val="20"/>
          <w:szCs w:val="20"/>
          <w:color w:val="auto"/>
        </w:rPr>
      </w:pPr>
    </w:p>
    <w:p>
      <w:pPr>
        <w:ind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Exposure</w:t>
      </w:r>
      <w:r>
        <w:rPr>
          <w:rFonts w:ascii="Times New Roman" w:cs="Times New Roman" w:eastAsia="Times New Roman" w:hAnsi="Times New Roman"/>
          <w:sz w:val="18"/>
          <w:szCs w:val="18"/>
          <w:color w:val="auto"/>
        </w:rPr>
        <w:t>” means with respect to any Lender at any time, an amount equal to (a) until the Effective Date, the aggregate amount of such Lender’s Commitments at such time and (b) thereafter, the aggregate then unpaid principal amount of such Lender’s Term Loans.</w:t>
      </w:r>
    </w:p>
    <w:p>
      <w:pPr>
        <w:spacing w:after="0" w:line="170" w:lineRule="exact"/>
        <w:rPr>
          <w:sz w:val="20"/>
          <w:szCs w:val="20"/>
          <w:color w:val="auto"/>
        </w:rPr>
      </w:pPr>
    </w:p>
    <w:p>
      <w:pPr>
        <w:ind w:right="28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Exposure Percentage</w:t>
      </w:r>
      <w:r>
        <w:rPr>
          <w:rFonts w:ascii="Times New Roman" w:cs="Times New Roman" w:eastAsia="Times New Roman" w:hAnsi="Times New Roman"/>
          <w:sz w:val="18"/>
          <w:szCs w:val="18"/>
          <w:color w:val="auto"/>
        </w:rPr>
        <w:t>” means with respect to any Lender at any time, the ratio (expressed as a percentage) of such Lender’s Aggregate Exposure at such time to the Aggregate Exposure of all Lenders at such time.</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Credit Agreement, as the same may be renewed, extended, modified, supplemented or amended from time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266" w:right="599" w:bottom="1440" w:gutter="0" w:footer="0" w:header="0"/>
        </w:sectPr>
      </w:pPr>
    </w:p>
    <w:bookmarkStart w:id="717" w:name="page718"/>
    <w:bookmarkEnd w:id="717"/>
    <w:p>
      <w:pPr>
        <w:ind w:right="920" w:firstLine="964"/>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means the audited consolidated financial statements of the Borrower for the fiscal years ended December 31, 2019, December 31, 2020 and December 31, 2021.</w:t>
      </w:r>
    </w:p>
    <w:p>
      <w:pPr>
        <w:spacing w:after="0" w:line="170" w:lineRule="exact"/>
        <w:rPr>
          <w:sz w:val="20"/>
          <w:szCs w:val="20"/>
          <w:color w:val="auto"/>
        </w:rPr>
      </w:pPr>
    </w:p>
    <w:p>
      <w:pPr>
        <w:ind w:right="4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all laws, rules, and regulations of any jurisdiction applicable to the Borrower or any Subsidiary from time to time concerning or relating to bribery or corruption.</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has the meaning set forth in Section 3.17.</w:t>
      </w:r>
    </w:p>
    <w:p>
      <w:pPr>
        <w:spacing w:after="0" w:line="213" w:lineRule="exact"/>
        <w:rPr>
          <w:sz w:val="20"/>
          <w:szCs w:val="20"/>
          <w:color w:val="auto"/>
        </w:rPr>
      </w:pPr>
    </w:p>
    <w:p>
      <w:pPr>
        <w:ind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for any day with respect to any Term Loans, (a) for any Interest Period for which the Borrower exercises the PIK Election, (i) 4.00% per annum in the case of a Base Rate Loan or (ii) 5.00% per annum in the case of a SOFR Loan or (b) for any Interest Period for which the Borrower exercises the Cash Election, (i) 6.00% per annum in the case of a Base Rate Loan or (ii) 7.00% per annum in the case of a SOFR Loan.</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has the meaning set forth in Section 9.04(b).</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Assignees</w:t>
      </w:r>
      <w:r>
        <w:rPr>
          <w:rFonts w:ascii="Times New Roman" w:cs="Times New Roman" w:eastAsia="Times New Roman" w:hAnsi="Times New Roman"/>
          <w:sz w:val="18"/>
          <w:szCs w:val="18"/>
          <w:color w:val="auto"/>
        </w:rPr>
        <w:t>” has the meaning set forth in Section 9.04(b).</w:t>
      </w:r>
    </w:p>
    <w:p>
      <w:pPr>
        <w:spacing w:after="0" w:line="213" w:lineRule="exact"/>
        <w:rPr>
          <w:sz w:val="20"/>
          <w:szCs w:val="20"/>
          <w:color w:val="auto"/>
        </w:rPr>
      </w:pPr>
    </w:p>
    <w:p>
      <w:pPr>
        <w:jc w:val="both"/>
        <w:ind w:right="60"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Section 9.04)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approved by the Administrative Agent.</w:t>
      </w:r>
    </w:p>
    <w:p>
      <w:pPr>
        <w:spacing w:after="0" w:line="180" w:lineRule="exact"/>
        <w:rPr>
          <w:sz w:val="20"/>
          <w:szCs w:val="20"/>
          <w:color w:val="auto"/>
        </w:rPr>
      </w:pPr>
    </w:p>
    <w:p>
      <w:pPr>
        <w:ind w:right="160" w:firstLine="96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Basket Amount</w:t>
      </w:r>
      <w:r>
        <w:rPr>
          <w:rFonts w:ascii="Times New Roman" w:cs="Times New Roman" w:eastAsia="Times New Roman" w:hAnsi="Times New Roman"/>
          <w:sz w:val="18"/>
          <w:szCs w:val="18"/>
          <w:color w:val="auto"/>
        </w:rPr>
        <w:t>” means, as of any date of determination, (a) without duplication, the net cash proceeds of any issuance of Equity Interests of the Borrower (other than Disqualified Equity Interests) and 100% of the aggregate amount of cash contributions to the common capital of the Borrower, in each case after the Effective Date (in each case, to the extent not earmarked or for any other purposes under this Agreement or the other Loan Documents or Not Otherwise Applied), minus (b) the aggregate amount of Investments (including Permitted Acquisitions and payments in respect of earnouts, milestone and other similar deferred purchase price obligations) and other payments made in respect of the Google Note, in each case, made using the Available Basket Amount on or prior to such date.</w:t>
      </w:r>
    </w:p>
    <w:p>
      <w:pPr>
        <w:spacing w:after="0" w:line="187" w:lineRule="exact"/>
        <w:rPr>
          <w:sz w:val="20"/>
          <w:szCs w:val="20"/>
          <w:color w:val="auto"/>
        </w:rPr>
      </w:pPr>
    </w:p>
    <w:p>
      <w:pPr>
        <w:ind w:firstLine="96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clause (d) of Section 2.14.</w:t>
      </w:r>
    </w:p>
    <w:p>
      <w:pPr>
        <w:spacing w:after="0" w:line="187" w:lineRule="exact"/>
        <w:rPr>
          <w:sz w:val="20"/>
          <w:szCs w:val="20"/>
          <w:color w:val="auto"/>
        </w:rPr>
      </w:pPr>
    </w:p>
    <w:p>
      <w:pPr>
        <w:ind w:right="2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00" w:firstLine="96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00"/>
          </w:cols>
          <w:pgMar w:left="580" w:top="265" w:right="619" w:bottom="1440" w:gutter="0" w:footer="0" w:header="0"/>
        </w:sectPr>
      </w:pPr>
    </w:p>
    <w:bookmarkStart w:id="718" w:name="page719"/>
    <w:bookmarkEnd w:id="71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entitled “</w:t>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as now and hereafter in effect, or any successor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195" w:lineRule="exact"/>
        <w:rPr>
          <w:sz w:val="20"/>
          <w:szCs w:val="20"/>
          <w:color w:val="auto"/>
        </w:rPr>
      </w:pPr>
    </w:p>
    <w:p>
      <w:pPr>
        <w:ind w:right="60" w:firstLine="964"/>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6" w:lineRule="exact"/>
        <w:rPr>
          <w:sz w:val="20"/>
          <w:szCs w:val="20"/>
          <w:color w:val="auto"/>
        </w:rPr>
      </w:pPr>
    </w:p>
    <w:p>
      <w:pPr>
        <w:ind w:right="12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the greatest of (a) the “Prime Rate” appearing in the “Money Rates” section of The Wall Street Journal or another national publication selected by Agent, (b) the Federal Funds Rate plus 0.50%, (c) Term SOFR for a one-month tenor in effect on such day plus 1.00%, in each instance as of such day and (d) 2.00%. Any change in the Base Rate due to a change in any of the foregoing shall be effective on the effective date of such change in the Prime Rate, the Federal Funds Rate or Term SOFR for an Interest Period of one month.</w:t>
      </w:r>
    </w:p>
    <w:p>
      <w:pPr>
        <w:spacing w:after="0" w:line="184" w:lineRule="exact"/>
        <w:rPr>
          <w:sz w:val="20"/>
          <w:szCs w:val="20"/>
          <w:color w:val="auto"/>
        </w:rPr>
      </w:pPr>
    </w:p>
    <w:p>
      <w:pPr>
        <w:ind w:right="28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Borrowing</w:t>
      </w:r>
      <w:r>
        <w:rPr>
          <w:rFonts w:ascii="Times New Roman" w:cs="Times New Roman" w:eastAsia="Times New Roman" w:hAnsi="Times New Roman"/>
          <w:sz w:val="18"/>
          <w:szCs w:val="18"/>
          <w:color w:val="auto"/>
        </w:rPr>
        <w:t>”, when used in reference to any Borrowing, refers to whether the Loans comprising such Borrowing are bearing interest at a rate determined by reference to the Base Rate.</w:t>
      </w:r>
    </w:p>
    <w:p>
      <w:pPr>
        <w:spacing w:after="0" w:line="170" w:lineRule="exact"/>
        <w:rPr>
          <w:sz w:val="20"/>
          <w:szCs w:val="20"/>
          <w:color w:val="auto"/>
        </w:rPr>
      </w:pPr>
    </w:p>
    <w:p>
      <w:pPr>
        <w:ind w:right="6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when used in reference to any Loan, refers to whether such Loan is bearing interest at a rate determined by reference to the Base Rate.</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has the meaning set forth in the definition of “Term SOFR”.</w:t>
      </w:r>
    </w:p>
    <w:p>
      <w:pPr>
        <w:spacing w:after="0" w:line="213" w:lineRule="exact"/>
        <w:rPr>
          <w:sz w:val="20"/>
          <w:szCs w:val="20"/>
          <w:color w:val="auto"/>
        </w:rPr>
      </w:pPr>
    </w:p>
    <w:p>
      <w:pPr>
        <w:jc w:val="both"/>
        <w:ind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clause (a) of Section 2.14.</w:t>
      </w:r>
    </w:p>
    <w:p>
      <w:pPr>
        <w:spacing w:after="0" w:line="180" w:lineRule="exact"/>
        <w:rPr>
          <w:sz w:val="20"/>
          <w:szCs w:val="20"/>
          <w:color w:val="auto"/>
        </w:rPr>
      </w:pPr>
    </w:p>
    <w:p>
      <w:pPr>
        <w:ind w:right="40" w:firstLine="96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provided that, if such Benchmark Replacement as so determined would be less than the Floor, such Benchmark Replacement will be deemed to be the Floor for the purposes of this Agreement and the other Loan Documents.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20"/>
          </w:cols>
          <w:pgMar w:left="580" w:top="265" w:right="599" w:bottom="1440" w:gutter="0" w:footer="0" w:header="0"/>
        </w:sectPr>
      </w:pPr>
    </w:p>
    <w:bookmarkStart w:id="719" w:name="page720"/>
    <w:bookmarkEnd w:id="719"/>
    <w:p>
      <w:pPr>
        <w:ind w:firstLine="964"/>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earlier to occur of the following events with respect to the then-current Benchmark:</w:t>
      </w:r>
    </w:p>
    <w:p>
      <w:pPr>
        <w:spacing w:after="0" w:line="213" w:lineRule="exact"/>
        <w:rPr>
          <w:sz w:val="20"/>
          <w:szCs w:val="20"/>
          <w:color w:val="auto"/>
        </w:rPr>
      </w:pPr>
    </w:p>
    <w:p>
      <w:pPr>
        <w:jc w:val="both"/>
        <w:ind w:right="220" w:firstLine="972"/>
        <w:spacing w:after="0" w:line="302" w:lineRule="auto"/>
        <w:tabs>
          <w:tab w:leader="none" w:pos="1343" w:val="left"/>
        </w:tabs>
        <w:numPr>
          <w:ilvl w:val="0"/>
          <w:numId w:val="6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45" w:lineRule="exact"/>
        <w:rPr>
          <w:rFonts w:ascii="Times New Roman" w:cs="Times New Roman" w:eastAsia="Times New Roman" w:hAnsi="Times New Roman"/>
          <w:sz w:val="16"/>
          <w:szCs w:val="16"/>
          <w:color w:val="auto"/>
        </w:rPr>
      </w:pPr>
    </w:p>
    <w:p>
      <w:pPr>
        <w:ind w:right="60" w:firstLine="972"/>
        <w:spacing w:after="0" w:line="249" w:lineRule="auto"/>
        <w:tabs>
          <w:tab w:leader="none" w:pos="1343"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187" w:lineRule="exact"/>
        <w:rPr>
          <w:sz w:val="20"/>
          <w:szCs w:val="20"/>
          <w:color w:val="auto"/>
        </w:rPr>
      </w:pPr>
    </w:p>
    <w:p>
      <w:pPr>
        <w:ind w:firstLine="964"/>
        <w:spacing w:after="0" w:line="255"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Benchmark Transition Event</w:t>
      </w:r>
      <w:r>
        <w:rPr>
          <w:rFonts w:ascii="Times New Roman" w:cs="Times New Roman" w:eastAsia="Times New Roman" w:hAnsi="Times New Roman"/>
          <w:sz w:val="16"/>
          <w:szCs w:val="16"/>
          <w:color w:val="auto"/>
        </w:rPr>
        <w:t>” means the occurrence of one or more of the following events with respect to the then-current Benchmark:</w:t>
      </w:r>
    </w:p>
    <w:p>
      <w:pPr>
        <w:spacing w:after="0" w:line="236" w:lineRule="exact"/>
        <w:rPr>
          <w:sz w:val="20"/>
          <w:szCs w:val="20"/>
          <w:color w:val="auto"/>
        </w:rPr>
      </w:pPr>
    </w:p>
    <w:p>
      <w:pPr>
        <w:ind w:right="40" w:firstLine="972"/>
        <w:spacing w:after="0" w:line="251" w:lineRule="auto"/>
        <w:tabs>
          <w:tab w:leader="none" w:pos="1333"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4" w:lineRule="exact"/>
        <w:rPr>
          <w:rFonts w:ascii="Times New Roman" w:cs="Times New Roman" w:eastAsia="Times New Roman" w:hAnsi="Times New Roman"/>
          <w:sz w:val="18"/>
          <w:szCs w:val="18"/>
          <w:color w:val="auto"/>
        </w:rPr>
      </w:pPr>
    </w:p>
    <w:p>
      <w:pPr>
        <w:ind w:right="100" w:firstLine="972"/>
        <w:spacing w:after="0" w:line="247" w:lineRule="auto"/>
        <w:tabs>
          <w:tab w:leader="none" w:pos="1343"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20"/>
          </w:cols>
          <w:pgMar w:left="580" w:top="266" w:right="599" w:bottom="1440" w:gutter="0" w:footer="0" w:header="0"/>
        </w:sectPr>
      </w:pPr>
    </w:p>
    <w:bookmarkStart w:id="720" w:name="page721"/>
    <w:bookmarkEnd w:id="720"/>
    <w:p>
      <w:pPr>
        <w:ind w:firstLine="972"/>
        <w:spacing w:after="0" w:line="255" w:lineRule="auto"/>
        <w:tabs>
          <w:tab w:leader="none" w:pos="1333"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80" w:lineRule="exact"/>
        <w:rPr>
          <w:sz w:val="20"/>
          <w:szCs w:val="20"/>
          <w:color w:val="auto"/>
        </w:rPr>
      </w:pPr>
    </w:p>
    <w:p>
      <w:pPr>
        <w:ind w:right="180" w:firstLine="964"/>
        <w:spacing w:after="0" w:line="255"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0" w:lineRule="exact"/>
        <w:rPr>
          <w:sz w:val="20"/>
          <w:szCs w:val="20"/>
          <w:color w:val="auto"/>
        </w:rPr>
      </w:pPr>
    </w:p>
    <w:p>
      <w:pPr>
        <w:ind w:right="22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4" w:lineRule="exact"/>
        <w:rPr>
          <w:sz w:val="20"/>
          <w:szCs w:val="20"/>
          <w:color w:val="auto"/>
        </w:rPr>
      </w:pPr>
    </w:p>
    <w:p>
      <w:pPr>
        <w:ind w:right="8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the period (if any) (a) beginning at the time that a Benchmark Replacement Date has occurred if, at such time, no Benchmark Replacement has replaced the then-current Benchmark for all purposes hereunder and under any Loan Document in accordance with Section 2.14 and (b) ending at the time that a Benchmark Replacement has replaced the then-current Benchmark for all purposes hereunder and under any Loan Document in accordance with Section 2.14.</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13" w:lineRule="exact"/>
        <w:rPr>
          <w:sz w:val="20"/>
          <w:szCs w:val="20"/>
          <w:color w:val="auto"/>
        </w:rPr>
      </w:pPr>
    </w:p>
    <w:p>
      <w:pPr>
        <w:ind w:right="4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shall mean, with respect to any Person, (i) in the case of any corporation, the board of directors of such Person or any committee thereof duly authorized to act on behalf of such board, (ii) in the case of any limited liability company, the board of managers, board of directors, manager or managing member of such Person, (iii) in the case of any partnership, the board of directors or board of managers of the general partner of such Person and (iv) in any other case, the functional equivalent of the foregoing.</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set forth in the preamble to this Agreement.</w:t>
      </w:r>
    </w:p>
    <w:p>
      <w:pPr>
        <w:spacing w:after="0" w:line="213" w:lineRule="exact"/>
        <w:rPr>
          <w:sz w:val="20"/>
          <w:szCs w:val="20"/>
          <w:color w:val="auto"/>
        </w:rPr>
      </w:pPr>
    </w:p>
    <w:p>
      <w:pPr>
        <w:ind w:right="2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made, converted or continued on the same date and, in the case of SOFR Loans, as to which a single Interest Period is in effect.</w:t>
      </w:r>
    </w:p>
    <w:p>
      <w:pPr>
        <w:spacing w:after="0" w:line="170" w:lineRule="exact"/>
        <w:rPr>
          <w:sz w:val="20"/>
          <w:szCs w:val="20"/>
          <w:color w:val="auto"/>
        </w:rPr>
      </w:pPr>
    </w:p>
    <w:p>
      <w:pPr>
        <w:ind w:right="20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written request by the Borrower for a Borrowing in accordance with Section 2.03;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written Borrowing Request shall be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or such other form as shall be approved by the Administrative Agent.</w:t>
      </w:r>
    </w:p>
    <w:p>
      <w:pPr>
        <w:spacing w:after="0" w:line="170" w:lineRule="exact"/>
        <w:rPr>
          <w:sz w:val="20"/>
          <w:szCs w:val="20"/>
          <w:color w:val="auto"/>
        </w:rPr>
      </w:pPr>
    </w:p>
    <w:p>
      <w:pPr>
        <w:ind w:right="20" w:firstLine="96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commercial banks are open for commercial banking business in Chicago, Illinois and New York, New York; provided, that for purposes of determining the rate of interest applicable to any Loan the reference rate for which utilizes Term SOFR and for any notice periods related to the borrowing or continuation of, or the conversion into, a SOFR Loan, “Business Day” shall exclude any day on which the Securities Industry and Financial Markets Association recommends that the fixed income departments of its members be closed for the entire day for purposes of trading in United States government securities.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20"/>
          </w:cols>
          <w:pgMar w:left="580" w:top="265" w:right="599" w:bottom="1440" w:gutter="0" w:footer="0" w:header="0"/>
        </w:sectPr>
      </w:pPr>
    </w:p>
    <w:bookmarkStart w:id="721" w:name="page722"/>
    <w:bookmarkEnd w:id="72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Capital Expenditure Carryover Amount</w:t>
      </w:r>
      <w:r>
        <w:rPr>
          <w:rFonts w:ascii="Times New Roman" w:cs="Times New Roman" w:eastAsia="Times New Roman" w:hAnsi="Times New Roman"/>
          <w:sz w:val="18"/>
          <w:szCs w:val="18"/>
          <w:color w:val="auto"/>
        </w:rPr>
        <w:t>” has the meaning specified in Section 6.18.</w:t>
      </w:r>
    </w:p>
    <w:p>
      <w:pPr>
        <w:spacing w:after="0" w:line="213" w:lineRule="exact"/>
        <w:rPr>
          <w:sz w:val="20"/>
          <w:szCs w:val="20"/>
          <w:color w:val="auto"/>
        </w:rPr>
      </w:pPr>
    </w:p>
    <w:p>
      <w:pPr>
        <w:ind w:right="18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 respect to any Person for any period, the aggregate amount of all expenditures (whether paid in cash or accrued as a liability) by such Person during that period for the acquisition or leasing (pursuant to a Capital Lease) of fixed or capital assets or additions to property, plant, or equipment (including replacements, capitalized repairs, and improvements) which should be capitalized on the balance sheet of such Person in accordance with GAAP.</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means any lease of property which in accordance with GAAP is required to be capitalized on the balance sheet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lessee.</w:t>
      </w:r>
    </w:p>
    <w:p>
      <w:pPr>
        <w:spacing w:after="0" w:line="195" w:lineRule="exact"/>
        <w:rPr>
          <w:sz w:val="20"/>
          <w:szCs w:val="20"/>
          <w:color w:val="auto"/>
        </w:rPr>
      </w:pPr>
    </w:p>
    <w:p>
      <w:pPr>
        <w:ind w:firstLine="96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xml:space="preserve">” of any Person means the obligations of such Person to pay rent or other amounts under any lease of (or other arrangement conveying the right to use) real or tangible personal property, or a combination thereof, which obligations are, or are required to be, classified and accounted for as capital leases on the balance sheet of such Person under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all purposes hereunder, any obligations of such Person that would have been treated as operating leases in accordance with Accounting Standards Codification 840 (regardless of whether or not then in effect) shall be treated as operating leases for purposes of all financial definitions, calculations and covenants, without giving effect to Accounting Standards Codification 842 requiring operating leases to be recharacterized or treated as capital leases.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Election</w:t>
      </w:r>
      <w:r>
        <w:rPr>
          <w:rFonts w:ascii="Times New Roman" w:cs="Times New Roman" w:eastAsia="Times New Roman" w:hAnsi="Times New Roman"/>
          <w:sz w:val="18"/>
          <w:szCs w:val="18"/>
          <w:color w:val="auto"/>
        </w:rPr>
        <w:t>” has the meaning specified in Section 2.13(f).</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means the Comprehensive Environmental Response, Compensation and Liability Act of 1980, as subsequently amended.</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CERCLIS</w:t>
      </w:r>
      <w:r>
        <w:rPr>
          <w:rFonts w:ascii="Times New Roman" w:cs="Times New Roman" w:eastAsia="Times New Roman" w:hAnsi="Times New Roman"/>
          <w:sz w:val="16"/>
          <w:szCs w:val="16"/>
          <w:color w:val="auto"/>
        </w:rPr>
        <w:t>” means the Comprehensive Environmental Response, Compensation and Liability Information System maintained by the 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Protection Agency.</w:t>
      </w:r>
    </w:p>
    <w:p>
      <w:pPr>
        <w:spacing w:after="0" w:line="195" w:lineRule="exact"/>
        <w:rPr>
          <w:sz w:val="20"/>
          <w:szCs w:val="20"/>
          <w:color w:val="auto"/>
        </w:rPr>
      </w:pPr>
    </w:p>
    <w:p>
      <w:pPr>
        <w:ind w:right="100" w:firstLine="964"/>
        <w:spacing w:after="0" w:line="29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Change in Law</w:t>
      </w:r>
      <w:r>
        <w:rPr>
          <w:rFonts w:ascii="Times New Roman" w:cs="Times New Roman" w:eastAsia="Times New Roman" w:hAnsi="Times New Roman"/>
          <w:sz w:val="16"/>
          <w:szCs w:val="16"/>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for purposes of Section 2.15(b), by any lending office of such Lender or by such Lender’s holding company, if any) with any request, guideline or directive (whether or not having the force of law) of any Governmental Authority made or issued after the date of this Agreement.</w:t>
      </w:r>
    </w:p>
    <w:p>
      <w:pPr>
        <w:spacing w:after="0" w:line="1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w:t>
      </w:r>
    </w:p>
    <w:p>
      <w:pPr>
        <w:spacing w:after="0" w:line="108" w:lineRule="exact"/>
        <w:rPr>
          <w:sz w:val="20"/>
          <w:szCs w:val="20"/>
          <w:color w:val="auto"/>
        </w:rPr>
      </w:pPr>
    </w:p>
    <w:p>
      <w:pPr>
        <w:ind w:left="440" w:right="180" w:firstLine="407"/>
        <w:spacing w:after="0" w:line="255" w:lineRule="auto"/>
        <w:tabs>
          <w:tab w:leader="none" w:pos="1220"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an IPO, the Permitted Holders, directly or indirectly, shall cease to beneficially own (within the meaning of Rule 13d-3 and Rule 13d-5 under the Exchange Act) Equity Interests representing more than 50.1% of the total voting power of all of the outstanding voting stock of the Borrower;</w:t>
      </w:r>
    </w:p>
    <w:p>
      <w:pPr>
        <w:spacing w:after="0" w:line="75" w:lineRule="exact"/>
        <w:rPr>
          <w:rFonts w:ascii="Times New Roman" w:cs="Times New Roman" w:eastAsia="Times New Roman" w:hAnsi="Times New Roman"/>
          <w:sz w:val="18"/>
          <w:szCs w:val="18"/>
          <w:color w:val="auto"/>
        </w:rPr>
      </w:pPr>
    </w:p>
    <w:p>
      <w:pPr>
        <w:ind w:left="440" w:right="60" w:firstLine="407"/>
        <w:spacing w:after="0" w:line="251" w:lineRule="auto"/>
        <w:tabs>
          <w:tab w:leader="none" w:pos="1230"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an IPO, the acquisition by any Person or group (within the meaning of Section 13(d)(3) or Section 14(d)(2) of the Exchange Act), but excluding any employee benefit plan and/or Person acting as the trustee, agent or other fiduciary or administrator therefor, other than one or more Permitted Holders, in a single transaction or in a related series of transactions, by way of merger, amalgamation, consolidation or other business combination or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20"/>
          </w:cols>
          <w:pgMar w:left="580" w:top="265" w:right="599" w:bottom="1440" w:gutter="0" w:footer="0" w:header="0"/>
        </w:sectPr>
      </w:pPr>
    </w:p>
    <w:bookmarkStart w:id="722" w:name="page723"/>
    <w:bookmarkEnd w:id="722"/>
    <w:p>
      <w:pPr>
        <w:ind w:left="440" w:right="2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purchase of beneficial ownership (within the meaning of Rule 13d-3 under the Exchange Act) of Equity Interests representing more than 35.0% of the total voting power of all of the outstanding voting stock of the Borrower;</w:t>
      </w:r>
    </w:p>
    <w:p>
      <w:pPr>
        <w:spacing w:after="0" w:line="65" w:lineRule="exact"/>
        <w:rPr>
          <w:sz w:val="20"/>
          <w:szCs w:val="20"/>
          <w:color w:val="auto"/>
        </w:rPr>
      </w:pPr>
    </w:p>
    <w:p>
      <w:pPr>
        <w:ind w:left="440" w:right="60" w:firstLine="407"/>
        <w:spacing w:after="0" w:line="267" w:lineRule="auto"/>
        <w:tabs>
          <w:tab w:leader="none" w:pos="1220"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Lefkofsky shall cease to have the right or ability by voting power, contract or otherwise to elect or designate for election at least a majority of the Board of Directors of the Borrower;</w:t>
      </w:r>
    </w:p>
    <w:p>
      <w:pPr>
        <w:spacing w:after="0" w:line="64" w:lineRule="exact"/>
        <w:rPr>
          <w:rFonts w:ascii="Times New Roman" w:cs="Times New Roman" w:eastAsia="Times New Roman" w:hAnsi="Times New Roman"/>
          <w:sz w:val="18"/>
          <w:szCs w:val="18"/>
          <w:color w:val="auto"/>
        </w:rPr>
      </w:pPr>
    </w:p>
    <w:p>
      <w:pPr>
        <w:ind w:left="440" w:right="180" w:firstLine="407"/>
        <w:spacing w:after="0" w:line="255" w:lineRule="auto"/>
        <w:tabs>
          <w:tab w:leader="none" w:pos="1230"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Lefkofsky shall (i) cease to be the Chief Executive Officer of the Borrower and (ii) cease to be a member of the Board of Directors of the Borrower, in each case within three (3) years of the Effective Date and, in each case, except as a result of his death, disability or incapacitation; or</w:t>
      </w:r>
    </w:p>
    <w:p>
      <w:pPr>
        <w:spacing w:after="0" w:line="75" w:lineRule="exact"/>
        <w:rPr>
          <w:rFonts w:ascii="Times New Roman" w:cs="Times New Roman" w:eastAsia="Times New Roman" w:hAnsi="Times New Roman"/>
          <w:sz w:val="18"/>
          <w:szCs w:val="18"/>
          <w:color w:val="auto"/>
        </w:rPr>
      </w:pPr>
    </w:p>
    <w:p>
      <w:pPr>
        <w:ind w:left="1220" w:hanging="373"/>
        <w:spacing w:after="0"/>
        <w:tabs>
          <w:tab w:leader="none" w:pos="1220"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as defined in any Material Indebtedness.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has the meaning set forth in Section 9.13.</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means the Internal Revenue Code of 1986 and the rules and regulations promulgated thereunder, as amended from time to time.</w:t>
      </w:r>
    </w:p>
    <w:p>
      <w:pPr>
        <w:spacing w:after="0" w:line="236" w:lineRule="exact"/>
        <w:rPr>
          <w:sz w:val="20"/>
          <w:szCs w:val="20"/>
          <w:color w:val="auto"/>
        </w:rPr>
      </w:pPr>
    </w:p>
    <w:p>
      <w:pPr>
        <w:ind w:right="640" w:firstLine="964"/>
        <w:spacing w:after="0" w:line="33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Collateral</w:t>
      </w:r>
      <w:r>
        <w:rPr>
          <w:rFonts w:ascii="Times New Roman" w:cs="Times New Roman" w:eastAsia="Times New Roman" w:hAnsi="Times New Roman"/>
          <w:sz w:val="16"/>
          <w:szCs w:val="16"/>
          <w:color w:val="auto"/>
        </w:rPr>
        <w:t>” means any and all “Collateral”, as defined in any applicable Security Document (which shall include the Mortgaged Properties) and all other property of whatever kind subject or purported to be subject from time to time to a Lien under any Security Document.</w:t>
      </w:r>
    </w:p>
    <w:p>
      <w:pPr>
        <w:spacing w:after="0" w:line="123" w:lineRule="exact"/>
        <w:rPr>
          <w:sz w:val="20"/>
          <w:szCs w:val="20"/>
          <w:color w:val="auto"/>
        </w:rPr>
      </w:pPr>
    </w:p>
    <w:p>
      <w:pPr>
        <w:ind w:right="48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means Ares Capital Corporation, in its capacity as collateral agent for the Lenders under this Agreement and any Security Document.</w:t>
      </w:r>
    </w:p>
    <w:p>
      <w:pPr>
        <w:spacing w:after="0" w:line="170" w:lineRule="exact"/>
        <w:rPr>
          <w:sz w:val="20"/>
          <w:szCs w:val="20"/>
          <w:color w:val="auto"/>
        </w:rPr>
      </w:pPr>
    </w:p>
    <w:p>
      <w:pPr>
        <w:ind w:right="14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Agreement</w:t>
      </w:r>
      <w:r>
        <w:rPr>
          <w:rFonts w:ascii="Times New Roman" w:cs="Times New Roman" w:eastAsia="Times New Roman" w:hAnsi="Times New Roman"/>
          <w:sz w:val="18"/>
          <w:szCs w:val="18"/>
          <w:color w:val="auto"/>
        </w:rPr>
        <w:t>” means the Guarantee and Collateral Agreement among the Loan Parties and the Collateral Agent, dated as of the Effective Date (as amended or supplemented from time to time).</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means the requirement that:</w:t>
      </w:r>
    </w:p>
    <w:p>
      <w:pPr>
        <w:spacing w:after="0" w:line="108" w:lineRule="exact"/>
        <w:rPr>
          <w:sz w:val="20"/>
          <w:szCs w:val="20"/>
          <w:color w:val="auto"/>
        </w:rPr>
      </w:pPr>
    </w:p>
    <w:p>
      <w:pPr>
        <w:ind w:left="440" w:right="180" w:firstLine="407"/>
        <w:spacing w:after="0" w:line="255" w:lineRule="auto"/>
        <w:tabs>
          <w:tab w:leader="none" w:pos="1220"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shall have received from each Loan Party either (i) a counterpart of the Collateral Agreement duly executed and delivered on behalf of such Loan Party or (ii) in the case of any Person that becomes a Loan Party after the Effective Date, a supplement to the Collateral Agreement, in the form specified therein, duly executed and delivered on behalf of such Loan Party;</w:t>
      </w:r>
    </w:p>
    <w:p>
      <w:pPr>
        <w:spacing w:after="0" w:line="75" w:lineRule="exact"/>
        <w:rPr>
          <w:rFonts w:ascii="Times New Roman" w:cs="Times New Roman" w:eastAsia="Times New Roman" w:hAnsi="Times New Roman"/>
          <w:sz w:val="18"/>
          <w:szCs w:val="18"/>
          <w:color w:val="auto"/>
        </w:rPr>
      </w:pPr>
    </w:p>
    <w:p>
      <w:pPr>
        <w:ind w:left="440" w:firstLine="407"/>
        <w:spacing w:after="0" w:line="246" w:lineRule="auto"/>
        <w:tabs>
          <w:tab w:leader="none" w:pos="1230"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Interests of each wholly owned Subsidiary owned directly by any Loan Party shall have been pledged pursuant to the Collateral Agreement (except that the Loan Parties (i) shall not be required to pledge or otherwise grant security interests in (A) any assets of a direct or indirect Foreign Subsidiary or (B) any assets of any Domestic Subsidiary if substantially all of its assets consist of the Equity Interests or Equity Interests and Indebtedness of (x) one or more direct or indirect Foreign Subsidiaries that are “controlled foreign corporations” under Section 957 of the Code if any of the dividends of such controlled foreign corporation are not entitled to the dividends received deduction under Section 245A of the Code (as reasonably determined by the Borrower in good faith) or (y) other Domestic Subsidiaries otherwise described in this clause (B) (each, a “</w:t>
      </w:r>
      <w:r>
        <w:rPr>
          <w:rFonts w:ascii="Times New Roman" w:cs="Times New Roman" w:eastAsia="Times New Roman" w:hAnsi="Times New Roman"/>
          <w:sz w:val="18"/>
          <w:szCs w:val="18"/>
          <w:u w:val="single" w:color="auto"/>
          <w:color w:val="auto"/>
        </w:rPr>
        <w:t>FSHCO</w:t>
      </w:r>
      <w:r>
        <w:rPr>
          <w:rFonts w:ascii="Times New Roman" w:cs="Times New Roman" w:eastAsia="Times New Roman" w:hAnsi="Times New Roman"/>
          <w:sz w:val="18"/>
          <w:szCs w:val="18"/>
          <w:color w:val="auto"/>
        </w:rPr>
        <w:t>”) or (C) any equity interests (as determined for U.S. federal income tax purposes) of (1) a direct or indirect Domestic Subsidiary of a direct or indirect Foreign Subsidiary, (2) any direct or indirect Domestic Subsidiary that is treated as a disregarded entity for</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00"/>
          </w:cols>
          <w:pgMar w:left="580" w:top="265" w:right="619" w:bottom="1440" w:gutter="0" w:footer="0" w:header="0"/>
        </w:sectPr>
      </w:pPr>
    </w:p>
    <w:bookmarkStart w:id="723" w:name="page724"/>
    <w:bookmarkEnd w:id="723"/>
    <w:p>
      <w:pPr>
        <w:ind w:left="440" w:right="10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U.S. federal income tax purposes if substantially all of its assets consists of the Equity Interests or indebtedness (as determined for U.S. federal income tax purposes) of one or more direct or indirect Foreign Subsidiaries, and (3) that are voting equity interests of (x) any Foreign Subsidiary or (y) any FSHCO, in each case, in excess of 65% of the voting equity interests and 100% of the outstanding non-voting equity interests thereof, and (ii) shall not be required to make any pledge, the pledge of which would constitute a violation of law or any contract permitted under this Agreement) and the Collateral Agent shall have received certificates or other instruments (if any) representing all such Equity Interests, together with undated stock powers or other instruments of transfer with respect thereto endorsed in blank;</w:t>
      </w:r>
    </w:p>
    <w:p>
      <w:pPr>
        <w:spacing w:after="0" w:line="82" w:lineRule="exact"/>
        <w:rPr>
          <w:sz w:val="20"/>
          <w:szCs w:val="20"/>
          <w:color w:val="auto"/>
        </w:rPr>
      </w:pPr>
    </w:p>
    <w:p>
      <w:pPr>
        <w:ind w:left="440" w:right="80" w:firstLine="407"/>
        <w:spacing w:after="0" w:line="288" w:lineRule="auto"/>
        <w:tabs>
          <w:tab w:leader="none" w:pos="1220" w:val="left"/>
        </w:tabs>
        <w:numPr>
          <w:ilvl w:val="0"/>
          <w:numId w:val="6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Indebtedness for borrowed money of a Subsidiary in excess of $250,000 that is owing to any Loan Party shall be evidenced by a promissory note and shall have been pledged pursuant to the Collateral Agreement, and the Collateral Agent shall have received all such promissory notes and other promissory notes required to be delivered pursuant to the Collateral Agreement, together with undated instruments of transfer with respect thereto; provided, however, that the foregoing delivery requirement with respect to any intercompany indebtedness may be satisfied by delivery of an omnibus or global intercompany note executed by all Loan Parties as payees and all such obligors as payors;</w:t>
      </w:r>
    </w:p>
    <w:p>
      <w:pPr>
        <w:spacing w:after="0" w:line="51" w:lineRule="exact"/>
        <w:rPr>
          <w:rFonts w:ascii="Times New Roman" w:cs="Times New Roman" w:eastAsia="Times New Roman" w:hAnsi="Times New Roman"/>
          <w:sz w:val="16"/>
          <w:szCs w:val="16"/>
          <w:color w:val="auto"/>
        </w:rPr>
      </w:pPr>
    </w:p>
    <w:p>
      <w:pPr>
        <w:ind w:left="440" w:right="60" w:firstLine="407"/>
        <w:spacing w:after="0" w:line="251" w:lineRule="auto"/>
        <w:tabs>
          <w:tab w:leader="none" w:pos="1230"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and instruments, including Uniform Commercial Code financing statements and control agreements, required by law or reasonably requested by the Collateral Agent to be executed, filed, registered or recorded to create the Liens intended to be created by the Collateral Agreement and perfect such Liens to the extent required by the Collateral Agreement, shall have been executed, filed, registered or recorded or delivered to the Collateral Agent for filing, registration or recording; and</w:t>
      </w:r>
    </w:p>
    <w:p>
      <w:pPr>
        <w:spacing w:after="0" w:line="79" w:lineRule="exact"/>
        <w:rPr>
          <w:rFonts w:ascii="Times New Roman" w:cs="Times New Roman" w:eastAsia="Times New Roman" w:hAnsi="Times New Roman"/>
          <w:sz w:val="18"/>
          <w:szCs w:val="18"/>
          <w:color w:val="auto"/>
        </w:rPr>
      </w:pPr>
    </w:p>
    <w:p>
      <w:pPr>
        <w:ind w:left="440" w:right="20" w:firstLine="407"/>
        <w:spacing w:after="0" w:line="247" w:lineRule="auto"/>
        <w:tabs>
          <w:tab w:leader="none" w:pos="1220"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shall have received (i) counterparts of a Mortgage with respect to each Mortgaged Property duly executed and delivered by the record owner of such Mortgaged Property, (ii) a policy or policies of title insurance issued by a nationally recognized title insurance company insuring the Lien of each such Mortgage as a valid senior secured Lien on the Mortgaged Property described therein, free of any other Liens except as expressly permitted by Section 6.02, and such surveys and legal opinions (excluding zoning and land use opinions if the title insurance policy includes a zoning endorsement), completed Federal Emergency Management Agency Standard Flood Hazard Determination with respect to each Mortgaged Property and other documents as the Collateral Agent may reasonably request with respect to any such Mortgage or Mortgaged Property.</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Notwithstanding anything to the contrary in this Agreement or any Security Document, (i) no Loan Party shall be required to pledge or grant security interests in any Excluded Asset (as defined in the Collateral Agreement) and (ii) no perfection steps or other actions or filings outside of the United States shall be required. The Administrative Agent may grant extensions of time for the perfection of security interests in or the obtaining of title insurance or surveys with respect to particular assets (including extensions beyond the Effective Date for the perfection of security interests in the assets of the Loan Parties on such date) where it reasonably determines, in consultation with the Borrower, that perfection cannot be accomplished without undue effort or expense by the time or times at which it would otherwise be required by this Agreement or the Security Documents. Notwithstanding the foregoing provisions of this definition or anything in this Agreement or any other Loan Document to the contrary, Liens required to be granted from time to time pursuant to the Collateral and Guarantee Requirement shall be subject to exceptions and limitations set forth in the Security Documents.</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the Term Loan Commitment.</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680"/>
          </w:cols>
          <w:pgMar w:left="580" w:top="266" w:right="639" w:bottom="1440" w:gutter="0" w:footer="0" w:header="0"/>
        </w:sectPr>
      </w:pPr>
    </w:p>
    <w:bookmarkStart w:id="724" w:name="page725"/>
    <w:bookmarkEnd w:id="724"/>
    <w:p>
      <w:pPr>
        <w:ind w:left="9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Commodity Exchange Act</w:t>
      </w:r>
      <w:r>
        <w:rPr>
          <w:rFonts w:ascii="Times New Roman" w:cs="Times New Roman" w:eastAsia="Times New Roman" w:hAnsi="Times New Roman"/>
          <w:sz w:val="16"/>
          <w:szCs w:val="16"/>
          <w:color w:val="auto"/>
        </w:rPr>
        <w:t>” means the Commodity Exchange Act (7 U.S.C. §1 et. seq.), as amended from time to time, and any successor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195" w:lineRule="exact"/>
        <w:rPr>
          <w:sz w:val="20"/>
          <w:szCs w:val="20"/>
          <w:color w:val="auto"/>
        </w:rPr>
      </w:pPr>
    </w:p>
    <w:p>
      <w:pPr>
        <w:ind w:right="34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Competitors</w:t>
      </w:r>
      <w:r>
        <w:rPr>
          <w:rFonts w:ascii="Times New Roman" w:cs="Times New Roman" w:eastAsia="Times New Roman" w:hAnsi="Times New Roman"/>
          <w:sz w:val="18"/>
          <w:szCs w:val="18"/>
          <w:color w:val="auto"/>
        </w:rPr>
        <w:t>” means any Person who is not an Affiliate of a Loan Party and who engages (or whose Affiliate engages), as its primary business, in the same or similar business as the Permitted Business.</w:t>
      </w:r>
    </w:p>
    <w:p>
      <w:pPr>
        <w:spacing w:after="0" w:line="170" w:lineRule="exact"/>
        <w:rPr>
          <w:sz w:val="20"/>
          <w:szCs w:val="20"/>
          <w:color w:val="auto"/>
        </w:rPr>
      </w:pPr>
    </w:p>
    <w:p>
      <w:pPr>
        <w:ind w:right="30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Disclosure Letter</w:t>
      </w:r>
      <w:r>
        <w:rPr>
          <w:rFonts w:ascii="Times New Roman" w:cs="Times New Roman" w:eastAsia="Times New Roman" w:hAnsi="Times New Roman"/>
          <w:sz w:val="18"/>
          <w:szCs w:val="18"/>
          <w:color w:val="auto"/>
        </w:rPr>
        <w:t>” means that certain Confidential Disclosure Letter, dated as of the Effective Date, and delivered by the Borrower to the Agents.</w:t>
      </w:r>
    </w:p>
    <w:p>
      <w:pPr>
        <w:spacing w:after="0" w:line="170" w:lineRule="exact"/>
        <w:rPr>
          <w:sz w:val="20"/>
          <w:szCs w:val="20"/>
          <w:color w:val="auto"/>
        </w:rPr>
      </w:pPr>
    </w:p>
    <w:p>
      <w:pPr>
        <w:ind w:right="20" w:firstLine="964"/>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either the use or administration of Term SOFR or the use, administration, adoption or implementation of any Benchmark Replacement, any technical, administrative or operational changes (including changes to the definition of “Base Rate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the definition of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89" w:lineRule="exact"/>
        <w:rPr>
          <w:sz w:val="20"/>
          <w:szCs w:val="20"/>
          <w:color w:val="auto"/>
        </w:rPr>
      </w:pPr>
    </w:p>
    <w:p>
      <w:pPr>
        <w:ind w:right="380"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Agreement</w:t>
      </w:r>
      <w:r>
        <w:rPr>
          <w:rFonts w:ascii="Times New Roman" w:cs="Times New Roman" w:eastAsia="Times New Roman" w:hAnsi="Times New Roman"/>
          <w:sz w:val="18"/>
          <w:szCs w:val="18"/>
          <w:color w:val="auto"/>
        </w:rPr>
        <w:t>” has the meaning assigned to such term in the Collateral Agreement.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each of the Administrative Agent, the Collateral Agent and the Lenders.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has the meaning set forth in Section 7.02.</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has the meaning set forth in Section 7.02.</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Declined Proceeds</w:t>
      </w:r>
      <w:r>
        <w:rPr>
          <w:rFonts w:ascii="Times New Roman" w:cs="Times New Roman" w:eastAsia="Times New Roman" w:hAnsi="Times New Roman"/>
          <w:sz w:val="18"/>
          <w:szCs w:val="18"/>
          <w:color w:val="auto"/>
        </w:rPr>
        <w:t>” has the meaning set forth in Section 2.11(l).</w:t>
      </w:r>
    </w:p>
    <w:p>
      <w:pPr>
        <w:spacing w:after="0" w:line="213" w:lineRule="exact"/>
        <w:rPr>
          <w:sz w:val="20"/>
          <w:szCs w:val="20"/>
          <w:color w:val="auto"/>
        </w:rPr>
      </w:pPr>
    </w:p>
    <w:p>
      <w:pPr>
        <w:ind w:right="36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which upon notice, lapse of time or both would, unless cured or waived, become an Event of Default.</w:t>
      </w:r>
    </w:p>
    <w:p>
      <w:pPr>
        <w:spacing w:after="0" w:line="170" w:lineRule="exact"/>
        <w:rPr>
          <w:sz w:val="20"/>
          <w:szCs w:val="20"/>
          <w:color w:val="auto"/>
        </w:rPr>
      </w:pPr>
    </w:p>
    <w:p>
      <w:pPr>
        <w:ind w:right="40" w:firstLine="96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(a) has failed, within two Business Days of the date required to be funded or paid, to (i) fund any portion of its Loans or (ii)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Administrative Agent in writing, or has made a public statement to the effect, that it does not intend or expect to comply with any of its funding obligations under this Agreement or generally under other agreements in which it commits to extend credit, (c) has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00"/>
          </w:cols>
          <w:pgMar w:left="580" w:top="266" w:right="619" w:bottom="1440" w:gutter="0" w:footer="0" w:header="0"/>
        </w:sectPr>
      </w:pPr>
    </w:p>
    <w:bookmarkStart w:id="725" w:name="page726"/>
    <w:bookmarkEnd w:id="725"/>
    <w:p>
      <w:pPr>
        <w:ind w:right="10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failed, within three Business Days after request by a Credit Party, acting in good faith, to provide a certification in writing from an authorized officer of such Lender that it will comply with its obligations (and is financially able to meet such obligations) to fund prospective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by notice to the Borrower and the other Lenders, declare that such Defaulting Lender is no longer a Defaulting Lender pursuant to this clause (c) upon the Administrative Agent’s receipt of such certification in form and substance satisfactory to it and the Administrative Agent, (d) has become the subject of a Bankruptcy Event or (e) has become the subject of a Bail-In Action.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has the meaning set forth in Section 6.05.</w:t>
      </w:r>
    </w:p>
    <w:p>
      <w:pPr>
        <w:spacing w:after="0" w:line="213" w:lineRule="exact"/>
        <w:rPr>
          <w:sz w:val="20"/>
          <w:szCs w:val="20"/>
          <w:color w:val="auto"/>
        </w:rPr>
      </w:pPr>
    </w:p>
    <w:p>
      <w:pPr>
        <w:ind w:firstLine="964"/>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Interests</w:t>
      </w:r>
      <w:r>
        <w:rPr>
          <w:rFonts w:ascii="Times New Roman" w:cs="Times New Roman" w:eastAsia="Times New Roman" w:hAnsi="Times New Roman"/>
          <w:sz w:val="18"/>
          <w:szCs w:val="18"/>
          <w:color w:val="auto"/>
        </w:rPr>
        <w:t>” means any Equity Interest that, by its terms (or by the terms of any security into which it is convertible, or for which it is exchangeable, in each case, at the option of the holder of the Equity Interest), or upon the happening of any event, matures (excluding any maturity as the result of an optional redemption by the issuer thereof) or is mandatorily redeemable, pursuant to a sinking fund obligation or otherwise, or redeemable at the option of the holder of the Equity Interest, in whole or in part, other than in each case solely in exchange for Qualified Equity Interests (and cash in lieu of fractional shares), on or prior to the date that is 91 days after the Term Loan Maturity Date. Notwithstanding the preceding sentence, (w) any Equity Interest that would constitute Disqualified Equity Interests solely because the holders of the Equity Interest have the right to require the Borrower or the Subsidiary that issued such Equity Interest to repurchase such Equity Interest upon the occurrence of a change of control or an asset sale will not constitute Disqualified Equity Interests if the terms of such Equity Interest provide that the Borrower may not repurchase such Equity Interest unless the Borrower would be permitted to do so in compliance with Section 6.08, (x) any Equity Interest that would constitute Disqualified Equity Interests solely as a result of any redemption feature that is conditioned upon, and subject to, compliance with Section 6.08 will not constitute Disqualified Equity Interests, (y) any Equity Interest issued to any plan for the benefit of employees will not constitute Disqualified Equity Interests solely because it may be required to be repurchased by the Borrower or the Subsidiary that issued such Equity Interest in order to satisfy applicable statutory or regulatory obligations and (z) any class of Equity Interests of such Person that by its terms requires such Person to satisfy its obligations thereunder by delivery of Qualified Equity Interests shall not be deemed to be Disqualified Equity Interests. The amount of Disqualified Equity Interests deemed to be outstanding at any time for purposes of this Agreement will be the maximum amount that the Borrower and its Subsidiaries may become obligated to pay upon the maturity of, or pursuant to any mandatory redemption provisions of, such Disqualified Equity Interests, exclusive of accrued dividends.</w:t>
      </w:r>
    </w:p>
    <w:p>
      <w:pPr>
        <w:spacing w:after="0" w:line="189" w:lineRule="exact"/>
        <w:rPr>
          <w:sz w:val="20"/>
          <w:szCs w:val="20"/>
          <w:color w:val="auto"/>
        </w:rPr>
      </w:pPr>
    </w:p>
    <w:p>
      <w:pPr>
        <w:ind w:right="20" w:firstLine="964"/>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xml:space="preserve">” means (a) any competitor of the Borrower or its Subsidiaries identified in writing by or on behalf of the Borrower to (i) the Lead Arranger prior to the Effective Date or (ii) the Administrative Agent from time to time after the Effective Date with the written consent of the Administrative Agent (in its sole discretion), (b) those particular banks, financial institutions, other institutional lenders and other Persons identified by or on behalf of the Borrower to the Lead Arranger in writing (as provided herein) (x) prior to the Effective Date (or related funds of any such Persons) or (y) after the Effective Date with the written consent of the Administrative Agent (in its sole discretion) and (c) any Affiliate of the entities described in the preceding clauses (a) or (b) that are either (w) reasonably identifiable as such on the basis of their name or (x) are identified as such in writing by or on behalf of the Borrower to (i) the Lead Arranger prior to the Effective Date or (ii) the Administrative Agent from time to time after the Effective Date (other than, in each case, Affiliates that constitute bona fide debt funds primarily investing in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Person that is a Lender or a Participant and subsequently becomes a Disqualified Institution (but was not a Disqualified Institution at the time it became a Lender or a Participant, as applicable) shall be deemed to not be a Disqualified Institution hereunder (in the case of any such Participant that is not a Lender, solely with respect to the participations held by such Participant). The identity of Disqualified Institutions may be disclosed (i) by the Administrative Agent to a Lender upon</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00"/>
          </w:cols>
          <w:pgMar w:left="580" w:top="267" w:right="619" w:bottom="1440" w:gutter="0" w:footer="0" w:header="0"/>
        </w:sectPr>
      </w:pPr>
    </w:p>
    <w:bookmarkStart w:id="726" w:name="page727"/>
    <w:bookmarkEnd w:id="726"/>
    <w:p>
      <w:pPr>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request and (ii) by any Lender to any prospective Lender, Participant or Eligible Assignee, subject to the acknowledgment and acceptance by such prospective Lender, Participant or Eligible Assignee that the identity of Disqualified Institutions is being disseminated on a confidential basis and that such prospective Lender, Participant or Eligible Assignee shall be bound by the same confidentiality restrictions as those applicable to the Lender making such communication, but will not be otherwise posted or distributed to any Person. Notwithstanding anything to the contrary contained in this Agreement, (a) the Administrative Agent shall not be responsible or have any liability for, or have any duty to ascertain, inquire into, monitor or enforce, compliance with the provisions hereof relating to Disqualified Institutions and (b) the Borrower (on behalf of themselves and the other Loan Parties) and the Lenders acknowledge and agree that the Administrative Agent shall have no responsibility or obligation to determine whether any Lender or potential Lender is a Disqualified Institution and that the Administrative Agent shall have no liability with respect to any assignment or participation made to a Disqualified Institution.</w:t>
      </w:r>
    </w:p>
    <w:p>
      <w:pPr>
        <w:spacing w:after="0" w:line="1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13" w:lineRule="exact"/>
        <w:rPr>
          <w:sz w:val="20"/>
          <w:szCs w:val="20"/>
          <w:color w:val="auto"/>
        </w:rPr>
      </w:pPr>
    </w:p>
    <w:p>
      <w:pPr>
        <w:ind w:right="10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incorporated or organized under the laws of the United States of America, any State thereof or the District of Columbia.</w:t>
      </w:r>
    </w:p>
    <w:p>
      <w:pPr>
        <w:spacing w:after="0" w:line="170" w:lineRule="exact"/>
        <w:rPr>
          <w:sz w:val="20"/>
          <w:szCs w:val="20"/>
          <w:color w:val="auto"/>
        </w:rPr>
      </w:pPr>
    </w:p>
    <w:p>
      <w:pPr>
        <w:ind w:right="2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13" w:lineRule="exact"/>
        <w:rPr>
          <w:sz w:val="20"/>
          <w:szCs w:val="20"/>
          <w:color w:val="auto"/>
        </w:rPr>
      </w:pPr>
    </w:p>
    <w:p>
      <w:pPr>
        <w:ind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September 22, 2022.</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has the meaning set forth in Section 9.04(a).</w:t>
      </w:r>
    </w:p>
    <w:p>
      <w:pPr>
        <w:spacing w:after="0" w:line="213" w:lineRule="exact"/>
        <w:rPr>
          <w:sz w:val="20"/>
          <w:szCs w:val="20"/>
          <w:color w:val="auto"/>
        </w:rPr>
      </w:pPr>
    </w:p>
    <w:p>
      <w:pPr>
        <w:ind w:right="12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(including the common law), rules, regulations, codes, ordinances, orders, decrees, judgments, injunctions, notices or binding agreements issued, promulgated or entered into by or with any Governmental Authority, relating in any way to pollution or the protection of the environment, preservation or reclamation of natural resources, the presence, management, Release or threatened Release of any Hazardous Material, or to health and safety matters relating to exposure to Hazardous Materials in the workplace.</w:t>
      </w:r>
    </w:p>
    <w:p>
      <w:pPr>
        <w:spacing w:after="0" w:line="184" w:lineRule="exact"/>
        <w:rPr>
          <w:sz w:val="20"/>
          <w:szCs w:val="20"/>
          <w:color w:val="auto"/>
        </w:rPr>
      </w:pPr>
    </w:p>
    <w:p>
      <w:pPr>
        <w:ind w:right="60" w:firstLine="96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liabilities, obligations, damages, claims, actions, suits, judgments, orders, fines, penalties, fees, expenses and costs (including administrative oversight costs, natural resource damages and medical monitoring, investigation or remediation costs), whether contingent or otherwise, arising out of or relating to any actual or alleged failure to comply with Environmental Law, including with respect to (a) the generation, use, handling, transportation, storage, treatment or disposal of any Hazardous Materials, (b) exposure to any Hazardous Materials, or (c) the Release or threatened Release of any Hazardous Materials.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20"/>
          </w:cols>
          <w:pgMar w:left="580" w:top="265" w:right="599" w:bottom="1440" w:gutter="0" w:footer="0" w:header="0"/>
        </w:sectPr>
      </w:pPr>
    </w:p>
    <w:bookmarkStart w:id="727" w:name="page728"/>
    <w:bookmarkEnd w:id="727"/>
    <w:p>
      <w:pPr>
        <w:ind w:right="880" w:firstLine="964"/>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any Environmental Law.</w:t>
      </w:r>
    </w:p>
    <w:p>
      <w:pPr>
        <w:spacing w:after="0" w:line="170" w:lineRule="exact"/>
        <w:rPr>
          <w:sz w:val="20"/>
          <w:szCs w:val="20"/>
          <w:color w:val="auto"/>
        </w:rPr>
      </w:pPr>
    </w:p>
    <w:p>
      <w:pPr>
        <w:ind w:right="22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from the issuer thereof, but excluding any debt securities convertible into such shares or other such equity interests unless such debt securities are converted into such shares or other such equity interests.</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means the Employee Retirement Income Security Act of 1974 and the regulations promulgated thereunder, as amended from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w:t>
      </w:r>
    </w:p>
    <w:p>
      <w:pPr>
        <w:spacing w:after="0" w:line="195" w:lineRule="exact"/>
        <w:rPr>
          <w:sz w:val="20"/>
          <w:szCs w:val="20"/>
          <w:color w:val="auto"/>
        </w:rPr>
      </w:pPr>
    </w:p>
    <w:p>
      <w:pPr>
        <w:ind w:right="280"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Borrower, is treated as a single employer under Section 414(b) or (c) of the Code, including Section 414(m) and (o) of the Code solely for purposes of Section 412 of the Code and Section 302 of ERISA.</w:t>
      </w:r>
    </w:p>
    <w:p>
      <w:pPr>
        <w:spacing w:after="0" w:line="180" w:lineRule="exact"/>
        <w:rPr>
          <w:sz w:val="20"/>
          <w:szCs w:val="20"/>
          <w:color w:val="auto"/>
        </w:rPr>
      </w:pPr>
    </w:p>
    <w:p>
      <w:pPr>
        <w:ind w:firstLine="964"/>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 Event</w:t>
      </w:r>
      <w:r>
        <w:rPr>
          <w:rFonts w:ascii="Times New Roman" w:cs="Times New Roman" w:eastAsia="Times New Roman" w:hAnsi="Times New Roman"/>
          <w:sz w:val="16"/>
          <w:szCs w:val="16"/>
          <w:color w:val="auto"/>
        </w:rPr>
        <w:t>” means (a) any “reportable event”, as defined in Section 4043 of ERISA or the regulations issued thereunder, with respect to a Plan (other than an event for which the 30 day notice period is waived), (b) a failure to satisfy the minimum funding standard under Section 412 of the Code or Section 302 of ERISA,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other than for PBGC premiums due but not delinquent under Section 4007 of ERISA, with respect to the termination of any Plan, (e) the receipt by the Borrower or any ERISA Affiliate from the PBGC or a plan administrator of any written notice relating to an intention to terminate any Plan or Plans or to appoint a trustee to administer any Plan, (f) the receipt by the Borrower or any ERISA Affiliate of any written notice relating to the incurrence by the Borrower or any of its ERISA Affiliates of any liability with respect to the withdrawal or partial withdrawal from any Plan or Multiemployer Plan, (g) the receipt by the Borrower or any ERISA Affiliate of any written notice, or the receipt by any Multiemployer Plan from the Borrower or any ERISA Affiliate of any written notice, concerning a determination that a Multiemployer Plan is, or is expected to be, insolvent or in reorganization, within the meaning of Title IV of ERISA or that a Multiemployer Plan is in “critical” status within the meaning of Section 432 of the Code or Section 305 of ERISA; or (h) the occurrence of a nonexempt prohibited transaction (within the meaning of Section 4975 of the Code or Section 406 of ERISA) which is reasonably likely to result in a Material Adverse Effect.</w:t>
      </w:r>
    </w:p>
    <w:p>
      <w:pPr>
        <w:spacing w:after="0" w:line="3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has the meaning specified in Section 8.11(a).</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has the meaning specified in Section 8.11(d).</w:t>
      </w:r>
    </w:p>
    <w:p>
      <w:pPr>
        <w:spacing w:after="0" w:line="213" w:lineRule="exact"/>
        <w:rPr>
          <w:sz w:val="20"/>
          <w:szCs w:val="20"/>
          <w:color w:val="auto"/>
        </w:rPr>
      </w:pPr>
    </w:p>
    <w:p>
      <w:pPr>
        <w:ind w:right="58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set forth in Section 7.01. “</w:t>
      </w:r>
      <w:r>
        <w:rPr>
          <w:rFonts w:ascii="Times New Roman" w:cs="Times New Roman" w:eastAsia="Times New Roman" w:hAnsi="Times New Roman"/>
          <w:sz w:val="18"/>
          <w:szCs w:val="18"/>
          <w:u w:val="single" w:color="auto"/>
          <w:color w:val="auto"/>
        </w:rPr>
        <w:t>Excess Net Proceeds</w:t>
      </w:r>
      <w:r>
        <w:rPr>
          <w:rFonts w:ascii="Times New Roman" w:cs="Times New Roman" w:eastAsia="Times New Roman" w:hAnsi="Times New Roman"/>
          <w:sz w:val="18"/>
          <w:szCs w:val="18"/>
          <w:color w:val="auto"/>
        </w:rPr>
        <w:t>” has the meaning set forth in Section 2.11(c).</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and the rules and regulations of the SEC promulgated thereunder.</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has the meaning set forth in the Collateral Agreement.</w:t>
      </w:r>
    </w:p>
    <w:p>
      <w:pPr>
        <w:spacing w:after="0" w:line="14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640"/>
          </w:cols>
          <w:pgMar w:left="580" w:top="264" w:right="679" w:bottom="1440" w:gutter="0" w:footer="0" w:header="0"/>
        </w:sectPr>
      </w:pPr>
    </w:p>
    <w:bookmarkStart w:id="728" w:name="page729"/>
    <w:bookmarkEnd w:id="728"/>
    <w:p>
      <w:pPr>
        <w:ind w:right="60" w:firstLine="964"/>
        <w:spacing w:after="0" w:line="28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Excluded Swap Obligation</w:t>
      </w:r>
      <w:r>
        <w:rPr>
          <w:rFonts w:ascii="Times New Roman" w:cs="Times New Roman" w:eastAsia="Times New Roman" w:hAnsi="Times New Roman"/>
          <w:sz w:val="16"/>
          <w:szCs w:val="16"/>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becomes effective with respect to such related Swap Obligation.</w:t>
      </w:r>
    </w:p>
    <w:p>
      <w:pPr>
        <w:spacing w:after="0" w:line="156" w:lineRule="exact"/>
        <w:rPr>
          <w:sz w:val="20"/>
          <w:szCs w:val="20"/>
          <w:color w:val="auto"/>
        </w:rPr>
      </w:pPr>
    </w:p>
    <w:p>
      <w:pPr>
        <w:ind w:firstLine="964"/>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2.19(b)) or (ii) such Lender changes its lending office, except in each case to the extent that, pursuant to Section 2.17(a), amounts with respect to such Taxes were payable either to such Lender’s assignor immediately before such Lender became a party hereto or to such Lender immediately before it changed its lending office, (c) Taxes attributable to such Recipient’s failure to comply with Section 2.17(f), and (d) any withholding Taxes imposed under FATCA.</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Order</w:t>
      </w:r>
      <w:r>
        <w:rPr>
          <w:rFonts w:ascii="Times New Roman" w:cs="Times New Roman" w:eastAsia="Times New Roman" w:hAnsi="Times New Roman"/>
          <w:sz w:val="18"/>
          <w:szCs w:val="18"/>
          <w:color w:val="auto"/>
        </w:rPr>
        <w:t>” has the meaning set forth in Section 3.17.</w:t>
      </w:r>
    </w:p>
    <w:p>
      <w:pPr>
        <w:spacing w:after="0" w:line="213" w:lineRule="exact"/>
        <w:rPr>
          <w:sz w:val="20"/>
          <w:szCs w:val="20"/>
          <w:color w:val="auto"/>
        </w:rPr>
      </w:pPr>
    </w:p>
    <w:p>
      <w:pPr>
        <w:ind w:right="40" w:firstLine="964"/>
        <w:spacing w:after="0" w:line="33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Fair Market Value</w:t>
      </w:r>
      <w:r>
        <w:rPr>
          <w:rFonts w:ascii="Times New Roman" w:cs="Times New Roman" w:eastAsia="Times New Roman" w:hAnsi="Times New Roman"/>
          <w:sz w:val="16"/>
          <w:szCs w:val="16"/>
          <w:color w:val="auto"/>
        </w:rPr>
        <w:t>” means the value that would be paid by a willing buyer to an unaffiliated willing seller in a transaction not involving distress or necessity of either party, determined in good faith by the Board of Directors, chief executive officer or chief financial officer of the Borrower.</w:t>
      </w:r>
    </w:p>
    <w:p>
      <w:pPr>
        <w:spacing w:after="0" w:line="123" w:lineRule="exact"/>
        <w:rPr>
          <w:sz w:val="20"/>
          <w:szCs w:val="20"/>
          <w:color w:val="auto"/>
        </w:rPr>
      </w:pPr>
    </w:p>
    <w:p>
      <w:pPr>
        <w:ind w:right="220" w:firstLine="964"/>
        <w:spacing w:after="0" w:line="29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FATCA</w:t>
      </w:r>
      <w:r>
        <w:rPr>
          <w:rFonts w:ascii="Times New Roman" w:cs="Times New Roman" w:eastAsia="Times New Roman" w:hAnsi="Times New Roman"/>
          <w:sz w:val="16"/>
          <w:szCs w:val="16"/>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agreements, treaty or convention among Governmental Authorities and implementing such Sections of the Code.</w:t>
      </w:r>
    </w:p>
    <w:p>
      <w:pPr>
        <w:spacing w:after="0" w:line="1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Federal Food and Drug Administration.</w:t>
      </w:r>
    </w:p>
    <w:p>
      <w:pPr>
        <w:spacing w:after="0" w:line="213" w:lineRule="exact"/>
        <w:rPr>
          <w:sz w:val="20"/>
          <w:szCs w:val="20"/>
          <w:color w:val="auto"/>
        </w:rPr>
      </w:pPr>
    </w:p>
    <w:p>
      <w:pPr>
        <w:ind w:right="6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provided that if the Federal Funds Rate shall be less than zero, such rate shall be deemed to zero for the purposes of calculating such rate.</w:t>
      </w:r>
    </w:p>
    <w:p>
      <w:pPr>
        <w:spacing w:after="0" w:line="184" w:lineRule="exact"/>
        <w:rPr>
          <w:sz w:val="20"/>
          <w:szCs w:val="20"/>
          <w:color w:val="auto"/>
        </w:rPr>
      </w:pPr>
    </w:p>
    <w:p>
      <w:pPr>
        <w:ind w:right="60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the Fee Letter, dated as of the Effective Date, by and between the Administrative Agent the Lead Arranger, the Borrower and the Lenders party thereto.</w:t>
      </w:r>
    </w:p>
    <w:p>
      <w:pPr>
        <w:spacing w:after="0" w:line="170" w:lineRule="exact"/>
        <w:rPr>
          <w:sz w:val="20"/>
          <w:szCs w:val="20"/>
          <w:color w:val="auto"/>
        </w:rPr>
      </w:pPr>
    </w:p>
    <w:p>
      <w:pPr>
        <w:ind w:right="36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chief executive officer, principal accounting officer, treasurer or controller of the Borrower (or other officer with equivalent duties), in each case in his or her capacity as such.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20"/>
          </w:cols>
          <w:pgMar w:left="580" w:top="265" w:right="599" w:bottom="1440" w:gutter="0" w:footer="0" w:header="0"/>
        </w:sectPr>
      </w:pPr>
    </w:p>
    <w:bookmarkStart w:id="729" w:name="page730"/>
    <w:bookmarkEnd w:id="72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Financial Performance Covenants</w:t>
      </w:r>
      <w:r>
        <w:rPr>
          <w:rFonts w:ascii="Times New Roman" w:cs="Times New Roman" w:eastAsia="Times New Roman" w:hAnsi="Times New Roman"/>
          <w:sz w:val="18"/>
          <w:szCs w:val="18"/>
          <w:color w:val="auto"/>
        </w:rPr>
        <w:t>” means the covenants of the Borrower set forth in Section 6.12.</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1.00%.</w:t>
      </w:r>
    </w:p>
    <w:p>
      <w:pPr>
        <w:spacing w:after="0" w:line="213" w:lineRule="exact"/>
        <w:rPr>
          <w:sz w:val="20"/>
          <w:szCs w:val="20"/>
          <w:color w:val="auto"/>
        </w:rPr>
      </w:pPr>
    </w:p>
    <w:p>
      <w:pPr>
        <w:ind w:right="20"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not a Domestic Subsidiary.</w:t>
      </w:r>
    </w:p>
    <w:p>
      <w:pPr>
        <w:spacing w:after="0" w:line="213" w:lineRule="exact"/>
        <w:rPr>
          <w:sz w:val="20"/>
          <w:szCs w:val="20"/>
          <w:color w:val="auto"/>
        </w:rPr>
      </w:pPr>
    </w:p>
    <w:p>
      <w:pPr>
        <w:ind w:firstLine="96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provided, however, that 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upon the prior written consent of the Administrative Agent,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in this Agreement shall be construed, and all computations of amounts and ratios referred to in this Agreement shall be made without giving effect to any election under Accounting Standards Codification Topic 825—Financial Instruments, or any successor thereto or comparable accounting principle (including pursuant to the Accounting Standards Codification), to value any Indebtedness of the Borrower or any Subsidiary at “fair value,” as defined therein and (b) the amount of any Indebtedness under GAAP with respect to Capital Lease Obligations shall be determined in accordance with the definition of Capital Lease Obligations.</w:t>
      </w:r>
    </w:p>
    <w:p>
      <w:pPr>
        <w:spacing w:after="0" w:line="3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Google Note</w:t>
      </w:r>
      <w:r>
        <w:rPr>
          <w:rFonts w:ascii="Times New Roman" w:cs="Times New Roman" w:eastAsia="Times New Roman" w:hAnsi="Times New Roman"/>
          <w:sz w:val="18"/>
          <w:szCs w:val="18"/>
          <w:color w:val="auto"/>
        </w:rPr>
        <w:t>” means that certain Convertible Promissory Note, dated as of June 22, 2020, issued by the Borrower to Google LLC.</w:t>
      </w:r>
    </w:p>
    <w:p>
      <w:pPr>
        <w:spacing w:after="0" w:line="213" w:lineRule="exact"/>
        <w:rPr>
          <w:sz w:val="20"/>
          <w:szCs w:val="20"/>
          <w:color w:val="auto"/>
        </w:rPr>
      </w:pPr>
    </w:p>
    <w:p>
      <w:pPr>
        <w:ind w:right="80" w:firstLine="96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any securities exchange and any self-regulatory organization (including the National Association of Insurance Commissioners). For avoidance of doubt, the term Governmental Authority includes any and all Public Health Regulatory Agencies.</w:t>
      </w:r>
    </w:p>
    <w:p>
      <w:pPr>
        <w:spacing w:after="0" w:line="187" w:lineRule="exact"/>
        <w:rPr>
          <w:sz w:val="20"/>
          <w:szCs w:val="20"/>
          <w:color w:val="auto"/>
        </w:rPr>
      </w:pPr>
    </w:p>
    <w:p>
      <w:pPr>
        <w:ind w:right="80" w:firstLine="96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guaranteeing person</w:t>
      </w:r>
      <w:r>
        <w:rPr>
          <w:rFonts w:ascii="Times New Roman" w:cs="Times New Roman" w:eastAsia="Times New Roman" w:hAnsi="Times New Roman"/>
          <w:sz w:val="18"/>
          <w:szCs w:val="18"/>
          <w:color w:val="auto"/>
        </w:rPr>
        <w:t>”) means any obligation, contingent or otherwise, of the guaranteeing person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the guaranteeing person,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680"/>
          </w:cols>
          <w:pgMar w:left="580" w:top="265" w:right="639" w:bottom="1440" w:gutter="0" w:footer="0" w:header="0"/>
        </w:sectPr>
      </w:pPr>
    </w:p>
    <w:bookmarkStart w:id="730" w:name="page731"/>
    <w:bookmarkEnd w:id="730"/>
    <w:p>
      <w:pPr>
        <w:ind w:right="6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78040" cy="38100"/>
                    </a:xfrm>
                    <a:prstGeom prst="rect">
                      <a:avLst/>
                    </a:prstGeom>
                    <a:noFill/>
                  </pic:spPr>
                </pic:pic>
              </a:graphicData>
            </a:graphic>
          </wp:anchor>
        </w:drawing>
        <w:t xml:space="preserve">capital, equity capital or any other financial statement condition or liquidity of the primary obligor so as to enable the primary obligor to pay such Indebtedness or other obligation or (d) as an account party or applicant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customary and reasonable indemnity obligations in effect on the Effective Date or entered into in connection with any acquisition or disposition of assets permitted under this Agreement (other than such obligations with respect to Indebtedness) or product warranty obligations. The amount of any Guarantee of any guaranteeing person shall be deemed to be the lower of (a) an amount equal to the stated or determinable amount of the primary obligation in respect of which the Guarantee is made and (b) the maximum amount for which such guaranteeing person may be liable pursuant to the terms of the instrument embodying such Guarantee.</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the collective reference to the Subsidiary Loan Parties.</w:t>
      </w:r>
    </w:p>
    <w:p>
      <w:pPr>
        <w:spacing w:after="0" w:line="213" w:lineRule="exact"/>
        <w:rPr>
          <w:sz w:val="20"/>
          <w:szCs w:val="20"/>
          <w:color w:val="auto"/>
        </w:rPr>
      </w:pPr>
    </w:p>
    <w:p>
      <w:pPr>
        <w:ind w:right="28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radioactive, infectious, chemical, biological, medical or toxic materials, and all other chemicals, materials, substances, wastes, pollutants or contaminants in any form, including petroleum or petroleum byproducts, asbestos or asbestos-containing materials, polychlorinated biphenyls, radon gas and all other materials, substances or wastes of any nature, in each case to the extent regulated pursuant to any Environmental Law.</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Health Care Laws</w:t>
      </w:r>
      <w:r>
        <w:rPr>
          <w:rFonts w:ascii="Times New Roman" w:cs="Times New Roman" w:eastAsia="Times New Roman" w:hAnsi="Times New Roman"/>
          <w:sz w:val="16"/>
          <w:szCs w:val="16"/>
          <w:color w:val="auto"/>
        </w:rPr>
        <w:t>” means all applicable federal and state laws, rules or regulations pertaining to clinical laboratory services, including</w:t>
      </w:r>
    </w:p>
    <w:p>
      <w:pPr>
        <w:spacing w:after="0" w:line="44" w:lineRule="exact"/>
        <w:rPr>
          <w:sz w:val="20"/>
          <w:szCs w:val="20"/>
          <w:color w:val="auto"/>
        </w:rPr>
      </w:pPr>
    </w:p>
    <w:p>
      <w:pPr>
        <w:ind w:right="120" w:firstLine="8"/>
        <w:spacing w:after="0" w:line="278" w:lineRule="auto"/>
        <w:tabs>
          <w:tab w:leader="none" w:pos="209" w:val="left"/>
        </w:tabs>
        <w:numPr>
          <w:ilvl w:val="0"/>
          <w:numId w:val="7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Anti-Kickback Statute (42 U.S.C. §1320a-7b(b)), Sections 1320a-7 and 1320a-7a of Title 42 of the United States Code, the Physician Self- Referral Law, commonly known as the “Stark Law” (42 U.S.C. §§ 1395nn and 1396(s)), the Civil Monetary Penalties Law, including without limitation the Beneficiary Inducement Statute (42 U.S.C. § 1320a-7a), the civil False Claims Act (31 U.S.C. §3729 et seq.), or any regulations promulgated pursuant to such statutes, or similar state or local statutes or regulations; (ii) the Health Insurance Portability and Accountability Act of 1996 (Pub. L. No. 104-191) as amended by the Health Information Technology for Economic and Clinical Health Act of 2009, (42 U.S.C. § 17921, et seq.) and the regulations promulgated thereunder and similar state or local statutes or regulations governing the privacy or security of patient information (collectively, “HIPAA”); (iii) Medicare (Title XVIII of the Social Security Act) and the regulations promulgated thereunder; (iv) Medicaid (Title XIX of the Social Security Act) and the regulations promulgated thereunder as well as comparable state Medicaid statutes and regulations; (v) all applicable licensure, permitting or certification laws and regulations and (vi) any and all other applicable federal and state clinical laboratory services laws, rules and regulations, including those related to the submission of false claims, fee-splitting, kickbacks, and self-referrals.</w:t>
      </w:r>
    </w:p>
    <w:p>
      <w:pPr>
        <w:spacing w:after="0" w:line="375" w:lineRule="exact"/>
        <w:rPr>
          <w:sz w:val="20"/>
          <w:szCs w:val="20"/>
          <w:color w:val="auto"/>
        </w:rPr>
      </w:pPr>
    </w:p>
    <w:p>
      <w:pPr>
        <w:ind w:firstLine="96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trade accounts payable and accrued obligations incurred in the ordinary course of business), (e) all obligations of others secured by (or for which the holder of such obligations has an existing right, contingent or otherwise, to be secured by) any Lien on property owned or acquired by such Person, whether or not the obligations secured thereby have been assumed, but limited, in the event such secured obligations are nonrecourse to such Person, to the fair value of such property, (f) all Guarantees by such Person of the Indebtedness of any other Person, (g) all Capital Lease Obligations of such Person, (h) the face amount of all letters of credit issued for the account of such Person to the extent drawn and unreimbursed and all reimbursement or payment obligations with respect to surety bonds and other similar instruments issued by such Person, (i) all obligations, contingent or otherwise, of such Person in respect of bankers’ acceptances and (j) all Disqualified Equity Interests of such Person valued, as of the</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20"/>
          </w:cols>
          <w:pgMar w:left="580" w:top="266" w:right="599" w:bottom="1440" w:gutter="0" w:footer="0" w:header="0"/>
        </w:sectPr>
      </w:pPr>
    </w:p>
    <w:bookmarkStart w:id="731" w:name="page732"/>
    <w:bookmarkEnd w:id="731"/>
    <w:p>
      <w:pPr>
        <w:ind w:right="20"/>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date of determination, at the greater of (i) the maximum aggregate amount that would be payable upon maturity, redemption, repayment or repurchase thereof (or of Disqualified Equity Interests or Indebtedness into which such Disqualified Equity Interests is convertible or exchangeable) and (ii) the maximum liquidation preference of such Disqualified Equity Interests (excluding accrued dividends that have not increased the liquidation preference of such Disqualified Equity Interests).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the term “Indebtedness” shall not include (i) post-closing payment adjustments, earn-outs or non-compete payments to which the seller in any Permitted Acquisition is or may become entitled until such obligations are due and payable, (ii) amounts that any member of management, the employees or consultants of the Borrower or any of the Subsidiaries may become entitled to under any cash incentive plan in existence from time to time</w:t>
      </w:r>
    </w:p>
    <w:p>
      <w:pPr>
        <w:spacing w:after="0" w:line="4" w:lineRule="exact"/>
        <w:rPr>
          <w:sz w:val="20"/>
          <w:szCs w:val="20"/>
          <w:color w:val="auto"/>
        </w:rPr>
      </w:pPr>
    </w:p>
    <w:p>
      <w:pPr>
        <w:ind w:left="320" w:hanging="312"/>
        <w:spacing w:after="0"/>
        <w:tabs>
          <w:tab w:leader="none" w:pos="320"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incurred in the ordinary course of business or in respect of operating leases and not in respect of borrowed money,</w:t>
      </w:r>
    </w:p>
    <w:p>
      <w:pPr>
        <w:spacing w:after="0" w:line="3" w:lineRule="exact"/>
        <w:rPr>
          <w:rFonts w:ascii="Times New Roman" w:cs="Times New Roman" w:eastAsia="Times New Roman" w:hAnsi="Times New Roman"/>
          <w:sz w:val="18"/>
          <w:szCs w:val="18"/>
          <w:color w:val="auto"/>
        </w:rPr>
      </w:pPr>
    </w:p>
    <w:p>
      <w:pPr>
        <w:ind w:right="500" w:firstLine="8"/>
        <w:spacing w:after="0" w:line="245" w:lineRule="auto"/>
        <w:tabs>
          <w:tab w:leader="none" w:pos="296"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or prepaid revenues, (v) purchase price holdbacks in respect of a portion of the purchase price of an asset to satisfy warranty or other unperformed obligations of the respective seller, (vi) current liabilities due to affiliates in connection with cash management arrangements in the ordinary course of business, or (vii) Non-Financing Lease Obligations.</w:t>
      </w:r>
    </w:p>
    <w:p>
      <w:pPr>
        <w:spacing w:after="0" w:line="188" w:lineRule="exact"/>
        <w:rPr>
          <w:sz w:val="20"/>
          <w:szCs w:val="20"/>
          <w:color w:val="auto"/>
        </w:rPr>
      </w:pPr>
    </w:p>
    <w:p>
      <w:pPr>
        <w:ind w:right="22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Taxes other than Excluded Taxes, imposed on or with respect to any payment made by or on account of any obligation of any Loan Party under any Loan Document.</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set forth in Section 9.03(b).</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set forth in Section 9.12.</w:t>
      </w:r>
    </w:p>
    <w:p>
      <w:pPr>
        <w:spacing w:after="0" w:line="213" w:lineRule="exact"/>
        <w:rPr>
          <w:sz w:val="20"/>
          <w:szCs w:val="20"/>
          <w:color w:val="auto"/>
        </w:rPr>
      </w:pPr>
    </w:p>
    <w:p>
      <w:pPr>
        <w:ind w:right="60"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written request by the Borrower to convert or continue a Term Loan Borrowing in accordance with Section 2.07,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written Interest Election Request shall be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or such other form as shall be approved by the Administrative Agent.</w:t>
      </w:r>
    </w:p>
    <w:p>
      <w:pPr>
        <w:spacing w:after="0" w:line="180" w:lineRule="exact"/>
        <w:rPr>
          <w:sz w:val="20"/>
          <w:szCs w:val="20"/>
          <w:color w:val="auto"/>
        </w:rPr>
      </w:pPr>
    </w:p>
    <w:p>
      <w:pPr>
        <w:ind w:right="600" w:firstLine="964"/>
        <w:spacing w:after="0" w:line="33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Interest Payment Date</w:t>
      </w:r>
      <w:r>
        <w:rPr>
          <w:rFonts w:ascii="Times New Roman" w:cs="Times New Roman" w:eastAsia="Times New Roman" w:hAnsi="Times New Roman"/>
          <w:sz w:val="16"/>
          <w:szCs w:val="16"/>
          <w:color w:val="auto"/>
        </w:rPr>
        <w:t>” means (a) with respect to any Base Rate Loan, the last Business Day of each March, June, September and December and (b) with respect to any SOFR Loan, the last day of the Interest Period applicable to the Borrowing of which such Loan is a part.</w:t>
      </w:r>
    </w:p>
    <w:p>
      <w:pPr>
        <w:spacing w:after="0" w:line="123" w:lineRule="exact"/>
        <w:rPr>
          <w:sz w:val="20"/>
          <w:szCs w:val="20"/>
          <w:color w:val="auto"/>
        </w:rPr>
      </w:pPr>
    </w:p>
    <w:p>
      <w:pPr>
        <w:ind w:firstLine="964"/>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with respect to any SOFR Borrowing, the period commencing on the date of such Borrowing and ending on the numerically corresponding day in the calendar month that is three months thereafter, provided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(c) no Interest Period applicable to a Term Loan or a portion thereof shall extend beyond any date upon which any scheduled principal payment in respect of such Term Loan is due unless the aggregate principal amount of such Term Loan represented by Base Rate Borrowings or SOFR Borrowings having Interest Periods that will expire on or prior to such date is equal to or in excess of the amount of such principal payment and (d) no Interest period shall extend beyond the Term Loan Maturity Date. For purposes hereof, the date of a Borrowing initially shall be the date on which such Borrowing is made and thereafter shall be the effective date of the most recent conversion or continuation of such Borrowing.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20"/>
          </w:cols>
          <w:pgMar w:left="580" w:top="265" w:right="599" w:bottom="1440" w:gutter="0" w:footer="0" w:header="0"/>
        </w:sectPr>
      </w:pPr>
    </w:p>
    <w:bookmarkStart w:id="732" w:name="page733"/>
    <w:bookmarkEnd w:id="732"/>
    <w:p>
      <w:pPr>
        <w:ind w:right="100" w:firstLine="964"/>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Investment</w:t>
      </w:r>
      <w:r>
        <w:rPr>
          <w:rFonts w:ascii="Times New Roman" w:cs="Times New Roman" w:eastAsia="Times New Roman" w:hAnsi="Times New Roman"/>
          <w:sz w:val="16"/>
          <w:szCs w:val="16"/>
          <w:color w:val="auto"/>
        </w:rPr>
        <w:t>” means with respect to any Person, all direct or indirect investments by such Person in other Persons (including Affiliates) in the forms of loans (including Guarantees or other obligations), advances or capital contributions (excluding accounts receivable, trade credit, advances to customers, current receivables due from affiliates in connection with cash management arrangements and commission, travel, relocation and similar advances to officers and employees, in each case made in the ordinary course of business), purchases or other acquisitions for consideration of Indebtedness, Equity Interests or other securities, together with all items that are or would be classified as investments on a balance sheet prepared in accordance with GAAP. For purposes of covenant compliance, the amount of any Investment at any time shall be the amount actually invested (measured at the time made), without adjustment for subsequent changes in the value of such Investment, net of any dividend, distribution, interest payment, return of capital, repayment or other amount received in cash by the Borrower or a Subsidiary in respect of such Investment.</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has the meaning set forth in Section 3.19.</w:t>
      </w:r>
    </w:p>
    <w:p>
      <w:pPr>
        <w:spacing w:after="0" w:line="213" w:lineRule="exact"/>
        <w:rPr>
          <w:sz w:val="20"/>
          <w:szCs w:val="20"/>
          <w:color w:val="auto"/>
        </w:rPr>
      </w:pPr>
    </w:p>
    <w:p>
      <w:pPr>
        <w:ind w:right="40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a bona fide underwritten initial public offering of Equity Interests of the Borrower or any direct or indirect parent of the Borrower after the Effective Date.</w:t>
      </w:r>
    </w:p>
    <w:p>
      <w:pPr>
        <w:spacing w:after="0" w:line="170" w:lineRule="exact"/>
        <w:rPr>
          <w:sz w:val="20"/>
          <w:szCs w:val="20"/>
          <w:color w:val="auto"/>
        </w:rPr>
      </w:pPr>
    </w:p>
    <w:p>
      <w:pPr>
        <w:ind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the banks and other financial institutions or entities from time to time parties to this Agreement (including any Person that shall have become a party hereto pursuant to an Assignment and Assumption) other than any such Person that ceases to be a party hereto pursuant to an Assignment and Assumption.</w:t>
      </w:r>
    </w:p>
    <w:p>
      <w:pPr>
        <w:spacing w:after="0" w:line="180" w:lineRule="exact"/>
        <w:rPr>
          <w:sz w:val="20"/>
          <w:szCs w:val="20"/>
          <w:color w:val="auto"/>
        </w:rPr>
      </w:pPr>
    </w:p>
    <w:p>
      <w:pPr>
        <w:ind w:right="42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shall mean any and all Indebtedness, Taxes, liabilities, and obligations, whether known or unknown, accrued or fixed, or absolute or contingent, matured or unmatured or determined or reasonably determinable.</w:t>
      </w:r>
    </w:p>
    <w:p>
      <w:pPr>
        <w:spacing w:after="0" w:line="170" w:lineRule="exact"/>
        <w:rPr>
          <w:sz w:val="20"/>
          <w:szCs w:val="20"/>
          <w:color w:val="auto"/>
        </w:rPr>
      </w:pPr>
    </w:p>
    <w:p>
      <w:pPr>
        <w:ind w:right="10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with respect to any asset, (a) any mortgage, deed of trust, lien, pledge, hypothecation, encumbrance, charge or security interest in, on or of such asset or other arrangement to provide priority or preference with respect to such asset or (b) the interest of a vendor or a lessor under any conditional sale agreement, capital lease or title retention agreement (or any financing lease having substantially the same economic effect as any of the foregoing) relating to such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 operating lease in and of itself be deemed a Lien.</w:t>
      </w:r>
    </w:p>
    <w:p>
      <w:pPr>
        <w:spacing w:after="0" w:line="184" w:lineRule="exact"/>
        <w:rPr>
          <w:sz w:val="20"/>
          <w:szCs w:val="20"/>
          <w:color w:val="auto"/>
        </w:rPr>
      </w:pPr>
    </w:p>
    <w:p>
      <w:pPr>
        <w:ind w:right="80"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means, at any time, the sum of unrestricted cash and cash equivalents of the Borrower plus the unrestricted cash and cash equivalents of the Subsidiaries (all of the outstanding Equity Interests of which are owned, directly or indirectly, by the Borrower) of the Borrower with respect to which the Administrative Agent has a first priority perfected Lien pursuant to a Control Agreement.</w:t>
      </w:r>
    </w:p>
    <w:p>
      <w:pPr>
        <w:spacing w:after="0" w:line="180" w:lineRule="exact"/>
        <w:rPr>
          <w:sz w:val="20"/>
          <w:szCs w:val="20"/>
          <w:color w:val="auto"/>
        </w:rPr>
      </w:pPr>
    </w:p>
    <w:p>
      <w:pPr>
        <w:ind w:right="2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promissory notes, if any, executed and delivered pursuant to Section 2.09(e), the Fee Letter, the Collateral Agreement and the other Security Documents.</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the Borrower and the Subsidiary Loan Parties.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Term Loans made by the Lenders to the Borrower pursuant to this Agreement.</w:t>
      </w:r>
    </w:p>
    <w:p>
      <w:pPr>
        <w:spacing w:after="0" w:line="213" w:lineRule="exact"/>
        <w:rPr>
          <w:sz w:val="20"/>
          <w:szCs w:val="20"/>
          <w:color w:val="auto"/>
        </w:rPr>
      </w:pPr>
    </w:p>
    <w:p>
      <w:pPr>
        <w:jc w:val="both"/>
        <w:ind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Make-Whole Premium</w:t>
      </w:r>
      <w:r>
        <w:rPr>
          <w:rFonts w:ascii="Times New Roman" w:cs="Times New Roman" w:eastAsia="Times New Roman" w:hAnsi="Times New Roman"/>
          <w:sz w:val="18"/>
          <w:szCs w:val="18"/>
          <w:color w:val="auto"/>
        </w:rPr>
        <w:t>” means, with respect to any prepayment of Term Loans, the excess of (a) the “present value” as of the date of such prepayment of (i) the prepayment price of the Term Loans being prepaid at the first anniversary of the Effective Date (i.e., 105% of the principal amount of the Term</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20"/>
          </w:cols>
          <w:pgMar w:left="580" w:top="266" w:right="599" w:bottom="1440" w:gutter="0" w:footer="0" w:header="0"/>
        </w:sectPr>
      </w:pPr>
    </w:p>
    <w:bookmarkStart w:id="733" w:name="page734"/>
    <w:bookmarkEnd w:id="733"/>
    <w:p>
      <w:pPr>
        <w:ind w:right="2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78040" cy="36830"/>
                    </a:xfrm>
                    <a:prstGeom prst="rect">
                      <a:avLst/>
                    </a:prstGeom>
                    <a:noFill/>
                  </pic:spPr>
                </pic:pic>
              </a:graphicData>
            </a:graphic>
          </wp:anchor>
        </w:drawing>
        <w:t xml:space="preserve">Loans being prepaid), (ii) the amount of interest that would have been payable on the aggregate principal amount of the Term Loans being prepaid, repaid, or accelerated if such principal amount had been outstanding from the date of prepayment, repayment, or acceleration through the first anniversary of the Effective Date (excluding interest accrued prior to such prepayment date) over (b) the principal amount of the Term Loans being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Make-Whole Premium may in no event be less than zero. For purposes of this definition, “present value” with respect to each of clauses (a)(i) and (a)(ii) hereof shall be computed using a discount rate applied quarterly equal to the Treasury Rate as of such prepayment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50 basis points. For the avoidance of doubt, (i) all PIK Interest capitalized to principal of the Term Loans is to be included in the Make-Whole Premium, and (ii) the calculation of interest in clause (a)(ii) above shall be calculated without PIK Interest for any period for which the Borrower has exercised the Cash Election.</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 Whole/Prepayment Fee Amount</w:t>
      </w:r>
      <w:r>
        <w:rPr>
          <w:rFonts w:ascii="Times New Roman" w:cs="Times New Roman" w:eastAsia="Times New Roman" w:hAnsi="Times New Roman"/>
          <w:sz w:val="18"/>
          <w:szCs w:val="18"/>
          <w:color w:val="auto"/>
        </w:rPr>
        <w:t>” has the meaning set forth in Section 2.12(c).</w:t>
      </w:r>
    </w:p>
    <w:p>
      <w:pPr>
        <w:spacing w:after="0" w:line="213" w:lineRule="exact"/>
        <w:rPr>
          <w:sz w:val="20"/>
          <w:szCs w:val="20"/>
          <w:color w:val="auto"/>
        </w:rPr>
      </w:pPr>
    </w:p>
    <w:p>
      <w:pPr>
        <w:ind w:right="14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operations, assets, properties, contingent liabilities or financial condition of the Borrower and its Subsidiaries, taken as a whole, (b) the ability of any Loan Party to perform any obligation under any Loan Document or (c) the rights of or benefits available to the Lenders and Agents under any Loan Document or the ability of the Agents and the Lenders to enforce the Loan Documents.</w:t>
      </w:r>
    </w:p>
    <w:p>
      <w:pPr>
        <w:spacing w:after="0" w:line="184" w:lineRule="exact"/>
        <w:rPr>
          <w:sz w:val="20"/>
          <w:szCs w:val="20"/>
          <w:color w:val="auto"/>
        </w:rPr>
      </w:pPr>
    </w:p>
    <w:p>
      <w:pPr>
        <w:ind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or obligations in respect of one or more Swap Agreements, of any one or more of the Loan Parties in an aggregate principal amount exceeding $10,000,000. For purposes of determining Material Indebtedness, the “</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of the obligations of any Loan Party in respect of any Swap Agreement at any time shall be the maximum aggregate amount (giving effect to any netting agreements) that the such Loan Party would be required to pay if such Swap Agreement were terminated at such time.</w:t>
      </w:r>
    </w:p>
    <w:p>
      <w:pPr>
        <w:spacing w:after="0" w:line="184" w:lineRule="exact"/>
        <w:rPr>
          <w:sz w:val="20"/>
          <w:szCs w:val="20"/>
          <w:color w:val="auto"/>
        </w:rPr>
      </w:pPr>
    </w:p>
    <w:p>
      <w:pPr>
        <w:ind w:right="24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means (i) the real property owned by any Loan Party identified on Schedule 3.05, and (ii) any other real estate owned (but not leased) by a Loan Party located in the United States having a Fair Market Value in excess of $5,000,000.</w:t>
      </w:r>
    </w:p>
    <w:p>
      <w:pPr>
        <w:spacing w:after="0" w:line="170" w:lineRule="exact"/>
        <w:rPr>
          <w:sz w:val="20"/>
          <w:szCs w:val="20"/>
          <w:color w:val="auto"/>
        </w:rPr>
      </w:pPr>
    </w:p>
    <w:p>
      <w:pPr>
        <w:ind w:right="20" w:firstLine="96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Regulatory Liabilities</w:t>
      </w:r>
      <w:r>
        <w:rPr>
          <w:rFonts w:ascii="Times New Roman" w:cs="Times New Roman" w:eastAsia="Times New Roman" w:hAnsi="Times New Roman"/>
          <w:sz w:val="18"/>
          <w:szCs w:val="18"/>
          <w:color w:val="auto"/>
        </w:rPr>
        <w:t>” means (i) any claims, actions, suits, judgments, damages, losses, liability, fines or penalties arising from the violation of Public Health Laws, other applicable laws, or the terms, conditions of or requirements applicable to any Registrations (including costs of actions required under applicable law, including Public Health Laws, or necessary to remedy any violation of any terms or conditions applicable to any Registrations) and (ii) any net loss of recurring annual revenues as a result of any loss, suspension or limitation of any Registrations, which, in the case of the foregoing clauses (i) and (ii), exceeds $10,000,000, individually or in the aggregate.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set forth in Section 9.13.</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Liquidity Amount</w:t>
      </w:r>
      <w:r>
        <w:rPr>
          <w:rFonts w:ascii="Times New Roman" w:cs="Times New Roman" w:eastAsia="Times New Roman" w:hAnsi="Times New Roman"/>
          <w:sz w:val="18"/>
          <w:szCs w:val="18"/>
          <w:color w:val="auto"/>
        </w:rPr>
        <w:t>” has the meaning set forth in Section 6.12(a).</w:t>
      </w:r>
    </w:p>
    <w:p>
      <w:pPr>
        <w:spacing w:after="0" w:line="213" w:lineRule="exact"/>
        <w:rPr>
          <w:sz w:val="20"/>
          <w:szCs w:val="20"/>
          <w:color w:val="auto"/>
        </w:rPr>
      </w:pPr>
    </w:p>
    <w:p>
      <w:pPr>
        <w:ind w:right="14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Financial Statements</w:t>
      </w:r>
      <w:r>
        <w:rPr>
          <w:rFonts w:ascii="Times New Roman" w:cs="Times New Roman" w:eastAsia="Times New Roman" w:hAnsi="Times New Roman"/>
          <w:sz w:val="18"/>
          <w:szCs w:val="18"/>
          <w:color w:val="auto"/>
        </w:rPr>
        <w:t>” means the unaudited consolidated balance sheets and related statements of income and cash flows of the Borrower for each month ended after July 31, 2022 and at least thirty (30) days prior to the Effective Date.</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20"/>
          </w:cols>
          <w:pgMar w:left="580" w:top="265" w:right="599" w:bottom="1440" w:gutter="0" w:footer="0" w:header="0"/>
        </w:sectPr>
      </w:pPr>
    </w:p>
    <w:bookmarkStart w:id="734" w:name="page735"/>
    <w:bookmarkEnd w:id="734"/>
    <w:p>
      <w:pPr>
        <w:jc w:val="both"/>
        <w:ind w:right="20" w:firstLine="964"/>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a mortgage, deed of trust, assignment of leases and rents or other security document granting a Lien on any Mortgaged Property to secure the Obligations. Each Mortgage shall be reasonably satisfactory in form and substance to the Collateral Agent.</w:t>
      </w:r>
    </w:p>
    <w:p>
      <w:pPr>
        <w:spacing w:after="0" w:line="170" w:lineRule="exact"/>
        <w:rPr>
          <w:sz w:val="20"/>
          <w:szCs w:val="20"/>
          <w:color w:val="auto"/>
        </w:rPr>
      </w:pPr>
    </w:p>
    <w:p>
      <w:pPr>
        <w:jc w:val="both"/>
        <w:ind w:right="20"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means each parcel of or other interests in real property owned by a Loan Party and improvements thereto owned by a Loan Party with respect to which a Mortgage is granted pursuant to Section 4.01, 5.12 or 5.13. In no event shall Mortgaged Property include, nor shall any Loan Party be obligated to grant a Mortgage with respect to any property that does not constitute Material Real Property.</w:t>
      </w:r>
    </w:p>
    <w:p>
      <w:pPr>
        <w:spacing w:after="0" w:line="180" w:lineRule="exact"/>
        <w:rPr>
          <w:sz w:val="20"/>
          <w:szCs w:val="20"/>
          <w:color w:val="auto"/>
        </w:rPr>
      </w:pPr>
    </w:p>
    <w:p>
      <w:pPr>
        <w:ind w:right="38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to which the Borrower or any ERISA Affiliate makes or is obligated to make contributions.</w:t>
      </w:r>
    </w:p>
    <w:p>
      <w:pPr>
        <w:spacing w:after="0" w:line="170" w:lineRule="exact"/>
        <w:rPr>
          <w:sz w:val="20"/>
          <w:szCs w:val="20"/>
          <w:color w:val="auto"/>
        </w:rPr>
      </w:pPr>
    </w:p>
    <w:p>
      <w:pPr>
        <w:ind w:firstLine="964"/>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Net Proceeds</w:t>
      </w:r>
      <w:r>
        <w:rPr>
          <w:rFonts w:ascii="Times New Roman" w:cs="Times New Roman" w:eastAsia="Times New Roman" w:hAnsi="Times New Roman"/>
          <w:sz w:val="16"/>
          <w:szCs w:val="16"/>
          <w:color w:val="auto"/>
        </w:rPr>
        <w:t xml:space="preserve">” means, with respect to any event, (a) the cash proceeds actually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but only as and when received and (iii) in the case of a condemnation or similar event, condemnation awards and similar payments actually received, net of (b) the sum of (i) all reasonable fees and out-of-pocket expenses paid to third parties in connection with such event (including reasonable and documented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required to be made as a result of such event to repay Indebtedness (other than Loans) secured by such asset, in the case of any such sale, transfer or other disposition of an asset of a Subsidiary that is not a Guarantor, the amount of any repayments of Indebtedness of such Subsidiary other than intercompany Indebtedness made with the proceeds of such sale, transfer or other disposition and (Y) in the event that a Subsidiary makes a pro rata payment of dividends to all of its stockholders from any cash proceeds, the amount of dividends paid to any stockholder other than the Borrower or any other Subsidiary; provided that any cash proceeds of a sale, transfer or other disposition of an asset by a Subsidiary that is not a Subsidiary Loan Party that are subject to legal or contractual restrictions on repatriation to the Borrower will not be considered Net Proceeds for so long as such proceeds are subject to such restrictions;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such contractual restrictions on repatriation were not entered into in contemplation of such sale, transfer or other disposition of assets and (iii) the amount of all Taxes paid (or reasonably estimated to be payable), including any withholding taxes and other taxes reasonably estimated to be payable in connection with the repatriation of such Net Proceeds from a Foreign Subsidiary (or through a chain of Foreign Subsidiaries and Domestic Subsidiaries) and the amount of any reserves established to fund liabilities reasonably estimated to be payable, in each case during the year that such event occurred, the next succeeding year, or any year in which an installment payment in connection with such event is received and that, in each case, are directly attributable to such event (as determined reasonably and in good faith by a Financial Officer).</w:t>
      </w:r>
    </w:p>
    <w:p>
      <w:pPr>
        <w:spacing w:after="0" w:line="3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set forth in Section 9.02(b).</w:t>
      </w:r>
    </w:p>
    <w:p>
      <w:pPr>
        <w:spacing w:after="0" w:line="213" w:lineRule="exact"/>
        <w:rPr>
          <w:sz w:val="20"/>
          <w:szCs w:val="20"/>
          <w:color w:val="auto"/>
        </w:rPr>
      </w:pPr>
    </w:p>
    <w:p>
      <w:pPr>
        <w:jc w:val="both"/>
        <w:ind w:right="60"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Non-Financing Lease Obligation</w:t>
      </w:r>
      <w:r>
        <w:rPr>
          <w:rFonts w:ascii="Times New Roman" w:cs="Times New Roman" w:eastAsia="Times New Roman" w:hAnsi="Times New Roman"/>
          <w:sz w:val="18"/>
          <w:szCs w:val="18"/>
          <w:color w:val="auto"/>
        </w:rPr>
        <w:t>” means a lease obligation that is not required to be accounted for as a financing or capital lease on both the balance sheet and the income statement for financial reporting purposes in accordance with GAAP (including, without limitation, FASB ASC 842). For the avoidance of doubt, a straight-line or operating lease shall be considered a Non- Financing Lease Obligation.</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680"/>
          </w:cols>
          <w:pgMar w:left="580" w:top="266" w:right="639" w:bottom="1440" w:gutter="0" w:footer="0" w:header="0"/>
        </w:sectPr>
      </w:pPr>
    </w:p>
    <w:bookmarkStart w:id="735" w:name="page736"/>
    <w:bookmarkEnd w:id="735"/>
    <w:p>
      <w:pPr>
        <w:ind w:right="120" w:firstLine="964"/>
        <w:spacing w:after="0" w:line="30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Not Otherwise Applied</w:t>
      </w:r>
      <w:r>
        <w:rPr>
          <w:rFonts w:ascii="Times New Roman" w:cs="Times New Roman" w:eastAsia="Times New Roman" w:hAnsi="Times New Roman"/>
          <w:sz w:val="16"/>
          <w:szCs w:val="16"/>
          <w:color w:val="auto"/>
        </w:rPr>
        <w:t>” means, with reference to the amount of any capital contributions, Net Proceeds from the issuance of Equity Interests that is proposed to be applied to a particular use or transaction, that such amount was not previously applied in determining the permissibility of a transaction under the Loan Documents where such permissibility was (or may have been) contingent on the receipt or availability of such amount.</w:t>
      </w:r>
    </w:p>
    <w:p>
      <w:pPr>
        <w:spacing w:after="0" w:line="1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the collective reference to any promissory note evidencing Loans.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NPL</w:t>
      </w:r>
      <w:r>
        <w:rPr>
          <w:rFonts w:ascii="Times New Roman" w:cs="Times New Roman" w:eastAsia="Times New Roman" w:hAnsi="Times New Roman"/>
          <w:sz w:val="18"/>
          <w:szCs w:val="18"/>
          <w:color w:val="auto"/>
        </w:rPr>
        <w:t>” means the National Priorities List under CERCLA.</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13" w:lineRule="exact"/>
        <w:rPr>
          <w:sz w:val="20"/>
          <w:szCs w:val="20"/>
          <w:color w:val="auto"/>
        </w:rPr>
      </w:pPr>
    </w:p>
    <w:p>
      <w:pPr>
        <w:ind w:right="36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has the meaning set forth in the Collateral Agreement and shall include any Make Whole/Prepayment Fee Amount and Erroneous Payment Subrogation Rights.</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has the meaning set forth in Section 3.17.</w:t>
      </w:r>
    </w:p>
    <w:p>
      <w:pPr>
        <w:spacing w:after="0" w:line="213" w:lineRule="exact"/>
        <w:rPr>
          <w:sz w:val="20"/>
          <w:szCs w:val="20"/>
          <w:color w:val="auto"/>
        </w:rPr>
      </w:pPr>
    </w:p>
    <w:p>
      <w:pPr>
        <w:ind w:firstLine="964"/>
        <w:spacing w:after="0" w:line="29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Other Connection Taxes</w:t>
      </w:r>
      <w:r>
        <w:rPr>
          <w:rFonts w:ascii="Times New Roman" w:cs="Times New Roman" w:eastAsia="Times New Roman" w:hAnsi="Times New Roman"/>
          <w:sz w:val="16"/>
          <w:szCs w:val="16"/>
          <w:color w:val="auto"/>
        </w:rPr>
        <w:t>” means, with respect to any Recipient, Taxes imposed as a result of a present or former connection between such Recipient and the jurisdiction imposing such Tax other than connections arising solely from (and that would not have existed but for)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2" w:lineRule="exact"/>
        <w:rPr>
          <w:sz w:val="20"/>
          <w:szCs w:val="20"/>
          <w:color w:val="auto"/>
        </w:rPr>
      </w:pPr>
    </w:p>
    <w:p>
      <w:pPr>
        <w:jc w:val="both"/>
        <w:ind w:right="24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recording, stamp, documentary, transfer, sales, property or similar Taxes, charges or levies arising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2.19(b)).</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set forth in Section 9.04(e).</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set forth in Section 9.04(e).</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has the meaning specified in Section 8.11(a).</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PBGC</w:t>
      </w:r>
      <w:r>
        <w:rPr>
          <w:rFonts w:ascii="Times New Roman" w:cs="Times New Roman" w:eastAsia="Times New Roman" w:hAnsi="Times New Roman"/>
          <w:sz w:val="16"/>
          <w:szCs w:val="16"/>
          <w:color w:val="auto"/>
        </w:rPr>
        <w:t>” means the Pension Benefit Guaranty Corporation referred to and defined in ERISA and any successor entity performing similar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functions.</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means a certificate in the form of Exhibit D or any other form approved by the Collateral Agent.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has the meaning set forth in the definition of “Term SOFR”.</w:t>
      </w:r>
    </w:p>
    <w:p>
      <w:pPr>
        <w:spacing w:after="0" w:line="213" w:lineRule="exact"/>
        <w:rPr>
          <w:sz w:val="20"/>
          <w:szCs w:val="20"/>
          <w:color w:val="auto"/>
        </w:rPr>
      </w:pPr>
    </w:p>
    <w:p>
      <w:pPr>
        <w:ind w:right="26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means purchases or other acquisitions by the Borrower or any of its Subsidiaries of the Equity Interests in a Person that, upon the consummation thereof, will be a Subsidiary of the Borrower (including as a result of a merger or consolidation) or all or substantially all of the assets of, or assets constituting one or more business units of, any Person that, upon the consummation thereof, will constitute assets of the Borrower or a Subsidiary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such purchase or other acquisition:</w:t>
      </w:r>
    </w:p>
    <w:p>
      <w:pPr>
        <w:spacing w:after="0" w:line="79" w:lineRule="exact"/>
        <w:rPr>
          <w:sz w:val="20"/>
          <w:szCs w:val="20"/>
          <w:color w:val="auto"/>
        </w:rPr>
      </w:pPr>
    </w:p>
    <w:p>
      <w:pPr>
        <w:ind w:left="840"/>
        <w:spacing w:after="0"/>
        <w:tabs>
          <w:tab w:leader="none" w:pos="12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color w:val="auto"/>
        </w:rPr>
        <w:t>all transactions related to such purchase or acquisition shall be consummated in all material respects in accordance with all applicable</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laws;</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680"/>
          </w:cols>
          <w:pgMar w:left="580" w:top="266" w:right="639" w:bottom="1440" w:gutter="0" w:footer="0" w:header="0"/>
        </w:sectPr>
      </w:pPr>
    </w:p>
    <w:bookmarkStart w:id="736" w:name="page737"/>
    <w:bookmarkEnd w:id="736"/>
    <w:p>
      <w:pPr>
        <w:ind w:right="20" w:firstLine="407"/>
        <w:spacing w:after="0" w:line="288" w:lineRule="auto"/>
        <w:tabs>
          <w:tab w:leader="none" w:pos="790" w:val="left"/>
        </w:tabs>
        <w:numPr>
          <w:ilvl w:val="0"/>
          <w:numId w:val="7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the case of any acquisition the aggregate upfront consideration for which exceeds $10,000,000, the Borrower shall (i) give the Administrative Agent at least ten (10) Business Days’ (or such later date as is satisfactory to the Administrative Agent) prior written notice of any such purchase or acquisition and (ii) provide the Administrative Agent with a diligence memorandum in reasonable detail, historical financial statements and reports, and a buy-side quality of earnings report if applicable (and if such consideration equals or is less than $10,000,000, the Borrower shall provide the Administrative Agent with items described in this clause (ii) in any event to the extent available);</w:t>
      </w:r>
    </w:p>
    <w:p>
      <w:pPr>
        <w:spacing w:after="0" w:line="51" w:lineRule="exact"/>
        <w:rPr>
          <w:rFonts w:ascii="Times New Roman" w:cs="Times New Roman" w:eastAsia="Times New Roman" w:hAnsi="Times New Roman"/>
          <w:sz w:val="16"/>
          <w:szCs w:val="16"/>
          <w:color w:val="auto"/>
        </w:rPr>
      </w:pPr>
    </w:p>
    <w:p>
      <w:pPr>
        <w:jc w:val="both"/>
        <w:ind w:right="240" w:firstLine="407"/>
        <w:spacing w:after="0" w:line="251" w:lineRule="auto"/>
        <w:tabs>
          <w:tab w:leader="none" w:pos="780"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acquisition the aggregate upfront consideration for which exceeds $10,000,000, the Borrower shall provide to the Administrative Agent drafts of the acquisition documents at least five (5) Business Days prior to the closing of such acquisition or such shorter period as is satisfactory to the Administrative Agent (with updates and executed copies thereof provided to Administrative Agent as soon as available);</w:t>
      </w:r>
    </w:p>
    <w:p>
      <w:pPr>
        <w:spacing w:after="0" w:line="79" w:lineRule="exact"/>
        <w:rPr>
          <w:rFonts w:ascii="Times New Roman" w:cs="Times New Roman" w:eastAsia="Times New Roman" w:hAnsi="Times New Roman"/>
          <w:sz w:val="18"/>
          <w:szCs w:val="18"/>
          <w:color w:val="auto"/>
        </w:rPr>
      </w:pPr>
    </w:p>
    <w:p>
      <w:pPr>
        <w:ind w:right="120" w:firstLine="407"/>
        <w:spacing w:after="0" w:line="255" w:lineRule="auto"/>
        <w:tabs>
          <w:tab w:leader="none" w:pos="790"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provide to the Administrative Agent as soon as available but in any event not later than five (5) Business Days (or such later date as is satisfactory to the Administrative Agent in its sole discretion) after the execution thereof, a copy of any executed purchase agreement or similar agreement with respect to any such purchase or acquisition;</w:t>
      </w:r>
    </w:p>
    <w:p>
      <w:pPr>
        <w:spacing w:after="0" w:line="75" w:lineRule="exact"/>
        <w:rPr>
          <w:rFonts w:ascii="Times New Roman" w:cs="Times New Roman" w:eastAsia="Times New Roman" w:hAnsi="Times New Roman"/>
          <w:sz w:val="18"/>
          <w:szCs w:val="18"/>
          <w:color w:val="auto"/>
        </w:rPr>
      </w:pPr>
    </w:p>
    <w:p>
      <w:pPr>
        <w:ind w:right="180" w:firstLine="407"/>
        <w:spacing w:after="0" w:line="255" w:lineRule="auto"/>
        <w:tabs>
          <w:tab w:leader="none" w:pos="780"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newly-created or acquired Subsidiary, or the Borrower or any Subsidiary that is the acquirer of assets in connection with an asset acquisition, shall comply with all applicable requirements under Sections 5.12 and 5.13 (subject to any applicable grace period set forth therein), as applicable;</w:t>
      </w:r>
    </w:p>
    <w:p>
      <w:pPr>
        <w:spacing w:after="0" w:line="75" w:lineRule="exact"/>
        <w:rPr>
          <w:rFonts w:ascii="Times New Roman" w:cs="Times New Roman" w:eastAsia="Times New Roman" w:hAnsi="Times New Roman"/>
          <w:sz w:val="18"/>
          <w:szCs w:val="18"/>
          <w:color w:val="auto"/>
        </w:rPr>
      </w:pPr>
    </w:p>
    <w:p>
      <w:pPr>
        <w:ind w:right="420" w:firstLine="407"/>
        <w:spacing w:after="0" w:line="267" w:lineRule="auto"/>
        <w:tabs>
          <w:tab w:leader="none" w:pos="761"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after giving effect to any such purchase or other acquisition and any Indebtedness assumed or incurred in connection therewith, no Specified Event of Default shall have occurred and be continuing;</w:t>
      </w:r>
    </w:p>
    <w:p>
      <w:pPr>
        <w:spacing w:after="0" w:line="64" w:lineRule="exact"/>
        <w:rPr>
          <w:rFonts w:ascii="Times New Roman" w:cs="Times New Roman" w:eastAsia="Times New Roman" w:hAnsi="Times New Roman"/>
          <w:sz w:val="18"/>
          <w:szCs w:val="18"/>
          <w:color w:val="auto"/>
        </w:rPr>
      </w:pPr>
    </w:p>
    <w:p>
      <w:pPr>
        <w:ind w:right="440" w:firstLine="407"/>
        <w:spacing w:after="0" w:line="267" w:lineRule="auto"/>
        <w:tabs>
          <w:tab w:leader="none" w:pos="790"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any such purchase or other acquisition, the Borrower shall be in compliance with the Financial Performance Covenants;</w:t>
      </w:r>
    </w:p>
    <w:p>
      <w:pPr>
        <w:spacing w:after="0" w:line="64" w:lineRule="exact"/>
        <w:rPr>
          <w:rFonts w:ascii="Times New Roman" w:cs="Times New Roman" w:eastAsia="Times New Roman" w:hAnsi="Times New Roman"/>
          <w:sz w:val="18"/>
          <w:szCs w:val="18"/>
          <w:color w:val="auto"/>
        </w:rPr>
      </w:pPr>
    </w:p>
    <w:p>
      <w:pPr>
        <w:ind w:firstLine="407"/>
        <w:spacing w:after="0" w:line="249" w:lineRule="auto"/>
        <w:tabs>
          <w:tab w:leader="none" w:pos="790"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consideration paid in connection with all such Permitted Acquisitions consummated from and after the Effective Date shall not exceed $50,000,000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all amounts expended in reliance on Section 6.04(a)(iv), Section 6.04(a)(xv), Section 6.08(a) (vi), Section 6.08(b)(ii) and Section 6.08(b)(iii)),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Available Basket Amount; provided, that the aggregate amount of the consideration paid in connection with targets (including assets of targets) that do not become Guarantors or assets that do not become Collateral shall not exceed $5,000,000;</w:t>
      </w:r>
    </w:p>
    <w:p>
      <w:pPr>
        <w:spacing w:after="0" w:line="81" w:lineRule="exact"/>
        <w:rPr>
          <w:rFonts w:ascii="Times New Roman" w:cs="Times New Roman" w:eastAsia="Times New Roman" w:hAnsi="Times New Roman"/>
          <w:sz w:val="18"/>
          <w:szCs w:val="18"/>
          <w:color w:val="auto"/>
        </w:rPr>
      </w:pPr>
    </w:p>
    <w:p>
      <w:pPr>
        <w:ind w:right="40" w:firstLine="407"/>
        <w:spacing w:after="0" w:line="251" w:lineRule="auto"/>
        <w:tabs>
          <w:tab w:leader="none" w:pos="751"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Indebtedness or Liens are assumed or incurred in connection with any such purchase or acquisition, other than Indebtedness assumed in connection therewith (and not incurred in connection therewith or incurred in contemplation thereof) to the extent constituting Capital Lease Obligations, purchase money Indebtedness or letters of credit and otherwise permitted by the terms of Section 6.01 and related liens otherwise permitted by Section 6.02; and</w:t>
      </w:r>
    </w:p>
    <w:p>
      <w:pPr>
        <w:spacing w:after="0" w:line="79" w:lineRule="exact"/>
        <w:rPr>
          <w:rFonts w:ascii="Times New Roman" w:cs="Times New Roman" w:eastAsia="Times New Roman" w:hAnsi="Times New Roman"/>
          <w:sz w:val="18"/>
          <w:szCs w:val="18"/>
          <w:color w:val="auto"/>
        </w:rPr>
      </w:pPr>
    </w:p>
    <w:p>
      <w:pPr>
        <w:ind w:left="740" w:hanging="333"/>
        <w:spacing w:after="0"/>
        <w:tabs>
          <w:tab w:leader="none" w:pos="740"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acquisition is consensual (not “hostile”) and, if applicable, has been approved by the acquisition target’s Board of</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w:t>
      </w:r>
    </w:p>
    <w:p>
      <w:pPr>
        <w:spacing w:after="0" w:line="13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240"/>
          </w:cols>
          <w:pgMar w:left="1020" w:top="265" w:right="639" w:bottom="1440" w:gutter="0" w:footer="0" w:header="0"/>
        </w:sectPr>
      </w:pPr>
    </w:p>
    <w:bookmarkStart w:id="737" w:name="page738"/>
    <w:bookmarkEnd w:id="737"/>
    <w:p>
      <w:pPr>
        <w:ind w:right="180" w:firstLine="96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Business</w:t>
      </w:r>
      <w:r>
        <w:rPr>
          <w:rFonts w:ascii="Times New Roman" w:cs="Times New Roman" w:eastAsia="Times New Roman" w:hAnsi="Times New Roman"/>
          <w:sz w:val="18"/>
          <w:szCs w:val="18"/>
          <w:color w:val="auto"/>
        </w:rPr>
        <w:t>” means (i) any business engaged in by the Borrower or any of its Subsidiaries on the Effective Date and (ii) any business or other activities that are reasonably similar, ancillary, complementary or related to, or a reasonable extension, development or expansion of, such businesses.</w:t>
      </w:r>
    </w:p>
    <w:p>
      <w:pPr>
        <w:spacing w:after="0" w:line="2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08" w:lineRule="exact"/>
        <w:rPr>
          <w:sz w:val="20"/>
          <w:szCs w:val="20"/>
          <w:color w:val="auto"/>
        </w:rPr>
      </w:pPr>
    </w:p>
    <w:p>
      <w:pPr>
        <w:ind w:left="1220" w:hanging="373"/>
        <w:spacing w:after="0"/>
        <w:tabs>
          <w:tab w:leader="none" w:pos="1220"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for taxes that are not yet due or are being contested in compliance with Section 5.05;</w:t>
      </w:r>
    </w:p>
    <w:p>
      <w:pPr>
        <w:spacing w:after="0" w:line="108" w:lineRule="exact"/>
        <w:rPr>
          <w:rFonts w:ascii="Times New Roman" w:cs="Times New Roman" w:eastAsia="Times New Roman" w:hAnsi="Times New Roman"/>
          <w:sz w:val="18"/>
          <w:szCs w:val="18"/>
          <w:color w:val="auto"/>
        </w:rPr>
      </w:pPr>
    </w:p>
    <w:p>
      <w:pPr>
        <w:ind w:left="440" w:right="200" w:firstLine="407"/>
        <w:spacing w:after="0" w:line="255" w:lineRule="auto"/>
        <w:tabs>
          <w:tab w:leader="none" w:pos="1230"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construction contractors and other like Liens imposed by law, arising in the ordinary course of business and securing obligations that are not overdue by more than 30 days or that are being contested in good faith;</w:t>
      </w:r>
    </w:p>
    <w:p>
      <w:pPr>
        <w:spacing w:after="0" w:line="75" w:lineRule="exact"/>
        <w:rPr>
          <w:rFonts w:ascii="Times New Roman" w:cs="Times New Roman" w:eastAsia="Times New Roman" w:hAnsi="Times New Roman"/>
          <w:sz w:val="18"/>
          <w:szCs w:val="18"/>
          <w:color w:val="auto"/>
        </w:rPr>
      </w:pPr>
    </w:p>
    <w:p>
      <w:pPr>
        <w:ind w:left="440" w:firstLine="407"/>
        <w:spacing w:after="0" w:line="251" w:lineRule="auto"/>
        <w:tabs>
          <w:tab w:leader="none" w:pos="1220"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pledges and deposits made in the ordinary course of business in compliance with workers’ compensation, unemployment insurance and other social security laws or regulations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spacing w:after="0" w:line="79" w:lineRule="exact"/>
        <w:rPr>
          <w:rFonts w:ascii="Times New Roman" w:cs="Times New Roman" w:eastAsia="Times New Roman" w:hAnsi="Times New Roman"/>
          <w:sz w:val="18"/>
          <w:szCs w:val="18"/>
          <w:color w:val="auto"/>
        </w:rPr>
      </w:pPr>
    </w:p>
    <w:p>
      <w:pPr>
        <w:ind w:left="440" w:right="280" w:firstLine="407"/>
        <w:spacing w:after="0" w:line="255" w:lineRule="auto"/>
        <w:tabs>
          <w:tab w:leader="none" w:pos="1230"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government contracts, leases, statutory obligations, surety, stay, customs and appeal bonds, performance bonds and other obligations of a like nature (including those to secure health, safety and environmental obligations);</w:t>
      </w:r>
    </w:p>
    <w:p>
      <w:pPr>
        <w:spacing w:after="0" w:line="75" w:lineRule="exact"/>
        <w:rPr>
          <w:rFonts w:ascii="Times New Roman" w:cs="Times New Roman" w:eastAsia="Times New Roman" w:hAnsi="Times New Roman"/>
          <w:sz w:val="18"/>
          <w:szCs w:val="18"/>
          <w:color w:val="auto"/>
        </w:rPr>
      </w:pPr>
    </w:p>
    <w:p>
      <w:pPr>
        <w:ind w:left="1220" w:hanging="373"/>
        <w:spacing w:after="0"/>
        <w:tabs>
          <w:tab w:leader="none" w:pos="1220"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liens in respect of judgments that do not constitute an Event of Default under Section 7.01(k);</w:t>
      </w:r>
    </w:p>
    <w:p>
      <w:pPr>
        <w:spacing w:after="0" w:line="108" w:lineRule="exact"/>
        <w:rPr>
          <w:rFonts w:ascii="Times New Roman" w:cs="Times New Roman" w:eastAsia="Times New Roman" w:hAnsi="Times New Roman"/>
          <w:sz w:val="18"/>
          <w:szCs w:val="18"/>
          <w:color w:val="auto"/>
        </w:rPr>
      </w:pPr>
    </w:p>
    <w:p>
      <w:pPr>
        <w:ind w:left="440" w:right="200" w:firstLine="407"/>
        <w:spacing w:after="0" w:line="251" w:lineRule="auto"/>
        <w:tabs>
          <w:tab w:leader="none" w:pos="1201"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zoning restrictions, rights-of-way, encroachments, protrusions, minor defects or irregularities of title and other similar encumbrances on real property imposed by law or arising in the ordinary course of business that do not secure any monetary obligations and do not either detract from the value of the affected property or interfere with the ordinary conduct of business of the Borrower or any Subsidiary, in each case in any material respect;</w:t>
      </w:r>
    </w:p>
    <w:p>
      <w:pPr>
        <w:spacing w:after="0" w:line="79" w:lineRule="exact"/>
        <w:rPr>
          <w:rFonts w:ascii="Times New Roman" w:cs="Times New Roman" w:eastAsia="Times New Roman" w:hAnsi="Times New Roman"/>
          <w:sz w:val="18"/>
          <w:szCs w:val="18"/>
          <w:color w:val="auto"/>
        </w:rPr>
      </w:pPr>
    </w:p>
    <w:p>
      <w:pPr>
        <w:ind w:left="1220" w:hanging="373"/>
        <w:spacing w:after="0"/>
        <w:tabs>
          <w:tab w:leader="none" w:pos="1220"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and lessors’ and other like Liens in respect of rent not in default;</w:t>
      </w:r>
    </w:p>
    <w:p>
      <w:pPr>
        <w:spacing w:after="0" w:line="108" w:lineRule="exact"/>
        <w:rPr>
          <w:rFonts w:ascii="Times New Roman" w:cs="Times New Roman" w:eastAsia="Times New Roman" w:hAnsi="Times New Roman"/>
          <w:sz w:val="18"/>
          <w:szCs w:val="18"/>
          <w:color w:val="auto"/>
        </w:rPr>
      </w:pPr>
    </w:p>
    <w:p>
      <w:pPr>
        <w:ind w:left="1220" w:hanging="373"/>
        <w:spacing w:after="0"/>
        <w:tabs>
          <w:tab w:leader="none" w:pos="1220"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Liens shown on the title insurance policies in favor of the Collateral Agent insuring the Liens of the Mortgages;</w:t>
      </w:r>
    </w:p>
    <w:p>
      <w:pPr>
        <w:spacing w:after="0" w:line="108" w:lineRule="exact"/>
        <w:rPr>
          <w:rFonts w:ascii="Times New Roman" w:cs="Times New Roman" w:eastAsia="Times New Roman" w:hAnsi="Times New Roman"/>
          <w:sz w:val="18"/>
          <w:szCs w:val="18"/>
          <w:color w:val="auto"/>
        </w:rPr>
      </w:pPr>
    </w:p>
    <w:p>
      <w:pPr>
        <w:ind w:left="440" w:right="100" w:firstLine="407"/>
        <w:spacing w:after="0" w:line="267" w:lineRule="auto"/>
        <w:tabs>
          <w:tab w:leader="none" w:pos="1191"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or sublicenses, in each case in the ordinary course of business and which do not materially interfere with the business of the Borrower and the Subsidiaries;</w:t>
      </w:r>
    </w:p>
    <w:p>
      <w:pPr>
        <w:spacing w:after="0" w:line="64" w:lineRule="exact"/>
        <w:rPr>
          <w:rFonts w:ascii="Times New Roman" w:cs="Times New Roman" w:eastAsia="Times New Roman" w:hAnsi="Times New Roman"/>
          <w:sz w:val="18"/>
          <w:szCs w:val="18"/>
          <w:color w:val="auto"/>
        </w:rPr>
      </w:pPr>
    </w:p>
    <w:p>
      <w:pPr>
        <w:ind w:left="1180" w:hanging="333"/>
        <w:spacing w:after="0"/>
        <w:tabs>
          <w:tab w:leader="none" w:pos="1180"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Obligations;</w:t>
      </w:r>
    </w:p>
    <w:p>
      <w:pPr>
        <w:spacing w:after="0" w:line="108" w:lineRule="exact"/>
        <w:rPr>
          <w:rFonts w:ascii="Times New Roman" w:cs="Times New Roman" w:eastAsia="Times New Roman" w:hAnsi="Times New Roman"/>
          <w:sz w:val="18"/>
          <w:szCs w:val="18"/>
          <w:color w:val="auto"/>
        </w:rPr>
      </w:pPr>
    </w:p>
    <w:p>
      <w:pPr>
        <w:ind w:left="440" w:right="20" w:firstLine="407"/>
        <w:spacing w:after="0" w:line="267" w:lineRule="auto"/>
        <w:tabs>
          <w:tab w:leader="none" w:pos="1230"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and in the ordinary course of business to secure payment of customs duties in connection with the importation of goods; and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20"/>
          </w:cols>
          <w:pgMar w:left="580" w:top="265" w:right="599" w:bottom="1440" w:gutter="0" w:footer="0" w:header="0"/>
        </w:sectPr>
      </w:pPr>
    </w:p>
    <w:bookmarkStart w:id="738" w:name="page739"/>
    <w:bookmarkEnd w:id="738"/>
    <w:p>
      <w:pPr>
        <w:ind w:left="440" w:right="20" w:firstLine="407"/>
        <w:spacing w:after="0" w:line="267" w:lineRule="auto"/>
        <w:tabs>
          <w:tab w:leader="none" w:pos="1191"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any option or other agreement to purchase any asset of the Borrower or any of its Subsidiaries, the purchase, sale or other disposition of which is not prohibited by this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Eric Lefkofsky, Brad Keywell and Kimberly Keywell, together with their Affiliates, estates and trusts.</w:t>
      </w:r>
    </w:p>
    <w:p>
      <w:pPr>
        <w:spacing w:after="0" w:line="3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108" w:lineRule="exact"/>
        <w:rPr>
          <w:sz w:val="20"/>
          <w:szCs w:val="20"/>
          <w:color w:val="auto"/>
        </w:rPr>
      </w:pPr>
    </w:p>
    <w:p>
      <w:pPr>
        <w:ind w:left="440" w:right="160" w:firstLine="407"/>
        <w:spacing w:after="0" w:line="255" w:lineRule="auto"/>
        <w:tabs>
          <w:tab w:leader="none" w:pos="1220"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75" w:lineRule="exact"/>
        <w:rPr>
          <w:rFonts w:ascii="Times New Roman" w:cs="Times New Roman" w:eastAsia="Times New Roman" w:hAnsi="Times New Roman"/>
          <w:sz w:val="18"/>
          <w:szCs w:val="18"/>
          <w:color w:val="auto"/>
        </w:rPr>
      </w:pPr>
    </w:p>
    <w:p>
      <w:pPr>
        <w:ind w:left="440" w:right="20" w:firstLine="407"/>
        <w:spacing w:after="0" w:line="267" w:lineRule="auto"/>
        <w:tabs>
          <w:tab w:leader="none" w:pos="1230"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commercial paper maturing within 365 days from the date of acquisition thereof and having, at such date of acquisition, a credit rating from S&amp;P or Moody’s of at least A2 or P2, respectively;</w:t>
      </w:r>
    </w:p>
    <w:p>
      <w:pPr>
        <w:spacing w:after="0" w:line="64" w:lineRule="exact"/>
        <w:rPr>
          <w:rFonts w:ascii="Times New Roman" w:cs="Times New Roman" w:eastAsia="Times New Roman" w:hAnsi="Times New Roman"/>
          <w:sz w:val="18"/>
          <w:szCs w:val="18"/>
          <w:color w:val="auto"/>
        </w:rPr>
      </w:pPr>
    </w:p>
    <w:p>
      <w:pPr>
        <w:ind w:left="440" w:right="120" w:firstLine="407"/>
        <w:spacing w:after="0" w:line="251" w:lineRule="auto"/>
        <w:tabs>
          <w:tab w:leader="none" w:pos="1220"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certificates of deposit, banker’s acceptances and time deposits maturing within 365 days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w:t>
      </w:r>
    </w:p>
    <w:p>
      <w:pPr>
        <w:spacing w:after="0" w:line="79" w:lineRule="exact"/>
        <w:rPr>
          <w:rFonts w:ascii="Times New Roman" w:cs="Times New Roman" w:eastAsia="Times New Roman" w:hAnsi="Times New Roman"/>
          <w:sz w:val="18"/>
          <w:szCs w:val="18"/>
          <w:color w:val="auto"/>
        </w:rPr>
      </w:pPr>
    </w:p>
    <w:p>
      <w:pPr>
        <w:ind w:left="440" w:firstLine="407"/>
        <w:spacing w:after="0" w:line="267" w:lineRule="auto"/>
        <w:tabs>
          <w:tab w:leader="none" w:pos="1230"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64" w:lineRule="exact"/>
        <w:rPr>
          <w:rFonts w:ascii="Times New Roman" w:cs="Times New Roman" w:eastAsia="Times New Roman" w:hAnsi="Times New Roman"/>
          <w:sz w:val="18"/>
          <w:szCs w:val="18"/>
          <w:color w:val="auto"/>
        </w:rPr>
      </w:pPr>
    </w:p>
    <w:p>
      <w:pPr>
        <w:ind w:left="440" w:right="340" w:firstLine="407"/>
        <w:spacing w:after="0" w:line="331" w:lineRule="auto"/>
        <w:tabs>
          <w:tab w:leader="none" w:pos="1220" w:val="left"/>
        </w:tabs>
        <w:numPr>
          <w:ilvl w:val="0"/>
          <w:numId w:val="7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money market funds that comply with the criteria set forth in SEC Rule 2a-7 under the Investment Company Act of 1940, as amended, substantially all of whose assets are invested in investments of the type described in clauses (a) through (e) above; and</w:t>
      </w:r>
    </w:p>
    <w:p>
      <w:pPr>
        <w:spacing w:after="0" w:line="17" w:lineRule="exact"/>
        <w:rPr>
          <w:rFonts w:ascii="Times New Roman" w:cs="Times New Roman" w:eastAsia="Times New Roman" w:hAnsi="Times New Roman"/>
          <w:sz w:val="16"/>
          <w:szCs w:val="16"/>
          <w:color w:val="auto"/>
        </w:rPr>
      </w:pPr>
    </w:p>
    <w:p>
      <w:pPr>
        <w:ind w:left="440" w:right="740" w:firstLine="407"/>
        <w:spacing w:after="0" w:line="267" w:lineRule="auto"/>
        <w:tabs>
          <w:tab w:leader="none" w:pos="1201"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permitted by the Borrower’s Board of Director approved investment policy as approved from time to time by the Administrative Agent in its sole discretion.</w:t>
      </w:r>
    </w:p>
    <w:p>
      <w:pPr>
        <w:spacing w:after="0" w:line="170" w:lineRule="exact"/>
        <w:rPr>
          <w:sz w:val="20"/>
          <w:szCs w:val="20"/>
          <w:color w:val="auto"/>
        </w:rPr>
      </w:pPr>
    </w:p>
    <w:p>
      <w:pPr>
        <w:ind w:right="20" w:firstLine="964"/>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w:t>
      </w:r>
      <w:r>
        <w:rPr>
          <w:rFonts w:ascii="Times New Roman" w:cs="Times New Roman" w:eastAsia="Times New Roman" w:hAnsi="Times New Roman"/>
          <w:sz w:val="18"/>
          <w:szCs w:val="18"/>
          <w:color w:val="auto"/>
        </w:rPr>
        <w:t xml:space="preserve">” means, with respect to any Person, any modification, refinancing, refunding, renewal, replacement or extension of any Indebtedness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principal amount (or if issued with original issue discount, the issue price) thereof does not exceed the principal amount (or if issued with original issue discount, the accreted value) of the Indebtedness so modified, refinanced, refunded, renewed, replaced or extended except by an amount equal to unpaid accrued interest (including capitalized interest) and premium thereon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other amounts owing or paid related to such Indebtedness, and fees, premiums, penalties and expenses (including any upfront fees and original issue discount) reasonably incurred, in connection with such modification, refinancing, refunding, renewal, replacement or extension and by an amount equal to any existing commitments unutilized thereunder, (b) other than with respect to a Permitted Refinancing in respect of Indebtedness permitted pursuant to clause (vi) of Section 6.01(a),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other than with respect to a Permitted Refinancing in respect of Indebtedness permitted pursuant to clause (vi) of Section 6.01(a), at</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00"/>
          </w:cols>
          <w:pgMar w:left="580" w:top="265" w:right="619" w:bottom="1440" w:gutter="0" w:footer="0" w:header="0"/>
        </w:sectPr>
      </w:pPr>
    </w:p>
    <w:bookmarkStart w:id="739" w:name="page740"/>
    <w:bookmarkEnd w:id="739"/>
    <w:p>
      <w:pPr>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time thereof, no Event of Default shall have occurred and be continuing and (d) if such Indebtedness being modified, refinanced, refunded, renewed, replaced or extended is Subordinated Indebtedness, 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at least as favorable to the Lenders as those contained in the documentation governing the Indebtedness being modified, refinanced, refunded, renewed, replaced or extended, and such modification, refinancing, refunding, renewal, replacement or extension is incurred by one or more Persons who is an obligor of the Indebtedness being modified, refinanced, refunded, renewed, replaced or extended.</w:t>
      </w:r>
    </w:p>
    <w:p>
      <w:pPr>
        <w:spacing w:after="0" w:line="159" w:lineRule="exact"/>
        <w:rPr>
          <w:sz w:val="20"/>
          <w:szCs w:val="20"/>
          <w:color w:val="auto"/>
        </w:rPr>
      </w:pPr>
    </w:p>
    <w:p>
      <w:pPr>
        <w:ind w:right="66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PIK Election</w:t>
      </w:r>
      <w:r>
        <w:rPr>
          <w:rFonts w:ascii="Times New Roman" w:cs="Times New Roman" w:eastAsia="Times New Roman" w:hAnsi="Times New Roman"/>
          <w:sz w:val="18"/>
          <w:szCs w:val="18"/>
          <w:color w:val="auto"/>
        </w:rPr>
        <w:t>” has the meaning specified in Section 2.13(f).</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PIK Interest</w:t>
      </w:r>
      <w:r>
        <w:rPr>
          <w:rFonts w:ascii="Times New Roman" w:cs="Times New Roman" w:eastAsia="Times New Roman" w:hAnsi="Times New Roman"/>
          <w:sz w:val="18"/>
          <w:szCs w:val="18"/>
          <w:color w:val="auto"/>
        </w:rPr>
        <w:t>” has the meaning specified in Section 2.13(a).</w:t>
      </w:r>
    </w:p>
    <w:p>
      <w:pPr>
        <w:spacing w:after="0" w:line="213" w:lineRule="exact"/>
        <w:rPr>
          <w:sz w:val="20"/>
          <w:szCs w:val="20"/>
          <w:color w:val="auto"/>
        </w:rPr>
      </w:pPr>
    </w:p>
    <w:p>
      <w:pPr>
        <w:ind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(as defined in Section 3(2) of ERISA) subject to the provisions of Title IV or Section 302 of ERISA or Section 412 of the Code, and in respect of which the Borrower or any ERISA Affiliate is (or, if such plan were terminated, would under Section 4069 of ERISA be deemed to be) an “employer” as defined in Section 3(5) of ERISA.</w:t>
      </w:r>
    </w:p>
    <w:p>
      <w:pPr>
        <w:spacing w:after="0" w:line="2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Event</w:t>
      </w:r>
      <w:r>
        <w:rPr>
          <w:rFonts w:ascii="Times New Roman" w:cs="Times New Roman" w:eastAsia="Times New Roman" w:hAnsi="Times New Roman"/>
          <w:sz w:val="18"/>
          <w:szCs w:val="18"/>
          <w:color w:val="auto"/>
        </w:rPr>
        <w:t>” means:</w:t>
      </w:r>
    </w:p>
    <w:p>
      <w:pPr>
        <w:spacing w:after="0" w:line="108" w:lineRule="exact"/>
        <w:rPr>
          <w:sz w:val="20"/>
          <w:szCs w:val="20"/>
          <w:color w:val="auto"/>
        </w:rPr>
      </w:pPr>
    </w:p>
    <w:p>
      <w:pPr>
        <w:ind w:left="440" w:firstLine="407"/>
        <w:spacing w:after="0" w:line="255" w:lineRule="auto"/>
        <w:tabs>
          <w:tab w:leader="none" w:pos="1220"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or other disposition of any property or asset of the Borrower or any Subsidiary resulting in Net Proceeds in excess of $5,000,000 (in any single transaction or series of related transactions), other than dispositions described in clauses (a), (b), (c), (d), (e), (f), (h), (k), (l), (n), (o) and (p) of Section 6.05; or</w:t>
      </w:r>
    </w:p>
    <w:p>
      <w:pPr>
        <w:spacing w:after="0" w:line="75" w:lineRule="exact"/>
        <w:rPr>
          <w:rFonts w:ascii="Times New Roman" w:cs="Times New Roman" w:eastAsia="Times New Roman" w:hAnsi="Times New Roman"/>
          <w:sz w:val="18"/>
          <w:szCs w:val="18"/>
          <w:color w:val="auto"/>
        </w:rPr>
      </w:pPr>
    </w:p>
    <w:p>
      <w:pPr>
        <w:ind w:left="440" w:right="160" w:firstLine="407"/>
        <w:spacing w:after="0" w:line="331" w:lineRule="auto"/>
        <w:tabs>
          <w:tab w:leader="none" w:pos="1230" w:val="left"/>
        </w:tabs>
        <w:numPr>
          <w:ilvl w:val="0"/>
          <w:numId w:val="7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casualty or other insured damage to, or any taking under power of eminent domain or by condemnation or similar proceeding of, any property or asset of the Borrower or any Subsidiary resulting in Net Proceeds in excess of $5,000,000 with respect to such event; or</w:t>
      </w:r>
    </w:p>
    <w:p>
      <w:pPr>
        <w:spacing w:after="0" w:line="17" w:lineRule="exact"/>
        <w:rPr>
          <w:rFonts w:ascii="Times New Roman" w:cs="Times New Roman" w:eastAsia="Times New Roman" w:hAnsi="Times New Roman"/>
          <w:sz w:val="16"/>
          <w:szCs w:val="16"/>
          <w:color w:val="auto"/>
        </w:rPr>
      </w:pPr>
    </w:p>
    <w:p>
      <w:pPr>
        <w:ind w:left="1220" w:hanging="373"/>
        <w:spacing w:after="0"/>
        <w:tabs>
          <w:tab w:leader="none" w:pos="1220"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or issuance by the Borrower or any Subsidiary of any Indebtedness, other than Indebtedness permitted under</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6.01, or as otherwise permitted by the Required Lenders in accordance with Section 9.02.</w:t>
      </w:r>
    </w:p>
    <w:p>
      <w:pPr>
        <w:spacing w:after="0" w:line="195" w:lineRule="exact"/>
        <w:rPr>
          <w:sz w:val="20"/>
          <w:szCs w:val="20"/>
          <w:color w:val="auto"/>
        </w:rPr>
      </w:pPr>
    </w:p>
    <w:p>
      <w:pPr>
        <w:ind w:right="40"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from time to time announced by The Wall Street Journal as its prime commercial lending rate (it being understood that such prime commercial rate is a reference rate and does not necessarily represent the lowest or best rate being quoted by The Wall Street Journal).</w:t>
      </w:r>
    </w:p>
    <w:p>
      <w:pPr>
        <w:spacing w:after="0" w:line="180" w:lineRule="exact"/>
        <w:rPr>
          <w:sz w:val="20"/>
          <w:szCs w:val="20"/>
          <w:color w:val="auto"/>
        </w:rPr>
      </w:pPr>
    </w:p>
    <w:p>
      <w:pPr>
        <w:ind w:firstLine="96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Financial Statements</w:t>
      </w:r>
      <w:r>
        <w:rPr>
          <w:rFonts w:ascii="Times New Roman" w:cs="Times New Roman" w:eastAsia="Times New Roman" w:hAnsi="Times New Roman"/>
          <w:sz w:val="18"/>
          <w:szCs w:val="18"/>
          <w:color w:val="auto"/>
        </w:rPr>
        <w:t xml:space="preserve">” means the pro forma consolidated balance sheet of the Borrower and the Subsidiaries as the last day of the month of the most recently ended for which Monthly Financial Statements have been delivered, prepared after giving effect to the Transactions as if the Transactions had occurred as of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pro forma consolidated balance sheet shall be prepared in good faith by the Borrower and (ii) such pro forma consolidated balance sheet shall not be required to include adjustments for purchase accounting (including adjustments of the type contemplated by Financial Accounting Standards Board Accounting Standards Codification 805, Business Combinations (formerly SFAS 141R)).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00"/>
          </w:cols>
          <w:pgMar w:left="580" w:top="266" w:right="619" w:bottom="1440" w:gutter="0" w:footer="0" w:header="0"/>
        </w:sectPr>
      </w:pPr>
    </w:p>
    <w:bookmarkStart w:id="740" w:name="page741"/>
    <w:bookmarkEnd w:id="740"/>
    <w:p>
      <w:pPr>
        <w:ind w:right="620" w:firstLine="964"/>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means the model delivered by the Borrower as of June 14, 2022 (as adjusted for changes reasonably agreed with the Administrative Agent).</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Change</w:t>
      </w:r>
      <w:r>
        <w:rPr>
          <w:rFonts w:ascii="Times New Roman" w:cs="Times New Roman" w:eastAsia="Times New Roman" w:hAnsi="Times New Roman"/>
          <w:sz w:val="18"/>
          <w:szCs w:val="18"/>
          <w:color w:val="auto"/>
        </w:rPr>
        <w:t>” has the meaning set forth in Section 9.02(b).</w:t>
      </w:r>
    </w:p>
    <w:p>
      <w:pPr>
        <w:spacing w:after="0" w:line="213" w:lineRule="exact"/>
        <w:rPr>
          <w:sz w:val="20"/>
          <w:szCs w:val="20"/>
          <w:color w:val="auto"/>
        </w:rPr>
      </w:pPr>
    </w:p>
    <w:p>
      <w:pPr>
        <w:ind w:firstLine="964"/>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Public Health Laws</w:t>
      </w:r>
      <w:r>
        <w:rPr>
          <w:rFonts w:ascii="Times New Roman" w:cs="Times New Roman" w:eastAsia="Times New Roman" w:hAnsi="Times New Roman"/>
          <w:sz w:val="16"/>
          <w:szCs w:val="16"/>
          <w:color w:val="auto"/>
        </w:rPr>
        <w:t>” means any and all federal, state, local, foreign and international laws and any and all standards incorporated therein by reference, where compliance with such standards is required under such laws, relating to the procurement, development, manufacture, production, analysis, evaluation, distribution, dispensing, administration, importation, exportation, use, handling, quality, sale, pricing, reimbursement, or promotion of any food, drug, biological, gene therapy product, medical device, tissue- or cell-based product, or similar product (including any ingredient or component of such products) or of any other product or activity subject to regulation under the Federal Food, Drug, and Cosmetic Act, the Public Health Service Act, the Controlled Substances Act, or similar federal, state, local, foreign and international law (including laws governing controlled substances, pharmacy, wholesale and other distribution activities, research animal welfare, poison prevention packaging, tamper resistant packaging and consumer product safety). Without limiting the generality of the foregoing, Public Health Laws shall include the federal Food, Drug and Cosmetic Act,</w:t>
      </w:r>
    </w:p>
    <w:p>
      <w:pPr>
        <w:spacing w:after="0" w:line="6" w:lineRule="exact"/>
        <w:rPr>
          <w:sz w:val="20"/>
          <w:szCs w:val="20"/>
          <w:color w:val="auto"/>
        </w:rPr>
      </w:pPr>
    </w:p>
    <w:p>
      <w:pPr>
        <w:ind w:right="360" w:firstLine="8"/>
        <w:spacing w:after="0" w:line="245" w:lineRule="auto"/>
        <w:tabs>
          <w:tab w:leader="none" w:pos="262" w:val="left"/>
        </w:tabs>
        <w:numPr>
          <w:ilvl w:val="0"/>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U.S.C. § 301 et seq., and implementing regulations, all legally binding ethical standards relating to human subject research and clinical trials, including without limitation the Federal Policy for the Protection of Human Subjects, 45 C.F.R. part 46, and all other related state, local and foreign laws.</w:t>
      </w:r>
    </w:p>
    <w:p>
      <w:pPr>
        <w:spacing w:after="0" w:line="188" w:lineRule="exact"/>
        <w:rPr>
          <w:sz w:val="20"/>
          <w:szCs w:val="20"/>
          <w:color w:val="auto"/>
        </w:rPr>
      </w:pPr>
    </w:p>
    <w:p>
      <w:pPr>
        <w:ind w:right="240"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Health Regulatory Agency</w:t>
      </w:r>
      <w:r>
        <w:rPr>
          <w:rFonts w:ascii="Times New Roman" w:cs="Times New Roman" w:eastAsia="Times New Roman" w:hAnsi="Times New Roman"/>
          <w:sz w:val="18"/>
          <w:szCs w:val="18"/>
          <w:color w:val="auto"/>
        </w:rPr>
        <w:t>” means an authority or agency responsible for the implementation of a Public Health Law. The term Public Health Regulatory Agency includes, without limitation, the U.S. Food and Drug Administration, the European Commission, the European Medicines Agency and any national competent regulatory authority in the European Union.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means any Equity Interests that are not Disqualified Equity Interests.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(a) the Administrative Agent, (b) the Collateral Agent and (c) any Lender, as applicable.</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Term Loans</w:t>
      </w:r>
      <w:r>
        <w:rPr>
          <w:rFonts w:ascii="Times New Roman" w:cs="Times New Roman" w:eastAsia="Times New Roman" w:hAnsi="Times New Roman"/>
          <w:sz w:val="18"/>
          <w:szCs w:val="18"/>
          <w:color w:val="auto"/>
        </w:rPr>
        <w:t>” has the meaning set forth in 9.02(c).</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set forth in Section 9.04(d).</w:t>
      </w:r>
    </w:p>
    <w:p>
      <w:pPr>
        <w:spacing w:after="0" w:line="213" w:lineRule="exact"/>
        <w:rPr>
          <w:sz w:val="20"/>
          <w:szCs w:val="20"/>
          <w:color w:val="auto"/>
        </w:rPr>
      </w:pPr>
    </w:p>
    <w:p>
      <w:pPr>
        <w:ind w:right="20" w:firstLine="96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Registrations</w:t>
      </w:r>
      <w:r>
        <w:rPr>
          <w:rFonts w:ascii="Times New Roman" w:cs="Times New Roman" w:eastAsia="Times New Roman" w:hAnsi="Times New Roman"/>
          <w:sz w:val="18"/>
          <w:szCs w:val="18"/>
          <w:color w:val="auto"/>
        </w:rPr>
        <w:t>” means authorizations, approvals, licenses, permits, certificates, or exemptions issued by any Governmental Authority (including pre-market approval applications, pre market notifications, investigational drug or device exemptions, product recertifications, manufacturing approvals and authorizations, third party certification, pricing and reimbursement approvals, labeling approvals or their foreign equivalent) that are required under the applicable laws for the research, development, manufacture, distribution, marketing, storage, transportation, use and sale of the products of the Borrower and its Subsidiaries.</w:t>
      </w:r>
    </w:p>
    <w:p>
      <w:pPr>
        <w:spacing w:after="0" w:line="187" w:lineRule="exact"/>
        <w:rPr>
          <w:sz w:val="20"/>
          <w:szCs w:val="20"/>
          <w:color w:val="auto"/>
        </w:rPr>
      </w:pPr>
    </w:p>
    <w:p>
      <w:pPr>
        <w:ind w:right="26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principals, directors, officers, employees, representatives, agents and third party advisors of such Person and such Person’s Affiliates.</w:t>
      </w:r>
    </w:p>
    <w:p>
      <w:pPr>
        <w:spacing w:after="0" w:line="170" w:lineRule="exact"/>
        <w:rPr>
          <w:sz w:val="20"/>
          <w:szCs w:val="20"/>
          <w:color w:val="auto"/>
        </w:rPr>
      </w:pPr>
    </w:p>
    <w:p>
      <w:pPr>
        <w:ind w:right="38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dumping, injection, pouring, deposit, disposal, discharge, dispersal, leaching or migration into or through the environment or within or upon any building, structure, facility or fixture.</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00"/>
          </w:cols>
          <w:pgMar w:left="580" w:top="265" w:right="619" w:bottom="1440" w:gutter="0" w:footer="0" w:header="0"/>
        </w:sectPr>
      </w:pPr>
    </w:p>
    <w:bookmarkStart w:id="741" w:name="page742"/>
    <w:bookmarkEnd w:id="741"/>
    <w:p>
      <w:pPr>
        <w:ind w:right="200" w:firstLine="964"/>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of Governors of the Federal Reserve System or the NYFRB, or a committee officially endorsed or convened by the Board of Governors of the Federal Reserve System or the NYFRB, or any successor thereto.</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Term Loans</w:t>
      </w:r>
      <w:r>
        <w:rPr>
          <w:rFonts w:ascii="Times New Roman" w:cs="Times New Roman" w:eastAsia="Times New Roman" w:hAnsi="Times New Roman"/>
          <w:sz w:val="18"/>
          <w:szCs w:val="18"/>
          <w:color w:val="auto"/>
        </w:rPr>
        <w:t>” has the meaning set forth in 9.02(c).</w:t>
      </w:r>
    </w:p>
    <w:p>
      <w:pPr>
        <w:spacing w:after="0" w:line="213" w:lineRule="exact"/>
        <w:rPr>
          <w:sz w:val="20"/>
          <w:szCs w:val="20"/>
          <w:color w:val="auto"/>
        </w:rPr>
      </w:pPr>
    </w:p>
    <w:p>
      <w:pPr>
        <w:ind w:right="4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Lenders having outstanding Term Loans and unused Term Loan Commitments representing more than 50% of the sum of aggregate outstanding Term Loans and unused Term Loan Commitments at such time.</w:t>
      </w:r>
    </w:p>
    <w:p>
      <w:pPr>
        <w:spacing w:after="0" w:line="170" w:lineRule="exact"/>
        <w:rPr>
          <w:sz w:val="20"/>
          <w:szCs w:val="20"/>
          <w:color w:val="auto"/>
        </w:rPr>
      </w:pPr>
    </w:p>
    <w:p>
      <w:pPr>
        <w:ind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with respect to any Person, (i) the charter, articles or certificate of organization or incorporation and bylaws or other organizational or governing documents of such Person and (ii) any statute, law, treaty, rule, regulation, order, decree, writ, injunction or determination of any arbitrator or court or other Governmental Authority, in each case applicable to or binding upon such Person or any of its property or to which such Person or any of its property is subject.</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Resolution Authority</w:t>
      </w:r>
      <w:r>
        <w:rPr>
          <w:rFonts w:ascii="Times New Roman" w:cs="Times New Roman" w:eastAsia="Times New Roman" w:hAnsi="Times New Roman"/>
          <w:sz w:val="16"/>
          <w:szCs w:val="16"/>
          <w:color w:val="auto"/>
        </w:rPr>
        <w:t>” means an EEA Resolution Authority or, with respect to any UK Financial Institution, a UK Resolution Authority.</w:t>
      </w:r>
    </w:p>
    <w:p>
      <w:pPr>
        <w:spacing w:after="0" w:line="236" w:lineRule="exact"/>
        <w:rPr>
          <w:sz w:val="20"/>
          <w:szCs w:val="20"/>
          <w:color w:val="auto"/>
        </w:rPr>
      </w:pPr>
    </w:p>
    <w:p>
      <w:pPr>
        <w:ind w:firstLine="96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Borrower or any Subsidiary, or any payment thereon (whether in cash, securities or other property), including any sinking fund or similar deposit, on account of the purchase, redemption, retirement, acquisition, cancellation or termination of any Equity Interests in the Borrower or any Subsidiary or any option, warrant or other right to acquire any such Equity Interests in the Borrower or any Subsidiary; provided that the repurchase, redemption or other acquisition or retirement for value of any Equity Interests of a Subsidiary by the Borrower or another Subsidiary shall not constitute a Restricted Payment.</w:t>
      </w:r>
    </w:p>
    <w:p>
      <w:pPr>
        <w:spacing w:after="0" w:line="187" w:lineRule="exact"/>
        <w:rPr>
          <w:sz w:val="20"/>
          <w:szCs w:val="20"/>
          <w:color w:val="auto"/>
        </w:rPr>
      </w:pPr>
    </w:p>
    <w:p>
      <w:pPr>
        <w:ind w:right="12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Revenue</w:t>
      </w:r>
      <w:r>
        <w:rPr>
          <w:rFonts w:ascii="Times New Roman" w:cs="Times New Roman" w:eastAsia="Times New Roman" w:hAnsi="Times New Roman"/>
          <w:sz w:val="18"/>
          <w:szCs w:val="18"/>
          <w:color w:val="auto"/>
        </w:rPr>
        <w:t>” means, with respect to any specified Person for any period, the aggregate of the total revenue of such specified Person and its Subsidiaries for such period, on a consolidated basis.</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a division of The McGraw-Hill Companies, Inc.</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13" w:lineRule="exact"/>
        <w:rPr>
          <w:sz w:val="20"/>
          <w:szCs w:val="20"/>
          <w:color w:val="auto"/>
        </w:rPr>
      </w:pPr>
    </w:p>
    <w:p>
      <w:pPr>
        <w:ind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Extension</w:t>
      </w:r>
      <w:r>
        <w:rPr>
          <w:rFonts w:ascii="Times New Roman" w:cs="Times New Roman" w:eastAsia="Times New Roman" w:hAnsi="Times New Roman"/>
          <w:sz w:val="18"/>
          <w:szCs w:val="18"/>
          <w:color w:val="auto"/>
        </w:rPr>
        <w:t>” means any extension granted by the SEC pursuant to any public pronouncements that apply to the Borrower in connection with the delivery of financial statements; provided that, any automatic extension hereunder as a result of such SEC Extension shall not be for a period of more than 90 days.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and the rules and regulations of the SEC promulgated thereunder.</w:t>
      </w:r>
    </w:p>
    <w:p>
      <w:pPr>
        <w:spacing w:after="0" w:line="213" w:lineRule="exact"/>
        <w:rPr>
          <w:sz w:val="20"/>
          <w:szCs w:val="20"/>
          <w:color w:val="auto"/>
        </w:rPr>
      </w:pPr>
    </w:p>
    <w:p>
      <w:pPr>
        <w:ind w:right="26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means the Collateral Agreement, the Perfection Certificate, the Mortgages and each other security agreement or other instrument or document executed and delivered pursuant to Section 5.12 or 5.13 to secure any of the Obligations.</w:t>
      </w:r>
    </w:p>
    <w:p>
      <w:pPr>
        <w:spacing w:after="0" w:line="170" w:lineRule="exact"/>
        <w:rPr>
          <w:sz w:val="20"/>
          <w:szCs w:val="20"/>
          <w:color w:val="auto"/>
        </w:rPr>
      </w:pPr>
    </w:p>
    <w:p>
      <w:pPr>
        <w:jc w:val="center"/>
        <w:ind w:right="120"/>
        <w:spacing w:after="0" w:line="4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 26</w:t>
      </w:r>
    </w:p>
    <w:p>
      <w:pPr>
        <w:sectPr>
          <w:pgSz w:w="11900" w:h="16838" w:orient="portrait"/>
          <w:cols w:equalWidth="0" w:num="1">
            <w:col w:w="10680"/>
          </w:cols>
          <w:pgMar w:left="580" w:top="266" w:right="639" w:bottom="1440" w:gutter="0" w:footer="0" w:header="0"/>
        </w:sectPr>
      </w:pPr>
    </w:p>
    <w:bookmarkStart w:id="742" w:name="page743"/>
    <w:bookmarkEnd w:id="74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13" w:lineRule="exact"/>
        <w:rPr>
          <w:sz w:val="20"/>
          <w:szCs w:val="20"/>
          <w:color w:val="auto"/>
        </w:rPr>
      </w:pPr>
    </w:p>
    <w:p>
      <w:pPr>
        <w:ind w:right="30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Borrowing</w:t>
      </w:r>
      <w:r>
        <w:rPr>
          <w:rFonts w:ascii="Times New Roman" w:cs="Times New Roman" w:eastAsia="Times New Roman" w:hAnsi="Times New Roman"/>
          <w:sz w:val="18"/>
          <w:szCs w:val="18"/>
          <w:color w:val="auto"/>
        </w:rPr>
        <w:t>” means any Borrowing which bears interest at a rate based on Term SOFR, other than pursuant to clause (c) of the definition of “Base Rate”.</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SOFR Loan</w:t>
      </w:r>
      <w:r>
        <w:rPr>
          <w:rFonts w:ascii="Times New Roman" w:cs="Times New Roman" w:eastAsia="Times New Roman" w:hAnsi="Times New Roman"/>
          <w:sz w:val="16"/>
          <w:szCs w:val="16"/>
          <w:color w:val="auto"/>
        </w:rPr>
        <w:t>” means any Loan which bears interest at a rate based on Term SOFR, other than pursuant to clause (c) of the definition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Rate”.</w:t>
      </w:r>
    </w:p>
    <w:p>
      <w:pPr>
        <w:spacing w:after="0" w:line="195" w:lineRule="exact"/>
        <w:rPr>
          <w:sz w:val="20"/>
          <w:szCs w:val="20"/>
          <w:color w:val="auto"/>
        </w:rPr>
      </w:pPr>
    </w:p>
    <w:p>
      <w:pPr>
        <w:ind w:right="78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 means any Event of Default described in Sections 7.01(a), 7.01(b), 7.01(d) (solely with respect to Section 6.12), Section 7.01(e), 7.01(i) or 7.01(j).</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Subordinated Indebtedness</w:t>
      </w:r>
      <w:r>
        <w:rPr>
          <w:rFonts w:ascii="Times New Roman" w:cs="Times New Roman" w:eastAsia="Times New Roman" w:hAnsi="Times New Roman"/>
          <w:sz w:val="16"/>
          <w:szCs w:val="16"/>
          <w:color w:val="auto"/>
        </w:rPr>
        <w:t>” means Indebtedness of the Borrower or any Subsidiary that is contractually subordinated to the Obligations.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for purposes of this Agreement, the Google Note shall constitute Subordinated Indebtedness.</w:t>
      </w:r>
    </w:p>
    <w:p>
      <w:pPr>
        <w:spacing w:after="0" w:line="195" w:lineRule="exact"/>
        <w:rPr>
          <w:sz w:val="20"/>
          <w:szCs w:val="20"/>
          <w:color w:val="auto"/>
        </w:rPr>
      </w:pPr>
    </w:p>
    <w:p>
      <w:pPr>
        <w:ind w:right="20"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Borrower.</w:t>
      </w:r>
    </w:p>
    <w:p>
      <w:pPr>
        <w:spacing w:after="0" w:line="213" w:lineRule="exact"/>
        <w:rPr>
          <w:sz w:val="20"/>
          <w:szCs w:val="20"/>
          <w:color w:val="auto"/>
        </w:rPr>
      </w:pPr>
    </w:p>
    <w:p>
      <w:pPr>
        <w:ind w:right="160" w:firstLine="96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Loan Party</w:t>
      </w:r>
      <w:r>
        <w:rPr>
          <w:rFonts w:ascii="Times New Roman" w:cs="Times New Roman" w:eastAsia="Times New Roman" w:hAnsi="Times New Roman"/>
          <w:sz w:val="18"/>
          <w:szCs w:val="18"/>
          <w:color w:val="auto"/>
        </w:rPr>
        <w:t xml:space="preserve">” means any Domestic Subsidiary (other than (a) any Subsidiary that is prohibited by applicable law from guaranteeing the Obligations, (b) any Domestic Subsidiary that is a direct or indirect Subsidiary of a Foreign Subsidiary, (c) any direct or indirect FSHCO, (d) any not-for-profit subsidiary, and (e) any other Subsidiary with respect to which, in the reasonable judgment of the Administrative Agent (confirmed in writing by notice to the Borrower), the cost or other consequences (including any adverse tax consequences) of providing a Guarantee shall be excessive in view of the benefits to be obtained by the Lenders therefrom). The Subsidiary Loan Parties as of the Effective Date are listed on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964"/>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means (a)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and (b) any and all agreements and documents (and the related confirmations) entered into in connection with any transactions of any kind,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xml:space="preserve">”), including any such obligations or liabilities under any Master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91" w:lineRule="exact"/>
        <w:rPr>
          <w:sz w:val="20"/>
          <w:szCs w:val="20"/>
          <w:color w:val="auto"/>
        </w:rPr>
      </w:pPr>
    </w:p>
    <w:p>
      <w:pPr>
        <w:ind w:right="16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640"/>
          </w:cols>
          <w:pgMar w:left="580" w:top="265" w:right="679" w:bottom="1440" w:gutter="0" w:footer="0" w:header="0"/>
        </w:sectPr>
      </w:pPr>
    </w:p>
    <w:bookmarkStart w:id="743" w:name="page744"/>
    <w:bookmarkEnd w:id="743"/>
    <w:p>
      <w:pPr>
        <w:ind w:right="160" w:firstLine="964"/>
        <w:spacing w:after="0" w:line="33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means, at any time, any Lender that has a Term Loan Commitment or Term Loan at such time.</w:t>
      </w:r>
    </w:p>
    <w:p>
      <w:pPr>
        <w:spacing w:after="0" w:line="213" w:lineRule="exact"/>
        <w:rPr>
          <w:sz w:val="20"/>
          <w:szCs w:val="20"/>
          <w:color w:val="auto"/>
        </w:rPr>
      </w:pPr>
    </w:p>
    <w:p>
      <w:pPr>
        <w:ind w:right="32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means (a) the Term Loans made by the Term Lenders on the Effective Date to the Borrower pursuant to Section 2.02 and (b) Refinanced Term Loans and Replacement Term Loans, collectively, or as the context may require.</w:t>
      </w:r>
    </w:p>
    <w:p>
      <w:pPr>
        <w:spacing w:after="0" w:line="170" w:lineRule="exact"/>
        <w:rPr>
          <w:sz w:val="20"/>
          <w:szCs w:val="20"/>
          <w:color w:val="auto"/>
        </w:rPr>
      </w:pPr>
    </w:p>
    <w:p>
      <w:pPr>
        <w:ind w:right="60" w:firstLine="96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Commitments</w:t>
      </w:r>
      <w:r>
        <w:rPr>
          <w:rFonts w:ascii="Times New Roman" w:cs="Times New Roman" w:eastAsia="Times New Roman" w:hAnsi="Times New Roman"/>
          <w:sz w:val="18"/>
          <w:szCs w:val="18"/>
          <w:color w:val="auto"/>
        </w:rPr>
        <w:t xml:space="preserve">” means, with respect to each Lender, such Lender’s Term Loan Commitment to make a Term Loan hereunder on the Effective Date as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opposite such Lender’s name under the heading “Term Loan Commitment”, expressed as an amount representing the maximum principal amount of the Term Loan to be made by such Lender hereunder, as such commitment may be reduced or increased from time to time pursuant to this Agreement and as amended to reflect assignments. Unless the context shall otherwise require, the term “Term Loan Commitments” shall include any commitment to Replacement Term Loans of such Lender. The aggregate amount of the Term Loan Commitments as of the Effective Date is $175,000,000.</w:t>
      </w:r>
    </w:p>
    <w:p>
      <w:pPr>
        <w:spacing w:after="0" w:line="187" w:lineRule="exact"/>
        <w:rPr>
          <w:sz w:val="20"/>
          <w:szCs w:val="20"/>
          <w:color w:val="auto"/>
        </w:rPr>
      </w:pPr>
    </w:p>
    <w:p>
      <w:pPr>
        <w:ind w:right="60" w:firstLine="964"/>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Maturity Date</w:t>
      </w:r>
      <w:r>
        <w:rPr>
          <w:rFonts w:ascii="Times New Roman" w:cs="Times New Roman" w:eastAsia="Times New Roman" w:hAnsi="Times New Roman"/>
          <w:sz w:val="18"/>
          <w:szCs w:val="18"/>
          <w:color w:val="auto"/>
        </w:rPr>
        <w:t xml:space="preserve">” means the fifth anniversary of the Effective Date, or if such date is not a Business Day, the immediately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Agreement, if on the date (or at any time thereafter) that is 135 days prior to the scheduled maturity of the Google Note (such date, the “</w:t>
      </w:r>
      <w:r>
        <w:rPr>
          <w:rFonts w:ascii="Times New Roman" w:cs="Times New Roman" w:eastAsia="Times New Roman" w:hAnsi="Times New Roman"/>
          <w:sz w:val="18"/>
          <w:szCs w:val="18"/>
          <w:u w:val="single" w:color="auto"/>
          <w:color w:val="auto"/>
        </w:rPr>
        <w:t>Test Date</w:t>
      </w:r>
      <w:r>
        <w:rPr>
          <w:rFonts w:ascii="Times New Roman" w:cs="Times New Roman" w:eastAsia="Times New Roman" w:hAnsi="Times New Roman"/>
          <w:sz w:val="18"/>
          <w:szCs w:val="18"/>
          <w:color w:val="auto"/>
        </w:rPr>
        <w:t xml:space="preserve">”), the Borrower and its Subsidiaries do not have Liquidity in an aggregate amount equal to at least the sum of (x) $100,000,000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aggregate principal amount of the Google Note required to be repaid on the scheduled maturity date of the Google Note, then the Term Loan Maturity Date shall automatically be accelerated to the Test Date and all of the Loans shall thereupon be due and payable on the Test Date, together with all interest and fees accrued thereon or in respect thereof (including any Make Whole/Prepayment Fee Amount) and any amounts payable pursuant this Agreement.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13" w:lineRule="exact"/>
        <w:rPr>
          <w:sz w:val="20"/>
          <w:szCs w:val="20"/>
          <w:color w:val="auto"/>
        </w:rPr>
      </w:pPr>
    </w:p>
    <w:p>
      <w:pPr>
        <w:ind w:right="20" w:firstLine="972"/>
        <w:spacing w:after="0" w:line="247" w:lineRule="auto"/>
        <w:tabs>
          <w:tab w:leader="none" w:pos="1333"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that is two (2)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so long as such first preceding Business Day is not more than three (3) Business Days prior to such Periodic Term SOFR Determination Day; and</w:t>
      </w:r>
    </w:p>
    <w:p>
      <w:pPr>
        <w:spacing w:after="0" w:line="186" w:lineRule="exact"/>
        <w:rPr>
          <w:rFonts w:ascii="Times New Roman" w:cs="Times New Roman" w:eastAsia="Times New Roman" w:hAnsi="Times New Roman"/>
          <w:sz w:val="18"/>
          <w:szCs w:val="18"/>
          <w:color w:val="auto"/>
        </w:rPr>
      </w:pPr>
    </w:p>
    <w:p>
      <w:pPr>
        <w:ind w:firstLine="972"/>
        <w:spacing w:after="0" w:line="249" w:lineRule="auto"/>
        <w:tabs>
          <w:tab w:leader="none" w:pos="1343"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that is two (2)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20"/>
          </w:cols>
          <w:pgMar w:left="580" w:top="266" w:right="599" w:bottom="1440" w:gutter="0" w:footer="0" w:header="0"/>
        </w:sectPr>
      </w:pPr>
    </w:p>
    <w:bookmarkStart w:id="744" w:name="page745"/>
    <w:bookmarkEnd w:id="744"/>
    <w:p>
      <w:pPr>
        <w:ind w:right="20"/>
        <w:spacing w:after="0" w:line="30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Reference Rate has not occurred, then Term SOFR will be the Term SOFR Reference Rate for such tenor as published by the Term SOFR Administrator on the first preceding Business Day for which such Term SOFR Reference Rate for such tenor was published by the Term SOFR Administrator as long as such first preceding Business Day is not more than three (3) Business Days prior to such Base Rate Term SOFR Determination Day;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if Term SOFR as so determined shall ever be less than the Floor, then Term SOFR shall be deemed to be the Floor.</w:t>
      </w:r>
    </w:p>
    <w:p>
      <w:pPr>
        <w:spacing w:after="0" w:line="213" w:lineRule="exact"/>
        <w:rPr>
          <w:sz w:val="20"/>
          <w:szCs w:val="20"/>
          <w:color w:val="auto"/>
        </w:rPr>
      </w:pPr>
    </w:p>
    <w:p>
      <w:pPr>
        <w:ind w:right="30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13" w:lineRule="exact"/>
        <w:rPr>
          <w:sz w:val="20"/>
          <w:szCs w:val="20"/>
          <w:color w:val="auto"/>
        </w:rPr>
      </w:pPr>
    </w:p>
    <w:p>
      <w:pPr>
        <w:ind w:right="16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means the payment of fees, expenses and other costs in connection with the items described in clauses (a) and (b) of the definition of Transactions.</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means (a) the execution, delivery and performance by each Loan Party of the Loan Documents to which it is to be a party,</w:t>
      </w:r>
    </w:p>
    <w:p>
      <w:pPr>
        <w:spacing w:after="0" w:line="44" w:lineRule="exact"/>
        <w:rPr>
          <w:sz w:val="20"/>
          <w:szCs w:val="20"/>
          <w:color w:val="auto"/>
        </w:rPr>
      </w:pPr>
    </w:p>
    <w:p>
      <w:pPr>
        <w:ind w:firstLine="8"/>
        <w:spacing w:after="0" w:line="247" w:lineRule="auto"/>
        <w:tabs>
          <w:tab w:leader="none" w:pos="248" w:val="left"/>
        </w:tabs>
        <w:numPr>
          <w:ilvl w:val="0"/>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of the Term Loans and the use of the proceeds thereof on the Effective Date, and (c) payment of the Transaction Costs on the Effective Date.</w:t>
      </w:r>
    </w:p>
    <w:p>
      <w:pPr>
        <w:spacing w:after="0" w:line="186" w:lineRule="exact"/>
        <w:rPr>
          <w:sz w:val="20"/>
          <w:szCs w:val="20"/>
          <w:color w:val="auto"/>
        </w:rPr>
      </w:pPr>
    </w:p>
    <w:p>
      <w:pPr>
        <w:jc w:val="both"/>
        <w:ind w:right="380"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a rate equal to the then-current yield to maturity on actively traded U.S. Treasury securities having a constant maturity and having a duration equal to (or the nearest available tenor) the period from the date that payment is received to the date that falls on the Term Loan Maturity Date.</w:t>
      </w:r>
    </w:p>
    <w:p>
      <w:pPr>
        <w:spacing w:after="0" w:line="180" w:lineRule="exact"/>
        <w:rPr>
          <w:sz w:val="20"/>
          <w:szCs w:val="20"/>
          <w:color w:val="auto"/>
        </w:rPr>
      </w:pPr>
    </w:p>
    <w:p>
      <w:pPr>
        <w:ind w:right="6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Term SOFR or the Base Rate.</w:t>
      </w:r>
    </w:p>
    <w:p>
      <w:pPr>
        <w:spacing w:after="0" w:line="170" w:lineRule="exact"/>
        <w:rPr>
          <w:sz w:val="20"/>
          <w:szCs w:val="20"/>
          <w:color w:val="auto"/>
        </w:rPr>
      </w:pPr>
    </w:p>
    <w:p>
      <w:pPr>
        <w:ind w:right="2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4" w:lineRule="exact"/>
        <w:rPr>
          <w:sz w:val="20"/>
          <w:szCs w:val="20"/>
          <w:color w:val="auto"/>
        </w:rPr>
      </w:pPr>
    </w:p>
    <w:p>
      <w:pPr>
        <w:ind w:right="70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has the meaning set forth in Section 3.17.</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has the meaning set forth in Section 2.17.</w:t>
      </w:r>
    </w:p>
    <w:p>
      <w:pPr>
        <w:spacing w:after="0" w:line="14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700"/>
          </w:cols>
          <w:pgMar w:left="580" w:top="265" w:right="619" w:bottom="1440" w:gutter="0" w:footer="0" w:header="0"/>
        </w:sectPr>
      </w:pPr>
    </w:p>
    <w:bookmarkStart w:id="745" w:name="page746"/>
    <w:bookmarkEnd w:id="745"/>
    <w:p>
      <w:pPr>
        <w:ind w:left="9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683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78040" cy="3683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wholly owned</w:t>
      </w:r>
      <w:r>
        <w:rPr>
          <w:rFonts w:ascii="Times New Roman" w:cs="Times New Roman" w:eastAsia="Times New Roman" w:hAnsi="Times New Roman"/>
          <w:sz w:val="16"/>
          <w:szCs w:val="16"/>
          <w:color w:val="auto"/>
        </w:rPr>
        <w:t>” means with respect to any Person, a subsidiary of such Person all the outstanding Equity Interests of which (other than</w:t>
      </w:r>
    </w:p>
    <w:p>
      <w:pPr>
        <w:spacing w:after="0" w:line="44" w:lineRule="exact"/>
        <w:rPr>
          <w:sz w:val="20"/>
          <w:szCs w:val="20"/>
          <w:color w:val="auto"/>
        </w:rPr>
      </w:pPr>
    </w:p>
    <w:p>
      <w:pPr>
        <w:ind w:right="80" w:firstLine="8"/>
        <w:spacing w:after="0" w:line="247" w:lineRule="auto"/>
        <w:tabs>
          <w:tab w:leader="none" w:pos="248" w:val="left"/>
        </w:tabs>
        <w:numPr>
          <w:ilvl w:val="0"/>
          <w:numId w:val="7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qualifying shares and (y) shares issued to foreign nationals to the extent required by applicable law) are owned by such Person and/or by one or more wholly owned subsidiaries of such Person.</w:t>
      </w:r>
    </w:p>
    <w:p>
      <w:pPr>
        <w:spacing w:after="0" w:line="186" w:lineRule="exact"/>
        <w:rPr>
          <w:sz w:val="20"/>
          <w:szCs w:val="20"/>
          <w:color w:val="auto"/>
        </w:rPr>
      </w:pPr>
    </w:p>
    <w:p>
      <w:pPr>
        <w:ind w:right="60" w:firstLine="96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Write-Down and Conversion Powers</w:t>
      </w:r>
      <w:r>
        <w:rPr>
          <w:rFonts w:ascii="Times New Roman" w:cs="Times New Roman" w:eastAsia="Times New Roman" w:hAnsi="Times New Roman"/>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2" w:lineRule="exact"/>
        <w:rPr>
          <w:sz w:val="20"/>
          <w:szCs w:val="20"/>
          <w:color w:val="auto"/>
        </w:rPr>
      </w:pPr>
    </w:p>
    <w:p>
      <w:pPr>
        <w:ind w:right="18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Borrowings also may be classified and referred to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SOFR Borrowing</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firstLine="964"/>
        <w:spacing w:after="0" w:line="245"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shall be construed to refer to Articles and Sections of, and Exhibits to, this Agreement, (e) all references herein to Schedules shall be construed to refer to the Schedules to the Confidential Disclosure Letter and (f) the words “asset” and “property” shall be construed to have the same meaning and effect and to refer to any and all tangible and intangible assets and properties, including cash, securities, accounts and contract rights. Any reference to “payment in full”, “paid in full”, “repaid in full”, “prepaid in full”, “redeemed in full” or any other term or word of similar effect used in this Agreement or any other Loan Document with respect to the Loans or the Obligations shall mean all Obligations (including any Make Whole/Prepayment Fee Amount but excluding any inchoate indemnity obligations) have been repaid in full in cash and have been fully performed and all Commitments have been permanently terminated.</w:t>
      </w:r>
    </w:p>
    <w:p>
      <w:pPr>
        <w:spacing w:after="0" w:line="191" w:lineRule="exact"/>
        <w:rPr>
          <w:sz w:val="20"/>
          <w:szCs w:val="20"/>
          <w:color w:val="auto"/>
        </w:rPr>
      </w:pPr>
    </w:p>
    <w:p>
      <w:pPr>
        <w:ind w:right="20" w:firstLine="964"/>
        <w:spacing w:after="0" w:line="247"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historical financial statements, except as otherwise specifically prescribed herein. No change in the accounting principles used in the preparation of any financial statement hereafter adopted by the Borrower shall be given effect for purposes of measuring compliance with any provisions of Article VI unless the Borrower, the Administrative Agent and the Required Lenders agree to modify such provisions to reflect such changes in GAAP and, unless such provisions are modified, all financial statements, compliance certificates and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620"/>
          </w:cols>
          <w:pgMar w:left="580" w:top="266" w:right="699" w:bottom="1440" w:gutter="0" w:footer="0" w:header="0"/>
        </w:sectPr>
      </w:pPr>
    </w:p>
    <w:bookmarkStart w:id="746" w:name="page747"/>
    <w:bookmarkEnd w:id="746"/>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similar documents provided hereunder shall be provided together with a reconciliation between the calculations and amounts set forth therein before and after giving effect to such change in GAAP. Notwithstanding any other provision contained herein, all terms of an accounting or financial nature used herein shall be construed, and all computations of amounts and ratios referred to in Article VI shall be made, without giving effect to any election under Accounting Standards Codification 825-10 or 470-20 (or any other Financial Accounting Standard having a similar result or effect) to value any Indebtedness or other liabilities of any Loan Party or any Subsidiary thereof at “fair value.” A breach of any Financial Performance Covenant shall be deemed to have occurred as of the last day of any specified measurement period, regardless of when the financial statements reflecting such breach are delivered to the Administrative Agent.</w:t>
      </w:r>
    </w:p>
    <w:p>
      <w:pPr>
        <w:spacing w:after="0" w:line="189" w:lineRule="exact"/>
        <w:rPr>
          <w:sz w:val="20"/>
          <w:szCs w:val="20"/>
          <w:color w:val="auto"/>
        </w:rPr>
      </w:pPr>
    </w:p>
    <w:p>
      <w:pPr>
        <w:ind w:right="20" w:firstLine="964"/>
        <w:spacing w:after="0" w:line="245"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The Administrative Agent does not warrant or accept responsibility for, and shall not have any liability with respect to (a) the continuation of, administration of, submission of, calculation of or any other matter related to Base Rate,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Base Rate,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3" w:lineRule="exact"/>
        <w:rPr>
          <w:sz w:val="20"/>
          <w:szCs w:val="20"/>
          <w:color w:val="auto"/>
        </w:rPr>
      </w:pPr>
    </w:p>
    <w:p>
      <w:pPr>
        <w:ind w:firstLine="964"/>
        <w:spacing w:after="0" w:line="247"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Notwithstanding anything to the contrary in this Agreement, any division of a limited liability company shall constitute a separate Person hereunder, and each resulting division of any limited liability company that, prior to such division, is a Subsidiary, a Borrower, a Guarantor, a joint venture or any other like term shall remain a Subsidiary, a Borrower, a Guarantor, a joint venture, or other like term, respectively, after giving effect to such division, and any resulting divisions of such Persons shall remain subject to the same restrictions applicable to the pre-division predecessor of such divisions.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Credits</w:t>
      </w:r>
    </w:p>
    <w:p>
      <w:pPr>
        <w:spacing w:after="0" w:line="213" w:lineRule="exact"/>
        <w:rPr>
          <w:sz w:val="20"/>
          <w:szCs w:val="20"/>
          <w:color w:val="auto"/>
        </w:rPr>
      </w:pPr>
    </w:p>
    <w:p>
      <w:pPr>
        <w:ind w:right="8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Subject to the terms and conditions set forth herein, each Term Lender agrees to make a Term Loan to the Borrower on the Effective Date, in a principal amount not exceeding its Term Loan Commitment. Amounts repaid or prepaid in respect of the Term Loans may not be reborrowed.</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680"/>
          </w:cols>
          <w:pgMar w:left="580" w:top="266" w:right="639" w:bottom="1440" w:gutter="0" w:footer="0" w:header="0"/>
        </w:sectPr>
      </w:pPr>
    </w:p>
    <w:bookmarkStart w:id="747" w:name="page748"/>
    <w:bookmarkEnd w:id="747"/>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SECTION 2.02.</w:t>
      </w:r>
      <w:r>
        <w:rPr>
          <w:sz w:val="20"/>
          <w:szCs w:val="20"/>
          <w:color w:val="auto"/>
        </w:rPr>
        <w:tab/>
      </w:r>
      <w:r>
        <w:rPr>
          <w:rFonts w:ascii="Times New Roman" w:cs="Times New Roman" w:eastAsia="Times New Roman" w:hAnsi="Times New Roman"/>
          <w:sz w:val="16"/>
          <w:szCs w:val="16"/>
          <w:u w:val="single" w:color="auto"/>
          <w:color w:val="auto"/>
        </w:rPr>
        <w:t>Loans and Borrowings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firstLine="972"/>
        <w:spacing w:after="0" w:line="251" w:lineRule="auto"/>
        <w:tabs>
          <w:tab w:leader="none" w:pos="1333"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Term Loan shall be made as part of a Borrowing consisting of Term Loans of the same Type made by the Lenders ratably in accordance with their respective Commitments. The failure of any Lender to make its Term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Term Loans as required.</w:t>
      </w:r>
    </w:p>
    <w:p>
      <w:pPr>
        <w:spacing w:after="0" w:line="184" w:lineRule="exact"/>
        <w:rPr>
          <w:rFonts w:ascii="Times New Roman" w:cs="Times New Roman" w:eastAsia="Times New Roman" w:hAnsi="Times New Roman"/>
          <w:sz w:val="18"/>
          <w:szCs w:val="18"/>
          <w:color w:val="auto"/>
        </w:rPr>
      </w:pPr>
    </w:p>
    <w:p>
      <w:pPr>
        <w:ind w:right="60" w:firstLine="972"/>
        <w:spacing w:after="0" w:line="267" w:lineRule="auto"/>
        <w:tabs>
          <w:tab w:leader="none" w:pos="1343"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2.14, each Term Loan Borrowing shall be comprised entirely of Base Rate Loans or SOFR Loans as the Borrower may request in accordance herewith.</w:t>
      </w:r>
    </w:p>
    <w:p>
      <w:pPr>
        <w:spacing w:after="0" w:line="169" w:lineRule="exact"/>
        <w:rPr>
          <w:rFonts w:ascii="Times New Roman" w:cs="Times New Roman" w:eastAsia="Times New Roman" w:hAnsi="Times New Roman"/>
          <w:sz w:val="18"/>
          <w:szCs w:val="18"/>
          <w:color w:val="auto"/>
        </w:rPr>
      </w:pPr>
    </w:p>
    <w:p>
      <w:pPr>
        <w:ind w:right="40" w:firstLine="972"/>
        <w:spacing w:after="0" w:line="251" w:lineRule="auto"/>
        <w:tabs>
          <w:tab w:leader="none" w:pos="1324"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commencement of each Interest Period for any SOFR Borrowing, such Borrowing shall be in an aggregate amount not less than $200,000. At the time that each Base Rate Borrowing is made, such Borrowing shall be in an aggregate amount that is an integral multiple of $50,000 and not less than $250,000. Borrowings of more than one Type may be outstanding at the same time. There shall not at any time be more than a total of eight SOFR Borrowings outstanding.</w:t>
      </w:r>
    </w:p>
    <w:p>
      <w:pPr>
        <w:spacing w:after="0" w:line="184" w:lineRule="exact"/>
        <w:rPr>
          <w:rFonts w:ascii="Times New Roman" w:cs="Times New Roman" w:eastAsia="Times New Roman" w:hAnsi="Times New Roman"/>
          <w:sz w:val="18"/>
          <w:szCs w:val="18"/>
          <w:color w:val="auto"/>
        </w:rPr>
      </w:pPr>
    </w:p>
    <w:p>
      <w:pPr>
        <w:ind w:right="580" w:firstLine="972"/>
        <w:spacing w:after="0" w:line="267" w:lineRule="auto"/>
        <w:tabs>
          <w:tab w:leader="none" w:pos="1343"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Borrower shall not be entitled to request, or to elect to convert or continue, any Borrowing if the Interest Period requested with respect thereto would end after the Term Loan Maturity Date.</w:t>
      </w:r>
    </w:p>
    <w:p>
      <w:pPr>
        <w:spacing w:after="0" w:line="170" w:lineRule="exact"/>
        <w:rPr>
          <w:sz w:val="20"/>
          <w:szCs w:val="20"/>
          <w:color w:val="auto"/>
        </w:rPr>
      </w:pPr>
    </w:p>
    <w:p>
      <w:pPr>
        <w:ind w:right="220" w:firstLine="964"/>
        <w:spacing w:after="0" w:line="302" w:lineRule="auto"/>
        <w:rPr>
          <w:sz w:val="20"/>
          <w:szCs w:val="20"/>
          <w:color w:val="auto"/>
        </w:rPr>
      </w:pPr>
      <w:r>
        <w:rPr>
          <w:rFonts w:ascii="Times New Roman" w:cs="Times New Roman" w:eastAsia="Times New Roman" w:hAnsi="Times New Roman"/>
          <w:sz w:val="16"/>
          <w:szCs w:val="16"/>
          <w:color w:val="auto"/>
        </w:rPr>
        <w:t xml:space="preserve">SECTION 2.03. </w:t>
      </w:r>
      <w:r>
        <w:rPr>
          <w:rFonts w:ascii="Times New Roman" w:cs="Times New Roman" w:eastAsia="Times New Roman" w:hAnsi="Times New Roman"/>
          <w:sz w:val="16"/>
          <w:szCs w:val="16"/>
          <w:u w:val="single" w:color="auto"/>
          <w:color w:val="auto"/>
        </w:rPr>
        <w:t>Requests for Borrowings</w:t>
      </w:r>
      <w:r>
        <w:rPr>
          <w:rFonts w:ascii="Times New Roman" w:cs="Times New Roman" w:eastAsia="Times New Roman" w:hAnsi="Times New Roman"/>
          <w:sz w:val="16"/>
          <w:szCs w:val="16"/>
          <w:color w:val="auto"/>
        </w:rPr>
        <w:t>. To request a Term Loan Borrowing on the Effective Date, the Borrower shall notify the Administrative Agent of such request in writing not later than 1:00 p.m., New York City time, two Business Days before the date of the proposed Borrowing. Such written Borrowing Request shall be signed by the Borrower and specify the following information in compliance with Section 2.02:</w:t>
      </w:r>
    </w:p>
    <w:p>
      <w:pPr>
        <w:spacing w:after="0" w:line="41" w:lineRule="exact"/>
        <w:rPr>
          <w:sz w:val="20"/>
          <w:szCs w:val="20"/>
          <w:color w:val="auto"/>
        </w:rPr>
      </w:pPr>
    </w:p>
    <w:p>
      <w:pPr>
        <w:ind w:left="1180" w:hanging="333"/>
        <w:spacing w:after="0"/>
        <w:tabs>
          <w:tab w:leader="none" w:pos="1180"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such Borrowing;</w:t>
      </w:r>
    </w:p>
    <w:p>
      <w:pPr>
        <w:spacing w:after="0" w:line="108" w:lineRule="exact"/>
        <w:rPr>
          <w:rFonts w:ascii="Times New Roman" w:cs="Times New Roman" w:eastAsia="Times New Roman" w:hAnsi="Times New Roman"/>
          <w:sz w:val="18"/>
          <w:szCs w:val="18"/>
          <w:color w:val="auto"/>
        </w:rPr>
      </w:pPr>
    </w:p>
    <w:p>
      <w:pPr>
        <w:ind w:left="1240" w:hanging="393"/>
        <w:spacing w:after="0"/>
        <w:tabs>
          <w:tab w:leader="none" w:pos="1240"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108" w:lineRule="exact"/>
        <w:rPr>
          <w:rFonts w:ascii="Times New Roman" w:cs="Times New Roman" w:eastAsia="Times New Roman" w:hAnsi="Times New Roman"/>
          <w:sz w:val="18"/>
          <w:szCs w:val="18"/>
          <w:color w:val="auto"/>
        </w:rPr>
      </w:pPr>
    </w:p>
    <w:p>
      <w:pPr>
        <w:ind w:left="1280" w:hanging="433"/>
        <w:spacing w:after="0"/>
        <w:tabs>
          <w:tab w:leader="none" w:pos="1280"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 Base Rate Borrowing or a SOFR Borrowing; and</w:t>
      </w:r>
    </w:p>
    <w:p>
      <w:pPr>
        <w:spacing w:after="0" w:line="108" w:lineRule="exact"/>
        <w:rPr>
          <w:rFonts w:ascii="Times New Roman" w:cs="Times New Roman" w:eastAsia="Times New Roman" w:hAnsi="Times New Roman"/>
          <w:sz w:val="18"/>
          <w:szCs w:val="18"/>
          <w:color w:val="auto"/>
        </w:rPr>
      </w:pPr>
    </w:p>
    <w:p>
      <w:pPr>
        <w:ind w:left="440" w:right="200" w:firstLine="407"/>
        <w:spacing w:after="0" w:line="267" w:lineRule="auto"/>
        <w:tabs>
          <w:tab w:leader="none" w:pos="1279"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and number of the Borrower’s account to which funds are to be disbursed, which shall comply with the requirements of Section 2.06.</w:t>
      </w:r>
    </w:p>
    <w:p>
      <w:pPr>
        <w:spacing w:after="0" w:line="17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If no election as to the Type of Borrowing is specified, then the requested Borrowing shall be a SOFR Borrowing. Promptly following receipt of a Borrowing Request in accordance with this Section 2.03, the Administrative Agent shall advise each Lender of the details thereof and of the amount of such Lender’s Loan to be made as part of the requested Borrowing.</w:t>
      </w:r>
    </w:p>
    <w:p>
      <w:pPr>
        <w:spacing w:after="0" w:line="180"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318"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6"/>
          <w:szCs w:val="16"/>
          <w:u w:val="single" w:color="auto"/>
          <w:color w:val="auto"/>
        </w:rPr>
        <w:t>Funding of Borrowings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20" w:firstLine="972"/>
        <w:spacing w:after="0" w:line="331" w:lineRule="auto"/>
        <w:tabs>
          <w:tab w:leader="none" w:pos="1333" w:val="left"/>
        </w:tabs>
        <w:numPr>
          <w:ilvl w:val="0"/>
          <w:numId w:val="7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Lender shall make each Loan to be made by it hereunder on the proposed date thereof by wire transfer of immediately available funds by 12:00 noon, New York City time, to the account of the Administrative Agent most recently designated by it for such purpose by notice to the</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00"/>
          </w:cols>
          <w:pgMar w:left="580" w:top="265" w:right="619" w:bottom="1440" w:gutter="0" w:footer="0" w:header="0"/>
        </w:sectPr>
      </w:pPr>
    </w:p>
    <w:bookmarkStart w:id="748" w:name="page749"/>
    <w:bookmarkEnd w:id="748"/>
    <w:p>
      <w:pPr>
        <w:ind w:right="500"/>
        <w:spacing w:after="0" w:line="33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Lenders. Upon receipt of all requested funds, the Administrative Agent will make such Loans available to the Borrower by promptly crediting the amounts so received by wire transfer, in like funds, to an account designated by the Borrower in the applicable Borrowing Request.</w:t>
      </w:r>
    </w:p>
    <w:p>
      <w:pPr>
        <w:spacing w:after="0" w:line="123" w:lineRule="exact"/>
        <w:rPr>
          <w:sz w:val="20"/>
          <w:szCs w:val="20"/>
          <w:color w:val="auto"/>
        </w:rPr>
      </w:pPr>
    </w:p>
    <w:p>
      <w:pPr>
        <w:ind w:right="80" w:firstLine="972"/>
        <w:spacing w:after="0" w:line="276" w:lineRule="auto"/>
        <w:tabs>
          <w:tab w:leader="none" w:pos="1343" w:val="left"/>
        </w:tabs>
        <w:numPr>
          <w:ilvl w:val="1"/>
          <w:numId w:val="7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Administrative Agent shall have received notice from a Lender prior to the proposed Borrowing that such Lender will not make available to the Administrative Agent such Lender’s share of such Borrowing, the Administrative Agent may assume that such Lender has made such share available on such date in accordance with Section 2.06(a) and may, in reliance upon such assumption and in its sole discretion, make available to the Borrower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the interest on such corresponding amount for each day from and including the date such amount is made available to the Borrower to but excluding the date of payment to the Administrative Agent, at</w:t>
      </w:r>
    </w:p>
    <w:p>
      <w:pPr>
        <w:spacing w:after="0" w:line="4" w:lineRule="exact"/>
        <w:rPr>
          <w:rFonts w:ascii="Times New Roman" w:cs="Times New Roman" w:eastAsia="Times New Roman" w:hAnsi="Times New Roman"/>
          <w:sz w:val="16"/>
          <w:szCs w:val="16"/>
          <w:color w:val="auto"/>
        </w:rPr>
      </w:pPr>
    </w:p>
    <w:p>
      <w:pPr>
        <w:ind w:right="260" w:firstLine="8"/>
        <w:spacing w:after="0" w:line="245" w:lineRule="auto"/>
        <w:tabs>
          <w:tab w:leader="none" w:pos="209" w:val="left"/>
        </w:tabs>
        <w:numPr>
          <w:ilvl w:val="0"/>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such Lender, the greater of the Federal Funds Rate and a rate determined by the Administrative Agent in accordance with banking industry rules on interbank compensation or (ii) in the case of the Borrower, the interest rate applicable to Base Rate Loans. If such Lender pays such amount to the Administrative Agent, then such amount shall constitute such Lender’s Loan included in such Borrowing.</w:t>
      </w:r>
    </w:p>
    <w:p>
      <w:pPr>
        <w:spacing w:after="0" w:line="293"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6"/>
          <w:szCs w:val="16"/>
          <w:u w:val="single" w:color="auto"/>
          <w:color w:val="auto"/>
        </w:rPr>
        <w:t>Interest Elections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180" w:firstLine="972"/>
        <w:spacing w:after="0" w:line="249" w:lineRule="auto"/>
        <w:tabs>
          <w:tab w:leader="none" w:pos="1333" w:val="left"/>
        </w:tabs>
        <w:numPr>
          <w:ilvl w:val="3"/>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Term Loan Borrowing initially shall be of the Type specified in the applicable Borrowing Request and, in the case of a SOFR Borrowing, shall have an Interest Period of three months. Thereafter, the Borrower may elect to convert such Borrowing to a different Type or to continue such Borrowing.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86" w:lineRule="exact"/>
        <w:rPr>
          <w:rFonts w:ascii="Times New Roman" w:cs="Times New Roman" w:eastAsia="Times New Roman" w:hAnsi="Times New Roman"/>
          <w:sz w:val="18"/>
          <w:szCs w:val="18"/>
          <w:color w:val="auto"/>
        </w:rPr>
      </w:pPr>
    </w:p>
    <w:p>
      <w:pPr>
        <w:ind w:left="1340" w:hanging="368"/>
        <w:spacing w:after="0"/>
        <w:tabs>
          <w:tab w:leader="none" w:pos="1340" w:val="left"/>
        </w:tabs>
        <w:numPr>
          <w:ilvl w:val="3"/>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 election pursuant to this Section 2.07, the Borrower shall notify the Administrative Agent of such election in writing</w:t>
      </w:r>
    </w:p>
    <w:p>
      <w:pPr>
        <w:spacing w:after="0" w:line="20" w:lineRule="exact"/>
        <w:rPr>
          <w:rFonts w:ascii="Times New Roman" w:cs="Times New Roman" w:eastAsia="Times New Roman" w:hAnsi="Times New Roman"/>
          <w:sz w:val="18"/>
          <w:szCs w:val="18"/>
          <w:color w:val="auto"/>
        </w:rPr>
      </w:pPr>
    </w:p>
    <w:p>
      <w:pPr>
        <w:ind w:firstLine="8"/>
        <w:spacing w:after="0" w:line="244" w:lineRule="auto"/>
        <w:tabs>
          <w:tab w:leader="none" w:pos="209"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SOFR Borrowing, not later than 1:00 p.m., New York City time, three Business Days before the date of the proposed election or (ii) in the case of a Base Rate Borrowing, not later than 12:00 noon, New York City time, one Business Day before the date of the proposed election. Each such written Interest Election Request shall be irrevocable and shall be substantially in the form of a written Interest Election Request signed by the Borrower.</w:t>
      </w:r>
    </w:p>
    <w:p>
      <w:pPr>
        <w:spacing w:after="0" w:line="190" w:lineRule="exact"/>
        <w:rPr>
          <w:rFonts w:ascii="Times New Roman" w:cs="Times New Roman" w:eastAsia="Times New Roman" w:hAnsi="Times New Roman"/>
          <w:sz w:val="18"/>
          <w:szCs w:val="18"/>
          <w:color w:val="auto"/>
        </w:rPr>
      </w:pPr>
    </w:p>
    <w:p>
      <w:pPr>
        <w:ind w:left="1340" w:hanging="368"/>
        <w:spacing w:after="0"/>
        <w:tabs>
          <w:tab w:leader="none" w:pos="1340" w:val="left"/>
        </w:tabs>
        <w:numPr>
          <w:ilvl w:val="3"/>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written Interest Election Request shall specify the following information in compliance with Section 2.02:</w:t>
      </w:r>
    </w:p>
    <w:p>
      <w:pPr>
        <w:spacing w:after="0" w:line="108" w:lineRule="exact"/>
        <w:rPr>
          <w:rFonts w:ascii="Times New Roman" w:cs="Times New Roman" w:eastAsia="Times New Roman" w:hAnsi="Times New Roman"/>
          <w:sz w:val="18"/>
          <w:szCs w:val="18"/>
          <w:color w:val="auto"/>
        </w:rPr>
      </w:pPr>
    </w:p>
    <w:p>
      <w:pPr>
        <w:ind w:left="440" w:right="20" w:firstLine="407"/>
        <w:spacing w:after="0" w:line="285" w:lineRule="auto"/>
        <w:tabs>
          <w:tab w:leader="none" w:pos="1191" w:val="left"/>
        </w:tabs>
        <w:numPr>
          <w:ilvl w:val="2"/>
          <w:numId w:val="7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w:t>
      </w:r>
    </w:p>
    <w:p>
      <w:pPr>
        <w:spacing w:after="0" w:line="1" w:lineRule="exact"/>
        <w:rPr>
          <w:rFonts w:ascii="Times New Roman" w:cs="Times New Roman" w:eastAsia="Times New Roman" w:hAnsi="Times New Roman"/>
          <w:sz w:val="16"/>
          <w:szCs w:val="16"/>
          <w:color w:val="auto"/>
        </w:rPr>
      </w:pPr>
    </w:p>
    <w:p>
      <w:pPr>
        <w:ind w:left="740" w:hanging="304"/>
        <w:spacing w:after="0"/>
        <w:tabs>
          <w:tab w:leader="none" w:pos="740" w:val="left"/>
        </w:tabs>
        <w:numPr>
          <w:ilvl w:val="1"/>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(iv) below shall be specified for each resulting Borrowing);</w:t>
      </w:r>
    </w:p>
    <w:p>
      <w:pPr>
        <w:spacing w:after="0" w:line="90" w:lineRule="exact"/>
        <w:rPr>
          <w:rFonts w:ascii="Times New Roman" w:cs="Times New Roman" w:eastAsia="Times New Roman" w:hAnsi="Times New Roman"/>
          <w:sz w:val="18"/>
          <w:szCs w:val="18"/>
          <w:color w:val="auto"/>
        </w:rPr>
      </w:pPr>
    </w:p>
    <w:p>
      <w:pPr>
        <w:ind w:left="1240" w:hanging="393"/>
        <w:spacing w:after="0"/>
        <w:tabs>
          <w:tab w:leader="none" w:pos="1240" w:val="left"/>
        </w:tabs>
        <w:numPr>
          <w:ilvl w:val="2"/>
          <w:numId w:val="7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 and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720"/>
          </w:cols>
          <w:pgMar w:left="580" w:top="265" w:right="599" w:bottom="1440" w:gutter="0" w:footer="0" w:header="0"/>
        </w:sectPr>
      </w:pPr>
    </w:p>
    <w:bookmarkStart w:id="749" w:name="page750"/>
    <w:bookmarkEnd w:id="749"/>
    <w:p>
      <w:pPr>
        <w:ind w:left="1280" w:hanging="433"/>
        <w:spacing w:after="0"/>
        <w:tabs>
          <w:tab w:leader="none" w:pos="1280"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whether the resulting Borrowing is to be a Base Rate Borrowing or a SOFR Borrowing.</w:t>
      </w:r>
    </w:p>
    <w:p>
      <w:pPr>
        <w:spacing w:after="0" w:line="213" w:lineRule="exact"/>
        <w:rPr>
          <w:rFonts w:ascii="Times New Roman" w:cs="Times New Roman" w:eastAsia="Times New Roman" w:hAnsi="Times New Roman"/>
          <w:sz w:val="18"/>
          <w:szCs w:val="18"/>
          <w:color w:val="auto"/>
        </w:rPr>
      </w:pPr>
    </w:p>
    <w:p>
      <w:pPr>
        <w:ind w:right="140" w:firstLine="972"/>
        <w:spacing w:after="0" w:line="267" w:lineRule="auto"/>
        <w:tabs>
          <w:tab w:leader="none" w:pos="1343" w:val="left"/>
        </w:tabs>
        <w:numPr>
          <w:ilvl w:val="1"/>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the Administrative Agent shall advise each Lender of the details thereof and of such Lender’s portion of each resulting Borrowing.</w:t>
      </w:r>
    </w:p>
    <w:p>
      <w:pPr>
        <w:spacing w:after="0" w:line="169" w:lineRule="exact"/>
        <w:rPr>
          <w:rFonts w:ascii="Times New Roman" w:cs="Times New Roman" w:eastAsia="Times New Roman" w:hAnsi="Times New Roman"/>
          <w:sz w:val="18"/>
          <w:szCs w:val="18"/>
          <w:color w:val="auto"/>
        </w:rPr>
      </w:pPr>
    </w:p>
    <w:p>
      <w:pPr>
        <w:ind w:right="180" w:firstLine="972"/>
        <w:spacing w:after="0" w:line="255" w:lineRule="auto"/>
        <w:tabs>
          <w:tab w:leader="none" w:pos="1333" w:val="left"/>
        </w:tabs>
        <w:numPr>
          <w:ilvl w:val="1"/>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deliver a timely Interest Election Request with respect to a SOFR Borrowing prior to the end of the Interest Period applicable thereto, then, unless such Borrowing is repaid as provided herein, at the end of such Interest Period such Borrowing shall automatically be continued as a SOFR Borrowing having an Interest Period of three month’s duration.</w:t>
      </w:r>
    </w:p>
    <w:p>
      <w:pPr>
        <w:spacing w:after="0" w:line="180" w:lineRule="exact"/>
        <w:rPr>
          <w:rFonts w:ascii="Times New Roman" w:cs="Times New Roman" w:eastAsia="Times New Roman" w:hAnsi="Times New Roman"/>
          <w:sz w:val="18"/>
          <w:szCs w:val="18"/>
          <w:color w:val="auto"/>
        </w:rPr>
      </w:pPr>
    </w:p>
    <w:p>
      <w:pPr>
        <w:ind w:firstLine="972"/>
        <w:spacing w:after="0" w:line="251" w:lineRule="auto"/>
        <w:tabs>
          <w:tab w:leader="none" w:pos="1314" w:val="left"/>
        </w:tabs>
        <w:numPr>
          <w:ilvl w:val="1"/>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SOFR Borrowing and (ii) unless repaid, each SOFR Borrowing shall be converted to a Base Rate Borrowing at the end of the Interest Period applicable thereto.</w:t>
      </w:r>
    </w:p>
    <w:p>
      <w:pPr>
        <w:spacing w:after="0" w:line="184" w:lineRule="exact"/>
        <w:rPr>
          <w:sz w:val="20"/>
          <w:szCs w:val="20"/>
          <w:color w:val="auto"/>
        </w:rPr>
      </w:pPr>
    </w:p>
    <w:p>
      <w:pPr>
        <w:ind w:right="2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Termination of Commitments</w:t>
      </w:r>
      <w:r>
        <w:rPr>
          <w:rFonts w:ascii="Times New Roman" w:cs="Times New Roman" w:eastAsia="Times New Roman" w:hAnsi="Times New Roman"/>
          <w:sz w:val="18"/>
          <w:szCs w:val="18"/>
          <w:color w:val="auto"/>
        </w:rPr>
        <w:t>. The Term Loan Commitments shall terminate upon the funding of the Term Loans on the Effective Date.</w:t>
      </w:r>
    </w:p>
    <w:p>
      <w:pPr>
        <w:spacing w:after="0" w:line="275"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6"/>
          <w:szCs w:val="16"/>
          <w:u w:val="single" w:color="auto"/>
          <w:color w:val="auto"/>
        </w:rPr>
        <w:t>Evidence of Debt</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1340" w:hanging="368"/>
        <w:spacing w:after="0"/>
        <w:tabs>
          <w:tab w:leader="none" w:pos="1340"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right="20" w:firstLine="972"/>
        <w:spacing w:after="0" w:line="255" w:lineRule="auto"/>
        <w:tabs>
          <w:tab w:leader="none" w:pos="1343"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0" w:lineRule="exact"/>
        <w:rPr>
          <w:rFonts w:ascii="Times New Roman" w:cs="Times New Roman" w:eastAsia="Times New Roman" w:hAnsi="Times New Roman"/>
          <w:sz w:val="18"/>
          <w:szCs w:val="18"/>
          <w:color w:val="auto"/>
        </w:rPr>
      </w:pPr>
    </w:p>
    <w:p>
      <w:pPr>
        <w:ind w:right="20" w:firstLine="972"/>
        <w:spacing w:after="0" w:line="251" w:lineRule="auto"/>
        <w:tabs>
          <w:tab w:leader="none" w:pos="1330"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the Register pursuant to Section 9.04(d)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4" w:lineRule="exact"/>
        <w:rPr>
          <w:rFonts w:ascii="Times New Roman" w:cs="Times New Roman" w:eastAsia="Times New Roman" w:hAnsi="Times New Roman"/>
          <w:sz w:val="18"/>
          <w:szCs w:val="18"/>
          <w:color w:val="auto"/>
        </w:rPr>
      </w:pPr>
    </w:p>
    <w:p>
      <w:pPr>
        <w:ind w:right="160" w:firstLine="972"/>
        <w:spacing w:after="0" w:line="249" w:lineRule="auto"/>
        <w:tabs>
          <w:tab w:leader="none" w:pos="1340"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Register and accounts maintained pursuant to Section 2.09(b) and (c)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 In the event of any conflict between the records maintained by any Lender and the records maintained by the Administrative Agent in such matters, the records of the Administrative Agent shall control in the absence of manifest error.</w:t>
      </w:r>
    </w:p>
    <w:p>
      <w:pPr>
        <w:spacing w:after="0" w:line="186" w:lineRule="exact"/>
        <w:rPr>
          <w:rFonts w:ascii="Times New Roman" w:cs="Times New Roman" w:eastAsia="Times New Roman" w:hAnsi="Times New Roman"/>
          <w:sz w:val="18"/>
          <w:szCs w:val="18"/>
          <w:color w:val="auto"/>
        </w:rPr>
      </w:pPr>
    </w:p>
    <w:p>
      <w:pPr>
        <w:ind w:right="40" w:firstLine="972"/>
        <w:spacing w:after="0" w:line="249" w:lineRule="auto"/>
        <w:tabs>
          <w:tab w:leader="none" w:pos="1324"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that Loans made by it be evidenced by a promissory note. In such event, Borrower shall execute and deliver to such Lender a promissory note (or, if requested by such Lender, to such Lender and its registered assigns) and in a form approved by the Lender evidencing the Loans, if any, owing to such Lender. Thereafter, the Loans evidenced by such promissory note and interest thereon shall at all times (including after assignment pursuant to Section 9.04) be represented by one or more promissory notes in such form payable to the payee named therein (or, if requested by such payee, to such payee and its registered assigns).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00"/>
          </w:cols>
          <w:pgMar w:left="580" w:top="265" w:right="619" w:bottom="1440" w:gutter="0" w:footer="0" w:header="0"/>
        </w:sectPr>
      </w:pPr>
    </w:p>
    <w:bookmarkStart w:id="750" w:name="page751"/>
    <w:bookmarkEnd w:id="750"/>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2.10.</w:t>
      </w:r>
      <w:r>
        <w:rPr>
          <w:sz w:val="20"/>
          <w:szCs w:val="20"/>
          <w:color w:val="auto"/>
        </w:rPr>
        <w:tab/>
      </w:r>
      <w:r>
        <w:rPr>
          <w:rFonts w:ascii="Times New Roman" w:cs="Times New Roman" w:eastAsia="Times New Roman" w:hAnsi="Times New Roman"/>
          <w:sz w:val="16"/>
          <w:szCs w:val="16"/>
          <w:u w:val="single" w:color="auto"/>
          <w:color w:val="auto"/>
        </w:rPr>
        <w:t>Repayment of Loans; Amortization of Term Loans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jc w:val="both"/>
        <w:ind w:right="40" w:firstLine="972"/>
        <w:spacing w:after="0" w:line="255" w:lineRule="auto"/>
        <w:tabs>
          <w:tab w:leader="none" w:pos="1330"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previously paid, all Term Loans shall be due and payable on the Term Loan Maturity Date and the Borrower hereby unconditionally promises to pay to the Administrative Agent for the account of each Lender the then unpaid principal amount of the Term Loans of such Lender on the Term Loan Maturity Date (and any other date on which a payment is required to be made pursuant to Section 2.11).</w:t>
      </w:r>
    </w:p>
    <w:p>
      <w:pPr>
        <w:spacing w:after="0" w:line="285"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6"/>
          <w:szCs w:val="16"/>
          <w:u w:val="single" w:color="auto"/>
          <w:color w:val="auto"/>
        </w:rPr>
        <w:t>Prepayment of Loans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100" w:firstLine="972"/>
        <w:spacing w:after="0" w:line="267" w:lineRule="auto"/>
        <w:tabs>
          <w:tab w:leader="none" w:pos="1330" w:val="left"/>
        </w:tabs>
        <w:numPr>
          <w:ilvl w:val="1"/>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the right at any time and from time to time to prepay any Term Loans in whole or in part, as selected by the Borrower in its sole discretion and subject to the requirements of clauses (e), (f) and (j) of this Section 2.11.</w:t>
      </w:r>
    </w:p>
    <w:p>
      <w:pPr>
        <w:spacing w:after="0" w:line="169" w:lineRule="exact"/>
        <w:rPr>
          <w:rFonts w:ascii="Times New Roman" w:cs="Times New Roman" w:eastAsia="Times New Roman" w:hAnsi="Times New Roman"/>
          <w:sz w:val="18"/>
          <w:szCs w:val="18"/>
          <w:color w:val="auto"/>
        </w:rPr>
      </w:pPr>
    </w:p>
    <w:p>
      <w:pPr>
        <w:ind w:left="1360" w:hanging="388"/>
        <w:spacing w:after="0"/>
        <w:tabs>
          <w:tab w:leader="none" w:pos="1360" w:val="left"/>
        </w:tabs>
        <w:numPr>
          <w:ilvl w:val="1"/>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firstLine="972"/>
        <w:spacing w:after="0" w:line="280" w:lineRule="auto"/>
        <w:tabs>
          <w:tab w:leader="none" w:pos="1333" w:val="left"/>
        </w:tabs>
        <w:numPr>
          <w:ilvl w:val="1"/>
          <w:numId w:val="7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and on each occasion that any Net Proceeds are received by or on behalf of the Borrower or any Subsidiary in respect of any Prepayment Event, the Borrower shall, within five (5) Business Days after such Net Proceeds are received by the Borrower or such Subsidiary, prepay Term Loan Borrowings in an aggregate amount equal to 100% of such Net Proceeds;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in the case of any event described in clause (a) or (b) of the definition of the term “Prepayment Event” (other than pursuant to a sale and leaseback transaction permitted under Section 6.06), if the Borrower shall deliver to the Administrative Agent a certificate of a Financial Officer to the effect that the Borrower and the Subsidiaries intend to apply the Net Proceeds from such event (or a portion thereof specified in such certificate), within 365 days after receipt of such Net Proceeds in the business of the Borrower and the Subsidiaries, and certifying that no Event of Default has occurred and is continuing, then no prepayment shall be required pursuant to this paragraph in respect of the Net Proceeds specified in such certificate, except to the extent that the aggregate amount of such Net Proceeds that have not been so applied or contractually committed in writing by the end of such 365-day period exceeds $2,500,000 (“</w:t>
      </w:r>
      <w:r>
        <w:rPr>
          <w:rFonts w:ascii="Times New Roman" w:cs="Times New Roman" w:eastAsia="Times New Roman" w:hAnsi="Times New Roman"/>
          <w:sz w:val="16"/>
          <w:szCs w:val="16"/>
          <w:u w:val="single" w:color="auto"/>
          <w:color w:val="auto"/>
        </w:rPr>
        <w:t>Excess Net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Proceeds</w:t>
      </w:r>
      <w:r>
        <w:rPr>
          <w:rFonts w:ascii="Times New Roman" w:cs="Times New Roman" w:eastAsia="Times New Roman" w:hAnsi="Times New Roman"/>
          <w:sz w:val="16"/>
          <w:szCs w:val="16"/>
          <w:color w:val="auto"/>
        </w:rPr>
        <w:t>”), promptly after which time a prepayment shall be required in an amount equal to such Excess Net Proceeds that have not been so applied.</w:t>
      </w:r>
    </w:p>
    <w:p>
      <w:pPr>
        <w:spacing w:after="0" w:line="164" w:lineRule="exact"/>
        <w:rPr>
          <w:rFonts w:ascii="Times New Roman" w:cs="Times New Roman" w:eastAsia="Times New Roman" w:hAnsi="Times New Roman"/>
          <w:sz w:val="16"/>
          <w:szCs w:val="16"/>
          <w:color w:val="auto"/>
        </w:rPr>
      </w:pPr>
    </w:p>
    <w:p>
      <w:pPr>
        <w:ind w:right="60" w:firstLine="972"/>
        <w:spacing w:after="0" w:line="285" w:lineRule="auto"/>
        <w:tabs>
          <w:tab w:leader="none" w:pos="1343" w:val="left"/>
        </w:tabs>
        <w:numPr>
          <w:ilvl w:val="1"/>
          <w:numId w:val="7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and on each occasion that any Net Proceeds from the issuance of Equity Interests for cash or other receipt of cash contributions to its equity in connection with the exercise of the Cure Right are received by or on behalf of the Borrower, the Borrower shall, within one</w:t>
      </w:r>
    </w:p>
    <w:p>
      <w:pPr>
        <w:spacing w:after="0" w:line="1" w:lineRule="exact"/>
        <w:rPr>
          <w:rFonts w:ascii="Times New Roman" w:cs="Times New Roman" w:eastAsia="Times New Roman" w:hAnsi="Times New Roman"/>
          <w:sz w:val="16"/>
          <w:szCs w:val="16"/>
          <w:color w:val="auto"/>
        </w:rPr>
      </w:pPr>
    </w:p>
    <w:p>
      <w:pPr>
        <w:ind w:right="200" w:firstLine="8"/>
        <w:spacing w:after="0" w:line="247" w:lineRule="auto"/>
        <w:tabs>
          <w:tab w:leader="none" w:pos="248"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after such Net Proceeds are received by the Borrower, prepay Term Loan Borrowings in an aggregate amount equal to 100% of such Net Proceeds.</w:t>
      </w:r>
    </w:p>
    <w:p>
      <w:pPr>
        <w:spacing w:after="0" w:line="186" w:lineRule="exact"/>
        <w:rPr>
          <w:rFonts w:ascii="Times New Roman" w:cs="Times New Roman" w:eastAsia="Times New Roman" w:hAnsi="Times New Roman"/>
          <w:sz w:val="18"/>
          <w:szCs w:val="18"/>
          <w:color w:val="auto"/>
        </w:rPr>
      </w:pPr>
    </w:p>
    <w:p>
      <w:pPr>
        <w:ind w:left="1340" w:hanging="368"/>
        <w:spacing w:after="0"/>
        <w:tabs>
          <w:tab w:leader="none" w:pos="1340" w:val="left"/>
        </w:tabs>
        <w:numPr>
          <w:ilvl w:val="1"/>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optional or mandatory prepayment of Borrowings hereunder, the Borrower shall determine in accordance with</w:t>
      </w:r>
    </w:p>
    <w:p>
      <w:pPr>
        <w:spacing w:after="0" w:line="21" w:lineRule="exact"/>
        <w:rPr>
          <w:sz w:val="20"/>
          <w:szCs w:val="20"/>
          <w:color w:val="auto"/>
        </w:rPr>
      </w:pPr>
    </w:p>
    <w:p>
      <w:pPr>
        <w:ind w:right="840"/>
        <w:spacing w:after="0" w:line="247" w:lineRule="auto"/>
        <w:rPr>
          <w:sz w:val="20"/>
          <w:szCs w:val="20"/>
          <w:color w:val="auto"/>
        </w:rPr>
      </w:pPr>
      <w:r>
        <w:rPr>
          <w:rFonts w:ascii="Times New Roman" w:cs="Times New Roman" w:eastAsia="Times New Roman" w:hAnsi="Times New Roman"/>
          <w:sz w:val="18"/>
          <w:szCs w:val="18"/>
          <w:color w:val="auto"/>
        </w:rPr>
        <w:t>Section 2.11(j) the Borrowing or Borrowings to be prepaid and shall specify such determination in the notice of such prepayment pursuant to Section 2.11(f).</w:t>
      </w:r>
    </w:p>
    <w:p>
      <w:pPr>
        <w:spacing w:after="0" w:line="186" w:lineRule="exact"/>
        <w:rPr>
          <w:sz w:val="20"/>
          <w:szCs w:val="20"/>
          <w:color w:val="auto"/>
        </w:rPr>
      </w:pPr>
    </w:p>
    <w:p>
      <w:pPr>
        <w:ind w:right="80" w:firstLine="972"/>
        <w:spacing w:after="0" w:line="247" w:lineRule="auto"/>
        <w:tabs>
          <w:tab w:leader="none" w:pos="1311"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Administrative Agent in writing of any prepayment hereunder (i) in the case of prepayment of a SOFR Borrowing, not later than 12:00 noon, New York City time, three Business Days before the date of prepayment or (ii) in the case of prepayment of a Base Rate Borrowing, not later than 12:00 p.m., New York City time, one Business Days before the date of prepayment. Each such notice shall be irrevocable and shall specify the prepayment date,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notice of prepayment is given under this Section 2.11, such notice of prepayment may be conditioned upon the effectiveness of other credit facilities or the closing of a refinancing transaction, a sale of all or substantially all of the assets of the Borrower and its Subsidiaries or a Change of Control and such notice of prepayment may be revoked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720"/>
          </w:cols>
          <w:pgMar w:left="580" w:top="266" w:right="599" w:bottom="1440" w:gutter="0" w:footer="0" w:header="0"/>
        </w:sectPr>
      </w:pPr>
    </w:p>
    <w:bookmarkStart w:id="751" w:name="page752"/>
    <w:bookmarkEnd w:id="751"/>
    <w:p>
      <w:pPr>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or extended by the Borrower by written notice to the Administrative Agent if such condition is not satisfied on or prior to the specified effective date of prepayment.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2.13 but shall in no event include premium or penalty.</w:t>
      </w:r>
    </w:p>
    <w:p>
      <w:pPr>
        <w:spacing w:after="0" w:line="187" w:lineRule="exact"/>
        <w:rPr>
          <w:sz w:val="20"/>
          <w:szCs w:val="20"/>
          <w:color w:val="auto"/>
        </w:rPr>
      </w:pPr>
    </w:p>
    <w:p>
      <w:pPr>
        <w:jc w:val="both"/>
        <w:ind w:right="60" w:firstLine="972"/>
        <w:spacing w:after="0" w:line="249" w:lineRule="auto"/>
        <w:tabs>
          <w:tab w:leader="none" w:pos="1333"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Swap Agreements, if any, between Borrower and any of the Lenders or their respective affiliates are independent agreements governed by the written provisions of said Swap Agreements, which will remain in full force and effect, unaffected by any repayment, prepayment, acceleration, reduction, increase or change in the terms of the Loans, except as otherwise expressly provided in said written Swap Agreements, and any payoff statement from the Lenders relating to the Loans shall not apply to said Swap Agreements except as otherwise expressly provided in such payoff statement.</w:t>
      </w:r>
    </w:p>
    <w:p>
      <w:pPr>
        <w:spacing w:after="0" w:line="186" w:lineRule="exact"/>
        <w:rPr>
          <w:rFonts w:ascii="Times New Roman" w:cs="Times New Roman" w:eastAsia="Times New Roman" w:hAnsi="Times New Roman"/>
          <w:sz w:val="18"/>
          <w:szCs w:val="18"/>
          <w:color w:val="auto"/>
        </w:rPr>
      </w:pPr>
    </w:p>
    <w:p>
      <w:pPr>
        <w:ind w:left="1360" w:hanging="388"/>
        <w:spacing w:after="0"/>
        <w:tabs>
          <w:tab w:leader="none" w:pos="1360"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left="1320" w:hanging="348"/>
        <w:spacing w:after="0"/>
        <w:tabs>
          <w:tab w:leader="none" w:pos="1320"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right="760" w:firstLine="972"/>
        <w:spacing w:after="0" w:line="267" w:lineRule="auto"/>
        <w:tabs>
          <w:tab w:leader="none" w:pos="1295"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prepayments of a Term Loan Borrowing shall be paid to the Term Lenders on a pro rata basis in accordance with their respective holdings of Term Loans.</w:t>
      </w:r>
    </w:p>
    <w:p>
      <w:pPr>
        <w:spacing w:after="0" w:line="169" w:lineRule="exact"/>
        <w:rPr>
          <w:rFonts w:ascii="Times New Roman" w:cs="Times New Roman" w:eastAsia="Times New Roman" w:hAnsi="Times New Roman"/>
          <w:sz w:val="18"/>
          <w:szCs w:val="18"/>
          <w:color w:val="auto"/>
        </w:rPr>
      </w:pPr>
    </w:p>
    <w:p>
      <w:pPr>
        <w:ind w:right="20" w:firstLine="972"/>
        <w:spacing w:after="0" w:line="280" w:lineRule="auto"/>
        <w:tabs>
          <w:tab w:leader="none" w:pos="1333" w:val="left"/>
        </w:tabs>
        <w:numPr>
          <w:ilvl w:val="0"/>
          <w:numId w:val="7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prepayments referred to in clause (c) above are subject (i) in the case of any Net Proceeds from Prepayment Events attributable to Foreign Subsidiaries, to there being no material adverse tax consequences to Borrower, or the Subsidiaries, either individually or in the aggregate (which, for the avoidance of doubt, includes, but is not limited to, any prepayment whereby doing so Borrower and the Subsidiaries would incur a material tax liability, including in connection with a tax dividend, deemed dividend pursuant to Section 956 of the Code or a withholding Tax) and (ii) in the case of any Net Proceeds from Prepayment Events attributable to Foreign Subsidiaries, permissibility under local law (e.g., financial assistance, corporate benefit, restrictions on upstreaming of cash intra-group and the fiduciary and statutory duties of the directors of the relevant subsidiaries). The non-application of any prepayment amounts as a consequence of the foregoing provisions will not, for the avoidance of doubt, constitute a Default or an Event of Default, and such amounts shall be available for working capital purposes of the Borrower and the Subsidiaries as long as not required to be prepaid in accordance this </w:t>
      </w:r>
      <w:r>
        <w:rPr>
          <w:rFonts w:ascii="Times New Roman" w:cs="Times New Roman" w:eastAsia="Times New Roman" w:hAnsi="Times New Roman"/>
          <w:sz w:val="16"/>
          <w:szCs w:val="16"/>
          <w:u w:val="single" w:color="auto"/>
          <w:color w:val="auto"/>
        </w:rPr>
        <w:t>Section 2.11(k)</w:t>
      </w:r>
      <w:r>
        <w:rPr>
          <w:rFonts w:ascii="Times New Roman" w:cs="Times New Roman" w:eastAsia="Times New Roman" w:hAnsi="Times New Roman"/>
          <w:sz w:val="16"/>
          <w:szCs w:val="16"/>
          <w:color w:val="auto"/>
        </w:rPr>
        <w:t>. Notwithstanding the foregoing, any prepayments required after application of this clause (k) shall be net of any costs, expenses or taxes incurred by the Borrower or any of its Affiliates and arising as a result of compliance with the preceding sentence.</w:t>
      </w:r>
    </w:p>
    <w:p>
      <w:pPr>
        <w:spacing w:after="0" w:line="164" w:lineRule="exact"/>
        <w:rPr>
          <w:rFonts w:ascii="Times New Roman" w:cs="Times New Roman" w:eastAsia="Times New Roman" w:hAnsi="Times New Roman"/>
          <w:sz w:val="16"/>
          <w:szCs w:val="16"/>
          <w:color w:val="auto"/>
        </w:rPr>
      </w:pPr>
    </w:p>
    <w:p>
      <w:pPr>
        <w:ind w:left="1320" w:hanging="348"/>
        <w:spacing w:after="0"/>
        <w:tabs>
          <w:tab w:leader="none" w:pos="1320"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Term Lender may reject all or a portion of its pro rata share of any mandatory prepayment (such declined amounts, the</w:t>
      </w:r>
    </w:p>
    <w:p>
      <w:pPr>
        <w:spacing w:after="0" w:line="2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Declined Proceeds</w:t>
      </w:r>
      <w:r>
        <w:rPr>
          <w:rFonts w:ascii="Times New Roman" w:cs="Times New Roman" w:eastAsia="Times New Roman" w:hAnsi="Times New Roman"/>
          <w:sz w:val="18"/>
          <w:szCs w:val="18"/>
          <w:color w:val="auto"/>
        </w:rPr>
        <w:t>”) of Term Loans required to be made pursuant to clauses (c) (with respect to Net Proceeds received from a Prepayment Event under clauses (a) or (b) of such definition only) and (d) of this Section 2.11 by providing written notice (each, a “</w:t>
      </w:r>
      <w:r>
        <w:rPr>
          <w:rFonts w:ascii="Times New Roman" w:cs="Times New Roman" w:eastAsia="Times New Roman" w:hAnsi="Times New Roman"/>
          <w:sz w:val="18"/>
          <w:szCs w:val="18"/>
          <w:u w:val="single" w:color="auto"/>
          <w:color w:val="auto"/>
        </w:rPr>
        <w:t>Rejection Notice</w:t>
      </w:r>
      <w:r>
        <w:rPr>
          <w:rFonts w:ascii="Times New Roman" w:cs="Times New Roman" w:eastAsia="Times New Roman" w:hAnsi="Times New Roman"/>
          <w:sz w:val="18"/>
          <w:szCs w:val="18"/>
          <w:color w:val="auto"/>
        </w:rPr>
        <w:t>”) to the Administrative Agent and the Borrower no later than 2:00 p.m. one Business Day prior to the date of such prepayment. Each Rejection Notice from a given Lender shall specify the principal amount of the mandatory repayment of Term Loans to be rejected by such Lender. If a Term Lender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prepayment of Term Loans. Any Declined Proceeds may be retained by the Borrower.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700"/>
          </w:cols>
          <w:pgMar w:left="580" w:top="266" w:right="619" w:bottom="1440" w:gutter="0" w:footer="0" w:header="0"/>
        </w:sectPr>
      </w:pPr>
    </w:p>
    <w:bookmarkStart w:id="752" w:name="page753"/>
    <w:bookmarkEnd w:id="752"/>
    <w:p>
      <w:pPr>
        <w:ind w:left="960"/>
        <w:spacing w:after="0"/>
        <w:tabs>
          <w:tab w:leader="none" w:pos="22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2.12.</w:t>
      </w:r>
      <w:r>
        <w:rPr>
          <w:sz w:val="20"/>
          <w:szCs w:val="20"/>
          <w:color w:val="auto"/>
        </w:rPr>
        <w:tab/>
      </w:r>
      <w:r>
        <w:rPr>
          <w:rFonts w:ascii="Times New Roman" w:cs="Times New Roman" w:eastAsia="Times New Roman" w:hAnsi="Times New Roman"/>
          <w:sz w:val="16"/>
          <w:szCs w:val="16"/>
          <w:u w:val="single" w:color="auto"/>
          <w:color w:val="auto"/>
        </w:rPr>
        <w:t>Fees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20" w:right="80" w:firstLine="972"/>
        <w:spacing w:after="0" w:line="255" w:lineRule="auto"/>
        <w:tabs>
          <w:tab w:leader="none" w:pos="1310"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for its own account, the Lead Arranger and the Lenders signatory to the Fee Letter, as applicable, fees payable in the amounts and at the times separately agreed upon between the Borrower, the Administrative Agent, the Lead Arranger and the Lenders signatory to the Fee Letter.</w:t>
      </w:r>
    </w:p>
    <w:p>
      <w:pPr>
        <w:spacing w:after="0" w:line="180" w:lineRule="exact"/>
        <w:rPr>
          <w:rFonts w:ascii="Times New Roman" w:cs="Times New Roman" w:eastAsia="Times New Roman" w:hAnsi="Times New Roman"/>
          <w:sz w:val="18"/>
          <w:szCs w:val="18"/>
          <w:color w:val="auto"/>
        </w:rPr>
      </w:pPr>
    </w:p>
    <w:p>
      <w:pPr>
        <w:ind w:left="-20" w:right="760" w:firstLine="972"/>
        <w:spacing w:after="0" w:line="255" w:lineRule="auto"/>
        <w:tabs>
          <w:tab w:leader="none" w:pos="1313"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immediately available funds, to the Administrative Agent for distribution, in the case of commitment fees and participation fees, to the Lenders entitled thereto. Fees paid shall not be refundable under any circumstances.</w:t>
      </w:r>
    </w:p>
    <w:p>
      <w:pPr>
        <w:spacing w:after="0" w:line="180" w:lineRule="exact"/>
        <w:rPr>
          <w:rFonts w:ascii="Times New Roman" w:cs="Times New Roman" w:eastAsia="Times New Roman" w:hAnsi="Times New Roman"/>
          <w:sz w:val="18"/>
          <w:szCs w:val="18"/>
          <w:color w:val="auto"/>
        </w:rPr>
      </w:pPr>
    </w:p>
    <w:p>
      <w:pPr>
        <w:ind w:left="-20" w:firstLine="972"/>
        <w:spacing w:after="0" w:line="276" w:lineRule="auto"/>
        <w:tabs>
          <w:tab w:leader="none" w:pos="1313" w:val="left"/>
        </w:tabs>
        <w:numPr>
          <w:ilvl w:val="0"/>
          <w:numId w:val="7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any of the Loan Documents, the outstanding principal amounts of the Loans and Obligations shall not be permitted to be prepaid, repaid, redeemed or paid prior to the fourth anniversary of the Effective Date except in accordance with this Section 2.12(c). If any Loans are prepaid (other than as a result of an event described in clause (b) of the definition of the term “Prepayment Event”), in addition to the principal amount of the Loans and accrued interest, fees and other amounts owed thereon, such Loans shall be accompanied by a premium equal to (a) if such prepayment is made prior to the first anniversary of the Effective Date for any reason (such as an acceleration of the Loans and other Obligations following the occurrence of an Event of Default, an exercise of any Credit Party’s rights or remedies available under the Loan Documents, upon the consummation of a Change of Control, by any optional prepayment or termination or otherwise), then the amount (in addition to the principal amount of the Loans and other Obligations (other than the Make-Whole Premium) and accrued interest, fees and other amounts owed thereon) required to be prepaid, repaid, redeemed or paid shall be the Make-Whole Premium applicable to the principal amount and interest on the Loans or other Obligations (other than the Make-Whole Premium) so prepaid, repaid, redeemed or paid, (b) if such prepayment is made on or after the first anniversary of the Effective Date but prior to the second anniversary of the Effective Date for any reason (such as an acceleration of the Loans and other Obligations following the occurrence of an Event of Default, an exercise of any Credit Party’s rights or remedies available under the Loan Documents, upon the consummation of a Change of Control, by any optional prepayment or termination or otherwise), 5.00% of the principal amount of the Term Loans so prepaid, repaid, redeemed or paid, (c) if such prepayment is made on or after the second anniversary of the Effective Date but prior to the third anniversary of the Effective Date for any reason (such as an acceleration of the Loans and other Obligations following the occurrence of an Event of Default, an exercise of any Credit Party’s rights or remedies available under the Loan Documents, upon the consummation of a Change of Control, by any optional prepayment or termination or otherwise), 2.50% of the principal amount of the Term Loans so prepaid, repaid, redeemed or paid, (d) if such prepayment is made on or after the third anniversary of the Effective Date but prior to the fourth anniversary of the Effective Date for any reason (such as an acceleration of the Loans and other Obligations following the occurrence of an Event of Default, an exercise of any Credit Party’s rights or remedies available under the Loan Documents, upon the consummation of a Change of Control, by any optional prepayment or termination or otherwise), 1.00% of the principal amount of the Term Loans so prepaid, repaid, redeemed or paid and (e) if such prepayment is made on or after the fourth anniversary of the Effective Date, 0.00% of the principal amount of the Term Loans so prepaid, repaid, redeemed or paid (such Make-Whole Premium or other amount required to be paid (or that is otherwise owed) pursuant to the foregoing, the “</w:t>
      </w:r>
      <w:r>
        <w:rPr>
          <w:rFonts w:ascii="Times New Roman" w:cs="Times New Roman" w:eastAsia="Times New Roman" w:hAnsi="Times New Roman"/>
          <w:sz w:val="16"/>
          <w:szCs w:val="16"/>
          <w:u w:val="single" w:color="auto"/>
          <w:color w:val="auto"/>
        </w:rPr>
        <w:t>Make Whole/Prepayment Fee Amount</w:t>
      </w:r>
      <w:r>
        <w:rPr>
          <w:rFonts w:ascii="Times New Roman" w:cs="Times New Roman" w:eastAsia="Times New Roman" w:hAnsi="Times New Roman"/>
          <w:sz w:val="16"/>
          <w:szCs w:val="16"/>
          <w:color w:val="auto"/>
        </w:rPr>
        <w:t>”). For purposes of this Section 2.12(c), the principal amount of the Term Loans shall include all PIK Interest that has been capitalized to principal.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700"/>
          </w:cols>
          <w:pgMar w:left="600" w:top="265" w:right="599" w:bottom="1440" w:gutter="0" w:footer="0" w:header="0"/>
        </w:sectPr>
      </w:pPr>
    </w:p>
    <w:bookmarkStart w:id="753" w:name="page754"/>
    <w:bookmarkEnd w:id="753"/>
    <w:p>
      <w:pPr>
        <w:ind w:right="160" w:firstLine="972"/>
        <w:spacing w:after="0" w:line="247" w:lineRule="auto"/>
        <w:tabs>
          <w:tab w:leader="none" w:pos="1340" w:val="left"/>
        </w:tabs>
        <w:numPr>
          <w:ilvl w:val="0"/>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parties hereto acknowledge and agree that, in light of the impracticality and extreme difficulty of ascertaining actual damages, the Make Whole/Prepayment Fee Amount is intended to be a reasonable calculation of the actual damages that would be suffered by the Credit Parties as a result of any such prepayment, repayment, redemption, payment or termination. The parties hereto further acknowledge and agree that the Agents and the Lenders would not have entered into this Agreement, and the Lenders would not have provided the Commitments or Loans hereunder, without the Loan Parties agreeing to pay the Make Whole/Prepayment Fee in the aforementioned instances. The parties hereto further acknowledge and agree that the Make Whole/Prepayment Fee Amount is not intended to act as a penalty or to punish the Borrower or any other Loan Party for any such prepayment, repayment, redemption or payment.</w:t>
      </w:r>
    </w:p>
    <w:p>
      <w:pPr>
        <w:spacing w:after="0" w:line="294"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2.13.</w:t>
      </w:r>
      <w:r>
        <w:rPr>
          <w:sz w:val="20"/>
          <w:szCs w:val="20"/>
          <w:color w:val="auto"/>
        </w:rPr>
        <w:tab/>
      </w:r>
      <w:r>
        <w:rPr>
          <w:rFonts w:ascii="Times New Roman" w:cs="Times New Roman" w:eastAsia="Times New Roman" w:hAnsi="Times New Roman"/>
          <w:sz w:val="16"/>
          <w:szCs w:val="16"/>
          <w:u w:val="single" w:color="auto"/>
          <w:color w:val="auto"/>
        </w:rPr>
        <w:t>Interest</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1340" w:hanging="368"/>
        <w:spacing w:after="0"/>
        <w:tabs>
          <w:tab w:leader="none" w:pos="1340" w:val="left"/>
        </w:tabs>
        <w:numPr>
          <w:ilvl w:val="1"/>
          <w:numId w:val="7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Loans comprising each Base Rate Borrowing shall bear interest at (i) in the event the Borrower makes a PIK Election, the sum of</w:t>
      </w:r>
    </w:p>
    <w:p>
      <w:pPr>
        <w:spacing w:after="0" w:line="43" w:lineRule="exact"/>
        <w:rPr>
          <w:rFonts w:ascii="Times New Roman" w:cs="Times New Roman" w:eastAsia="Times New Roman" w:hAnsi="Times New Roman"/>
          <w:sz w:val="16"/>
          <w:szCs w:val="16"/>
          <w:color w:val="auto"/>
        </w:rPr>
      </w:pPr>
    </w:p>
    <w:p>
      <w:pPr>
        <w:ind w:left="300" w:hanging="292"/>
        <w:spacing w:after="0"/>
        <w:tabs>
          <w:tab w:leader="none" w:pos="300"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applicable to a PIK Election paid in cash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3.00% per annum paid in-kind by adding such accrued</w:t>
      </w:r>
    </w:p>
    <w:p>
      <w:pPr>
        <w:spacing w:after="0" w:line="3" w:lineRule="exact"/>
        <w:rPr>
          <w:rFonts w:ascii="Times New Roman" w:cs="Times New Roman" w:eastAsia="Times New Roman" w:hAnsi="Times New Roman"/>
          <w:sz w:val="18"/>
          <w:szCs w:val="18"/>
          <w:color w:val="auto"/>
        </w:rPr>
      </w:pPr>
    </w:p>
    <w:p>
      <w:pPr>
        <w:ind w:right="20"/>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to the outstanding principal balance of the applicable Loans on each Interest Payment Date and after giving effect to the foregoing, such accrued and unpaid interest on the Loans shall be deemed to constitute a portion of the outstanding principal balance of the Term Loans for all purposes of this Agreement and the other Loan Documents, including with respect to the accrual of interest thereon at the rates set forth herein (the “</w:t>
      </w:r>
      <w:r>
        <w:rPr>
          <w:rFonts w:ascii="Times New Roman" w:cs="Times New Roman" w:eastAsia="Times New Roman" w:hAnsi="Times New Roman"/>
          <w:sz w:val="18"/>
          <w:szCs w:val="18"/>
          <w:u w:val="single" w:color="auto"/>
          <w:color w:val="auto"/>
        </w:rPr>
        <w:t>PIK Interest</w:t>
      </w:r>
      <w:r>
        <w:rPr>
          <w:rFonts w:ascii="Times New Roman" w:cs="Times New Roman" w:eastAsia="Times New Roman" w:hAnsi="Times New Roman"/>
          <w:sz w:val="18"/>
          <w:szCs w:val="18"/>
          <w:color w:val="auto"/>
        </w:rPr>
        <w:t xml:space="preserve">”) or (ii) in the event the Borrower makes a Cash Election,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applicable to a Cash Election.</w:t>
      </w:r>
    </w:p>
    <w:p>
      <w:pPr>
        <w:spacing w:after="0" w:line="190" w:lineRule="exact"/>
        <w:rPr>
          <w:rFonts w:ascii="Times New Roman" w:cs="Times New Roman" w:eastAsia="Times New Roman" w:hAnsi="Times New Roman"/>
          <w:sz w:val="18"/>
          <w:szCs w:val="18"/>
          <w:color w:val="auto"/>
        </w:rPr>
      </w:pPr>
    </w:p>
    <w:p>
      <w:pPr>
        <w:ind w:left="1340" w:hanging="368"/>
        <w:spacing w:after="0"/>
        <w:tabs>
          <w:tab w:leader="none" w:pos="1340" w:val="left"/>
        </w:tabs>
        <w:numPr>
          <w:ilvl w:val="1"/>
          <w:numId w:val="7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Loans comprising each SOFR Borrowing shall bear interest at (i) in the event the Borrower makes a PIK Election, the sum of</w:t>
      </w:r>
    </w:p>
    <w:p>
      <w:pPr>
        <w:spacing w:after="0" w:line="43" w:lineRule="exact"/>
        <w:rPr>
          <w:rFonts w:ascii="Times New Roman" w:cs="Times New Roman" w:eastAsia="Times New Roman" w:hAnsi="Times New Roman"/>
          <w:sz w:val="16"/>
          <w:szCs w:val="16"/>
          <w:color w:val="auto"/>
        </w:rPr>
      </w:pPr>
    </w:p>
    <w:p>
      <w:pPr>
        <w:ind w:right="100" w:firstLine="8"/>
        <w:spacing w:after="0" w:line="245" w:lineRule="auto"/>
        <w:tabs>
          <w:tab w:leader="none" w:pos="283"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 SOFR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applicable to a PIK Election paid in cash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PIK Interest or (ii) in the event the Borrower makes a Cash Election, Term SOFR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applicable to a Cash Election.</w:t>
      </w:r>
    </w:p>
    <w:p>
      <w:pPr>
        <w:spacing w:after="0" w:line="188" w:lineRule="exact"/>
        <w:rPr>
          <w:rFonts w:ascii="Times New Roman" w:cs="Times New Roman" w:eastAsia="Times New Roman" w:hAnsi="Times New Roman"/>
          <w:sz w:val="18"/>
          <w:szCs w:val="18"/>
          <w:color w:val="auto"/>
        </w:rPr>
      </w:pPr>
    </w:p>
    <w:p>
      <w:pPr>
        <w:ind w:right="100" w:firstLine="972"/>
        <w:spacing w:after="0" w:line="248" w:lineRule="auto"/>
        <w:tabs>
          <w:tab w:leader="none" w:pos="1333" w:val="left"/>
        </w:tabs>
        <w:numPr>
          <w:ilvl w:val="1"/>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automatically upon the occurrence of any Event of Default described in Sections 7.01(a), (b), (i) or (j), and at the direction of the Administrative Agent or the Required Lenders in the case of any Event of Default described in Section 7.01(d) (solely with respect to Section 6.12) or Section 7.01(e), all outstanding Obligations shall bear interest, after as well as before judgment, at a rate per annum equal to (1) in the case of any Loan, 2.00% plus the rate otherwise applicable to such Loan as provided in the preceding paragraphs of this Section 2.13 and (2) in the case of any other amount 2.00% plus the rate applicable to Base Rate Loans as provided in Section 2.13(a) (such rates referred to in this clause (c), the “</w:t>
      </w:r>
      <w:r>
        <w:rPr>
          <w:rFonts w:ascii="Times New Roman" w:cs="Times New Roman" w:eastAsia="Times New Roman" w:hAnsi="Times New Roman"/>
          <w:sz w:val="18"/>
          <w:szCs w:val="18"/>
          <w:u w:val="single" w:color="auto"/>
          <w:color w:val="auto"/>
        </w:rPr>
        <w:t>Default Rates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160" w:firstLine="972"/>
        <w:spacing w:after="0" w:line="293" w:lineRule="auto"/>
        <w:tabs>
          <w:tab w:leader="none" w:pos="1333" w:val="left"/>
        </w:tabs>
        <w:numPr>
          <w:ilvl w:val="1"/>
          <w:numId w:val="7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Accrued interest on each Loan shall be payable in arrears on each Interest Payment Date for such Loan,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interest accrued pursuant to Section 2.13(c) shall be payable on demand, (ii) in the event of any repayment or prepayment of any Loan,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w:t>
      </w:r>
    </w:p>
    <w:p>
      <w:pPr>
        <w:spacing w:after="0" w:line="151" w:lineRule="exact"/>
        <w:rPr>
          <w:rFonts w:ascii="Times New Roman" w:cs="Times New Roman" w:eastAsia="Times New Roman" w:hAnsi="Times New Roman"/>
          <w:sz w:val="16"/>
          <w:szCs w:val="16"/>
          <w:color w:val="auto"/>
        </w:rPr>
      </w:pPr>
    </w:p>
    <w:p>
      <w:pPr>
        <w:ind w:right="80" w:firstLine="972"/>
        <w:spacing w:after="0" w:line="249" w:lineRule="auto"/>
        <w:tabs>
          <w:tab w:leader="none" w:pos="1324" w:val="left"/>
        </w:tabs>
        <w:numPr>
          <w:ilvl w:val="1"/>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interest computed by reference to the Base Rate at times when the Base Rate is based on the Prime Rate shall be computed on the basis of a year of 365 days (or 366 days in a leap year), and in each case shall be payable for the actual number of days elapsed (including the first day but excluding the last day). For the avoidance of doubt, no date of payment shall be included in any computation. The applicable Base Rate or Term SOFR shall be determined by the Administrative Agent, and such determination shall be conclusive absent manifest error.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700"/>
          </w:cols>
          <w:pgMar w:left="580" w:top="265" w:right="619" w:bottom="1440" w:gutter="0" w:footer="0" w:header="0"/>
        </w:sectPr>
      </w:pPr>
    </w:p>
    <w:bookmarkStart w:id="754" w:name="page755"/>
    <w:bookmarkEnd w:id="754"/>
    <w:p>
      <w:pPr>
        <w:ind w:left="-20" w:right="140" w:firstLine="972"/>
        <w:spacing w:after="0" w:line="285" w:lineRule="auto"/>
        <w:tabs>
          <w:tab w:leader="none" w:pos="1294" w:val="left"/>
        </w:tabs>
        <w:numPr>
          <w:ilvl w:val="0"/>
          <w:numId w:val="7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Notwithstanding anything to the contrary herein, on any Interest Payment Date, the accrued interest on the Term Loans due on such Interest Payment Date may be paid (a) solely in cash at the written election of the Borrower (any such election, a “</w:t>
      </w:r>
      <w:r>
        <w:rPr>
          <w:rFonts w:ascii="Times New Roman" w:cs="Times New Roman" w:eastAsia="Times New Roman" w:hAnsi="Times New Roman"/>
          <w:sz w:val="16"/>
          <w:szCs w:val="16"/>
          <w:u w:val="single" w:color="auto"/>
          <w:color w:val="auto"/>
        </w:rPr>
        <w:t>Cash Election</w:t>
      </w:r>
      <w:r>
        <w:rPr>
          <w:rFonts w:ascii="Times New Roman" w:cs="Times New Roman" w:eastAsia="Times New Roman" w:hAnsi="Times New Roman"/>
          <w:sz w:val="16"/>
          <w:szCs w:val="16"/>
          <w:color w:val="auto"/>
        </w:rPr>
        <w:t>”) or (b) partially in cash and partially in kind by increasing the principal amount of the Term Loans by the amount of such interest at the written election of the Borrower (any such election, a “</w:t>
      </w:r>
      <w:r>
        <w:rPr>
          <w:rFonts w:ascii="Times New Roman" w:cs="Times New Roman" w:eastAsia="Times New Roman" w:hAnsi="Times New Roman"/>
          <w:sz w:val="16"/>
          <w:szCs w:val="16"/>
          <w:u w:val="single" w:color="auto"/>
          <w:color w:val="auto"/>
        </w:rPr>
        <w:t>PIK Election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Borrower may exercise the PIK Election with respect to any such Interest Payment Date by delivering written notice thereof to the Administrative Agent no later than 1:00 p.m., five Business Days prior to such Interest Payment Date and if the Borrower fails to make any such election, the Borrower shall have deemed to have made the Cash Election for such Interest Payment Date.</w:t>
      </w:r>
    </w:p>
    <w:p>
      <w:pPr>
        <w:spacing w:after="0" w:line="159" w:lineRule="exact"/>
        <w:rPr>
          <w:rFonts w:ascii="Times New Roman" w:cs="Times New Roman" w:eastAsia="Times New Roman" w:hAnsi="Times New Roman"/>
          <w:sz w:val="16"/>
          <w:szCs w:val="16"/>
          <w:color w:val="auto"/>
        </w:rPr>
      </w:pPr>
    </w:p>
    <w:p>
      <w:pPr>
        <w:ind w:left="-20" w:right="20" w:firstLine="972"/>
        <w:spacing w:after="0" w:line="246" w:lineRule="auto"/>
        <w:tabs>
          <w:tab w:leader="none" w:pos="1320" w:val="left"/>
        </w:tabs>
        <w:numPr>
          <w:ilvl w:val="0"/>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for each Interest Period shall be determined by the Administrative Agent, and notice thereof shall be given by the Administrative Agent promptly to the Borrower and each Lender. Each determination of Term SOFR by the Administrative Agent shall be conclusive and binding upon the parties hereto, in the absence of demonstrable error. The Administrative Agent shall, upon written request of the Borrower or any Lender, deliver to the Borrower or such Lender a statement showing the computations used by the Administrative Agent in determining Term SOFR hereunder.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296" w:lineRule="exact"/>
        <w:rPr>
          <w:sz w:val="20"/>
          <w:szCs w:val="20"/>
          <w:color w:val="auto"/>
        </w:rPr>
      </w:pPr>
    </w:p>
    <w:p>
      <w:pPr>
        <w:ind w:left="960"/>
        <w:spacing w:after="0"/>
        <w:tabs>
          <w:tab w:leader="none" w:pos="224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6"/>
          <w:szCs w:val="16"/>
          <w:u w:val="single" w:color="auto"/>
          <w:color w:val="auto"/>
        </w:rPr>
        <w:t>Benchmark Replacement Setting</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ind w:left="-20" w:firstLine="972"/>
        <w:spacing w:after="0" w:line="247" w:lineRule="auto"/>
        <w:tabs>
          <w:tab w:leader="none" w:pos="1313" w:val="left"/>
        </w:tabs>
        <w:numPr>
          <w:ilvl w:val="0"/>
          <w:numId w:val="7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 upon the occurrence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(5th)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2.14(a) will occur prior to the applicable Benchmark Transition Start Date.</w:t>
      </w:r>
    </w:p>
    <w:p>
      <w:pPr>
        <w:spacing w:after="0" w:line="189" w:lineRule="exact"/>
        <w:rPr>
          <w:rFonts w:ascii="Times New Roman" w:cs="Times New Roman" w:eastAsia="Times New Roman" w:hAnsi="Times New Roman"/>
          <w:sz w:val="18"/>
          <w:szCs w:val="18"/>
          <w:color w:val="auto"/>
        </w:rPr>
      </w:pPr>
    </w:p>
    <w:p>
      <w:pPr>
        <w:ind w:left="-20" w:right="180" w:firstLine="972"/>
        <w:spacing w:after="0" w:line="293" w:lineRule="auto"/>
        <w:tabs>
          <w:tab w:leader="none" w:pos="1323" w:val="left"/>
        </w:tabs>
        <w:numPr>
          <w:ilvl w:val="0"/>
          <w:numId w:val="7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Benchmark Replacement Conforming Changes</w:t>
      </w:r>
      <w:r>
        <w:rPr>
          <w:rFonts w:ascii="Times New Roman" w:cs="Times New Roman" w:eastAsia="Times New Roman" w:hAnsi="Times New Roman"/>
          <w:sz w:val="16"/>
          <w:szCs w:val="16"/>
          <w:color w:val="auto"/>
        </w:rPr>
        <w:t>. In connection with the use, administration, adoption or implementation of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Benchmark Replacement,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51" w:lineRule="exact"/>
        <w:rPr>
          <w:rFonts w:ascii="Times New Roman" w:cs="Times New Roman" w:eastAsia="Times New Roman" w:hAnsi="Times New Roman"/>
          <w:sz w:val="16"/>
          <w:szCs w:val="16"/>
          <w:color w:val="auto"/>
        </w:rPr>
      </w:pPr>
    </w:p>
    <w:p>
      <w:pPr>
        <w:ind w:left="-20" w:right="20" w:firstLine="972"/>
        <w:spacing w:after="0" w:line="246" w:lineRule="auto"/>
        <w:tabs>
          <w:tab w:leader="none" w:pos="1313" w:val="left"/>
        </w:tabs>
        <w:numPr>
          <w:ilvl w:val="0"/>
          <w:numId w:val="7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 Standards for Decisions and Determinations</w:t>
      </w:r>
      <w:r>
        <w:rPr>
          <w:rFonts w:ascii="Times New Roman" w:cs="Times New Roman" w:eastAsia="Times New Roman" w:hAnsi="Times New Roman"/>
          <w:sz w:val="18"/>
          <w:szCs w:val="18"/>
          <w:color w:val="auto"/>
        </w:rPr>
        <w:t>. The Administrative Agent will promptly notify the Borrower and the Lenders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(i) the implementation of any Benchmark Replacement and (ii)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680"/>
          </w:cols>
          <w:pgMar w:left="600" w:top="266" w:right="619" w:bottom="1440" w:gutter="0" w:footer="0" w:header="0"/>
        </w:sectPr>
      </w:pPr>
    </w:p>
    <w:bookmarkStart w:id="755" w:name="page756"/>
    <w:bookmarkEnd w:id="755"/>
    <w:p>
      <w:pPr>
        <w:ind w:right="20" w:firstLine="972"/>
        <w:spacing w:after="0" w:line="246" w:lineRule="auto"/>
        <w:tabs>
          <w:tab w:leader="none" w:pos="1343" w:val="left"/>
        </w:tabs>
        <w:numPr>
          <w:ilvl w:val="0"/>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in consultation with the Borrower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86" w:lineRule="exact"/>
        <w:rPr>
          <w:rFonts w:ascii="Times New Roman" w:cs="Times New Roman" w:eastAsia="Times New Roman" w:hAnsi="Times New Roman"/>
          <w:sz w:val="18"/>
          <w:szCs w:val="18"/>
          <w:color w:val="auto"/>
        </w:rPr>
      </w:pPr>
    </w:p>
    <w:p>
      <w:pPr>
        <w:ind w:right="40" w:firstLine="972"/>
        <w:spacing w:after="0" w:line="248" w:lineRule="auto"/>
        <w:tabs>
          <w:tab w:leader="none" w:pos="1333" w:val="left"/>
        </w:tabs>
        <w:numPr>
          <w:ilvl w:val="0"/>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294"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6"/>
          <w:szCs w:val="16"/>
          <w:u w:val="single" w:color="auto"/>
          <w:color w:val="auto"/>
        </w:rPr>
        <w:t>Increased Costs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1340" w:hanging="368"/>
        <w:spacing w:after="0"/>
        <w:tabs>
          <w:tab w:leader="none" w:pos="1340" w:val="left"/>
        </w:tabs>
        <w:numPr>
          <w:ilvl w:val="1"/>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108" w:lineRule="exact"/>
        <w:rPr>
          <w:rFonts w:ascii="Times New Roman" w:cs="Times New Roman" w:eastAsia="Times New Roman" w:hAnsi="Times New Roman"/>
          <w:sz w:val="18"/>
          <w:szCs w:val="18"/>
          <w:color w:val="auto"/>
        </w:rPr>
      </w:pPr>
    </w:p>
    <w:p>
      <w:pPr>
        <w:ind w:left="440" w:firstLine="407"/>
        <w:spacing w:after="0" w:line="267" w:lineRule="auto"/>
        <w:tabs>
          <w:tab w:leader="none" w:pos="1191" w:val="left"/>
        </w:tabs>
        <w:numPr>
          <w:ilvl w:val="0"/>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or similar requirement against assets of, deposits with or for the account of, or credit extended by, any Lender (except any such reserve requirement reflected in Term SOFR); or</w:t>
      </w:r>
    </w:p>
    <w:p>
      <w:pPr>
        <w:spacing w:after="0" w:line="64" w:lineRule="exact"/>
        <w:rPr>
          <w:rFonts w:ascii="Times New Roman" w:cs="Times New Roman" w:eastAsia="Times New Roman" w:hAnsi="Times New Roman"/>
          <w:sz w:val="18"/>
          <w:szCs w:val="18"/>
          <w:color w:val="auto"/>
        </w:rPr>
      </w:pPr>
    </w:p>
    <w:p>
      <w:pPr>
        <w:ind w:left="440" w:right="120" w:firstLine="407"/>
        <w:spacing w:after="0" w:line="267" w:lineRule="auto"/>
        <w:tabs>
          <w:tab w:leader="none" w:pos="1240" w:val="left"/>
        </w:tabs>
        <w:numPr>
          <w:ilvl w:val="0"/>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any Taxes (except for Indemnified Taxes, Other Taxes, and Excluded Taxes) on its loans, loan principal, letters of credit, commitments, or other obligations, or its deposits, reserves, other liabilities or capital attributable thereto; or</w:t>
      </w:r>
    </w:p>
    <w:p>
      <w:pPr>
        <w:spacing w:after="0" w:line="64" w:lineRule="exact"/>
        <w:rPr>
          <w:rFonts w:ascii="Times New Roman" w:cs="Times New Roman" w:eastAsia="Times New Roman" w:hAnsi="Times New Roman"/>
          <w:sz w:val="18"/>
          <w:szCs w:val="18"/>
          <w:color w:val="auto"/>
        </w:rPr>
      </w:pPr>
    </w:p>
    <w:p>
      <w:pPr>
        <w:ind w:left="1280" w:hanging="433"/>
        <w:spacing w:after="0"/>
        <w:tabs>
          <w:tab w:leader="none" w:pos="1280" w:val="left"/>
        </w:tabs>
        <w:numPr>
          <w:ilvl w:val="0"/>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any other condition affecting this Agreement or SOFR Loans made by such Lender or participation therein;</w:t>
      </w:r>
    </w:p>
    <w:p>
      <w:pPr>
        <w:spacing w:after="0" w:line="213"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6"/>
          <w:szCs w:val="16"/>
          <w:color w:val="auto"/>
        </w:rPr>
        <w:t xml:space="preserve">and the result of any of the foregoing shall be to increase the cost to such Lender or such other Recipient of making or maintaining any SOFR Loan (or of maintaining its obligation to make any such Loan) or to increase the cost to such Lender, or to reduce the amount of any sum received or receivable by such Lender or other Recipient hereunder (whether of principal, interest or otherwise), then the Borrower will pay to such Lender or other Recipient, as applicable, such additional amount or amounts as will compensate such Lender or other Recipient, as applicable, for such additional costs incurred or reduction suffered;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Person shall only be entitled to seek such additional amounts if such Person is generally seeking the payment of similar additional amounts from similarly situated borrowers in comparable credit facilities to the extent it is entitled to do so.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720"/>
          </w:cols>
          <w:pgMar w:left="580" w:top="263" w:right="599" w:bottom="1440" w:gutter="0" w:footer="0" w:header="0"/>
        </w:sectPr>
      </w:pPr>
    </w:p>
    <w:bookmarkStart w:id="756" w:name="page757"/>
    <w:bookmarkEnd w:id="756"/>
    <w:p>
      <w:pPr>
        <w:ind w:left="-20" w:firstLine="972"/>
        <w:spacing w:after="0" w:line="247" w:lineRule="auto"/>
        <w:tabs>
          <w:tab w:leader="none" w:pos="1323"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If any Lender determines that any Change in Law affecting such Lender or any lending office of such Lender or such Lender’s holding company, if any, regarding capital or liquidity requirements has or would have the effect of reducing the rate of return on such Lender’s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the Borrower will pay to such Lender such additional amount or amounts as will compensate such Lender or such Lender’s holding company for any such reduction suffered;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shall only be entitled to seek such additional amounts if such Person is generally seeking the payment of similar additional amounts from similarly situated borrowers in comparable credit facilities to the extent it is entitled to do so.</w:t>
      </w:r>
    </w:p>
    <w:p>
      <w:pPr>
        <w:spacing w:after="0" w:line="186" w:lineRule="exact"/>
        <w:rPr>
          <w:rFonts w:ascii="Times New Roman" w:cs="Times New Roman" w:eastAsia="Times New Roman" w:hAnsi="Times New Roman"/>
          <w:sz w:val="18"/>
          <w:szCs w:val="18"/>
          <w:color w:val="auto"/>
        </w:rPr>
      </w:pPr>
    </w:p>
    <w:p>
      <w:pPr>
        <w:ind w:left="-20" w:right="40" w:firstLine="972"/>
        <w:spacing w:after="0" w:line="249" w:lineRule="auto"/>
        <w:tabs>
          <w:tab w:leader="none" w:pos="1313"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w:t>
      </w:r>
    </w:p>
    <w:p>
      <w:pPr>
        <w:spacing w:after="0" w:line="186" w:lineRule="exact"/>
        <w:rPr>
          <w:rFonts w:ascii="Times New Roman" w:cs="Times New Roman" w:eastAsia="Times New Roman" w:hAnsi="Times New Roman"/>
          <w:sz w:val="18"/>
          <w:szCs w:val="18"/>
          <w:color w:val="auto"/>
        </w:rPr>
      </w:pPr>
    </w:p>
    <w:p>
      <w:pPr>
        <w:ind w:left="-20" w:right="360" w:firstLine="972"/>
        <w:spacing w:after="0" w:line="251" w:lineRule="auto"/>
        <w:tabs>
          <w:tab w:leader="none" w:pos="1313"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setting forth in reasonable detail the basis for and computation of the amount or amounts necessary to compensate such Lender or its holding company, as applicable, as specified in Section 2.15(a) or (b) shall be delivered to the Borrower and shall be conclusive absent manifest error. The Borrower shall pay such Lender the amount shown as due on any such certificate within 10 days after receipt thereof.</w:t>
      </w:r>
    </w:p>
    <w:p>
      <w:pPr>
        <w:spacing w:after="0" w:line="184" w:lineRule="exact"/>
        <w:rPr>
          <w:rFonts w:ascii="Times New Roman" w:cs="Times New Roman" w:eastAsia="Times New Roman" w:hAnsi="Times New Roman"/>
          <w:sz w:val="18"/>
          <w:szCs w:val="18"/>
          <w:color w:val="auto"/>
        </w:rPr>
      </w:pPr>
    </w:p>
    <w:p>
      <w:pPr>
        <w:ind w:left="-20" w:right="40" w:firstLine="972"/>
        <w:spacing w:after="0" w:line="248" w:lineRule="auto"/>
        <w:tabs>
          <w:tab w:leader="none" w:pos="1313"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to demand compensation pursuant to this Section 2.15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pursuant to this Section 2.15 for any increased costs or reductions incurred more than 270 days prior to the date that such Lender notifies the Borrower of the Change in Law giving rise to such increased costs or reductions and of such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270-day period referred to above shall be extended to include the period of retroactive effect thereof.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680"/>
          </w:cols>
          <w:pgMar w:left="600" w:top="265" w:right="619" w:bottom="1440" w:gutter="0" w:footer="0" w:header="0"/>
        </w:sectPr>
      </w:pPr>
    </w:p>
    <w:bookmarkStart w:id="757" w:name="page758"/>
    <w:bookmarkEnd w:id="757"/>
    <w:p>
      <w:pPr>
        <w:ind w:firstLine="964"/>
        <w:spacing w:after="0" w:line="24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xml:space="preserve">. In the event of (a) the payment of any principal of any SOFR Loan other than on the last day of an Interest Period applicable thereto (including as a result of an Event of Default), (b) the conversion of any SOFR Loan other than on the last day of the Interest Period applicable thereto, (c) the failure to borrow, convert, continue or prepay any Term Loan on the date specified in any notice delivered pursuant hereto (regardless of whether such notice may be revoked under Section 2.11(f) and is revoked in accordance therewith), or (d) the assignment of any SOFR Loan other than on the last day of the Interest Period applicable thereto as a result of a request by the Borrower pursuant to Section 2.19, then, in any such event, the Borrower shall compensate each Lender for the loss, cost and expense attributable to such event (but not lost profits). In the case of a SOFR Loan, such loss, cost or expense to any Lender shall be deemed to include an amount determined by such Lender to be the excess, if any, of (i) the amount of interest that would have accrued on the principal amount of such Loan had such event not occurred, at Term SOFR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that such Lender would bid were it to bid, at the commencement of such period, for dollar deposits of a comparable amount and period from other banks in the SOFR market. A certificate of any Lender setting forth any amount or amounts that such Lender is entitled to receive pursuant to this Section 2.16 shall be delivered to the Borrower and shall be conclusive absent manifest error. The Borrower shall pay such Lender the amount shown as due on any such certificate within 10 days after receipt thereof. Notwithstanding the foregoing, no additional amounts shall be due and payable pursuant to this Section 2.16 to the extent that on the relevant due date the Borrower deposits in a Prepayment Account an amount equal to any payment of SOFR Loans otherwise required to be made on a date that is not the last day of the applicable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the last day of the applicable Interest Period, the Administrative Agent shall be authorized, without any further action by or notice to or from the Borrower or any other Loan Party, to apply such amount to the prepayment of such SOFR Loans. For purposes of this Agreement, the term “Prepayment Account” shall mean a non-interest bearing account established by the Borrower with the Administrative Agent and over which the Administrative Agent shall have exclusive dominion and control, including the right of withdrawal for application in accordance with this Section 2.16.</w:t>
      </w:r>
    </w:p>
    <w:p>
      <w:pPr>
        <w:spacing w:after="0" w:line="307"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2.17.</w:t>
      </w:r>
      <w:r>
        <w:rPr>
          <w:sz w:val="20"/>
          <w:szCs w:val="20"/>
          <w:color w:val="auto"/>
        </w:rPr>
        <w:tab/>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20" w:firstLine="972"/>
        <w:spacing w:after="0" w:line="247" w:lineRule="auto"/>
        <w:tabs>
          <w:tab w:leader="none" w:pos="1324" w:val="left"/>
        </w:tabs>
        <w:numPr>
          <w:ilvl w:val="0"/>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payments by or on account of any obligation of any Loan Party hereunder or under any other Loan Document shall be made free and clear of and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or Other Tax, then the sum payable by the Borrower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86" w:lineRule="exact"/>
        <w:rPr>
          <w:rFonts w:ascii="Times New Roman" w:cs="Times New Roman" w:eastAsia="Times New Roman" w:hAnsi="Times New Roman"/>
          <w:sz w:val="18"/>
          <w:szCs w:val="18"/>
          <w:color w:val="auto"/>
        </w:rPr>
      </w:pPr>
    </w:p>
    <w:p>
      <w:pPr>
        <w:ind w:right="120" w:firstLine="972"/>
        <w:spacing w:after="0" w:line="267" w:lineRule="auto"/>
        <w:tabs>
          <w:tab w:leader="none" w:pos="1340" w:val="left"/>
        </w:tabs>
        <w:numPr>
          <w:ilvl w:val="0"/>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other amounts paid by any Loan Party under this Section 2.17, the applicable Loan Party shall pay any Other Taxes to the relevant Governmental Authority in accordance with applicable law.</w:t>
      </w:r>
    </w:p>
    <w:p>
      <w:pPr>
        <w:spacing w:after="0" w:line="169" w:lineRule="exact"/>
        <w:rPr>
          <w:rFonts w:ascii="Times New Roman" w:cs="Times New Roman" w:eastAsia="Times New Roman" w:hAnsi="Times New Roman"/>
          <w:sz w:val="18"/>
          <w:szCs w:val="18"/>
          <w:color w:val="auto"/>
        </w:rPr>
      </w:pPr>
    </w:p>
    <w:p>
      <w:pPr>
        <w:ind w:right="40" w:firstLine="972"/>
        <w:spacing w:after="0" w:line="247" w:lineRule="auto"/>
        <w:tabs>
          <w:tab w:leader="none" w:pos="1330" w:val="left"/>
        </w:tabs>
        <w:numPr>
          <w:ilvl w:val="0"/>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Loan Party shall indemnify the Administrative Agent and each Lender within 30 days after written demand therefor, for the full amount of any Indemnified Taxes or Other Taxes paid by the Administrative Agent or such Lender, as applicable, on or with respect to any payment by or on account of any obligation of such Loan Party hereunder or under any other Loan Document (including Indemnified Taxes or Other Taxes imposed or asserted on or attributable to amounts payable under this Section 2.17), whether or not such Indemnified Taxes or Other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720"/>
          </w:cols>
          <w:pgMar w:left="580" w:top="265" w:right="599" w:bottom="1440" w:gutter="0" w:footer="0" w:header="0"/>
        </w:sectPr>
      </w:pPr>
    </w:p>
    <w:bookmarkStart w:id="758" w:name="page759"/>
    <w:bookmarkEnd w:id="758"/>
    <w:p>
      <w:pPr>
        <w:ind w:left="-20" w:right="20" w:firstLine="972"/>
        <w:spacing w:after="0" w:line="246" w:lineRule="auto"/>
        <w:tabs>
          <w:tab w:leader="none" w:pos="1323" w:val="left"/>
        </w:tabs>
        <w:numPr>
          <w:ilvl w:val="2"/>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Each Lender shall severally indemnify the Administrative Agent, within ten (10) days after demand therefor, for (i) any Indemnified Taxes or Other Taxes attributable to such Lender (but only to the extent that the Loan Parties have not already indemnified the Administrative Agent for such Indemnified Taxes or Other Taxes and without limiting or expanding the obligation of the Loan Parties to do so), (ii) any Taxes attributable to such Lender’s failure to comply with the provisions of Section 9.04(e)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189" w:lineRule="exact"/>
        <w:rPr>
          <w:rFonts w:ascii="Times New Roman" w:cs="Times New Roman" w:eastAsia="Times New Roman" w:hAnsi="Times New Roman"/>
          <w:sz w:val="18"/>
          <w:szCs w:val="18"/>
          <w:color w:val="auto"/>
        </w:rPr>
      </w:pPr>
    </w:p>
    <w:p>
      <w:pPr>
        <w:jc w:val="both"/>
        <w:ind w:left="-20" w:right="20" w:firstLine="972"/>
        <w:spacing w:after="0" w:line="302" w:lineRule="auto"/>
        <w:tabs>
          <w:tab w:leader="none" w:pos="1304" w:val="left"/>
        </w:tabs>
        <w:numPr>
          <w:ilvl w:val="2"/>
          <w:numId w:val="7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practicable after any payment of Indemnified Taxes or Other Taxes by any Loan Party to a Governmental Authority, such Loan Party shall deliver to the Administrative Agent the original or a certified copy of a receipt issued by such Governmental Authority evidencing such payment, if any, a copy of the return reporting such payment or other evidence of such payment reasonably satisfactory to the Administrative Agent.</w:t>
      </w:r>
    </w:p>
    <w:p>
      <w:pPr>
        <w:spacing w:after="0" w:line="250" w:lineRule="exact"/>
        <w:rPr>
          <w:rFonts w:ascii="Times New Roman" w:cs="Times New Roman" w:eastAsia="Times New Roman" w:hAnsi="Times New Roman"/>
          <w:sz w:val="16"/>
          <w:szCs w:val="16"/>
          <w:color w:val="auto"/>
        </w:rPr>
      </w:pPr>
    </w:p>
    <w:p>
      <w:pPr>
        <w:ind w:left="1300" w:hanging="348"/>
        <w:spacing w:after="0"/>
        <w:tabs>
          <w:tab w:leader="none" w:pos="1300" w:val="left"/>
        </w:tabs>
        <w:numPr>
          <w:ilvl w:val="2"/>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420" w:firstLine="407"/>
        <w:spacing w:after="0" w:line="276" w:lineRule="auto"/>
        <w:tabs>
          <w:tab w:leader="none" w:pos="1162" w:val="left"/>
        </w:tabs>
        <w:numPr>
          <w:ilvl w:val="1"/>
          <w:numId w:val="7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this Section 2.17(f)(ii)(1), (ii)(2) and (ii)</w:t>
      </w:r>
    </w:p>
    <w:p>
      <w:pPr>
        <w:spacing w:after="0" w:line="5" w:lineRule="exact"/>
        <w:rPr>
          <w:rFonts w:ascii="Times New Roman" w:cs="Times New Roman" w:eastAsia="Times New Roman" w:hAnsi="Times New Roman"/>
          <w:sz w:val="16"/>
          <w:szCs w:val="16"/>
          <w:color w:val="auto"/>
        </w:rPr>
      </w:pPr>
    </w:p>
    <w:p>
      <w:pPr>
        <w:ind w:left="420" w:right="220" w:hanging="4"/>
        <w:spacing w:after="0" w:line="247" w:lineRule="auto"/>
        <w:tabs>
          <w:tab w:leader="none" w:pos="668" w:val="left"/>
        </w:tabs>
        <w:numPr>
          <w:ilvl w:val="0"/>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1" w:lineRule="exact"/>
        <w:rPr>
          <w:rFonts w:ascii="Times New Roman" w:cs="Times New Roman" w:eastAsia="Times New Roman" w:hAnsi="Times New Roman"/>
          <w:sz w:val="18"/>
          <w:szCs w:val="18"/>
          <w:color w:val="auto"/>
        </w:rPr>
      </w:pPr>
    </w:p>
    <w:p>
      <w:pPr>
        <w:ind w:left="1220" w:hanging="393"/>
        <w:spacing w:after="0"/>
        <w:tabs>
          <w:tab w:leader="none" w:pos="1220" w:val="left"/>
        </w:tabs>
        <w:numPr>
          <w:ilvl w:val="1"/>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08" w:lineRule="exact"/>
        <w:rPr>
          <w:sz w:val="20"/>
          <w:szCs w:val="20"/>
          <w:color w:val="auto"/>
        </w:rPr>
      </w:pPr>
    </w:p>
    <w:p>
      <w:pPr>
        <w:ind w:left="420" w:right="420" w:firstLine="407"/>
        <w:spacing w:after="0" w:line="302" w:lineRule="auto"/>
        <w:tabs>
          <w:tab w:leader="none" w:pos="1210" w:val="left"/>
        </w:tabs>
        <w:numPr>
          <w:ilvl w:val="0"/>
          <w:numId w:val="7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not subject to U.S. federal backup withholding tax;</w:t>
      </w:r>
    </w:p>
    <w:p>
      <w:pPr>
        <w:spacing w:after="0" w:line="40" w:lineRule="exact"/>
        <w:rPr>
          <w:rFonts w:ascii="Times New Roman" w:cs="Times New Roman" w:eastAsia="Times New Roman" w:hAnsi="Times New Roman"/>
          <w:sz w:val="16"/>
          <w:szCs w:val="16"/>
          <w:color w:val="auto"/>
        </w:rPr>
      </w:pPr>
    </w:p>
    <w:p>
      <w:pPr>
        <w:ind w:left="420" w:right="340" w:firstLine="407"/>
        <w:spacing w:after="0" w:line="251" w:lineRule="auto"/>
        <w:tabs>
          <w:tab w:leader="none" w:pos="1210"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9" w:lineRule="exact"/>
        <w:rPr>
          <w:rFonts w:ascii="Times New Roman" w:cs="Times New Roman" w:eastAsia="Times New Roman" w:hAnsi="Times New Roman"/>
          <w:sz w:val="18"/>
          <w:szCs w:val="18"/>
          <w:color w:val="auto"/>
        </w:rPr>
      </w:pPr>
    </w:p>
    <w:p>
      <w:pPr>
        <w:ind w:left="960" w:right="400" w:firstLine="381"/>
        <w:spacing w:after="0" w:line="331" w:lineRule="auto"/>
        <w:tabs>
          <w:tab w:leader="none" w:pos="1768" w:val="left"/>
        </w:tabs>
        <w:numPr>
          <w:ilvl w:val="1"/>
          <w:numId w:val="7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Foreign Lender claiming the benefits of an income tax treaty to which the United States is a party (x) with respect to payments of interest under any Loan Document, executed copies of IRS Form W-8BEN or W-8BEN-E establishing</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680"/>
          </w:cols>
          <w:pgMar w:left="600" w:top="265" w:right="619" w:bottom="1440" w:gutter="0" w:footer="0" w:header="0"/>
        </w:sectPr>
      </w:pPr>
    </w:p>
    <w:bookmarkStart w:id="759" w:name="page760"/>
    <w:bookmarkEnd w:id="759"/>
    <w:p>
      <w:pPr>
        <w:ind w:left="540"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75" w:lineRule="exact"/>
        <w:rPr>
          <w:sz w:val="20"/>
          <w:szCs w:val="20"/>
          <w:color w:val="auto"/>
        </w:rPr>
      </w:pPr>
    </w:p>
    <w:p>
      <w:pPr>
        <w:ind w:left="1320" w:hanging="399"/>
        <w:spacing w:after="0"/>
        <w:tabs>
          <w:tab w:leader="none" w:pos="1320" w:val="left"/>
        </w:tabs>
        <w:numPr>
          <w:ilvl w:val="2"/>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108" w:lineRule="exact"/>
        <w:rPr>
          <w:rFonts w:ascii="Times New Roman" w:cs="Times New Roman" w:eastAsia="Times New Roman" w:hAnsi="Times New Roman"/>
          <w:sz w:val="18"/>
          <w:szCs w:val="18"/>
          <w:color w:val="auto"/>
        </w:rPr>
      </w:pPr>
    </w:p>
    <w:p>
      <w:pPr>
        <w:ind w:left="1320" w:hanging="399"/>
        <w:spacing w:after="0"/>
        <w:tabs>
          <w:tab w:leader="none" w:pos="1320" w:val="left"/>
        </w:tabs>
        <w:numPr>
          <w:ilvl w:val="2"/>
          <w:numId w:val="7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Foreign Lender claiming the benefits of the exemption for portfolio interest under Section 881(c) of the Code,</w:t>
      </w:r>
    </w:p>
    <w:p>
      <w:pPr>
        <w:spacing w:after="0" w:line="43" w:lineRule="exact"/>
        <w:rPr>
          <w:rFonts w:ascii="Times New Roman" w:cs="Times New Roman" w:eastAsia="Times New Roman" w:hAnsi="Times New Roman"/>
          <w:sz w:val="16"/>
          <w:szCs w:val="16"/>
          <w:color w:val="auto"/>
        </w:rPr>
      </w:pPr>
    </w:p>
    <w:p>
      <w:pPr>
        <w:ind w:left="540" w:right="120" w:hanging="8"/>
        <w:spacing w:after="0" w:line="244" w:lineRule="auto"/>
        <w:tabs>
          <w:tab w:leader="none" w:pos="788" w:val="left"/>
        </w:tabs>
        <w:numPr>
          <w:ilvl w:val="1"/>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substantially in the form of Exhibit I-1 to the effect that such Foreign Lender is not a “bank” within the meaning of Section 881(c)(3)(A) of the Code, a “10 percent shareholder” of the Borrower within the meaning of Section 881(c)(3)(B) of the Code, or a “controlled foreign corporation” related to the Borrower as described in Section 881(c)(3)(C) of the Code (a “U.S. Tax Compliance Certificate”) and (y) executed copies of IRS Form W-8BEN or W-8BEN-E; or</w:t>
      </w:r>
    </w:p>
    <w:p>
      <w:pPr>
        <w:spacing w:after="0" w:line="85" w:lineRule="exact"/>
        <w:rPr>
          <w:rFonts w:ascii="Times New Roman" w:cs="Times New Roman" w:eastAsia="Times New Roman" w:hAnsi="Times New Roman"/>
          <w:sz w:val="18"/>
          <w:szCs w:val="18"/>
          <w:color w:val="auto"/>
        </w:rPr>
      </w:pPr>
    </w:p>
    <w:p>
      <w:pPr>
        <w:ind w:left="540" w:right="40" w:firstLine="381"/>
        <w:spacing w:after="0" w:line="248" w:lineRule="auto"/>
        <w:tabs>
          <w:tab w:leader="none" w:pos="1348" w:val="left"/>
        </w:tabs>
        <w:numPr>
          <w:ilvl w:val="2"/>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executed copies of IRS Form W-8IMY, accompanied by IRS Form W-8ECI, IRS Form W-8BEN or W-8BEN-E, a U.S. Tax Compliance Certificate substantially in the form of Exhibit I-2 or Exhibit I-3,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82" w:lineRule="exact"/>
        <w:rPr>
          <w:rFonts w:ascii="Times New Roman" w:cs="Times New Roman" w:eastAsia="Times New Roman" w:hAnsi="Times New Roman"/>
          <w:sz w:val="18"/>
          <w:szCs w:val="18"/>
          <w:color w:val="auto"/>
        </w:rPr>
      </w:pPr>
    </w:p>
    <w:p>
      <w:pPr>
        <w:ind w:right="200" w:firstLine="407"/>
        <w:spacing w:after="0" w:line="248" w:lineRule="auto"/>
        <w:tabs>
          <w:tab w:leader="none" w:pos="790" w:val="left"/>
        </w:tabs>
        <w:numPr>
          <w:ilvl w:val="0"/>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82" w:lineRule="exact"/>
        <w:rPr>
          <w:rFonts w:ascii="Times New Roman" w:cs="Times New Roman" w:eastAsia="Times New Roman" w:hAnsi="Times New Roman"/>
          <w:sz w:val="18"/>
          <w:szCs w:val="18"/>
          <w:color w:val="auto"/>
        </w:rPr>
      </w:pPr>
    </w:p>
    <w:p>
      <w:pPr>
        <w:ind w:firstLine="407"/>
        <w:spacing w:after="0" w:line="282" w:lineRule="auto"/>
        <w:tabs>
          <w:tab w:leader="none" w:pos="790" w:val="left"/>
        </w:tabs>
        <w:numPr>
          <w:ilvl w:val="0"/>
          <w:numId w:val="7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(4), “FATCA” shall include any amendments made to FATCA after the date of this Agreement.</w:t>
      </w:r>
    </w:p>
    <w:p>
      <w:pPr>
        <w:spacing w:after="0" w:line="9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280"/>
          </w:cols>
          <w:pgMar w:left="1020" w:top="266" w:right="599" w:bottom="1440" w:gutter="0" w:footer="0" w:header="0"/>
        </w:sectPr>
      </w:pPr>
    </w:p>
    <w:bookmarkStart w:id="760" w:name="page761"/>
    <w:bookmarkEnd w:id="760"/>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78040" cy="36830"/>
                    </a:xfrm>
                    <a:prstGeom prst="rect">
                      <a:avLst/>
                    </a:prstGeom>
                    <a:noFill/>
                  </pic:spPr>
                </pic:pic>
              </a:graphicData>
            </a:graphic>
          </wp:anchor>
        </w:drawing>
        <w:t>Each Lender agrees that if any form or certification it previously delivered expires or becomes obsolete or inaccurate in any respect, it shall update such form or certification, provide such successor form, or promptly notify the Borrower and the Administrative Agent in writing of its legal inability to do so.</w:t>
      </w:r>
    </w:p>
    <w:p>
      <w:pPr>
        <w:spacing w:after="0" w:line="180" w:lineRule="exact"/>
        <w:rPr>
          <w:sz w:val="20"/>
          <w:szCs w:val="20"/>
          <w:color w:val="auto"/>
        </w:rPr>
      </w:pPr>
    </w:p>
    <w:p>
      <w:pPr>
        <w:ind w:firstLine="972"/>
        <w:spacing w:after="0" w:line="247" w:lineRule="auto"/>
        <w:tabs>
          <w:tab w:leader="none" w:pos="1343" w:val="left"/>
        </w:tabs>
        <w:numPr>
          <w:ilvl w:val="0"/>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date the Administrative Agent becomes a party to this Agreement, the Administrative Agent shall provide to the Borrower, two duly-signed, properly completed copies of the documentation prescribed in clause (i) or (ii) below, as applicable (together with all required attachments thereto): (i) IRS Form W-9 or any successor thereto, or (ii) (A) IRS Form W-8ECI or any successor thereto, and (B) with respect to payments received on account of any Lender, a U.S. branch withholding certificate on IRS Form W-8IMY or any successor thereto evidencing its agreement with the Borrower to be treated as a U.S. Person for U.S. federal withholding purposes. At any time thereafter, the Administrative Agent shall provide updated documentation previously provided (or a successor form thereto) when any documentation previously delivered has expired or become obsolete or invalid or otherwise upon the reasonable request of the Borrower.</w:t>
      </w:r>
    </w:p>
    <w:p>
      <w:pPr>
        <w:spacing w:after="0" w:line="189" w:lineRule="exact"/>
        <w:rPr>
          <w:rFonts w:ascii="Times New Roman" w:cs="Times New Roman" w:eastAsia="Times New Roman" w:hAnsi="Times New Roman"/>
          <w:sz w:val="18"/>
          <w:szCs w:val="18"/>
          <w:color w:val="auto"/>
        </w:rPr>
      </w:pPr>
    </w:p>
    <w:p>
      <w:pPr>
        <w:ind w:firstLine="972"/>
        <w:spacing w:after="0" w:line="245" w:lineRule="auto"/>
        <w:tabs>
          <w:tab w:leader="none" w:pos="1343" w:val="left"/>
        </w:tabs>
        <w:numPr>
          <w:ilvl w:val="0"/>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party determines, in its sole discretion exercised in good faith, that it has received a refund of any Taxes as to which it has been indemnified (including by payment of additional amounts) pursuant to this Section 2.17, it shall pay over such refund to the indemnifying party (but only to the extent of indemnity payments made, or additional amounts paid, by the indemnifying party under this Section 2.17 with respect to the Taxes giving rise to such refund), net of all out-of-pocket expenses of such indemnified party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indemnifying party, upon the request of the indemnified party, agrees to repay the amount paid over to the indemnifying party pursuant to this paragraph (h) (plus any penalties, interest or other charges imposed by the relevant Governmental Authority) to the indemnified party in the event the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paragraph (h) shall not be construed to require any indemnified party to make available its tax returns (or any other information relating to its taxes that it deems confidential) to the indemnifying party or any other Person.</w:t>
      </w:r>
    </w:p>
    <w:p>
      <w:pPr>
        <w:spacing w:after="0" w:line="193" w:lineRule="exact"/>
        <w:rPr>
          <w:rFonts w:ascii="Times New Roman" w:cs="Times New Roman" w:eastAsia="Times New Roman" w:hAnsi="Times New Roman"/>
          <w:sz w:val="18"/>
          <w:szCs w:val="18"/>
          <w:color w:val="auto"/>
        </w:rPr>
      </w:pPr>
    </w:p>
    <w:p>
      <w:pPr>
        <w:ind w:right="20" w:firstLine="972"/>
        <w:spacing w:after="0" w:line="247" w:lineRule="auto"/>
        <w:tabs>
          <w:tab w:leader="none" w:pos="1304" w:val="left"/>
        </w:tabs>
        <w:numPr>
          <w:ilvl w:val="0"/>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on the part of any Lender or the Administrative Agent to demand compensation pursuant to the foregoing provisions of this Section 2.17 shall not constitute a waiver of such Lender’s or Administrative Agent’s right to demand such compensation, provided that the Borrower shall not be required to compensate a Lender or the Administrative Agent pursuant to the foregoing provisions of Section 2.17 for any Taxes or related costs suffered more than 270 days prior to the date that such Lender or the Administrative Agent notifies the Borrower of the event giving rise to such claim and of such Lender’s or the Administrative Agent’s intention to claim compensation therefor (except that, if the circumstance giving rise to such demand for compensation is retroactive, then the 270-day period referred to above shall be extended to include the period of retroactive effect thereof).</w:t>
      </w:r>
    </w:p>
    <w:p>
      <w:pPr>
        <w:spacing w:after="0" w:line="189" w:lineRule="exact"/>
        <w:rPr>
          <w:rFonts w:ascii="Times New Roman" w:cs="Times New Roman" w:eastAsia="Times New Roman" w:hAnsi="Times New Roman"/>
          <w:sz w:val="18"/>
          <w:szCs w:val="18"/>
          <w:color w:val="auto"/>
        </w:rPr>
      </w:pPr>
    </w:p>
    <w:p>
      <w:pPr>
        <w:ind w:right="460" w:firstLine="972"/>
        <w:spacing w:after="0" w:line="255" w:lineRule="auto"/>
        <w:tabs>
          <w:tab w:leader="none" w:pos="1304" w:val="left"/>
        </w:tabs>
        <w:numPr>
          <w:ilvl w:val="0"/>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700"/>
          </w:cols>
          <w:pgMar w:left="580" w:top="265" w:right="619" w:bottom="1440" w:gutter="0" w:footer="0" w:header="0"/>
        </w:sectPr>
      </w:pPr>
    </w:p>
    <w:bookmarkStart w:id="761" w:name="page762"/>
    <w:bookmarkEnd w:id="761"/>
    <w:p>
      <w:pPr>
        <w:ind w:left="-20" w:right="20" w:firstLine="972"/>
        <w:spacing w:after="0" w:line="248" w:lineRule="auto"/>
        <w:tabs>
          <w:tab w:leader="none" w:pos="1323"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Borrower and each Lender acknowledge and agree that, for U.S. federal and other applicable income tax purposes, the Term Loans have original issue discount (“OID”) within the meaning of Section 1272 of the Code, and shall not be treated as “contingent payment debt instruments” as defined pursuant to Treasury Regulation Section 1.1275-4. Information regarding the amount of any OID, the issue price, the issue date and the yield to maturity of the Term Loans may be obtained by writing to the Borrower at the address specified in Section 9.01. Neither Borrower nor any Lender shall take any tax position inconsistent with this Section 2.17(k) unless otherwise required by the final determination of a tax authority following a tax audit or examination.</w:t>
      </w:r>
    </w:p>
    <w:p>
      <w:pPr>
        <w:spacing w:after="0" w:line="292" w:lineRule="exact"/>
        <w:rPr>
          <w:sz w:val="20"/>
          <w:szCs w:val="20"/>
          <w:color w:val="auto"/>
        </w:rPr>
      </w:pPr>
    </w:p>
    <w:p>
      <w:pPr>
        <w:ind w:left="960"/>
        <w:spacing w:after="0"/>
        <w:tabs>
          <w:tab w:leader="none" w:pos="2240" w:val="left"/>
        </w:tabs>
        <w:rPr>
          <w:sz w:val="20"/>
          <w:szCs w:val="20"/>
          <w:color w:val="auto"/>
        </w:rPr>
      </w:pPr>
      <w:r>
        <w:rPr>
          <w:rFonts w:ascii="Times New Roman" w:cs="Times New Roman" w:eastAsia="Times New Roman" w:hAnsi="Times New Roman"/>
          <w:sz w:val="18"/>
          <w:szCs w:val="18"/>
          <w:color w:val="auto"/>
        </w:rPr>
        <w:t>SECTION 2.18.</w:t>
      </w:r>
      <w:r>
        <w:rPr>
          <w:sz w:val="20"/>
          <w:szCs w:val="20"/>
          <w:color w:val="auto"/>
        </w:rPr>
        <w:tab/>
      </w:r>
      <w:r>
        <w:rPr>
          <w:rFonts w:ascii="Times New Roman" w:cs="Times New Roman" w:eastAsia="Times New Roman" w:hAnsi="Times New Roman"/>
          <w:sz w:val="16"/>
          <w:szCs w:val="16"/>
          <w:u w:val="single" w:color="auto"/>
          <w:color w:val="auto"/>
        </w:rPr>
        <w:t>Payments Generally; Pro Rata Treatment; Sharing of Setoffs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20" w:firstLine="972"/>
        <w:spacing w:after="0" w:line="245" w:lineRule="auto"/>
        <w:tabs>
          <w:tab w:leader="none" w:pos="1310"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each payment required to be made by it hereunder or under any other Loan Document (whether of principal, interest or fees (including any Make Whole/Prepayment Fee Amount), or of amounts payable under Section 2.15, 2.16 or 2.17, or otherwise) at or prior to the time expressly required hereunder or under such other Loan Document for such payment (or, if no such time is expressly required, prior to 2:00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the account as most recently designated in writing for the receipt of such payments, except that payments pursuant to Sections 2.15, 2.16, 2.17 and 9.03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All payments under each Loan Document shall be made in dollars.</w:t>
      </w:r>
    </w:p>
    <w:p>
      <w:pPr>
        <w:spacing w:after="0" w:line="195" w:lineRule="exact"/>
        <w:rPr>
          <w:rFonts w:ascii="Times New Roman" w:cs="Times New Roman" w:eastAsia="Times New Roman" w:hAnsi="Times New Roman"/>
          <w:sz w:val="18"/>
          <w:szCs w:val="18"/>
          <w:color w:val="auto"/>
        </w:rPr>
      </w:pPr>
    </w:p>
    <w:p>
      <w:pPr>
        <w:ind w:left="-20" w:right="180" w:firstLine="972"/>
        <w:spacing w:after="0" w:line="251" w:lineRule="auto"/>
        <w:tabs>
          <w:tab w:leader="none" w:pos="1323"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insufficient funds are received by and available to the Administrative Agent to pay fully all amounts of principal,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w:t>
      </w:r>
    </w:p>
    <w:p>
      <w:pPr>
        <w:spacing w:after="0" w:line="184" w:lineRule="exact"/>
        <w:rPr>
          <w:rFonts w:ascii="Times New Roman" w:cs="Times New Roman" w:eastAsia="Times New Roman" w:hAnsi="Times New Roman"/>
          <w:sz w:val="18"/>
          <w:szCs w:val="18"/>
          <w:color w:val="auto"/>
        </w:rPr>
      </w:pPr>
    </w:p>
    <w:p>
      <w:pPr>
        <w:ind w:left="1320" w:hanging="368"/>
        <w:spacing w:after="0"/>
        <w:tabs>
          <w:tab w:leader="none" w:pos="1320"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left="-20" w:right="60" w:firstLine="972"/>
        <w:spacing w:after="0" w:line="247" w:lineRule="auto"/>
        <w:tabs>
          <w:tab w:leader="none" w:pos="1323"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and in its sole discretion,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9" w:lineRule="exact"/>
        <w:rPr>
          <w:rFonts w:ascii="Times New Roman" w:cs="Times New Roman" w:eastAsia="Times New Roman" w:hAnsi="Times New Roman"/>
          <w:sz w:val="18"/>
          <w:szCs w:val="18"/>
          <w:color w:val="auto"/>
        </w:rPr>
      </w:pPr>
    </w:p>
    <w:p>
      <w:pPr>
        <w:ind w:left="-20" w:right="180" w:firstLine="972"/>
        <w:spacing w:after="0" w:line="251" w:lineRule="auto"/>
        <w:tabs>
          <w:tab w:leader="none" w:pos="1313"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fail to make any payment required to be made by it pursuant to Section 2.06, 2.18(d) or 9.03(c),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680"/>
          </w:cols>
          <w:pgMar w:left="600" w:top="266" w:right="619" w:bottom="1440" w:gutter="0" w:footer="0" w:header="0"/>
        </w:sectPr>
      </w:pPr>
    </w:p>
    <w:bookmarkStart w:id="762" w:name="page763"/>
    <w:bookmarkEnd w:id="762"/>
    <w:p>
      <w:pPr>
        <w:ind w:right="320" w:firstLine="972"/>
        <w:spacing w:after="0" w:line="249" w:lineRule="auto"/>
        <w:tabs>
          <w:tab w:leader="none" w:pos="1314" w:val="left"/>
        </w:tabs>
        <w:numPr>
          <w:ilvl w:val="1"/>
          <w:numId w:val="7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78040" cy="36830"/>
                    </a:xfrm>
                    <a:prstGeom prst="rect">
                      <a:avLst/>
                    </a:prstGeom>
                    <a:noFill/>
                  </pic:spPr>
                </pic:pic>
              </a:graphicData>
            </a:graphic>
          </wp:anchor>
        </w:drawing>
        <w:t>Notwithstanding any contrary provision set forth herein or in any other Loan Document, (i) during the continuance of an Event of Default, the Administrative Agent may, and shall upon the direction of Required Lenders apply any and all payments received by the Administrative Agent in respect of any Obligation in accordance with clauses first through sixth below; and (ii) all payments made by Loan Parties to the Administrative Agent after any or all of the Obligations under the Loan Documents have been accelerated (so long as such acceleration has not been rescinded) or have otherwise matured, including proceeds of Collateral, shall be applied as follows:</w:t>
      </w:r>
    </w:p>
    <w:p>
      <w:pPr>
        <w:spacing w:after="0" w:line="81" w:lineRule="exact"/>
        <w:rPr>
          <w:rFonts w:ascii="Times New Roman" w:cs="Times New Roman" w:eastAsia="Times New Roman" w:hAnsi="Times New Roman"/>
          <w:sz w:val="18"/>
          <w:szCs w:val="18"/>
          <w:color w:val="auto"/>
        </w:rPr>
      </w:pPr>
    </w:p>
    <w:p>
      <w:pPr>
        <w:ind w:left="440" w:right="80" w:firstLine="407"/>
        <w:spacing w:after="0" w:line="267" w:lineRule="auto"/>
        <w:tabs>
          <w:tab w:leader="none" w:pos="1191" w:val="left"/>
        </w:tabs>
        <w:numPr>
          <w:ilvl w:val="0"/>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payment of costs, expenses and indemnities of the Administrative Agent payable or reimbursable by the Loan Parties under the Loan Documents;</w:t>
      </w:r>
    </w:p>
    <w:p>
      <w:pPr>
        <w:spacing w:after="0" w:line="64" w:lineRule="exact"/>
        <w:rPr>
          <w:rFonts w:ascii="Times New Roman" w:cs="Times New Roman" w:eastAsia="Times New Roman" w:hAnsi="Times New Roman"/>
          <w:sz w:val="18"/>
          <w:szCs w:val="18"/>
          <w:color w:val="auto"/>
        </w:rPr>
      </w:pPr>
    </w:p>
    <w:p>
      <w:pPr>
        <w:ind w:left="1240" w:hanging="393"/>
        <w:spacing w:after="0"/>
        <w:tabs>
          <w:tab w:leader="none" w:pos="1240" w:val="left"/>
        </w:tabs>
        <w:numPr>
          <w:ilvl w:val="0"/>
          <w:numId w:val="7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 to payment of costs, expenses and indemnities of Lenders payable or reimbursable by the Loan Parties under this Agreement;</w:t>
      </w:r>
    </w:p>
    <w:p>
      <w:pPr>
        <w:spacing w:after="0" w:line="131" w:lineRule="exact"/>
        <w:rPr>
          <w:rFonts w:ascii="Times New Roman" w:cs="Times New Roman" w:eastAsia="Times New Roman" w:hAnsi="Times New Roman"/>
          <w:sz w:val="16"/>
          <w:szCs w:val="16"/>
          <w:color w:val="auto"/>
        </w:rPr>
      </w:pPr>
    </w:p>
    <w:p>
      <w:pPr>
        <w:ind w:left="440" w:right="320" w:firstLine="407"/>
        <w:spacing w:after="0" w:line="255" w:lineRule="auto"/>
        <w:tabs>
          <w:tab w:leader="none" w:pos="1289" w:val="left"/>
        </w:tabs>
        <w:numPr>
          <w:ilvl w:val="0"/>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payment of all accrued unpaid interest on the Obligations and fees owed to the Administrative Agent and the Lenders (whether or not accruing after the filing of any case under the Bankruptcy Code with respect to any Obligations and whether or not a claim for such post-filing or post-petition interest, fees, and charges is allowed or allowable in any such proceeding);</w:t>
      </w:r>
    </w:p>
    <w:p>
      <w:pPr>
        <w:spacing w:after="0" w:line="75" w:lineRule="exact"/>
        <w:rPr>
          <w:rFonts w:ascii="Times New Roman" w:cs="Times New Roman" w:eastAsia="Times New Roman" w:hAnsi="Times New Roman"/>
          <w:sz w:val="18"/>
          <w:szCs w:val="18"/>
          <w:color w:val="auto"/>
        </w:rPr>
      </w:pPr>
    </w:p>
    <w:p>
      <w:pPr>
        <w:ind w:left="440" w:right="160" w:firstLine="407"/>
        <w:spacing w:after="0" w:line="267" w:lineRule="auto"/>
        <w:tabs>
          <w:tab w:leader="none" w:pos="1279" w:val="left"/>
        </w:tabs>
        <w:numPr>
          <w:ilvl w:val="0"/>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payment of principal of the Obligations (including any Make Whole/Prepayment Fee Amount) then due and payable to the extent not then due and payable;</w:t>
      </w:r>
    </w:p>
    <w:p>
      <w:pPr>
        <w:spacing w:after="0" w:line="64" w:lineRule="exact"/>
        <w:rPr>
          <w:rFonts w:ascii="Times New Roman" w:cs="Times New Roman" w:eastAsia="Times New Roman" w:hAnsi="Times New Roman"/>
          <w:sz w:val="18"/>
          <w:szCs w:val="18"/>
          <w:color w:val="auto"/>
        </w:rPr>
      </w:pPr>
    </w:p>
    <w:p>
      <w:pPr>
        <w:ind w:left="1220" w:hanging="373"/>
        <w:spacing w:after="0"/>
        <w:tabs>
          <w:tab w:leader="none" w:pos="1220" w:val="left"/>
        </w:tabs>
        <w:numPr>
          <w:ilvl w:val="0"/>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fifth, to payment of any other amounts owing constituting Obligations; and</w:t>
      </w:r>
    </w:p>
    <w:p>
      <w:pPr>
        <w:spacing w:after="0" w:line="108" w:lineRule="exact"/>
        <w:rPr>
          <w:rFonts w:ascii="Times New Roman" w:cs="Times New Roman" w:eastAsia="Times New Roman" w:hAnsi="Times New Roman"/>
          <w:sz w:val="18"/>
          <w:szCs w:val="18"/>
          <w:color w:val="auto"/>
        </w:rPr>
      </w:pPr>
    </w:p>
    <w:p>
      <w:pPr>
        <w:ind w:left="1280" w:hanging="433"/>
        <w:spacing w:after="0"/>
        <w:tabs>
          <w:tab w:leader="none" w:pos="1280" w:val="left"/>
        </w:tabs>
        <w:numPr>
          <w:ilvl w:val="0"/>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any remainder shall be for the account of and paid to whoever may be lawfully entitled thereto.</w:t>
      </w:r>
    </w:p>
    <w:p>
      <w:pPr>
        <w:spacing w:after="0" w:line="21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In carrying out the foregoing, (i) amounts received shall be applied to each category in the numerical order provided until exhausted prior to the application to the immediately succeeding category, (ii) each of the Lenders or other Persons entitled to payment shall receive an amount equal to its pro rata share of amounts available to be applied pursuant to clauses third, fourth and fifth above and (iii) no payments by a Guarantor and no proceeds of Collateral of a Guarantor shall be applied to Obligations, the guaranty of which by such Guarantor would constitute an Excluded Swap Obligation. Notwithstanding the foregoing, obligations in respect of Swap Agreements with parties that are not Affiliates of the Administrative Agent shall be excluded from the application described above unless at least three Business Days prior to any distribution, the Administrative Agent has received written notice from the applicable Credit Party (or its Affiliate) of the amount of Obligations in respect of Swap Agreements or then due and payable, together with such supporting documentation as Agent may request.</w:t>
      </w:r>
    </w:p>
    <w:p>
      <w:pPr>
        <w:spacing w:after="0" w:line="291"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2.19.</w:t>
      </w:r>
      <w:r>
        <w:rPr>
          <w:sz w:val="20"/>
          <w:szCs w:val="20"/>
          <w:color w:val="auto"/>
        </w:rPr>
        <w:tab/>
      </w:r>
      <w:r>
        <w:rPr>
          <w:rFonts w:ascii="Times New Roman" w:cs="Times New Roman" w:eastAsia="Times New Roman" w:hAnsi="Times New Roman"/>
          <w:sz w:val="16"/>
          <w:szCs w:val="16"/>
          <w:u w:val="single" w:color="auto"/>
          <w:color w:val="auto"/>
        </w:rPr>
        <w:t>Mitigation Obligations; Replacement of Lenders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firstLine="972"/>
        <w:spacing w:after="0" w:line="247" w:lineRule="auto"/>
        <w:tabs>
          <w:tab w:leader="none" w:pos="1333" w:val="left"/>
        </w:tabs>
        <w:numPr>
          <w:ilvl w:val="0"/>
          <w:numId w:val="7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requests compensation under Section 2.15, or if the Borrower is required to pay any additional amount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applicable,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720"/>
          </w:cols>
          <w:pgMar w:left="580" w:top="264" w:right="599" w:bottom="1440" w:gutter="0" w:footer="0" w:header="0"/>
        </w:sectPr>
      </w:pPr>
    </w:p>
    <w:bookmarkStart w:id="763" w:name="page764"/>
    <w:bookmarkEnd w:id="763"/>
    <w:p>
      <w:pPr>
        <w:ind w:firstLine="972"/>
        <w:spacing w:after="0" w:line="277" w:lineRule="auto"/>
        <w:tabs>
          <w:tab w:leader="none" w:pos="1343" w:val="left"/>
        </w:tabs>
        <w:numPr>
          <w:ilvl w:val="1"/>
          <w:numId w:val="7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If (i) any Lender requests compensation under Section 2.15, or if the Borrower is required to pay any additional amount to any Lender or any Governmental Authority for the account of any Lender pursuant to Section 2.17, or (ii)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the Borrower shall have received the prior written consent of the Administrative Agent, which consent shall not unreasonably be withheld,</w:t>
      </w:r>
    </w:p>
    <w:p>
      <w:pPr>
        <w:spacing w:after="0" w:line="4" w:lineRule="exact"/>
        <w:rPr>
          <w:rFonts w:ascii="Times New Roman" w:cs="Times New Roman" w:eastAsia="Times New Roman" w:hAnsi="Times New Roman"/>
          <w:sz w:val="16"/>
          <w:szCs w:val="16"/>
          <w:color w:val="auto"/>
        </w:rPr>
      </w:pPr>
    </w:p>
    <w:p>
      <w:pPr>
        <w:ind w:right="20" w:firstLine="8"/>
        <w:spacing w:after="0" w:line="244" w:lineRule="auto"/>
        <w:tabs>
          <w:tab w:leader="none" w:pos="258" w:val="left"/>
        </w:tabs>
        <w:numPr>
          <w:ilvl w:val="0"/>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material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III</w:t>
      </w:r>
    </w:p>
    <w:p>
      <w:pPr>
        <w:spacing w:after="0" w:line="21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Borrower represents and warrants to the Lenders that:</w:t>
      </w:r>
    </w:p>
    <w:p>
      <w:pPr>
        <w:spacing w:after="0" w:line="213" w:lineRule="exact"/>
        <w:rPr>
          <w:sz w:val="20"/>
          <w:szCs w:val="20"/>
          <w:color w:val="auto"/>
        </w:rPr>
      </w:pPr>
    </w:p>
    <w:p>
      <w:pPr>
        <w:ind w:right="60" w:firstLine="964"/>
        <w:spacing w:after="0" w:line="247"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w:t>
      </w:r>
      <w:r>
        <w:rPr>
          <w:rFonts w:ascii="Times New Roman" w:cs="Times New Roman" w:eastAsia="Times New Roman" w:hAnsi="Times New Roman"/>
          <w:sz w:val="18"/>
          <w:szCs w:val="18"/>
          <w:color w:val="auto"/>
        </w:rPr>
        <w:t>. Each of the Borrower and the Subsidiaries (a) is duly organized or formed, validly existing and in good standing under the laws of the jurisdiction of its incorporation or organization, (b) has the power and authority and all governmental rights, qualifications, approvals, authorizations, permits, accreditations, licenses and franchises material to the business of the Borrower and the Subsidiaries taken as a whole that are necessary to own its assets, to carry on its business as now conducted and as proposed to be conducted and, in the case of the Loan Parties, to execute, deliver and perform its obligations under each Loan Document to which it is a party and (c) except where the failure to do so, individually or in the aggregate, is not reasonably likely to result in a Material Adverse Effect, is qualified to do business in, and is in good standing in, every jurisdiction where such qualification is required.</w:t>
      </w:r>
    </w:p>
    <w:p>
      <w:pPr>
        <w:spacing w:after="0" w:line="189" w:lineRule="exact"/>
        <w:rPr>
          <w:sz w:val="20"/>
          <w:szCs w:val="20"/>
          <w:color w:val="auto"/>
        </w:rPr>
      </w:pPr>
    </w:p>
    <w:p>
      <w:pPr>
        <w:ind w:right="80" w:firstLine="964"/>
        <w:spacing w:after="0" w:line="24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Transactions to be entered into by each Loan Party have been duly authorized by all necessary corporate or other action and, if required, stockholder action. This Agreement has been duly executed and delivered by the Borrower and constitutes, and each other Loan Document to which any Loan Party is to be a party, when executed and delivered by such Loan Party, will constitute, a legal, valid and binding obligation of the Borrower or such Loan Party, as applicable,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700"/>
          </w:cols>
          <w:pgMar w:left="580" w:top="265" w:right="619" w:bottom="1440" w:gutter="0" w:footer="0" w:header="0"/>
        </w:sectPr>
      </w:pPr>
    </w:p>
    <w:bookmarkStart w:id="764" w:name="page765"/>
    <w:bookmarkEnd w:id="764"/>
    <w:p>
      <w:pPr>
        <w:ind w:firstLine="964"/>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3.03</w:t>
      </w:r>
      <w:r>
        <w:rPr>
          <w:rFonts w:ascii="Times New Roman" w:cs="Times New Roman" w:eastAsia="Times New Roman" w:hAnsi="Times New Roman"/>
          <w:sz w:val="18"/>
          <w:szCs w:val="18"/>
          <w:color w:val="auto"/>
        </w:rPr>
        <w:t xml:space="preserve"> the Transactions (a) do not require any consent or approval of, registration or filing with, or any other action by, any Governmental Authority, except such as have been obtained or made and are in full force and effect and except those that are required or permitted to be obtained following consummation of the Transactions, the absence of which individually or in the aggregate are not reasonably likely to result in a Material Adverse Effect and filings necessary to perfect Liens created under the Loan Documents, (b) will not violate any Requirement of Law applicable to the Borrower or any of the Subsidiaries, as applicable, (c) will not violate or result in a default under any indenture or other material agreement or instrument binding upon the Borrower or any of the Subsidiaries or any of their assets, or give rise to a right thereunder to require any payment to be made by the Borrower or any of the Subsidiaries or give rise to a right of, or result in, termination, cancellation or acceleration of any material obligation thereunder, (d) will not result in the creation or imposition of any Lien on any asset of the Borrower or any of the Subsidiaries, except Liens created under the Loan Documents and (e) will not violate any judgment, order, decree or injunction that is binding upon any Loan Party or any of their respective properties.</w:t>
      </w:r>
    </w:p>
    <w:p>
      <w:pPr>
        <w:spacing w:after="0" w:line="294"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6"/>
          <w:szCs w:val="16"/>
          <w:u w:val="single" w:color="auto"/>
          <w:color w:val="auto"/>
        </w:rPr>
        <w:t>Financial Condition; No Material Adverse Change; Projections; No Default</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jc w:val="both"/>
        <w:ind w:right="220" w:firstLine="972"/>
        <w:spacing w:after="0" w:line="255" w:lineRule="auto"/>
        <w:tabs>
          <w:tab w:leader="none" w:pos="1330"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heretofore furnished to the Lenders the Annual Financial Statements. Such Annual Financial Statements present fairly, in all material respects, the financial position and results of operations and cash flows of the Borrower and the Subsidiaries as of such dates and for such periods in accordance with GAAP consistently applied.</w:t>
      </w:r>
    </w:p>
    <w:p>
      <w:pPr>
        <w:spacing w:after="0" w:line="180" w:lineRule="exact"/>
        <w:rPr>
          <w:rFonts w:ascii="Times New Roman" w:cs="Times New Roman" w:eastAsia="Times New Roman" w:hAnsi="Times New Roman"/>
          <w:sz w:val="18"/>
          <w:szCs w:val="18"/>
          <w:color w:val="auto"/>
        </w:rPr>
      </w:pPr>
    </w:p>
    <w:p>
      <w:pPr>
        <w:ind w:right="320" w:firstLine="972"/>
        <w:spacing w:after="0" w:line="267" w:lineRule="auto"/>
        <w:tabs>
          <w:tab w:leader="none" w:pos="1340"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heretofore furnished to the Lenders the Pro Forma Financial Statements. Such Pro Forma Financial Statements have been prepared in good faith by the Borrower.</w:t>
      </w:r>
    </w:p>
    <w:p>
      <w:pPr>
        <w:spacing w:after="0" w:line="169" w:lineRule="exact"/>
        <w:rPr>
          <w:rFonts w:ascii="Times New Roman" w:cs="Times New Roman" w:eastAsia="Times New Roman" w:hAnsi="Times New Roman"/>
          <w:sz w:val="18"/>
          <w:szCs w:val="18"/>
          <w:color w:val="auto"/>
        </w:rPr>
      </w:pPr>
    </w:p>
    <w:p>
      <w:pPr>
        <w:ind w:right="40" w:firstLine="972"/>
        <w:spacing w:after="0" w:line="251" w:lineRule="auto"/>
        <w:tabs>
          <w:tab w:leader="none" w:pos="1333"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(i) liabilities reflected in or reserved against in the financial statements referred to above or the notes thereto, (ii) liabilities incurred in the ordinary course of business and (iii) liabilities incurred in connection with the Transactions, after giving effect to the Transactions, none of the Borrower or the Subsidiaries has, as of the Effective Date, any liabilities that are, individually or in the aggregate, reasonably likely to result in a Material Adverse Effect.</w:t>
      </w:r>
    </w:p>
    <w:p>
      <w:pPr>
        <w:spacing w:after="0" w:line="184" w:lineRule="exact"/>
        <w:rPr>
          <w:rFonts w:ascii="Times New Roman" w:cs="Times New Roman" w:eastAsia="Times New Roman" w:hAnsi="Times New Roman"/>
          <w:sz w:val="18"/>
          <w:szCs w:val="18"/>
          <w:color w:val="auto"/>
        </w:rPr>
      </w:pPr>
    </w:p>
    <w:p>
      <w:pPr>
        <w:ind w:firstLine="972"/>
        <w:spacing w:after="0" w:line="267" w:lineRule="auto"/>
        <w:tabs>
          <w:tab w:leader="none" w:pos="1343"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change, condition or state of facts has occurred that has resulted in, or is reasonably likely to result in, individually or in the aggregate, a Material Adverse Effect since June 30, 2022.</w:t>
      </w:r>
    </w:p>
    <w:p>
      <w:pPr>
        <w:spacing w:after="0" w:line="169" w:lineRule="exact"/>
        <w:rPr>
          <w:rFonts w:ascii="Times New Roman" w:cs="Times New Roman" w:eastAsia="Times New Roman" w:hAnsi="Times New Roman"/>
          <w:sz w:val="18"/>
          <w:szCs w:val="18"/>
          <w:color w:val="auto"/>
        </w:rPr>
      </w:pPr>
    </w:p>
    <w:p>
      <w:pPr>
        <w:ind w:right="40" w:firstLine="972"/>
        <w:spacing w:after="0" w:line="255" w:lineRule="auto"/>
        <w:tabs>
          <w:tab w:leader="none" w:pos="1330"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have been prepared in good faith based upon assumptions believed by the Borrower to be reasonable at the time furnished, it being recognized by the Agents and the Lenders that such Projections as to future events are not to be viewed as facts and that actual results during the period or periods covered by any such Projections may differ from the projected results and such differences may be material.</w:t>
      </w:r>
    </w:p>
    <w:p>
      <w:pPr>
        <w:spacing w:after="0" w:line="180" w:lineRule="exact"/>
        <w:rPr>
          <w:rFonts w:ascii="Times New Roman" w:cs="Times New Roman" w:eastAsia="Times New Roman" w:hAnsi="Times New Roman"/>
          <w:sz w:val="18"/>
          <w:szCs w:val="18"/>
          <w:color w:val="auto"/>
        </w:rPr>
      </w:pPr>
    </w:p>
    <w:p>
      <w:pPr>
        <w:ind w:right="560" w:firstLine="972"/>
        <w:spacing w:after="0" w:line="267" w:lineRule="auto"/>
        <w:tabs>
          <w:tab w:leader="none" w:pos="1314"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exists or would immediately result from the incurrence by any Loan Party of any Indebtedness hereunder or under any other Loan Document.</w:t>
      </w:r>
    </w:p>
    <w:p>
      <w:pPr>
        <w:spacing w:after="0" w:line="169" w:lineRule="exact"/>
        <w:rPr>
          <w:rFonts w:ascii="Times New Roman" w:cs="Times New Roman" w:eastAsia="Times New Roman" w:hAnsi="Times New Roman"/>
          <w:sz w:val="18"/>
          <w:szCs w:val="18"/>
          <w:color w:val="auto"/>
        </w:rPr>
      </w:pPr>
    </w:p>
    <w:p>
      <w:pPr>
        <w:ind w:right="280" w:firstLine="972"/>
        <w:spacing w:after="0" w:line="267" w:lineRule="auto"/>
        <w:tabs>
          <w:tab w:leader="none" w:pos="1333"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Effective Date, the Borrower and its Subsidiaries have no Indebtedness other than the Google Note and Indebtedness set forth in </w:t>
      </w:r>
      <w:r>
        <w:rPr>
          <w:rFonts w:ascii="Times New Roman" w:cs="Times New Roman" w:eastAsia="Times New Roman" w:hAnsi="Times New Roman"/>
          <w:sz w:val="18"/>
          <w:szCs w:val="18"/>
          <w:u w:val="single" w:color="auto"/>
          <w:color w:val="auto"/>
        </w:rPr>
        <w:t>Schedule 6.01(iii)</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720"/>
          </w:cols>
          <w:pgMar w:left="580" w:top="265" w:right="599" w:bottom="1440" w:gutter="0" w:footer="0" w:header="0"/>
        </w:sectPr>
      </w:pPr>
    </w:p>
    <w:bookmarkStart w:id="765" w:name="page766"/>
    <w:bookmarkEnd w:id="765"/>
    <w:p>
      <w:pPr>
        <w:ind w:right="120" w:firstLine="972"/>
        <w:spacing w:after="0" w:line="278" w:lineRule="auto"/>
        <w:tabs>
          <w:tab w:leader="none" w:pos="1333" w:val="left"/>
        </w:tabs>
        <w:numPr>
          <w:ilvl w:val="1"/>
          <w:numId w:val="7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78040" cy="38100"/>
                    </a:xfrm>
                    <a:prstGeom prst="rect">
                      <a:avLst/>
                    </a:prstGeom>
                    <a:noFill/>
                  </pic:spPr>
                </pic:pic>
              </a:graphicData>
            </a:graphic>
          </wp:anchor>
        </w:drawing>
        <w:t>As of the Effective Date, other than the Loan Documents, the Borrower and its Subsidiaries are not party to any agreement or other arrangement that prohibits, restricts or imposes any condition upon (i) the ability of the Borrower or any Subsidiary to create, incur or permit to exist any Lien upon any of its property or assets or (ii) the ability of any Subsidiary to make Investments or to pay dividends or other distributions with respect to any shares of its capital stock or to make or repay loans or advances to the Borrower or any Subsidiary or to Guarantee Indebtedness of the Borrower or any other Subsidiary. The foregoing sentence shall not apply to restrictions and conditions (A) imposed by law or by any Loan Document,</w:t>
      </w:r>
    </w:p>
    <w:p>
      <w:pPr>
        <w:spacing w:after="0" w:line="2" w:lineRule="exact"/>
        <w:rPr>
          <w:rFonts w:ascii="Times New Roman" w:cs="Times New Roman" w:eastAsia="Times New Roman" w:hAnsi="Times New Roman"/>
          <w:sz w:val="16"/>
          <w:szCs w:val="16"/>
          <w:color w:val="auto"/>
        </w:rPr>
      </w:pPr>
    </w:p>
    <w:p>
      <w:pPr>
        <w:ind w:firstLine="8"/>
        <w:spacing w:after="0" w:line="277" w:lineRule="auto"/>
        <w:tabs>
          <w:tab w:leader="none" w:pos="277" w:val="left"/>
        </w:tabs>
        <w:numPr>
          <w:ilvl w:val="0"/>
          <w:numId w:val="7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existing on the Effective Date and identified on </w:t>
      </w:r>
      <w:r>
        <w:rPr>
          <w:rFonts w:ascii="Times New Roman" w:cs="Times New Roman" w:eastAsia="Times New Roman" w:hAnsi="Times New Roman"/>
          <w:sz w:val="16"/>
          <w:szCs w:val="16"/>
          <w:u w:val="single" w:color="auto"/>
          <w:color w:val="auto"/>
        </w:rPr>
        <w:t>Schedule 6.10</w:t>
      </w:r>
      <w:r>
        <w:rPr>
          <w:rFonts w:ascii="Times New Roman" w:cs="Times New Roman" w:eastAsia="Times New Roman" w:hAnsi="Times New Roman"/>
          <w:sz w:val="16"/>
          <w:szCs w:val="16"/>
          <w:color w:val="auto"/>
        </w:rPr>
        <w:t xml:space="preserve"> (but shall apply to any extension or renewal of, or any amendment or modification expanding the scope of, any such restriction or condition unless such amendment is not otherwise prohibited by </w:t>
      </w:r>
      <w:r>
        <w:rPr>
          <w:rFonts w:ascii="Times New Roman" w:cs="Times New Roman" w:eastAsia="Times New Roman" w:hAnsi="Times New Roman"/>
          <w:sz w:val="16"/>
          <w:szCs w:val="16"/>
          <w:u w:val="single" w:color="auto"/>
          <w:color w:val="auto"/>
        </w:rPr>
        <w:t>Section 6.11</w:t>
      </w:r>
      <w:r>
        <w:rPr>
          <w:rFonts w:ascii="Times New Roman" w:cs="Times New Roman" w:eastAsia="Times New Roman" w:hAnsi="Times New Roman"/>
          <w:sz w:val="16"/>
          <w:szCs w:val="16"/>
          <w:color w:val="auto"/>
        </w:rPr>
        <w:t xml:space="preserve">), (C) contained in agreements relating to the sale of a Subsidiary pending such sale,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such restrictions and conditions apply only to the Subsidiary that is to be sold and such sale is permitted hereunder, (D) imposed by any customary provisions restricting assignment of any agreement entered into the ordinary course of business, (E) imposed by any instrument or agreement governing Indebtedness of a Subsidiary acquired by the Borrower or any of the Subsidiaries as in effect at the time of such acquisition (except to the extent such Indebtedness was incurred in connection with or in contemplation of such acquisition), which encumbrance or restriction is not applicable to any Person, or the properties or assets of any such Person, other than the Person or any of its Subsidiaries, so acquired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Indebtedness was permitted by Section 6.01 to be incurred), (F) imposed by any instrument or agreement governing Indebtedness of the Borrower or any Subsidiary that is incurred or issued subsequent to the Effective Date and is permitted pursuant to Section 6.01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restrictions in such Indebtedness are not materially more restrictive in the aggregate than the restrictions contained in this Agreement) and (G) solely with respect to clause (i), customary provisions in leases restricting the assignment thereof.</w:t>
      </w:r>
    </w:p>
    <w:p>
      <w:pPr>
        <w:spacing w:after="0" w:line="200" w:lineRule="exact"/>
        <w:rPr>
          <w:sz w:val="20"/>
          <w:szCs w:val="20"/>
          <w:color w:val="auto"/>
        </w:rPr>
      </w:pPr>
    </w:p>
    <w:p>
      <w:pPr>
        <w:spacing w:after="0" w:line="284"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6"/>
          <w:szCs w:val="16"/>
          <w:u w:val="single" w:color="auto"/>
          <w:color w:val="auto"/>
        </w:rPr>
        <w:t>Properties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120" w:firstLine="972"/>
        <w:spacing w:after="0" w:line="267" w:lineRule="auto"/>
        <w:tabs>
          <w:tab w:leader="none" w:pos="1333"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 and the Subsidiaries has good title to, or valid leasehold interests in, all its real and personal property material to its business, free and clear of all Liens, except for Liens expressly permitted pursuant to Section 6.02.</w:t>
      </w:r>
    </w:p>
    <w:p>
      <w:pPr>
        <w:spacing w:after="0" w:line="169" w:lineRule="exact"/>
        <w:rPr>
          <w:rFonts w:ascii="Times New Roman" w:cs="Times New Roman" w:eastAsia="Times New Roman" w:hAnsi="Times New Roman"/>
          <w:sz w:val="18"/>
          <w:szCs w:val="18"/>
          <w:color w:val="auto"/>
        </w:rPr>
      </w:pPr>
    </w:p>
    <w:p>
      <w:pPr>
        <w:ind w:right="220" w:firstLine="972"/>
        <w:spacing w:after="0" w:line="255" w:lineRule="auto"/>
        <w:tabs>
          <w:tab w:leader="none" w:pos="1343"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 and the Subsidiaries owns, licenses or possesses the right to use all trademarks, trade names, copyrights, patents and other intellectual property material to its business, and the use thereof by the Borrower and the Subsidiaries does not, to the knowledge of the Borrower, infringe upon the rights of any other Person.</w:t>
      </w:r>
    </w:p>
    <w:p>
      <w:pPr>
        <w:spacing w:after="0" w:line="180" w:lineRule="exact"/>
        <w:rPr>
          <w:rFonts w:ascii="Times New Roman" w:cs="Times New Roman" w:eastAsia="Times New Roman" w:hAnsi="Times New Roman"/>
          <w:sz w:val="18"/>
          <w:szCs w:val="18"/>
          <w:color w:val="auto"/>
        </w:rPr>
      </w:pPr>
    </w:p>
    <w:p>
      <w:pPr>
        <w:ind w:right="540" w:firstLine="972"/>
        <w:spacing w:after="0" w:line="267" w:lineRule="auto"/>
        <w:tabs>
          <w:tab w:leader="none" w:pos="1333"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3.05</w:t>
      </w:r>
      <w:r>
        <w:rPr>
          <w:rFonts w:ascii="Times New Roman" w:cs="Times New Roman" w:eastAsia="Times New Roman" w:hAnsi="Times New Roman"/>
          <w:sz w:val="18"/>
          <w:szCs w:val="18"/>
          <w:color w:val="auto"/>
        </w:rPr>
        <w:t xml:space="preserve"> sets forth the address of each real property owned, leased or otherwise held by any of the Loan Parties as of the Effective Date after giving effect to the Transactions.</w:t>
      </w:r>
    </w:p>
    <w:p>
      <w:pPr>
        <w:spacing w:after="0" w:line="169" w:lineRule="exact"/>
        <w:rPr>
          <w:rFonts w:ascii="Times New Roman" w:cs="Times New Roman" w:eastAsia="Times New Roman" w:hAnsi="Times New Roman"/>
          <w:sz w:val="18"/>
          <w:szCs w:val="18"/>
          <w:color w:val="auto"/>
        </w:rPr>
      </w:pPr>
    </w:p>
    <w:p>
      <w:pPr>
        <w:ind w:right="240" w:firstLine="972"/>
        <w:spacing w:after="0" w:line="302" w:lineRule="auto"/>
        <w:tabs>
          <w:tab w:leader="none" w:pos="1343" w:val="left"/>
        </w:tabs>
        <w:numPr>
          <w:ilvl w:val="0"/>
          <w:numId w:val="7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Mortgage encumbers improved real property that is located in an area that has been identified by the Secretary of Housing and Urban Development as an area having special flood hazards within the meaning of the National Flood Insurance Act of 1968 unless flood insurance available under such Act has been obtained in accordance with Section 5.07 unless waived by the Administrative Agent in its sole discretion.</w:t>
      </w:r>
    </w:p>
    <w:p>
      <w:pPr>
        <w:spacing w:after="0" w:line="146" w:lineRule="exact"/>
        <w:rPr>
          <w:sz w:val="20"/>
          <w:szCs w:val="20"/>
          <w:color w:val="auto"/>
        </w:rPr>
      </w:pPr>
    </w:p>
    <w:p>
      <w:pPr>
        <w:jc w:val="both"/>
        <w:ind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 there are no actions, suits or proceedings by or before any arbitrator or Governmental Authority pending against or, to the knowledge of the Borrower, threatened in writing against or affecting the Borrower or any Subsidiary that would reasonably be likely to, individually or in the aggregate, (i) result in a Material Adverse Effect or (ii) adversely affect in any material respect the ability of the Loan Parties to consummate the Transactions or the other transactions contemplated hereby.</w:t>
      </w:r>
    </w:p>
    <w:p>
      <w:pPr>
        <w:spacing w:after="0" w:line="184" w:lineRule="exact"/>
        <w:rPr>
          <w:sz w:val="20"/>
          <w:szCs w:val="20"/>
          <w:color w:val="auto"/>
        </w:rPr>
      </w:pPr>
    </w:p>
    <w:p>
      <w:pPr>
        <w:ind w:right="40"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 and Agreements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3.07</w:t>
      </w:r>
      <w:r>
        <w:rPr>
          <w:rFonts w:ascii="Times New Roman" w:cs="Times New Roman" w:eastAsia="Times New Roman" w:hAnsi="Times New Roman"/>
          <w:sz w:val="18"/>
          <w:szCs w:val="18"/>
          <w:color w:val="auto"/>
        </w:rPr>
        <w:t>, and as is not reasonably likely to result in, individually or in the aggregate, a Material Adverse Effect, each of the Borrower and the Subsidiaries is in compliance with all Requirements of Law (including all Health Care Laws and Public Health Laws) applicable to it or its property and all indentures, agreements and other instruments binding upon it or its property.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700"/>
          </w:cols>
          <w:pgMar w:left="580" w:top="266" w:right="619" w:bottom="1440" w:gutter="0" w:footer="0" w:header="0"/>
        </w:sectPr>
      </w:pPr>
    </w:p>
    <w:bookmarkStart w:id="766" w:name="page767"/>
    <w:bookmarkEnd w:id="766"/>
    <w:p>
      <w:pPr>
        <w:ind w:right="340" w:firstLine="964"/>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No Loan Party is or is required to be registered as an “investment company” under the Investment Company Act of 1940.</w:t>
      </w:r>
    </w:p>
    <w:p>
      <w:pPr>
        <w:spacing w:after="0" w:line="170" w:lineRule="exact"/>
        <w:rPr>
          <w:sz w:val="20"/>
          <w:szCs w:val="20"/>
          <w:color w:val="auto"/>
        </w:rPr>
      </w:pPr>
    </w:p>
    <w:p>
      <w:pPr>
        <w:ind w:right="100"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of the Borrower and the Subsidiaries has filed or caused to be filed all Federal and other material Tax returns and reports required to have been filed and has paid or caused to be paid all Taxes required to have been paid by it, except (a) any Taxes that are being contested in good faith by appropriate proceedings and for which the Borrower or such Subsidiary, as applicable, has set aside on its books adequate reserves in accordance with GAAP or (b) to the extent that the failure to do so is not reasonably likely, individually or in the aggregate, to result in a Material Adverse Effect.</w:t>
      </w:r>
    </w:p>
    <w:p>
      <w:pPr>
        <w:spacing w:after="0" w:line="187" w:lineRule="exact"/>
        <w:rPr>
          <w:sz w:val="20"/>
          <w:szCs w:val="20"/>
          <w:color w:val="auto"/>
        </w:rPr>
      </w:pPr>
    </w:p>
    <w:p>
      <w:pPr>
        <w:ind w:right="200"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Event has occurred, or is reasonably likely to occur that, when taken together with all other such ERISA Events for which liability is reasonably likely to occur, is reasonably likely to result in a Material Adverse Effect. The present value of all accumulated benefit obligations under each Plan did not, as of the date of the most recent financial statements reflecting such amounts, exceed the fair value of the assets of such Plan, except as would not reasonably be likely to result in a Material Adverse Effect.</w:t>
      </w:r>
    </w:p>
    <w:p>
      <w:pPr>
        <w:spacing w:after="0" w:line="184" w:lineRule="exact"/>
        <w:rPr>
          <w:sz w:val="20"/>
          <w:szCs w:val="20"/>
          <w:color w:val="auto"/>
        </w:rPr>
      </w:pPr>
    </w:p>
    <w:p>
      <w:pPr>
        <w:ind w:firstLine="964"/>
        <w:spacing w:after="0" w:line="247"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xml:space="preserve">. As of the Effective Date, none of the other written reports, financial statements, certificates or other written information furnished by or on behalf of any Loan Party to the Administrative Agent or any Lender in connection with the negotiation of this Agreement or any other Loan Document or delivered hereunder or thereunder (as modified or supplemented by other information so furnished and taken as a whole)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any projected financial information other than the projected financial information included in such information and with respect to such projected financial information, the Borrower represents only that such information was prepared in good faith based upon assumptions believed by it to be reasonable at the time delivered.</w:t>
      </w:r>
    </w:p>
    <w:p>
      <w:pPr>
        <w:spacing w:after="0" w:line="189" w:lineRule="exact"/>
        <w:rPr>
          <w:sz w:val="20"/>
          <w:szCs w:val="20"/>
          <w:color w:val="auto"/>
        </w:rPr>
      </w:pPr>
    </w:p>
    <w:p>
      <w:pPr>
        <w:jc w:val="both"/>
        <w:ind w:right="6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As of the Effective Date, the Borrower does not have any subsidiaries other than the Subsidiaries listed on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xml:space="preserve"> sets forth the name of, and the ownership or beneficial interest of the Borrower in, each Subsidiary and identifies whether such Subsidiary is a Subsidiary Loan Party.</w:t>
      </w:r>
    </w:p>
    <w:p>
      <w:pPr>
        <w:spacing w:after="0" w:line="180" w:lineRule="exact"/>
        <w:rPr>
          <w:sz w:val="20"/>
          <w:szCs w:val="20"/>
          <w:color w:val="auto"/>
        </w:rPr>
      </w:pPr>
    </w:p>
    <w:p>
      <w:pPr>
        <w:ind w:right="4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3.13</w:t>
      </w:r>
      <w:r>
        <w:rPr>
          <w:rFonts w:ascii="Times New Roman" w:cs="Times New Roman" w:eastAsia="Times New Roman" w:hAnsi="Times New Roman"/>
          <w:sz w:val="18"/>
          <w:szCs w:val="18"/>
          <w:color w:val="auto"/>
        </w:rPr>
        <w:t xml:space="preserve"> sets forth a description of all insurance maintained by or on behalf of the Borrower and the Subsidiaries as of the Effective Date. As of the Effective Date, all premiums in respect of such insurance have been paid. The Borrower believes that the insurance maintained by or on behalf of the Borrower and the Subsidiaries is adequate.</w:t>
      </w:r>
    </w:p>
    <w:p>
      <w:pPr>
        <w:spacing w:after="0" w:line="180" w:lineRule="exact"/>
        <w:rPr>
          <w:sz w:val="20"/>
          <w:szCs w:val="20"/>
          <w:color w:val="auto"/>
        </w:rPr>
      </w:pPr>
    </w:p>
    <w:p>
      <w:pPr>
        <w:ind w:right="20" w:firstLine="964"/>
        <w:spacing w:after="0" w:line="281" w:lineRule="auto"/>
        <w:rPr>
          <w:sz w:val="20"/>
          <w:szCs w:val="20"/>
          <w:color w:val="auto"/>
        </w:rPr>
      </w:pPr>
      <w:r>
        <w:rPr>
          <w:rFonts w:ascii="Times New Roman" w:cs="Times New Roman" w:eastAsia="Times New Roman" w:hAnsi="Times New Roman"/>
          <w:sz w:val="16"/>
          <w:szCs w:val="16"/>
          <w:color w:val="auto"/>
        </w:rPr>
        <w:t xml:space="preserve">SECTION 3.14. </w:t>
      </w:r>
      <w:r>
        <w:rPr>
          <w:rFonts w:ascii="Times New Roman" w:cs="Times New Roman" w:eastAsia="Times New Roman" w:hAnsi="Times New Roman"/>
          <w:sz w:val="16"/>
          <w:szCs w:val="16"/>
          <w:u w:val="single" w:color="auto"/>
          <w:color w:val="auto"/>
        </w:rPr>
        <w:t>Labor Matters</w:t>
      </w:r>
      <w:r>
        <w:rPr>
          <w:rFonts w:ascii="Times New Roman" w:cs="Times New Roman" w:eastAsia="Times New Roman" w:hAnsi="Times New Roman"/>
          <w:sz w:val="16"/>
          <w:szCs w:val="16"/>
          <w:color w:val="auto"/>
        </w:rPr>
        <w:t xml:space="preserve">. As of the Effective Date, there are no strikes, lockouts or slowdowns against the Borrower or any Subsidiary pending or, to the knowledge of the Borrower, threatened in writing. The hours worked by and payments made to employees of the Borrower or the Subsidiaries have not been in violation of the Fair Labor Standards Act or any other applicable Federal, state, local or foreign law dealing with such matters in any manner. All payments due from the Borrower or any Subsidiary, or for which any claim may be made against the Borrower or any Subsidiary, on account of wages and employee health and welfare insurance and other benefits, have been paid or accrued as a liability on the books of the Borrower or such Subsidiary. The consummation of the Transactions will not give rise to any right of termination or right of renegotiation on the part of any union under any collective bargaining agreement to which the Borrower or any Subsidiary is bound. Set forth on </w:t>
      </w:r>
      <w:r>
        <w:rPr>
          <w:rFonts w:ascii="Times New Roman" w:cs="Times New Roman" w:eastAsia="Times New Roman" w:hAnsi="Times New Roman"/>
          <w:sz w:val="16"/>
          <w:szCs w:val="16"/>
          <w:u w:val="single" w:color="auto"/>
          <w:color w:val="auto"/>
        </w:rPr>
        <w:t>Schedule 3.14</w:t>
      </w:r>
      <w:r>
        <w:rPr>
          <w:rFonts w:ascii="Times New Roman" w:cs="Times New Roman" w:eastAsia="Times New Roman" w:hAnsi="Times New Roman"/>
          <w:sz w:val="16"/>
          <w:szCs w:val="16"/>
          <w:color w:val="auto"/>
        </w:rPr>
        <w:t xml:space="preserve"> is a list and description (including dates of termination) of all collective bargaining or similar agreements between or applicable to the Borrower or any of its Subsidiaries and any union, labor organization or other bargaining agent in respect of the employees of the Borrower or any of its Subsidiaries.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20"/>
          </w:cols>
          <w:pgMar w:left="580" w:top="266" w:right="599" w:bottom="1440" w:gutter="0" w:footer="0" w:header="0"/>
        </w:sectPr>
      </w:pPr>
    </w:p>
    <w:bookmarkStart w:id="767" w:name="page768"/>
    <w:bookmarkEnd w:id="767"/>
    <w:p>
      <w:pPr>
        <w:ind w:right="100" w:firstLine="964"/>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3.15. </w:t>
      </w:r>
      <w:r>
        <w:rPr>
          <w:rFonts w:ascii="Times New Roman" w:cs="Times New Roman" w:eastAsia="Times New Roman" w:hAnsi="Times New Roman"/>
          <w:sz w:val="18"/>
          <w:szCs w:val="18"/>
          <w:u w:val="single" w:color="auto"/>
          <w:color w:val="auto"/>
        </w:rPr>
        <w:t>Solvency. Immediately after the consummation of the Transactions to occur on the Effective Date, (a) the fair value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assets of the Borrower, and its subsidiaries, on a consolidated basis, at fair valuation, exceeds, on a consolidated basis, their debts and liabilities, subordinated, contingent or otherwise, (b) 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(c) the Borrower and its subsidiaries, on a consolidated basis, are able to pay their debts and liabilities, subordinated, contingent or otherwise, as such liabilities become absolute and matured and (d) the Borrower and its subsidiaries, on a consolidated basis, do not have unreasonably small capital with which to conduct the business in which they are engaged as such business is now conducted and is proposed to be conducted following the date hereof.</w:t>
      </w:r>
    </w:p>
    <w:p>
      <w:pPr>
        <w:spacing w:after="0" w:line="186" w:lineRule="exact"/>
        <w:rPr>
          <w:sz w:val="20"/>
          <w:szCs w:val="20"/>
          <w:color w:val="auto"/>
        </w:rPr>
      </w:pPr>
    </w:p>
    <w:p>
      <w:pPr>
        <w:ind w:right="8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 The Borrower is not engaged nor will it engage, principally or as one of its important activities, in the business of purchasing or carrying margin stock (within the meaning of Regulation U issued by the Board), or extending credit for the purpose of purchasing or carrying margin stock, and no proceeds of any Borrowings will be used for any purpose that violates Regulation U.</w:t>
      </w:r>
    </w:p>
    <w:p>
      <w:pPr>
        <w:spacing w:after="0" w:line="285"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3.17.</w:t>
      </w:r>
      <w:r>
        <w:rPr>
          <w:sz w:val="20"/>
          <w:szCs w:val="20"/>
          <w:color w:val="auto"/>
        </w:rPr>
        <w:tab/>
      </w:r>
      <w:r>
        <w:rPr>
          <w:rFonts w:ascii="Times New Roman" w:cs="Times New Roman" w:eastAsia="Times New Roman" w:hAnsi="Times New Roman"/>
          <w:sz w:val="16"/>
          <w:szCs w:val="16"/>
          <w:u w:val="single" w:color="auto"/>
          <w:color w:val="auto"/>
        </w:rPr>
        <w:t>Patriot Act</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120" w:firstLine="972"/>
        <w:spacing w:after="0" w:line="251" w:lineRule="auto"/>
        <w:tabs>
          <w:tab w:leader="none" w:pos="1333" w:val="left"/>
        </w:tabs>
        <w:numPr>
          <w:ilvl w:val="1"/>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Subsidiary is in violation of any requirement of applicable Law relating to terrorism or money laundering (“</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including Executive Order No. 13224 on Terrorist Financing, effective September 24, 2001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and the Uniting and Strengthening America by Providing Appropriate Tools Required to Intercept and Obstruct Terrorism Act of 2001, Public Law 107-56 (the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80" w:firstLine="972"/>
        <w:spacing w:after="0" w:line="267" w:lineRule="auto"/>
        <w:tabs>
          <w:tab w:leader="none" w:pos="1343" w:val="left"/>
        </w:tabs>
        <w:numPr>
          <w:ilvl w:val="1"/>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Subsidiary nor, to the knowledge of the Borrower, any broker or other agent of the Borrower or any of its Subsidiaries acting or benefiting in any capacity in connection with the Loans is any of the following:</w:t>
      </w:r>
    </w:p>
    <w:p>
      <w:pPr>
        <w:spacing w:after="0" w:line="64" w:lineRule="exact"/>
        <w:rPr>
          <w:rFonts w:ascii="Times New Roman" w:cs="Times New Roman" w:eastAsia="Times New Roman" w:hAnsi="Times New Roman"/>
          <w:sz w:val="18"/>
          <w:szCs w:val="18"/>
          <w:color w:val="auto"/>
        </w:rPr>
      </w:pPr>
    </w:p>
    <w:p>
      <w:pPr>
        <w:ind w:left="1180" w:hanging="333"/>
        <w:spacing w:after="0"/>
        <w:tabs>
          <w:tab w:leader="none" w:pos="1180" w:val="left"/>
        </w:tabs>
        <w:numPr>
          <w:ilvl w:val="0"/>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listed in the annex to, or is otherwise subject to the provisions of, the Executive Order;</w:t>
      </w:r>
    </w:p>
    <w:p>
      <w:pPr>
        <w:spacing w:after="0" w:line="108" w:lineRule="exact"/>
        <w:rPr>
          <w:rFonts w:ascii="Times New Roman" w:cs="Times New Roman" w:eastAsia="Times New Roman" w:hAnsi="Times New Roman"/>
          <w:sz w:val="18"/>
          <w:szCs w:val="18"/>
          <w:color w:val="auto"/>
        </w:rPr>
      </w:pPr>
    </w:p>
    <w:p>
      <w:pPr>
        <w:ind w:left="440" w:right="260" w:firstLine="407"/>
        <w:spacing w:after="0" w:line="267" w:lineRule="auto"/>
        <w:tabs>
          <w:tab w:leader="none" w:pos="1240" w:val="left"/>
        </w:tabs>
        <w:numPr>
          <w:ilvl w:val="0"/>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owned or controlled by, or acting for or on behalf of, any Person that is listed in the annex to, or is otherwise subject to the provisions of, the Executive Order;</w:t>
      </w:r>
    </w:p>
    <w:p>
      <w:pPr>
        <w:spacing w:after="0" w:line="64" w:lineRule="exact"/>
        <w:rPr>
          <w:rFonts w:ascii="Times New Roman" w:cs="Times New Roman" w:eastAsia="Times New Roman" w:hAnsi="Times New Roman"/>
          <w:sz w:val="18"/>
          <w:szCs w:val="18"/>
          <w:color w:val="auto"/>
        </w:rPr>
      </w:pPr>
    </w:p>
    <w:p>
      <w:pPr>
        <w:ind w:left="1280" w:hanging="433"/>
        <w:spacing w:after="0"/>
        <w:tabs>
          <w:tab w:leader="none" w:pos="1280" w:val="left"/>
        </w:tabs>
        <w:numPr>
          <w:ilvl w:val="0"/>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with which any Lender is prohibited from dealing or otherwise engaging in any transaction by any Anti-Terrorism Law;</w:t>
      </w:r>
    </w:p>
    <w:p>
      <w:pPr>
        <w:spacing w:after="0" w:line="108" w:lineRule="exact"/>
        <w:rPr>
          <w:rFonts w:ascii="Times New Roman" w:cs="Times New Roman" w:eastAsia="Times New Roman" w:hAnsi="Times New Roman"/>
          <w:sz w:val="18"/>
          <w:szCs w:val="18"/>
          <w:color w:val="auto"/>
        </w:rPr>
      </w:pPr>
    </w:p>
    <w:p>
      <w:pPr>
        <w:ind w:left="1280" w:hanging="433"/>
        <w:spacing w:after="0"/>
        <w:tabs>
          <w:tab w:leader="none" w:pos="1280" w:val="left"/>
        </w:tabs>
        <w:numPr>
          <w:ilvl w:val="0"/>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commits, threatens or conspires to commit or supports “terrorism” as defined in the Executive Order; or</w:t>
      </w:r>
    </w:p>
    <w:p>
      <w:pPr>
        <w:spacing w:after="0" w:line="108" w:lineRule="exact"/>
        <w:rPr>
          <w:rFonts w:ascii="Times New Roman" w:cs="Times New Roman" w:eastAsia="Times New Roman" w:hAnsi="Times New Roman"/>
          <w:sz w:val="18"/>
          <w:szCs w:val="18"/>
          <w:color w:val="auto"/>
        </w:rPr>
      </w:pPr>
    </w:p>
    <w:p>
      <w:pPr>
        <w:ind w:left="440" w:firstLine="407"/>
        <w:spacing w:after="0" w:line="255" w:lineRule="auto"/>
        <w:tabs>
          <w:tab w:leader="none" w:pos="1230" w:val="left"/>
        </w:tabs>
        <w:numPr>
          <w:ilvl w:val="0"/>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named as a “specially designated national and blocked person” on the most current list published by the U.S. Treasury Department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at its official website or any replacement website or other replacement official publication of such list.</w:t>
      </w:r>
    </w:p>
    <w:p>
      <w:pPr>
        <w:spacing w:after="0" w:line="180" w:lineRule="exact"/>
        <w:rPr>
          <w:rFonts w:ascii="Times New Roman" w:cs="Times New Roman" w:eastAsia="Times New Roman" w:hAnsi="Times New Roman"/>
          <w:sz w:val="18"/>
          <w:szCs w:val="18"/>
          <w:color w:val="auto"/>
        </w:rPr>
      </w:pPr>
    </w:p>
    <w:p>
      <w:pPr>
        <w:ind w:right="40" w:firstLine="972"/>
        <w:spacing w:after="0" w:line="248" w:lineRule="auto"/>
        <w:tabs>
          <w:tab w:leader="none" w:pos="1333" w:val="left"/>
        </w:tabs>
        <w:numPr>
          <w:ilvl w:val="1"/>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of its Subsidiaries and, to the knowledge of the Borrower, no broker or other agent of the Borrower or any of its Subsidiaries acting in any capacity in connection with the Loans (i) conducts any business or engages in making or receiving any contribution of funds, goods or services to or for the benefit of any person described in Section 3.17(b) above in violation of any Anti-Terrorism Law, (ii) deals in, or otherwise engages in any transaction relating to, any property or interests in property blocked pursuant to the Executive Order in violation of any Anti-Terrorism Law, or (iii) engages in or conspires to engage in any transaction that evades or avoids, or has the purpose of evading or avoiding, or attempts to violate, any of the prohibitions set forth in any Anti-Terrorism Law.</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700"/>
          </w:cols>
          <w:pgMar w:left="580" w:top="265" w:right="619" w:bottom="1440" w:gutter="0" w:footer="0" w:header="0"/>
        </w:sectPr>
      </w:pPr>
    </w:p>
    <w:bookmarkStart w:id="768" w:name="page769"/>
    <w:bookmarkEnd w:id="768"/>
    <w:p>
      <w:pPr>
        <w:ind w:right="220" w:firstLine="964"/>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78040" cy="36830"/>
                    </a:xfrm>
                    <a:prstGeom prst="rect">
                      <a:avLst/>
                    </a:prstGeom>
                    <a:noFill/>
                  </pic:spPr>
                </pic:pic>
              </a:graphicData>
            </a:graphic>
          </wp:anchor>
        </w:drawing>
        <w:t xml:space="preserve">SECTION 3.18.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The Borrower has implemented and maintains in effect policies and procedures reasonably designed to ensure compliance by the Borrower, its Subsidiaries, and their respective directors, officers, employees and agents with applicable Anti-Corruption Laws, and except as is not reasonably likely to result in, individually or in the aggregate, a Material Adverse Effect, the Borrower, its Subsidiaries and their respective officers and employees and to the knowledge of the Borrower, its directors and agents, are in compliance with Anti-Corruption Laws in all material respects. No part of the proceeds of any Loans hereunder will be used directly, by the Borrower or any Subsidiary or indirectly, to the knowledge of the Borrower, in order to obtain, retain or direct business or obtain any improper advantage, in violation of any Anti-Corruption Laws.</w:t>
      </w:r>
    </w:p>
    <w:p>
      <w:pPr>
        <w:spacing w:after="0" w:line="189" w:lineRule="exact"/>
        <w:rPr>
          <w:sz w:val="20"/>
          <w:szCs w:val="20"/>
          <w:color w:val="auto"/>
        </w:rPr>
      </w:pPr>
    </w:p>
    <w:p>
      <w:pPr>
        <w:ind w:right="20" w:firstLine="964"/>
        <w:spacing w:after="0" w:line="246"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Intellectual Property; Licenses, Etc</w:t>
      </w:r>
      <w:r>
        <w:rPr>
          <w:rFonts w:ascii="Times New Roman" w:cs="Times New Roman" w:eastAsia="Times New Roman" w:hAnsi="Times New Roman"/>
          <w:sz w:val="18"/>
          <w:szCs w:val="18"/>
          <w:color w:val="auto"/>
        </w:rPr>
        <w:t>. The Borrower and the Subsidiaries own, license or possess the right to use, all of the trademarks, service marks, trade names, domain names, copyrights, patents, patent rights, licenses, technology, software, know-how database rights, design rights and other intellectual property rights (collectively, “</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that are reasonably necessary for the operation of their respective businesses as currently conducted, and, without conflict with the rights of any Person, except to the extent such conflicts, either individually or in the aggregate, are not reasonably likely to result in a Material Adverse Effect. The Borrower and the Subsidiaries in the operation of their respective businesses as currently conducted do not infringe upon any rights held by any Person except for such infringements, individually or in the aggregate, which are not reasonably likely to result in a Material Adverse Effect. No claim or litigation regarding any of the IP Rights, owned by the Borrower or the Subsidiaries is pending or, to the knowledge of the Borrower, threatened against the Borrower or any Subsidiary in which the amount of damages claimed is $2,500,000 or more.</w:t>
      </w:r>
    </w:p>
    <w:p>
      <w:pPr>
        <w:spacing w:after="0" w:line="191" w:lineRule="exact"/>
        <w:rPr>
          <w:sz w:val="20"/>
          <w:szCs w:val="20"/>
          <w:color w:val="auto"/>
        </w:rPr>
      </w:pPr>
    </w:p>
    <w:p>
      <w:pPr>
        <w:ind w:firstLine="964"/>
        <w:spacing w:after="0" w:line="288" w:lineRule="auto"/>
        <w:rPr>
          <w:sz w:val="20"/>
          <w:szCs w:val="20"/>
          <w:color w:val="auto"/>
        </w:rPr>
      </w:pPr>
      <w:r>
        <w:rPr>
          <w:rFonts w:ascii="Times New Roman" w:cs="Times New Roman" w:eastAsia="Times New Roman" w:hAnsi="Times New Roman"/>
          <w:sz w:val="16"/>
          <w:szCs w:val="16"/>
          <w:color w:val="auto"/>
        </w:rPr>
        <w:t>Except pursuant to licenses and other user agreements entered into by the Borrower or any Subsidiary in the ordinary course of business, on and as of the date hereof (i) each such Person owns and possesses the right to use, and has done nothing to authorize or enable any other Person to use, any copyright, patent or trademark listed in Section 10(a), 10(b) or 10(c) of the Perfection Certificate and (ii) all registrations listed in Section 10(c) of the Perfection Certificate are valid and in full force and effect, except, in each case, to the extent failure to own or possess such right to use or of such registrations to be valid and in full force and effect is not reasonably likely, individually or in the aggregate, to result in a Material Adverse Effect.</w:t>
      </w:r>
    </w:p>
    <w:p>
      <w:pPr>
        <w:spacing w:after="0" w:line="156"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3.20.</w:t>
      </w:r>
      <w:r>
        <w:rPr>
          <w:sz w:val="20"/>
          <w:szCs w:val="20"/>
          <w:color w:val="auto"/>
        </w:rPr>
        <w:tab/>
      </w: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318"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3.21.</w:t>
      </w:r>
      <w:r>
        <w:rPr>
          <w:sz w:val="20"/>
          <w:szCs w:val="20"/>
          <w:color w:val="auto"/>
        </w:rPr>
        <w:tab/>
      </w:r>
      <w:r>
        <w:rPr>
          <w:rFonts w:ascii="Times New Roman" w:cs="Times New Roman" w:eastAsia="Times New Roman" w:hAnsi="Times New Roman"/>
          <w:sz w:val="16"/>
          <w:szCs w:val="16"/>
          <w:u w:val="single" w:color="auto"/>
          <w:color w:val="auto"/>
        </w:rPr>
        <w:t>Environmental Compliance</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80" w:firstLine="972"/>
        <w:spacing w:after="0" w:line="248" w:lineRule="auto"/>
        <w:tabs>
          <w:tab w:leader="none" w:pos="1333" w:val="left"/>
        </w:tabs>
        <w:numPr>
          <w:ilvl w:val="0"/>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any matters that have been resolved in compliance with Environmental Law or that, individually or in the aggregate, are not reasonably likely to result in a Material Adverse Effect, (i) neither the Borrower nor any Subsidiary has failed to comply with any Environmental Law or to obtain, maintain or comply with any required Environmental Permit or to provide any notification required under any Environmental Law or has become subject to any Environmental Liability, and (ii) neither the Borrower nor any Subsidiary has received any written notice of any claims, actions, suits, or proceedings alleging potential liability or violation of, any Environmental Law, and to Borrower’s knowledge no such claims, actions, suits or proceedings are threatened.</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660"/>
          </w:cols>
          <w:pgMar w:left="580" w:top="265" w:right="659" w:bottom="1440" w:gutter="0" w:footer="0" w:header="0"/>
        </w:sectPr>
      </w:pPr>
    </w:p>
    <w:bookmarkStart w:id="769" w:name="page770"/>
    <w:bookmarkEnd w:id="769"/>
    <w:p>
      <w:pPr>
        <w:ind w:left="-20" w:right="100" w:firstLine="972"/>
        <w:spacing w:after="0" w:line="246" w:lineRule="auto"/>
        <w:tabs>
          <w:tab w:leader="none" w:pos="1323" w:val="left"/>
        </w:tabs>
        <w:numPr>
          <w:ilvl w:val="0"/>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Except as not reasonably likely to result in, individually or in the aggregate, a Material Adverse Effect, (i) none of the properties currently or formerly owned, leased or operated by the Borrower or any of the Subsidiaries is listed or proposed for listing on the NPL or on the CERCLIS or any analogous foreign, state or local list; (ii) there are no underground storage tanks or surface impoundments, septic tanks, pits, sumps or lagoons in which Hazardous Materials are being or have been treated, stored or disposed on any property currently owned, leased or operated by the Borrower or any of the Subsidiaries, or, to the Borrower’s knowledge, on any property formerly owned or operated by the Borrower or any of its Subsidiaries; (iii) there is no asbestos or asbestos-containing material in violation of Environmental Law at or on any facility, equipment or property currently owned or operated by the Borrower or any of the Subsidiaries; and (iv) to the Borrower’s knowledge, there has been no Release of Hazardous Materials by any Person on any property currently or formerly owned, leased or operated by the Borrower or any of the Subsidiaries and there has been no Release of Hazardous Materials by the Borrower or any of the Subsidiaries at any other location.</w:t>
      </w:r>
    </w:p>
    <w:p>
      <w:pPr>
        <w:spacing w:after="0" w:line="191" w:lineRule="exact"/>
        <w:rPr>
          <w:rFonts w:ascii="Times New Roman" w:cs="Times New Roman" w:eastAsia="Times New Roman" w:hAnsi="Times New Roman"/>
          <w:sz w:val="18"/>
          <w:szCs w:val="18"/>
          <w:color w:val="auto"/>
        </w:rPr>
      </w:pPr>
    </w:p>
    <w:p>
      <w:pPr>
        <w:ind w:left="-20" w:right="40" w:firstLine="972"/>
        <w:spacing w:after="0" w:line="302" w:lineRule="auto"/>
        <w:tabs>
          <w:tab w:leader="none" w:pos="1310" w:val="left"/>
        </w:tabs>
        <w:numPr>
          <w:ilvl w:val="0"/>
          <w:numId w:val="7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Borrower’s knowledge, the properties owned, leased or operated by the Borrower or the Subsidiaries do not contain any Hazardous Materials in amounts or concentrations which (i) constitute, or constituted a violation of, or (ii) require remedial action under, Environmental Laws, which violations and remedial actions, individually or in the aggregate, are reasonably likely to result in a Material Adverse Effect.</w:t>
      </w:r>
    </w:p>
    <w:p>
      <w:pPr>
        <w:spacing w:after="0" w:line="145" w:lineRule="exact"/>
        <w:rPr>
          <w:rFonts w:ascii="Times New Roman" w:cs="Times New Roman" w:eastAsia="Times New Roman" w:hAnsi="Times New Roman"/>
          <w:sz w:val="16"/>
          <w:szCs w:val="16"/>
          <w:color w:val="auto"/>
        </w:rPr>
      </w:pPr>
    </w:p>
    <w:p>
      <w:pPr>
        <w:ind w:left="-20" w:right="20" w:firstLine="972"/>
        <w:spacing w:after="0" w:line="249" w:lineRule="auto"/>
        <w:tabs>
          <w:tab w:leader="none" w:pos="1323" w:val="left"/>
        </w:tabs>
        <w:numPr>
          <w:ilvl w:val="0"/>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Subsidiary are conducting or financing, either individually or together with other potentially responsible parties, any investigation or assessment or remedial or response action relating to any actual or threatened Release of Hazardous Materials at any site, location or operation, either voluntarily or pursuant to the order of any Governmental Authority or the requirements of any Environmental Law except for such investigation or assessment or remedial or response action that, individually or in the aggregate, is not reasonably likely to result in a Material Adverse Effect.</w:t>
      </w:r>
    </w:p>
    <w:p>
      <w:pPr>
        <w:spacing w:after="0" w:line="186" w:lineRule="exact"/>
        <w:rPr>
          <w:rFonts w:ascii="Times New Roman" w:cs="Times New Roman" w:eastAsia="Times New Roman" w:hAnsi="Times New Roman"/>
          <w:sz w:val="18"/>
          <w:szCs w:val="18"/>
          <w:color w:val="auto"/>
        </w:rPr>
      </w:pPr>
    </w:p>
    <w:p>
      <w:pPr>
        <w:ind w:left="-20" w:right="100" w:firstLine="972"/>
        <w:spacing w:after="0" w:line="255" w:lineRule="auto"/>
        <w:tabs>
          <w:tab w:leader="none" w:pos="1310" w:val="left"/>
        </w:tabs>
        <w:numPr>
          <w:ilvl w:val="0"/>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Borrower’s knowledge, all Hazardous Materials generated, used, treated, handled or stored at, or transported to or from, any property currently or formerly owned or operated by the Borrower, or any Subsidiary have been disposed of in a manner compliant with Environmental Law, except to the extent not reasonably likely to result in, individually or in the aggregate, a Material Adverse Effect.</w:t>
      </w:r>
    </w:p>
    <w:p>
      <w:pPr>
        <w:spacing w:after="0" w:line="180" w:lineRule="exact"/>
        <w:rPr>
          <w:rFonts w:ascii="Times New Roman" w:cs="Times New Roman" w:eastAsia="Times New Roman" w:hAnsi="Times New Roman"/>
          <w:sz w:val="18"/>
          <w:szCs w:val="18"/>
          <w:color w:val="auto"/>
        </w:rPr>
      </w:pPr>
    </w:p>
    <w:p>
      <w:pPr>
        <w:ind w:left="-20" w:right="300" w:firstLine="972"/>
        <w:spacing w:after="0" w:line="255" w:lineRule="auto"/>
        <w:tabs>
          <w:tab w:leader="none" w:pos="1294" w:val="left"/>
        </w:tabs>
        <w:numPr>
          <w:ilvl w:val="0"/>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environmental provisions contained within leases executed by Borrower or any Subsidiary, and except as would not be reasonably likely to result in, individually or in the aggregate, a Material Adverse Effect, neither the Borrower nor any Subsidiary has contractually assumed any liability or obligation under or relating to any Environmental Law.</w:t>
      </w:r>
    </w:p>
    <w:p>
      <w:pPr>
        <w:spacing w:after="0" w:line="285" w:lineRule="exact"/>
        <w:rPr>
          <w:sz w:val="20"/>
          <w:szCs w:val="20"/>
          <w:color w:val="auto"/>
        </w:rPr>
      </w:pPr>
    </w:p>
    <w:p>
      <w:pPr>
        <w:ind w:left="960"/>
        <w:spacing w:after="0"/>
        <w:tabs>
          <w:tab w:leader="none" w:pos="2240" w:val="left"/>
        </w:tabs>
        <w:rPr>
          <w:sz w:val="20"/>
          <w:szCs w:val="20"/>
          <w:color w:val="auto"/>
        </w:rPr>
      </w:pPr>
      <w:r>
        <w:rPr>
          <w:rFonts w:ascii="Times New Roman" w:cs="Times New Roman" w:eastAsia="Times New Roman" w:hAnsi="Times New Roman"/>
          <w:sz w:val="18"/>
          <w:szCs w:val="18"/>
          <w:color w:val="auto"/>
        </w:rPr>
        <w:t>SECTION 3.22.</w:t>
      </w:r>
      <w:r>
        <w:rPr>
          <w:sz w:val="20"/>
          <w:szCs w:val="20"/>
          <w:color w:val="auto"/>
        </w:rPr>
        <w:tab/>
      </w:r>
      <w:r>
        <w:rPr>
          <w:rFonts w:ascii="Times New Roman" w:cs="Times New Roman" w:eastAsia="Times New Roman" w:hAnsi="Times New Roman"/>
          <w:sz w:val="16"/>
          <w:szCs w:val="16"/>
          <w:u w:val="single" w:color="auto"/>
          <w:color w:val="auto"/>
        </w:rPr>
        <w:t>Health Care Regulatory Matters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20" w:firstLine="972"/>
        <w:spacing w:after="0" w:line="255" w:lineRule="auto"/>
        <w:tabs>
          <w:tab w:leader="none" w:pos="1304" w:val="left"/>
        </w:tabs>
        <w:numPr>
          <w:ilvl w:val="0"/>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each Loan Party is in compliance with, and is conducting and, for the six years preceding the Effective Date, has conducted its respective business and operations in compliance with, the requirements of all Health Care Laws and Public Health Laws, except for such noncompliance which, individually or in the aggregate, is not reasonably likely to result in a Material Adverse Effect.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700"/>
          </w:cols>
          <w:pgMar w:left="600" w:top="265" w:right="599" w:bottom="1440" w:gutter="0" w:footer="0" w:header="0"/>
        </w:sectPr>
      </w:pPr>
    </w:p>
    <w:bookmarkStart w:id="770" w:name="page771"/>
    <w:bookmarkEnd w:id="770"/>
    <w:p>
      <w:pPr>
        <w:ind w:right="20" w:firstLine="972"/>
        <w:spacing w:after="0" w:line="278" w:lineRule="auto"/>
        <w:tabs>
          <w:tab w:leader="none" w:pos="1340" w:val="left"/>
        </w:tabs>
        <w:numPr>
          <w:ilvl w:val="0"/>
          <w:numId w:val="7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Borrower and its Subsidiaries have all Registrations issued or supervised by any Public Health Regulatory Agency or other Governmental Authority required to conduct their respective businesses as currently conducted, except where the failure to have all such Registrations could not reasonably be expected to, individually or in the aggregate, result in Material Regulatory Liabilities. Each of such Registrations is valid and subsisting in full force and effect, except where the failure to be so could not reasonably be expected to, individually or in the aggregate, result in Material Regulatory Liabilities. To the knowledge of the Borrower and its Subsidiaries, none of any Public Health Regulatory Agency or any other Governmental Authority is considering limiting, suspending, or revoking such party’s submission to any Public Health Regulatory Agency or any other Governmental Authority; provided, that, in each case of the foregoing clauses, where such false or misleading information or omissions could not reasonably be expected to, individually or in the aggregate, result in Material Regulatory Liabilities and excluding any material limitations or omissions that were clearly disclosed to the recipient of a listed item. The Borrower and its Subsidiaries have not failed to fulfill and perform their obligations which are due under each Registration held by or licensed to them, and no event has occurred or condition or state of facts exists which would constitute a breach or default under any such Registration, in each case that would reasonably be expected to cause Material Regulatory Liabilities. To the knowledge of the Borrower and its Subsidiaries, any third party that is a manufacturer or contractor for the Borrower and its Subsidiaries is in compliance with all Registrations from any Public Health Regulatory Agency and any other Governmental Authority insofar as they pertain to the manufacture of product components or products or the analysis or generation of data for the Borrower and its Subsidiaries, except where the failure to so be in compliance would not reasonably be expected to, individually or in the aggregate, result in Material Regulatory Liabilities.</w:t>
      </w:r>
    </w:p>
    <w:p>
      <w:pPr>
        <w:spacing w:after="0" w:line="377" w:lineRule="exact"/>
        <w:rPr>
          <w:rFonts w:ascii="Times New Roman" w:cs="Times New Roman" w:eastAsia="Times New Roman" w:hAnsi="Times New Roman"/>
          <w:sz w:val="16"/>
          <w:szCs w:val="16"/>
          <w:color w:val="auto"/>
        </w:rPr>
      </w:pPr>
    </w:p>
    <w:p>
      <w:pPr>
        <w:ind w:right="80" w:firstLine="972"/>
        <w:spacing w:after="0" w:line="247" w:lineRule="auto"/>
        <w:tabs>
          <w:tab w:leader="none" w:pos="1324" w:val="left"/>
        </w:tabs>
        <w:numPr>
          <w:ilvl w:val="0"/>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products developed, manufactured, tested, distributed, marketed, or sold by or on behalf of the Borrower and its Subsidiaries that are subject to the jurisdiction of any Public Health Regulatory Agency or any other Governmental Authority (x) have been and are being developed, tested, manufactured, investigated, distributed, marketed, and sold in compliance with the applicable Public Health Laws or any other applicable Law, including, without limitation and to the extent applicable, in material compliance with any pre-market notification or pre-market approval requirements, good manufacturing practices, quality system requirements, labeling requirements, advertising requirements, record keeping requirements and adverse event reporting requirements, and (y) have been and are being tested, investigated, distributed, marketed, and sold in compliance with the applicable Public Health Laws or any other applicable Law, except, in each case of clauses (x) and (y), where such noncompliance would not reasonably be expected to, individually or in the aggregate, result in Material Regulatory Liabilities.</w:t>
      </w:r>
    </w:p>
    <w:p>
      <w:pPr>
        <w:spacing w:after="0" w:line="186" w:lineRule="exact"/>
        <w:rPr>
          <w:rFonts w:ascii="Times New Roman" w:cs="Times New Roman" w:eastAsia="Times New Roman" w:hAnsi="Times New Roman"/>
          <w:sz w:val="18"/>
          <w:szCs w:val="18"/>
          <w:color w:val="auto"/>
        </w:rPr>
      </w:pPr>
    </w:p>
    <w:p>
      <w:pPr>
        <w:ind w:firstLine="972"/>
        <w:spacing w:after="0" w:line="246" w:lineRule="auto"/>
        <w:tabs>
          <w:tab w:leader="none" w:pos="1340" w:val="left"/>
        </w:tabs>
        <w:numPr>
          <w:ilvl w:val="0"/>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have not received and are not subject to any administrative or regulatory action, warning letter, notice of violation letter, or other similar written notice, complaint or inquiry made by any Public Health Regulatory Agency or any other Governmental Authority asserting that the development, testing, investigation, manufacture, distribution, marketing or sale of the products of any Borrower or any of its Subsidiaries is not in compliance with any applicable law, except those noncompliance that could not reasonably be expected to, individually or in the aggregate, result in Material Regulatory Liabilities. To the extent applicable, (x) the Borrower and its Subsidiaries have made all notifications, submissions, and reports required by any such Governmental Authority, and (y) all such notifications, submissions and reports provided by the Borrower and its Subsidiaries were, to their knowledge, true, complete, and correct in all material respects as of the date of submission to any Public Health Regulatory Agency or any other Governmental Authority, except, where such failure to comply with (x) or (y) could not reasonably be expected to, individually or in the aggregate, result in Material Regulatory Liabilities.</w:t>
      </w:r>
    </w:p>
    <w:p>
      <w:pPr>
        <w:spacing w:after="0" w:line="191" w:lineRule="exact"/>
        <w:rPr>
          <w:rFonts w:ascii="Times New Roman" w:cs="Times New Roman" w:eastAsia="Times New Roman" w:hAnsi="Times New Roman"/>
          <w:sz w:val="18"/>
          <w:szCs w:val="18"/>
          <w:color w:val="auto"/>
        </w:rPr>
      </w:pPr>
    </w:p>
    <w:p>
      <w:pPr>
        <w:ind w:right="40" w:firstLine="972"/>
        <w:spacing w:after="0" w:line="247" w:lineRule="auto"/>
        <w:tabs>
          <w:tab w:leader="none" w:pos="1333" w:val="left"/>
        </w:tabs>
        <w:numPr>
          <w:ilvl w:val="0"/>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product of the Borrower or its Subsidiaries has been seized, withdrawn, recalled, detained, or subject to a suspension of manufacturing, and, to the knowledge of the Borrower, there are no facts or circumstances reasonably likely to cause (x) the seizure, denial, withdrawal, recall, detention, field notification, field correction, safety alert or suspension of manufacturing relating to any such product; (y) a material adverse change in the labeling of any such product; or (z) a termination, seizure or suspension of marketing of any such product, except, in each case, where such events could not reasonably be expected to, individually or in the aggregate, result in Material Regulatory Liabilities. No proceedings in the United States or any other jurisdiction seeking the withdrawal, recall, suspension, import detention, or seizure of any such product are pending or, to the knowledge the Borrower or its Subsidiaries, threatened against the Borrower and its Subsidiaries, except where such proceeding could not reasonably be expected to, individually or in the aggregate, result in Material Regulatory Liability.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720"/>
          </w:cols>
          <w:pgMar w:left="580" w:top="266" w:right="599" w:bottom="1440" w:gutter="0" w:footer="0" w:header="0"/>
        </w:sectPr>
      </w:pPr>
    </w:p>
    <w:bookmarkStart w:id="771" w:name="page772"/>
    <w:bookmarkEnd w:id="771"/>
    <w:p>
      <w:pPr>
        <w:ind w:firstLine="964"/>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3.23. </w:t>
      </w:r>
      <w:r>
        <w:rPr>
          <w:rFonts w:ascii="Times New Roman" w:cs="Times New Roman" w:eastAsia="Times New Roman" w:hAnsi="Times New Roman"/>
          <w:sz w:val="18"/>
          <w:szCs w:val="18"/>
          <w:u w:val="single" w:color="auto"/>
          <w:color w:val="auto"/>
        </w:rPr>
        <w:t>Deposit Accounts and Securities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3.23</w:t>
      </w:r>
      <w:r>
        <w:rPr>
          <w:rFonts w:ascii="Times New Roman" w:cs="Times New Roman" w:eastAsia="Times New Roman" w:hAnsi="Times New Roman"/>
          <w:sz w:val="18"/>
          <w:szCs w:val="18"/>
          <w:color w:val="auto"/>
        </w:rPr>
        <w:t xml:space="preserve"> sets forth a complete and accurate list as of the Effective Date of all deposit, checking, and other bank accounts, all securities and other accounts maintained with any broker dealer or other securities intermediary, and all other similar accounts maintained by each Loan Party, together with a description thereof (including the bank, broker dealer, or securities intermediary at which each such account is maintained and the account number and the purpose thereof). All such accounts shall be subject to Control Agreements to the extent required by the Collateral Agreement.</w:t>
      </w:r>
    </w:p>
    <w:p>
      <w:pPr>
        <w:spacing w:after="0" w:line="187" w:lineRule="exact"/>
        <w:rPr>
          <w:sz w:val="20"/>
          <w:szCs w:val="20"/>
          <w:color w:val="auto"/>
        </w:rPr>
      </w:pPr>
    </w:p>
    <w:p>
      <w:pPr>
        <w:ind w:right="38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Term Loans will used by the Borrower on the Effective Date for the purposes specified in Section 5.11 of this Agreement.</w:t>
      </w:r>
    </w:p>
    <w:p>
      <w:pPr>
        <w:spacing w:after="0" w:line="170" w:lineRule="exact"/>
        <w:rPr>
          <w:sz w:val="20"/>
          <w:szCs w:val="20"/>
          <w:color w:val="auto"/>
        </w:rPr>
      </w:pPr>
    </w:p>
    <w:p>
      <w:pPr>
        <w:ind w:right="160"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Absence of Undisclosed Liabilities</w:t>
      </w:r>
      <w:r>
        <w:rPr>
          <w:rFonts w:ascii="Times New Roman" w:cs="Times New Roman" w:eastAsia="Times New Roman" w:hAnsi="Times New Roman"/>
          <w:sz w:val="18"/>
          <w:szCs w:val="18"/>
          <w:color w:val="auto"/>
        </w:rPr>
        <w:t>. Neither the Borrower nor any Subsidiary has any Liabilities or obligations of any nature (whether known or unknown, accrued, absolute, contingent or otherwise, and whether due or to become due), whether based on strict liability, negligence, breach of warranty (express or implied), other than Liabilities (a) accrued, reflected or reserved against in the Annual Financial Statements dated December 31, 2021 or (b) that are current liabilities incurred in the ordinary course of business of the Borrower and its Subsidiaries since December 31, 2021.</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Conditions</w:t>
      </w:r>
    </w:p>
    <w:p>
      <w:pPr>
        <w:spacing w:after="0" w:line="213" w:lineRule="exact"/>
        <w:rPr>
          <w:sz w:val="20"/>
          <w:szCs w:val="20"/>
          <w:color w:val="auto"/>
        </w:rPr>
      </w:pPr>
    </w:p>
    <w:p>
      <w:pPr>
        <w:ind w:right="32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obligations of the Lenders to make Loans hereunder shall not become effective until the date on which each of the following conditions is satisfied (or waived):</w:t>
      </w:r>
    </w:p>
    <w:p>
      <w:pPr>
        <w:spacing w:after="0" w:line="170" w:lineRule="exact"/>
        <w:rPr>
          <w:sz w:val="20"/>
          <w:szCs w:val="20"/>
          <w:color w:val="auto"/>
        </w:rPr>
      </w:pPr>
    </w:p>
    <w:p>
      <w:pPr>
        <w:ind w:left="1340" w:hanging="368"/>
        <w:spacing w:after="0"/>
        <w:tabs>
          <w:tab w:leader="none" w:pos="1340" w:val="left"/>
        </w:tabs>
        <w:numPr>
          <w:ilvl w:val="0"/>
          <w:numId w:val="7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not have occurred a Material Adverse Effect on the Borrower and its Subsidiaries, taken as a whole, since June 30, 2022.</w:t>
      </w:r>
    </w:p>
    <w:p>
      <w:pPr>
        <w:spacing w:after="0" w:line="236" w:lineRule="exact"/>
        <w:rPr>
          <w:rFonts w:ascii="Times New Roman" w:cs="Times New Roman" w:eastAsia="Times New Roman" w:hAnsi="Times New Roman"/>
          <w:sz w:val="16"/>
          <w:szCs w:val="16"/>
          <w:color w:val="auto"/>
        </w:rPr>
      </w:pPr>
    </w:p>
    <w:p>
      <w:pPr>
        <w:ind w:firstLine="972"/>
        <w:spacing w:after="0" w:line="267" w:lineRule="auto"/>
        <w:tabs>
          <w:tab w:leader="none" w:pos="1340"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unaudited consolidated balance sheets and related statements of income and cash flows of the Borrower for the fiscal quarter ending June 30, 2022.</w:t>
      </w:r>
    </w:p>
    <w:p>
      <w:pPr>
        <w:spacing w:after="0" w:line="169" w:lineRule="exact"/>
        <w:rPr>
          <w:rFonts w:ascii="Times New Roman" w:cs="Times New Roman" w:eastAsia="Times New Roman" w:hAnsi="Times New Roman"/>
          <w:sz w:val="18"/>
          <w:szCs w:val="18"/>
          <w:color w:val="auto"/>
        </w:rPr>
      </w:pPr>
    </w:p>
    <w:p>
      <w:pPr>
        <w:ind w:right="360" w:firstLine="972"/>
        <w:spacing w:after="0" w:line="267" w:lineRule="auto"/>
        <w:tabs>
          <w:tab w:leader="none" w:pos="1330"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financial projections for the Borrower and its subsidiaries for the three year period following the Effective Date.</w:t>
      </w:r>
    </w:p>
    <w:p>
      <w:pPr>
        <w:spacing w:after="0" w:line="169" w:lineRule="exact"/>
        <w:rPr>
          <w:rFonts w:ascii="Times New Roman" w:cs="Times New Roman" w:eastAsia="Times New Roman" w:hAnsi="Times New Roman"/>
          <w:sz w:val="18"/>
          <w:szCs w:val="18"/>
          <w:color w:val="auto"/>
        </w:rPr>
      </w:pPr>
    </w:p>
    <w:p>
      <w:pPr>
        <w:ind w:right="120" w:firstLine="972"/>
        <w:spacing w:after="0" w:line="255" w:lineRule="auto"/>
        <w:tabs>
          <w:tab w:leader="none" w:pos="1340"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from each party hereto either (i) a counterpart of this Agreement signed on behalf of such party or (ii) written evidence satisfactory to the Administrative Agent (which may include telecopy transmission of a signed signature page of this Agreement) that such party has signed a counterpart of this Agreement.</w:t>
      </w:r>
    </w:p>
    <w:p>
      <w:pPr>
        <w:spacing w:after="0" w:line="180" w:lineRule="exact"/>
        <w:rPr>
          <w:rFonts w:ascii="Times New Roman" w:cs="Times New Roman" w:eastAsia="Times New Roman" w:hAnsi="Times New Roman"/>
          <w:sz w:val="18"/>
          <w:szCs w:val="18"/>
          <w:color w:val="auto"/>
        </w:rPr>
      </w:pPr>
    </w:p>
    <w:p>
      <w:pPr>
        <w:ind w:right="100" w:firstLine="972"/>
        <w:spacing w:after="0" w:line="267" w:lineRule="auto"/>
        <w:tabs>
          <w:tab w:leader="none" w:pos="1330"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Borrowing Request in substantially the form attached as Exhibit E, which shall have been delivered in accordance with the requirements hereof.</w:t>
      </w:r>
    </w:p>
    <w:p>
      <w:pPr>
        <w:spacing w:after="0" w:line="169" w:lineRule="exact"/>
        <w:rPr>
          <w:rFonts w:ascii="Times New Roman" w:cs="Times New Roman" w:eastAsia="Times New Roman" w:hAnsi="Times New Roman"/>
          <w:sz w:val="18"/>
          <w:szCs w:val="18"/>
          <w:color w:val="auto"/>
        </w:rPr>
      </w:pPr>
    </w:p>
    <w:p>
      <w:pPr>
        <w:ind w:left="1320" w:hanging="348"/>
        <w:spacing w:after="0"/>
        <w:tabs>
          <w:tab w:leader="none" w:pos="1320"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the Confidential Disclosure Letter.</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720"/>
          </w:cols>
          <w:pgMar w:left="580" w:top="265" w:right="599" w:bottom="1440" w:gutter="0" w:footer="0" w:header="0"/>
        </w:sectPr>
      </w:pPr>
    </w:p>
    <w:bookmarkStart w:id="772" w:name="page773"/>
    <w:bookmarkEnd w:id="772"/>
    <w:p>
      <w:pPr>
        <w:ind w:left="-40" w:right="220" w:firstLine="972"/>
        <w:spacing w:after="0" w:line="255" w:lineRule="auto"/>
        <w:tabs>
          <w:tab w:leader="none" w:pos="1300" w:val="left"/>
        </w:tabs>
        <w:numPr>
          <w:ilvl w:val="2"/>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683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78040" cy="36830"/>
                    </a:xfrm>
                    <a:prstGeom prst="rect">
                      <a:avLst/>
                    </a:prstGeom>
                    <a:noFill/>
                  </pic:spPr>
                </pic:pic>
              </a:graphicData>
            </a:graphic>
          </wp:anchor>
        </w:drawing>
        <w:t>The Administrative Agent shall have received a written opinion (addressed to the Administrative Agent and the Lenders and dated the Effective Date) of Cooley LLP, counsel for the Borrower in form reasonably satisfactory to the Administrative Agent, and covering such matters relating to the Loan Parties, the Loan Documents or the Transactions as the Administrative Agent shall reasonably request.</w:t>
      </w:r>
    </w:p>
    <w:p>
      <w:pPr>
        <w:spacing w:after="0" w:line="180" w:lineRule="exact"/>
        <w:rPr>
          <w:rFonts w:ascii="Times New Roman" w:cs="Times New Roman" w:eastAsia="Times New Roman" w:hAnsi="Times New Roman"/>
          <w:sz w:val="18"/>
          <w:szCs w:val="18"/>
          <w:color w:val="auto"/>
        </w:rPr>
      </w:pPr>
    </w:p>
    <w:p>
      <w:pPr>
        <w:ind w:left="1300" w:hanging="368"/>
        <w:spacing w:after="0"/>
        <w:tabs>
          <w:tab w:leader="none" w:pos="1300" w:val="left"/>
        </w:tabs>
        <w:numPr>
          <w:ilvl w:val="2"/>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w:t>
      </w:r>
    </w:p>
    <w:p>
      <w:pPr>
        <w:spacing w:after="0" w:line="213" w:lineRule="exact"/>
        <w:rPr>
          <w:rFonts w:ascii="Times New Roman" w:cs="Times New Roman" w:eastAsia="Times New Roman" w:hAnsi="Times New Roman"/>
          <w:sz w:val="18"/>
          <w:szCs w:val="18"/>
          <w:color w:val="auto"/>
        </w:rPr>
      </w:pPr>
    </w:p>
    <w:p>
      <w:pPr>
        <w:ind w:left="-40" w:firstLine="972"/>
        <w:spacing w:after="0" w:line="331" w:lineRule="auto"/>
        <w:tabs>
          <w:tab w:leader="none" w:pos="1261" w:val="left"/>
        </w:tabs>
        <w:numPr>
          <w:ilvl w:val="2"/>
          <w:numId w:val="7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charter, articles or certificate of organization or incorporation or comparable document of each Loan Party, certified as of a recent date prior to the Effective Date by the Secretary of State (or comparable public official) of such Person’s jurisdiction of incorporation or formation;</w:t>
      </w:r>
    </w:p>
    <w:p>
      <w:pPr>
        <w:spacing w:after="0" w:line="17" w:lineRule="exact"/>
        <w:rPr>
          <w:rFonts w:ascii="Times New Roman" w:cs="Times New Roman" w:eastAsia="Times New Roman" w:hAnsi="Times New Roman"/>
          <w:sz w:val="16"/>
          <w:szCs w:val="16"/>
          <w:color w:val="auto"/>
        </w:rPr>
      </w:pPr>
    </w:p>
    <w:p>
      <w:pPr>
        <w:ind w:left="400" w:right="40" w:firstLine="407"/>
        <w:spacing w:after="0" w:line="267" w:lineRule="auto"/>
        <w:tabs>
          <w:tab w:leader="none" w:pos="1142" w:val="left"/>
        </w:tabs>
        <w:numPr>
          <w:ilvl w:val="1"/>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(or comparable certificate) for each Loan Party, certified as of a recent date prior to the Effective Date by the Secretary of State (or comparable public official) of such Person’s jurisdiction of incorporation or formation; and</w:t>
      </w:r>
    </w:p>
    <w:p>
      <w:pPr>
        <w:spacing w:after="0" w:line="64" w:lineRule="exact"/>
        <w:rPr>
          <w:rFonts w:ascii="Times New Roman" w:cs="Times New Roman" w:eastAsia="Times New Roman" w:hAnsi="Times New Roman"/>
          <w:sz w:val="18"/>
          <w:szCs w:val="18"/>
          <w:color w:val="auto"/>
        </w:rPr>
      </w:pPr>
    </w:p>
    <w:p>
      <w:pPr>
        <w:ind w:left="1180" w:hanging="373"/>
        <w:spacing w:after="0"/>
        <w:tabs>
          <w:tab w:leader="none" w:pos="1180" w:val="left"/>
        </w:tabs>
        <w:numPr>
          <w:ilvl w:val="1"/>
          <w:numId w:val="7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certificate of the Secretary or an Assistant Secretary (or comparable officer) of each Loan Party, dated the Effective Date, certifying</w:t>
      </w:r>
    </w:p>
    <w:p>
      <w:pPr>
        <w:spacing w:after="0" w:line="43" w:lineRule="exact"/>
        <w:rPr>
          <w:rFonts w:ascii="Times New Roman" w:cs="Times New Roman" w:eastAsia="Times New Roman" w:hAnsi="Times New Roman"/>
          <w:sz w:val="16"/>
          <w:szCs w:val="16"/>
          <w:color w:val="auto"/>
        </w:rPr>
      </w:pPr>
    </w:p>
    <w:p>
      <w:pPr>
        <w:ind w:left="400" w:right="80" w:hanging="4"/>
        <w:spacing w:after="0" w:line="244" w:lineRule="auto"/>
        <w:tabs>
          <w:tab w:leader="none" w:pos="687" w:val="left"/>
        </w:tabs>
        <w:numPr>
          <w:ilvl w:val="0"/>
          <w:numId w:val="7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attached thereto is a true and correct copy of (x) the charter, articles or certificate of organization or incorporation or comparable document and (y) bylaws or other organizational or governing documents of such Person as in effect on the Effective Date; (B) that attached thereto are true and correct copies of resolutions duly adopted by the board of directors or other governing body of such Person and continuing in effect, which authorize the execution, delivery and performance by such Person each Loan Document executed or to be executed by such Person and the consummation of the transactions contemplated thereby; and (C) the incumbency, signatures and authority of the officers of such Person authorized to execute, deliver and perform the Loan Documents to be executed by such Person.</w:t>
      </w:r>
    </w:p>
    <w:p>
      <w:pPr>
        <w:spacing w:after="0" w:line="84" w:lineRule="exact"/>
        <w:rPr>
          <w:rFonts w:ascii="Times New Roman" w:cs="Times New Roman" w:eastAsia="Times New Roman" w:hAnsi="Times New Roman"/>
          <w:sz w:val="18"/>
          <w:szCs w:val="18"/>
          <w:color w:val="auto"/>
        </w:rPr>
      </w:pPr>
    </w:p>
    <w:p>
      <w:pPr>
        <w:ind w:left="400" w:right="80" w:firstLine="407"/>
        <w:spacing w:after="0" w:line="251" w:lineRule="auto"/>
        <w:tabs>
          <w:tab w:leader="none" w:pos="1245" w:val="left"/>
        </w:tabs>
        <w:numPr>
          <w:ilvl w:val="1"/>
          <w:numId w:val="7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from a Financial Officer of the Borrower confirming of the absence of any material action, suit, investigation or proceeding, pending or threatened, that is reasonably likely to result in a Material Adverse Effect or could materially affect (i) the ability of the Borrower or any Subsidiary to perform its obligations under the Loan Documents or (ii) the rights and remedies of the Lenders and Agents under the Loan Documents.</w:t>
      </w:r>
    </w:p>
    <w:p>
      <w:pPr>
        <w:spacing w:after="0" w:line="184" w:lineRule="exact"/>
        <w:rPr>
          <w:rFonts w:ascii="Times New Roman" w:cs="Times New Roman" w:eastAsia="Times New Roman" w:hAnsi="Times New Roman"/>
          <w:sz w:val="18"/>
          <w:szCs w:val="18"/>
          <w:color w:val="auto"/>
        </w:rPr>
      </w:pPr>
    </w:p>
    <w:p>
      <w:pPr>
        <w:ind w:left="-40" w:right="320" w:firstLine="972"/>
        <w:spacing w:after="0" w:line="267" w:lineRule="auto"/>
        <w:tabs>
          <w:tab w:leader="none" w:pos="1261" w:val="left"/>
        </w:tabs>
        <w:numPr>
          <w:ilvl w:val="2"/>
          <w:numId w:val="7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from a Financial Officer in substantially the form attached as Exhibit J hereto, certifying that the Borrower and the Subsidiaries, on a consolidated basis after giving effect to the Transactions, are solvent.</w:t>
      </w:r>
    </w:p>
    <w:p>
      <w:pPr>
        <w:spacing w:after="0" w:line="169" w:lineRule="exact"/>
        <w:rPr>
          <w:rFonts w:ascii="Times New Roman" w:cs="Times New Roman" w:eastAsia="Times New Roman" w:hAnsi="Times New Roman"/>
          <w:sz w:val="18"/>
          <w:szCs w:val="18"/>
          <w:color w:val="auto"/>
        </w:rPr>
      </w:pPr>
    </w:p>
    <w:p>
      <w:pPr>
        <w:ind w:left="-40" w:right="220" w:firstLine="972"/>
        <w:spacing w:after="0" w:line="267" w:lineRule="auto"/>
        <w:tabs>
          <w:tab w:leader="none" w:pos="1300" w:val="left"/>
        </w:tabs>
        <w:numPr>
          <w:ilvl w:val="2"/>
          <w:numId w:val="7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from a Financial Officer of the Borrower, confirming satisfaction of the conditions set forth in Sections 4.01(o) and (p).</w:t>
      </w:r>
    </w:p>
    <w:p>
      <w:pPr>
        <w:spacing w:after="0" w:line="169" w:lineRule="exact"/>
        <w:rPr>
          <w:rFonts w:ascii="Times New Roman" w:cs="Times New Roman" w:eastAsia="Times New Roman" w:hAnsi="Times New Roman"/>
          <w:sz w:val="18"/>
          <w:szCs w:val="18"/>
          <w:color w:val="auto"/>
        </w:rPr>
      </w:pPr>
    </w:p>
    <w:p>
      <w:pPr>
        <w:ind w:left="-40" w:right="20" w:firstLine="972"/>
        <w:spacing w:after="0" w:line="251" w:lineRule="auto"/>
        <w:tabs>
          <w:tab w:leader="none" w:pos="1264" w:val="left"/>
        </w:tabs>
        <w:numPr>
          <w:ilvl w:val="2"/>
          <w:numId w:val="7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requested at least ten Business Days prior to the Effective Date, the Lenders and the Administrative Agent shall have received, at least five days prior to the Effective Date, a duly executed IRS Form W-9 (or other applicable tax form) and all documentation and other information required by regulatory authorities concerning the Loan Parties under applicable “</w:t>
      </w:r>
      <w:r>
        <w:rPr>
          <w:rFonts w:ascii="Times New Roman" w:cs="Times New Roman" w:eastAsia="Times New Roman" w:hAnsi="Times New Roman"/>
          <w:sz w:val="18"/>
          <w:szCs w:val="18"/>
          <w:u w:val="single" w:color="auto"/>
          <w:color w:val="auto"/>
        </w:rPr>
        <w:t>know your customer</w:t>
      </w:r>
      <w:r>
        <w:rPr>
          <w:rFonts w:ascii="Times New Roman" w:cs="Times New Roman" w:eastAsia="Times New Roman" w:hAnsi="Times New Roman"/>
          <w:sz w:val="18"/>
          <w:szCs w:val="18"/>
          <w:color w:val="auto"/>
        </w:rPr>
        <w:t>” and anti-money laundering rules and regulations, including, without limitation, the USA Patriot Act.</w:t>
      </w:r>
    </w:p>
    <w:p>
      <w:pPr>
        <w:spacing w:after="0" w:line="184" w:lineRule="exact"/>
        <w:rPr>
          <w:rFonts w:ascii="Times New Roman" w:cs="Times New Roman" w:eastAsia="Times New Roman" w:hAnsi="Times New Roman"/>
          <w:sz w:val="18"/>
          <w:szCs w:val="18"/>
          <w:color w:val="auto"/>
        </w:rPr>
      </w:pPr>
    </w:p>
    <w:p>
      <w:pPr>
        <w:ind w:left="-40" w:right="60" w:firstLine="972"/>
        <w:spacing w:after="0" w:line="267" w:lineRule="auto"/>
        <w:tabs>
          <w:tab w:leader="none" w:pos="1352" w:val="left"/>
        </w:tabs>
        <w:numPr>
          <w:ilvl w:val="2"/>
          <w:numId w:val="7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all fees and expenses required to be paid on the Effective Date shall have been paid, to the extent invoiced in reasonable detail with supporting documentation, from the proceeds of the initial funding under this Agreement.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660"/>
          </w:cols>
          <w:pgMar w:left="620" w:top="266" w:right="619" w:bottom="1440" w:gutter="0" w:footer="0" w:header="0"/>
        </w:sectPr>
      </w:pPr>
    </w:p>
    <w:bookmarkStart w:id="773" w:name="page774"/>
    <w:bookmarkEnd w:id="773"/>
    <w:p>
      <w:pPr>
        <w:ind w:firstLine="972"/>
        <w:spacing w:after="0" w:line="293" w:lineRule="auto"/>
        <w:tabs>
          <w:tab w:leader="none" w:pos="1340" w:val="left"/>
        </w:tabs>
        <w:numPr>
          <w:ilvl w:val="0"/>
          <w:numId w:val="7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78040" cy="36830"/>
                    </a:xfrm>
                    <a:prstGeom prst="rect">
                      <a:avLst/>
                    </a:prstGeom>
                    <a:noFill/>
                  </pic:spPr>
                </pic:pic>
              </a:graphicData>
            </a:graphic>
          </wp:anchor>
        </w:drawing>
        <w:t>The Collateral Agent shall have, for the benefit of the Lenders, a first priority security interest (subject to Permitted Encumbrances) in all Collateral in which a lien can be perfected by (i) the filing of a Uniform Commercial Code financing statement, and/or (ii) in the case of Equity Interests or other certificated security of the Borrower and the Subsidiary Loan Parties, possession of such Equity Interests or other certificated securities and the Collateral Agent shall have received (i) the duly executed Perfection Certificate and (ii) the duly executed Collateral Agreement.</w:t>
      </w:r>
    </w:p>
    <w:p>
      <w:pPr>
        <w:spacing w:after="0" w:line="151" w:lineRule="exact"/>
        <w:rPr>
          <w:rFonts w:ascii="Times New Roman" w:cs="Times New Roman" w:eastAsia="Times New Roman" w:hAnsi="Times New Roman"/>
          <w:sz w:val="16"/>
          <w:szCs w:val="16"/>
          <w:color w:val="auto"/>
        </w:rPr>
      </w:pPr>
    </w:p>
    <w:p>
      <w:pPr>
        <w:ind w:firstLine="972"/>
        <w:spacing w:after="0" w:line="248" w:lineRule="auto"/>
        <w:tabs>
          <w:tab w:leader="none" w:pos="1340" w:val="left"/>
        </w:tabs>
        <w:numPr>
          <w:ilvl w:val="0"/>
          <w:numId w:val="7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Loan Party set forth in the Loan Documents shall be true and correct in all material respects (except to the extent any such representation or warranty is qualified by “materially”, “Material Adverse Effect” or a similar term, in which case such representation and warranty shall be true and correct in all respects) on and as of the date of such Borrowing, except to the extent such representations and warranties expressly relate to an earlier date (in which case such representations and warranties shall be true and correct in all material respects (except to the extent any such representation or warranty is qualified by “materially”, “Material Adverse Effect” or a similar term, in which case such representation and warranty shall be true and correct in all respects) as of such earlier date).</w:t>
      </w:r>
    </w:p>
    <w:p>
      <w:pPr>
        <w:spacing w:after="0" w:line="187" w:lineRule="exact"/>
        <w:rPr>
          <w:rFonts w:ascii="Times New Roman" w:cs="Times New Roman" w:eastAsia="Times New Roman" w:hAnsi="Times New Roman"/>
          <w:sz w:val="18"/>
          <w:szCs w:val="18"/>
          <w:color w:val="auto"/>
        </w:rPr>
      </w:pPr>
    </w:p>
    <w:p>
      <w:pPr>
        <w:ind w:right="140" w:firstLine="972"/>
        <w:spacing w:after="0" w:line="267" w:lineRule="auto"/>
        <w:tabs>
          <w:tab w:leader="none" w:pos="1333" w:val="left"/>
        </w:tabs>
        <w:numPr>
          <w:ilvl w:val="0"/>
          <w:numId w:val="7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the Borrowing of the Term Loans on the Effective Date, no Default or Event of Default shall have occurred and be continuing.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shall notify the Borrower and the Lenders of the Effective Date, and such notice shall be conclusive and binding.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13" w:lineRule="exact"/>
        <w:rPr>
          <w:sz w:val="20"/>
          <w:szCs w:val="20"/>
          <w:color w:val="auto"/>
        </w:rPr>
      </w:pPr>
    </w:p>
    <w:p>
      <w:pPr>
        <w:ind w:right="180" w:firstLine="428"/>
        <w:spacing w:after="0" w:line="267" w:lineRule="auto"/>
        <w:rPr>
          <w:sz w:val="20"/>
          <w:szCs w:val="20"/>
          <w:color w:val="auto"/>
        </w:rPr>
      </w:pPr>
      <w:r>
        <w:rPr>
          <w:rFonts w:ascii="Times New Roman" w:cs="Times New Roman" w:eastAsia="Times New Roman" w:hAnsi="Times New Roman"/>
          <w:sz w:val="18"/>
          <w:szCs w:val="18"/>
          <w:color w:val="auto"/>
        </w:rPr>
        <w:t>Until the Commitments have expired or been terminated and the principal of and interest on each Loan and all fees, expenses and other amounts payable under any Loan Document shall have been paid in full, each of the Borrower covenants and agrees with the Lenders that:</w:t>
      </w:r>
    </w:p>
    <w:p>
      <w:pPr>
        <w:spacing w:after="0" w:line="170" w:lineRule="exact"/>
        <w:rPr>
          <w:sz w:val="20"/>
          <w:szCs w:val="20"/>
          <w:color w:val="auto"/>
        </w:rPr>
      </w:pPr>
    </w:p>
    <w:p>
      <w:pPr>
        <w:ind w:right="10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The Borrower will furnish to the Administrative Agent (for distribution to each Lender):</w:t>
      </w:r>
    </w:p>
    <w:p>
      <w:pPr>
        <w:spacing w:after="0" w:line="170" w:lineRule="exact"/>
        <w:rPr>
          <w:sz w:val="20"/>
          <w:szCs w:val="20"/>
          <w:color w:val="auto"/>
        </w:rPr>
      </w:pPr>
    </w:p>
    <w:p>
      <w:pPr>
        <w:ind w:right="20" w:firstLine="972"/>
        <w:spacing w:after="0" w:line="282" w:lineRule="auto"/>
        <w:tabs>
          <w:tab w:leader="none" w:pos="1333" w:val="left"/>
        </w:tabs>
        <w:numPr>
          <w:ilvl w:val="0"/>
          <w:numId w:val="7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(x) 150 days after the end of the fiscal year ended December 31, 2022 and (y) 120 days after the end of each fiscal year of the Borrower thereafter, in each case, subject to any SEC Extension (if applicable), its audited consolidated balance sheet as of the end of such fiscal year and statements of operations, changes in stockholders’ equity and cash flows for such fiscal year, and the related notes thereto, and setting forth in each case in comparative form the figures for the previous fiscal year, all reported on by an independent public accountant of recognized national standing (without a “going concern” or like qualification or exception (other than a disclosure, an exception or a qualification solely resulting from (1) the impending maturity of any Indebtedness or (2) an actual Default under the Financial Performance Covenants) and without any qualification or exception as to the scope of such audit) to the effect that such consolidated financial statements present fairly in all material respects the financial condition and results of operations of the Borrower and the Subsidiaries on a consolidated basis in accordance with GAAP consistently applied;</w:t>
      </w:r>
    </w:p>
    <w:p>
      <w:pPr>
        <w:spacing w:after="0" w:line="161" w:lineRule="exact"/>
        <w:rPr>
          <w:rFonts w:ascii="Times New Roman" w:cs="Times New Roman" w:eastAsia="Times New Roman" w:hAnsi="Times New Roman"/>
          <w:sz w:val="16"/>
          <w:szCs w:val="16"/>
          <w:color w:val="auto"/>
        </w:rPr>
      </w:pPr>
    </w:p>
    <w:p>
      <w:pPr>
        <w:ind w:right="60" w:firstLine="972"/>
        <w:spacing w:after="0" w:line="248" w:lineRule="auto"/>
        <w:tabs>
          <w:tab w:leader="none" w:pos="1343" w:val="left"/>
        </w:tabs>
        <w:numPr>
          <w:ilvl w:val="0"/>
          <w:numId w:val="7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after the end of each fiscal quarter of the Borrower, commencing with the fiscal quarter ended September 30, 2022, in each case, subject to any SEC Extension (if applicable) its consolidated balance sheet as of the end of such fiscal quarter, and statements of operations and changes in stockholders’ equity, in each case for such fiscal quarter, and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and results of operations of the Borrower and the Subsidiaries on a consolidated basis in accordance with GAAP consistently applied, subject to normal year-end audit adjustments and the absence of footnotes;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720"/>
          </w:cols>
          <w:pgMar w:left="580" w:top="265" w:right="599" w:bottom="1440" w:gutter="0" w:footer="0" w:header="0"/>
        </w:sectPr>
      </w:pPr>
    </w:p>
    <w:bookmarkStart w:id="774" w:name="page775"/>
    <w:bookmarkEnd w:id="774"/>
    <w:p>
      <w:pPr>
        <w:ind w:right="80" w:firstLine="972"/>
        <w:spacing w:after="0" w:line="267" w:lineRule="auto"/>
        <w:tabs>
          <w:tab w:leader="none" w:pos="1333" w:val="left"/>
        </w:tabs>
        <w:numPr>
          <w:ilvl w:val="0"/>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prior to an IPO, within 35 days after the end of each of the first two months of each fiscal quarter of the Borrower, commencing with the month ending August 31, 2022, monthly reports;</w:t>
      </w:r>
    </w:p>
    <w:p>
      <w:pPr>
        <w:spacing w:after="0" w:line="169" w:lineRule="exact"/>
        <w:rPr>
          <w:rFonts w:ascii="Times New Roman" w:cs="Times New Roman" w:eastAsia="Times New Roman" w:hAnsi="Times New Roman"/>
          <w:sz w:val="18"/>
          <w:szCs w:val="18"/>
          <w:color w:val="auto"/>
        </w:rPr>
      </w:pPr>
    </w:p>
    <w:p>
      <w:pPr>
        <w:ind w:right="40" w:firstLine="972"/>
        <w:spacing w:after="0" w:line="251" w:lineRule="auto"/>
        <w:tabs>
          <w:tab w:leader="none" w:pos="1343" w:val="left"/>
        </w:tabs>
        <w:numPr>
          <w:ilvl w:val="0"/>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any delivery of financial statements under Section 5.01(a) or in the case of the first three fiscal quarters of each fiscal year in 5.01(b), a certificate of a Financial Officer (i) certifying as to whether a Default or Event of Default has occurred and, if a Default or Event of Default has occurred, specifying the details thereof and any action taken or proposed to be taken with respect thereto and (ii) setting forth reasonably detailed calculations demonstrating compliance with the Financial Performance Covenants;</w:t>
      </w:r>
    </w:p>
    <w:p>
      <w:pPr>
        <w:spacing w:after="0" w:line="184" w:lineRule="exact"/>
        <w:rPr>
          <w:rFonts w:ascii="Times New Roman" w:cs="Times New Roman" w:eastAsia="Times New Roman" w:hAnsi="Times New Roman"/>
          <w:sz w:val="18"/>
          <w:szCs w:val="18"/>
          <w:color w:val="auto"/>
        </w:rPr>
      </w:pPr>
    </w:p>
    <w:p>
      <w:pPr>
        <w:ind w:right="60" w:firstLine="972"/>
        <w:spacing w:after="0" w:line="255" w:lineRule="auto"/>
        <w:tabs>
          <w:tab w:leader="none" w:pos="1333" w:val="left"/>
        </w:tabs>
        <w:numPr>
          <w:ilvl w:val="0"/>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after the commencement of each fiscal year of the Borrower, a detailed consolidated budget for such fiscal year (including a projected consolidated balance sheet and consolidated statements of projected operations and cash flows as of the end of and for such fiscal year);</w:t>
      </w:r>
    </w:p>
    <w:p>
      <w:pPr>
        <w:spacing w:after="0" w:line="180" w:lineRule="exact"/>
        <w:rPr>
          <w:rFonts w:ascii="Times New Roman" w:cs="Times New Roman" w:eastAsia="Times New Roman" w:hAnsi="Times New Roman"/>
          <w:sz w:val="18"/>
          <w:szCs w:val="18"/>
          <w:color w:val="auto"/>
        </w:rPr>
      </w:pPr>
    </w:p>
    <w:p>
      <w:pPr>
        <w:ind w:left="1320" w:hanging="348"/>
        <w:spacing w:after="0"/>
        <w:tabs>
          <w:tab w:leader="none" w:pos="1320" w:val="left"/>
        </w:tabs>
        <w:numPr>
          <w:ilvl w:val="0"/>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firstLine="972"/>
        <w:spacing w:after="0" w:line="267" w:lineRule="auto"/>
        <w:tabs>
          <w:tab w:leader="none" w:pos="1343" w:val="left"/>
        </w:tabs>
        <w:numPr>
          <w:ilvl w:val="0"/>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periodic and other reports, proxy statements and other materials filed by the Borrower or any Subsidiary with the SEC or with any national securities exchange, as applicable;</w:t>
      </w:r>
    </w:p>
    <w:p>
      <w:pPr>
        <w:spacing w:after="0" w:line="169" w:lineRule="exact"/>
        <w:rPr>
          <w:rFonts w:ascii="Times New Roman" w:cs="Times New Roman" w:eastAsia="Times New Roman" w:hAnsi="Times New Roman"/>
          <w:sz w:val="18"/>
          <w:szCs w:val="18"/>
          <w:color w:val="auto"/>
        </w:rPr>
      </w:pPr>
    </w:p>
    <w:p>
      <w:pPr>
        <w:ind w:left="1360" w:hanging="388"/>
        <w:spacing w:after="0"/>
        <w:tabs>
          <w:tab w:leader="none" w:pos="1360" w:val="left"/>
        </w:tabs>
        <w:numPr>
          <w:ilvl w:val="0"/>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13" w:lineRule="exact"/>
        <w:rPr>
          <w:rFonts w:ascii="Times New Roman" w:cs="Times New Roman" w:eastAsia="Times New Roman" w:hAnsi="Times New Roman"/>
          <w:sz w:val="18"/>
          <w:szCs w:val="18"/>
          <w:color w:val="auto"/>
        </w:rPr>
      </w:pPr>
    </w:p>
    <w:p>
      <w:pPr>
        <w:ind w:right="60" w:firstLine="972"/>
        <w:spacing w:after="0" w:line="255" w:lineRule="auto"/>
        <w:tabs>
          <w:tab w:leader="none" w:pos="1304" w:val="left"/>
        </w:tabs>
        <w:numPr>
          <w:ilvl w:val="0"/>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written request therefor, such other information regarding the operations, business affairs and financial condition of the Borrower, any Subsidiary or any Plan, or compliance with the terms of any Loan Document, as the Administrative Agent or any Lender through the Administrative Agent may reasonably request, in each case subject to the limitations set forth herein.</w:t>
      </w:r>
    </w:p>
    <w:p>
      <w:pPr>
        <w:spacing w:after="0" w:line="18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this Section 5.01 may be satisfied with respect to information of the Borrower or any Subsidiary by furnishing the applicable financial statements of the Borrower (or any direct or indirect parent of the Borrower) Form 10-K, 10-Q or 8-K, as applicable, filed with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clauses (A) and (B), (i) to the extent such information relates to a parent of the Borrower, such information is accompanied by consolidating information that explains in reasonable detail the differences between the information relating to the Borrower (or such parent), on the one hand, and the information relating to the Borrower on a standalone basis, on the other hand and (ii) to the extent such information is in lieu of information required to be provided under Section 5.01(a), such materials are accompanied by a report and opinion of PricewaterhouseCoopers LLP or such other firm reasonably acceptable to the Administrative Agent or any other independent registered public accounting firm reasonably determined to be of nationally recognized standing, which report and opinion shall be prepared in accordance with generally accepted auditing standards and shall not be subject to any “</w:t>
      </w:r>
      <w:r>
        <w:rPr>
          <w:rFonts w:ascii="Times New Roman" w:cs="Times New Roman" w:eastAsia="Times New Roman" w:hAnsi="Times New Roman"/>
          <w:sz w:val="18"/>
          <w:szCs w:val="18"/>
          <w:u w:val="single" w:color="auto"/>
          <w:color w:val="auto"/>
        </w:rPr>
        <w:t>going concern</w:t>
      </w:r>
      <w:r>
        <w:rPr>
          <w:rFonts w:ascii="Times New Roman" w:cs="Times New Roman" w:eastAsia="Times New Roman" w:hAnsi="Times New Roman"/>
          <w:sz w:val="18"/>
          <w:szCs w:val="18"/>
          <w:color w:val="auto"/>
        </w:rPr>
        <w:t>” or like qualification or exception (other than solely resulting from (1) the impending maturity of any Indebtedness or (2) an Default under the Financial Performance Covenants) or any qualification or exception as to the scope of such audit.</w:t>
      </w:r>
    </w:p>
    <w:p>
      <w:pPr>
        <w:spacing w:after="0" w:line="196" w:lineRule="exact"/>
        <w:rPr>
          <w:sz w:val="20"/>
          <w:szCs w:val="20"/>
          <w:color w:val="auto"/>
        </w:rPr>
      </w:pPr>
    </w:p>
    <w:p>
      <w:pPr>
        <w:jc w:val="both"/>
        <w:ind w:right="260"/>
        <w:spacing w:after="0" w:line="302" w:lineRule="auto"/>
        <w:rPr>
          <w:sz w:val="20"/>
          <w:szCs w:val="20"/>
          <w:color w:val="auto"/>
        </w:rPr>
      </w:pPr>
      <w:r>
        <w:rPr>
          <w:rFonts w:ascii="Times New Roman" w:cs="Times New Roman" w:eastAsia="Times New Roman" w:hAnsi="Times New Roman"/>
          <w:sz w:val="16"/>
          <w:szCs w:val="16"/>
          <w:color w:val="auto"/>
        </w:rPr>
        <w:t>Documents required to be delivered pursuant to Section 5.01(a), (b) or (f) (to the extent any such documents are included in materials otherwise filed with the SEC) may be delivered electronically and if so delivered, shall be deemed to have been delivered on the date on which the Borrower notifies the Administrative Agent that it has filed such documents on the SEC’s EDGAR system (or any successor system adopted by the SEC).</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720"/>
          </w:cols>
          <w:pgMar w:left="580" w:top="265" w:right="599" w:bottom="1440" w:gutter="0" w:footer="0" w:header="0"/>
        </w:sectPr>
      </w:pPr>
    </w:p>
    <w:bookmarkStart w:id="775" w:name="page776"/>
    <w:bookmarkEnd w:id="775"/>
    <w:p>
      <w:pPr>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Notwithstanding anything to the contrary herein, neither Borrower nor any Subsidiary shall be required to deliver, disclose, permit the inspection, examination or making of copies of or excerpts from, or any discussion of, any document, information, or other matter (i) that constitutes a non-financial trade secret or non-financial proprietary information, (ii) in respect of which disclosure to the Administrative Agent (or any Lender (or their respective representatives or contractors)) is prohibited by applicable law, fiduciary duty or binding agreement, (iii) that is subject to attorney-client or similar privilege or constitutes attorney work product or (iv) with respect to which any Loan Party or any Subsidiary owes confidentiality obligations (to the extent not created in contemplation of such Loan Party’s or Subsidiary’s obligations under this Section 5.01) to any third party.</w:t>
      </w:r>
    </w:p>
    <w:p>
      <w:pPr>
        <w:spacing w:after="0" w:line="187" w:lineRule="exact"/>
        <w:rPr>
          <w:sz w:val="20"/>
          <w:szCs w:val="20"/>
          <w:color w:val="auto"/>
        </w:rPr>
      </w:pPr>
    </w:p>
    <w:p>
      <w:pPr>
        <w:ind w:right="28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The Borrower will furnish to the Administrative Agent (for distribution to each Lender), written notice of the following promptly after obtaining knowledge thereof:</w:t>
      </w:r>
    </w:p>
    <w:p>
      <w:pPr>
        <w:spacing w:after="0" w:line="170" w:lineRule="exact"/>
        <w:rPr>
          <w:sz w:val="20"/>
          <w:szCs w:val="20"/>
          <w:color w:val="auto"/>
        </w:rPr>
      </w:pPr>
    </w:p>
    <w:p>
      <w:pPr>
        <w:ind w:right="200" w:firstLine="972"/>
        <w:spacing w:after="0" w:line="267" w:lineRule="auto"/>
        <w:tabs>
          <w:tab w:leader="none" w:pos="1333" w:val="left"/>
        </w:tabs>
        <w:numPr>
          <w:ilvl w:val="0"/>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or Event of Default, which notice shall specify the nature thereof, the period of existence thereof and what action the applicable Loan Parties propose to take with respect thereto;</w:t>
      </w:r>
    </w:p>
    <w:p>
      <w:pPr>
        <w:spacing w:after="0" w:line="169" w:lineRule="exact"/>
        <w:rPr>
          <w:rFonts w:ascii="Times New Roman" w:cs="Times New Roman" w:eastAsia="Times New Roman" w:hAnsi="Times New Roman"/>
          <w:sz w:val="18"/>
          <w:szCs w:val="18"/>
          <w:color w:val="auto"/>
        </w:rPr>
      </w:pPr>
    </w:p>
    <w:p>
      <w:pPr>
        <w:ind w:right="160" w:firstLine="972"/>
        <w:spacing w:after="0" w:line="246" w:lineRule="auto"/>
        <w:tabs>
          <w:tab w:leader="none" w:pos="1343" w:val="left"/>
        </w:tabs>
        <w:numPr>
          <w:ilvl w:val="0"/>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five (5) Business Days after an authorized officer of any Loan Party or any of its Subsidiaries obtains knowledge thereof, notice from an authorized officer of the Borrower of (i) the commencement of, or any material development in, any litigation, action, proceeding or labor controversy or proceeding affecting any Loan Party or any Subsidiary of any Loan Party or its respective property (including in respect of Environmental Laws and the Borrower’s and its Subsidiaries’ intellectual property) (A) in which the amount of damages could reasonably be expected to exceed $5,000,000, (B) which is reasonably likely to result in a Material Adverse Effect, or (C) which purports to affect the legality, validity or enforceability of any Loan Document or (ii) the occurrence of any material adverse development with respect to any litigation, action, proceeding or labor controversy described in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 and, in each case together with a statement of an authorized officer of the Borrower, which notice shall specify the nature thereof, and what actions the applicable Loan Parties propose to take with respect thereto, and, to the extent the Collateral Agent requests, copies of all documentation related thereto;</w:t>
      </w:r>
    </w:p>
    <w:p>
      <w:pPr>
        <w:spacing w:after="0" w:line="191" w:lineRule="exact"/>
        <w:rPr>
          <w:rFonts w:ascii="Times New Roman" w:cs="Times New Roman" w:eastAsia="Times New Roman" w:hAnsi="Times New Roman"/>
          <w:sz w:val="18"/>
          <w:szCs w:val="18"/>
          <w:color w:val="auto"/>
        </w:rPr>
      </w:pPr>
    </w:p>
    <w:p>
      <w:pPr>
        <w:ind w:left="1340" w:hanging="368"/>
        <w:spacing w:after="0"/>
        <w:tabs>
          <w:tab w:leader="none" w:pos="1340" w:val="left"/>
        </w:tabs>
        <w:numPr>
          <w:ilvl w:val="0"/>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which could reasonably be expected to result in a Material Adverse Effect;</w:t>
      </w:r>
    </w:p>
    <w:p>
      <w:pPr>
        <w:spacing w:after="0" w:line="213" w:lineRule="exact"/>
        <w:rPr>
          <w:rFonts w:ascii="Times New Roman" w:cs="Times New Roman" w:eastAsia="Times New Roman" w:hAnsi="Times New Roman"/>
          <w:sz w:val="18"/>
          <w:szCs w:val="18"/>
          <w:color w:val="auto"/>
        </w:rPr>
      </w:pPr>
    </w:p>
    <w:p>
      <w:pPr>
        <w:ind w:right="100" w:firstLine="972"/>
        <w:spacing w:after="0" w:line="293" w:lineRule="auto"/>
        <w:tabs>
          <w:tab w:leader="none" w:pos="1343" w:val="left"/>
        </w:tabs>
        <w:numPr>
          <w:ilvl w:val="0"/>
          <w:numId w:val="7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five (5) Business Days after any Loan Party obtains knowledge of the occurrence of a material breach or default or notice of termination by any party under, or material amendment entered into by any party to, any document or agreement in respect of Subordinated Indebtedness (including, without limitation, the Google Note), a statement of an authorized officer of the Borrower setting forth details of such material breach or default or notice of termination and the actions taken or to be taken with respect thereto and, if applicable, a copy of such amendment;</w:t>
      </w:r>
    </w:p>
    <w:p>
      <w:pPr>
        <w:spacing w:after="0" w:line="151" w:lineRule="exact"/>
        <w:rPr>
          <w:rFonts w:ascii="Times New Roman" w:cs="Times New Roman" w:eastAsia="Times New Roman" w:hAnsi="Times New Roman"/>
          <w:sz w:val="16"/>
          <w:szCs w:val="16"/>
          <w:color w:val="auto"/>
        </w:rPr>
      </w:pPr>
    </w:p>
    <w:p>
      <w:pPr>
        <w:ind w:right="800" w:firstLine="972"/>
        <w:spacing w:after="0" w:line="267" w:lineRule="auto"/>
        <w:tabs>
          <w:tab w:leader="none" w:pos="1333" w:val="left"/>
        </w:tabs>
        <w:numPr>
          <w:ilvl w:val="0"/>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after, receipt thereof, copies of all “management letters” submitted to any Loan Party by the independent public accountants referred to in Section 5.01 in connection with each audit made by such accountants;</w:t>
      </w:r>
    </w:p>
    <w:p>
      <w:pPr>
        <w:spacing w:after="0" w:line="169" w:lineRule="exact"/>
        <w:rPr>
          <w:rFonts w:ascii="Times New Roman" w:cs="Times New Roman" w:eastAsia="Times New Roman" w:hAnsi="Times New Roman"/>
          <w:sz w:val="18"/>
          <w:szCs w:val="18"/>
          <w:color w:val="auto"/>
        </w:rPr>
      </w:pPr>
    </w:p>
    <w:p>
      <w:pPr>
        <w:ind w:right="20" w:firstLine="972"/>
        <w:spacing w:after="0" w:line="255" w:lineRule="auto"/>
        <w:tabs>
          <w:tab w:leader="none" w:pos="1314" w:val="left"/>
        </w:tabs>
        <w:numPr>
          <w:ilvl w:val="0"/>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becoming aware thereof, notice (whether involuntary or voluntary) of the bankruptcy, insolvency, reorganization of any Loan Party, or the appointment of any trustee in connection with or anticipation of any such occurrence, or the taking of any step by any Person in furtherance of any such action or occurrence;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720"/>
          </w:cols>
          <w:pgMar w:left="580" w:top="265" w:right="599" w:bottom="1440" w:gutter="0" w:footer="0" w:header="0"/>
        </w:sectPr>
      </w:pPr>
    </w:p>
    <w:bookmarkStart w:id="776" w:name="page777"/>
    <w:bookmarkEnd w:id="776"/>
    <w:p>
      <w:pPr>
        <w:ind w:right="140" w:firstLine="972"/>
        <w:spacing w:after="0" w:line="281" w:lineRule="auto"/>
        <w:tabs>
          <w:tab w:leader="none" w:pos="1343" w:val="left"/>
        </w:tabs>
        <w:numPr>
          <w:ilvl w:val="1"/>
          <w:numId w:val="7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78040" cy="36830"/>
                    </a:xfrm>
                    <a:prstGeom prst="rect">
                      <a:avLst/>
                    </a:prstGeom>
                    <a:noFill/>
                  </pic:spPr>
                </pic:pic>
              </a:graphicData>
            </a:graphic>
          </wp:anchor>
        </w:drawing>
        <w:t>promptly upon the receipt thereof, any written notice received by the Borrower or any Subsidiary that the FDA or other comparable Governmental Authority (including any Public Health Regulatory Agency) is (i) limiting, suspending or revoking any Registration of the Borrower or any Subsidiary, (ii) changing the market classification or labeling of the products of the Borrower or any Subsidiary under any such Registration,</w:t>
      </w:r>
    </w:p>
    <w:p>
      <w:pPr>
        <w:spacing w:after="0" w:line="1" w:lineRule="exact"/>
        <w:rPr>
          <w:rFonts w:ascii="Times New Roman" w:cs="Times New Roman" w:eastAsia="Times New Roman" w:hAnsi="Times New Roman"/>
          <w:sz w:val="16"/>
          <w:szCs w:val="16"/>
          <w:color w:val="auto"/>
        </w:rPr>
      </w:pPr>
    </w:p>
    <w:p>
      <w:pPr>
        <w:ind w:right="160" w:firstLine="8"/>
        <w:spacing w:after="0" w:line="244" w:lineRule="auto"/>
        <w:tabs>
          <w:tab w:leader="none" w:pos="306" w:val="left"/>
        </w:tabs>
        <w:numPr>
          <w:ilvl w:val="0"/>
          <w:numId w:val="7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any of the foregoing, or (iv) considering or implementing any other such regulatory action either directly or indirectly involving the Borrower or any Subsidiary or their products, except where the regulatory action is focused on the further manufacturing, processing, packaging/repackaging, labeling/relabeling, marketing, use, or distribution of products by customers of the Borrower or any Subsidiary or other downstream purchasers or recipients; provided that, in each case of the foregoing clauses (i) through (iv), where such action is not reasonably likely to result in (x) an obligation in excess of $5,000,000, individually or in the aggregate, or (y) a Material Adverse Effect;</w:t>
      </w:r>
    </w:p>
    <w:p>
      <w:pPr>
        <w:spacing w:after="0" w:line="190" w:lineRule="exact"/>
        <w:rPr>
          <w:rFonts w:ascii="Times New Roman" w:cs="Times New Roman" w:eastAsia="Times New Roman" w:hAnsi="Times New Roman"/>
          <w:sz w:val="18"/>
          <w:szCs w:val="18"/>
          <w:color w:val="auto"/>
        </w:rPr>
      </w:pPr>
    </w:p>
    <w:p>
      <w:pPr>
        <w:ind w:firstLine="972"/>
        <w:spacing w:after="0" w:line="245" w:lineRule="auto"/>
        <w:tabs>
          <w:tab w:leader="none" w:pos="1343" w:val="left"/>
        </w:tabs>
        <w:numPr>
          <w:ilvl w:val="1"/>
          <w:numId w:val="7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receipt thereof, (i) any FDA Section 305 notice of hearing before report of criminal violation (21 U.S.C. § 335) or other written notice regarding the planned or actual institution of criminal proceedings against the Borrower or any Subsidiary, (ii) any written notice from any Governmental Authority proposing or threatening that any product of the Borrower or any Subsidiary will become the subject of seizure, embargo, withdrawal of marketing authorization, recall, detention, or suspension of manufacturing, (iii) any FDA warning letter, untitled letter, or Form FDA 483 notice of inspectional observations, and/or other similar written notice, complaint or inquiry made by the FDA or any comparable Governmental Authority (including any Public Health Regulatory Agency) asserting that the manufacture, distribution, marketing or sale of the products of the Borrower or any Subsidiary is not in compliance with any applicable law, (iv) any written notice asserting that a product of the Borrower or any Subsidiary has been or is being seized, embargoed, withdrawn, recalled, detained, or subject to a suspension of manufacturing by any Governmental Authority, or (v) any written notice of the commencement, or the threatened commencement, of any proceedings in the United States or any other applicable jurisdiction seeking the withdrawal, recall, suspension, import detention, or seizure of any product of any of the Borrower or any Subsidiary, except, in each case of the foregoing clauses (i) through (v), where such action could not reasonably be expected to result in (x) an obligation in excess of $5,000,000, individually or in the aggregate, or (y) a Material Adverse Effect;</w:t>
      </w:r>
    </w:p>
    <w:p>
      <w:pPr>
        <w:spacing w:after="0" w:line="195" w:lineRule="exact"/>
        <w:rPr>
          <w:rFonts w:ascii="Times New Roman" w:cs="Times New Roman" w:eastAsia="Times New Roman" w:hAnsi="Times New Roman"/>
          <w:sz w:val="18"/>
          <w:szCs w:val="18"/>
          <w:color w:val="auto"/>
        </w:rPr>
      </w:pPr>
    </w:p>
    <w:p>
      <w:pPr>
        <w:ind w:right="20" w:firstLine="972"/>
        <w:spacing w:after="0" w:line="251" w:lineRule="auto"/>
        <w:tabs>
          <w:tab w:leader="none" w:pos="1304" w:val="left"/>
        </w:tabs>
        <w:numPr>
          <w:ilvl w:val="1"/>
          <w:numId w:val="7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delivery of the financial information pursuant to Section 5.01(a), (b) or (c), information regarding any material amendment to the organizational documents of any Loan Party or changes in accounting or financial reporting practices, fiscal years or fiscal quarters of the Loan Parties, a certificate, certifying to the extent of any change from a prior certification, from an authorized officer of the Borrower notifying the Agents of such amendment and attaching thereto any relevant documentation in connection therewith; and</w:t>
      </w:r>
    </w:p>
    <w:p>
      <w:pPr>
        <w:spacing w:after="0" w:line="184" w:lineRule="exact"/>
        <w:rPr>
          <w:rFonts w:ascii="Times New Roman" w:cs="Times New Roman" w:eastAsia="Times New Roman" w:hAnsi="Times New Roman"/>
          <w:sz w:val="18"/>
          <w:szCs w:val="18"/>
          <w:color w:val="auto"/>
        </w:rPr>
      </w:pPr>
    </w:p>
    <w:p>
      <w:pPr>
        <w:ind w:left="1320" w:hanging="348"/>
        <w:spacing w:after="0"/>
        <w:tabs>
          <w:tab w:leader="none" w:pos="1320" w:val="left"/>
        </w:tabs>
        <w:numPr>
          <w:ilvl w:val="1"/>
          <w:numId w:val="7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development that results in, or is reasonably likely, individually or in the aggregate, to result in, a Material Adverse Effect.</w:t>
      </w:r>
    </w:p>
    <w:p>
      <w:pPr>
        <w:spacing w:after="0" w:line="236" w:lineRule="exact"/>
        <w:rPr>
          <w:sz w:val="20"/>
          <w:szCs w:val="20"/>
          <w:color w:val="auto"/>
        </w:rPr>
      </w:pPr>
    </w:p>
    <w:p>
      <w:pPr>
        <w:ind w:right="380"/>
        <w:spacing w:after="0" w:line="331" w:lineRule="auto"/>
        <w:rPr>
          <w:sz w:val="20"/>
          <w:szCs w:val="20"/>
          <w:color w:val="auto"/>
        </w:rPr>
      </w:pPr>
      <w:r>
        <w:rPr>
          <w:rFonts w:ascii="Times New Roman" w:cs="Times New Roman" w:eastAsia="Times New Roman" w:hAnsi="Times New Roman"/>
          <w:sz w:val="16"/>
          <w:szCs w:val="16"/>
          <w:color w:val="auto"/>
        </w:rPr>
        <w:t>Each notice delivered under this Section 5.02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228"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6"/>
          <w:szCs w:val="16"/>
          <w:u w:val="single" w:color="auto"/>
          <w:color w:val="auto"/>
        </w:rPr>
        <w:t>Information Regarding Collateral</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20" w:firstLine="972"/>
        <w:spacing w:after="0" w:line="249" w:lineRule="auto"/>
        <w:tabs>
          <w:tab w:leader="none" w:pos="1330" w:val="left"/>
        </w:tabs>
        <w:numPr>
          <w:ilvl w:val="0"/>
          <w:numId w:val="7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furnish to the Collateral Agent prompt written notice (but in no event later than 10 days following such change) of any change (i) in any Loan Party’s legal name, (ii) in the jurisdiction of incorporation or organization of any Loan Party or (iii) in any Loan Party’s organizational identification number. The Borrower agrees not to effect or permit any change referred to in the preceding sentence unless all filings have been made under the Uniform Commercial Code or otherwise that are required in order for the Collateral Agent to continue at all times following such change to have a valid, legal and perfected security interest in all the Collateral.</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700"/>
          </w:cols>
          <w:pgMar w:left="580" w:top="265" w:right="619" w:bottom="1440" w:gutter="0" w:footer="0" w:header="0"/>
        </w:sectPr>
      </w:pPr>
    </w:p>
    <w:bookmarkStart w:id="777" w:name="page778"/>
    <w:bookmarkEnd w:id="777"/>
    <w:p>
      <w:pPr>
        <w:ind w:firstLine="972"/>
        <w:spacing w:after="0" w:line="251" w:lineRule="auto"/>
        <w:tabs>
          <w:tab w:leader="none" w:pos="1343" w:val="left"/>
        </w:tabs>
        <w:numPr>
          <w:ilvl w:val="0"/>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Each year, at the time of delivery of annual financial statements pursuant to Section 5.01(a), the Borrower shall deliver to the Collateral Agent a certificate executed by a Financial Officer of the Borrower setting forth the information required pursuant to the Perfection Certificate or confirming that there has been no change in such information since the date of the Perfection Certificate delivered on the Effective Date or the date of the most recent certificate delivered pursuant to this Section 5.03.</w:t>
      </w:r>
    </w:p>
    <w:p>
      <w:pPr>
        <w:spacing w:after="0" w:line="184" w:lineRule="exact"/>
        <w:rPr>
          <w:sz w:val="20"/>
          <w:szCs w:val="20"/>
          <w:color w:val="auto"/>
        </w:rPr>
      </w:pPr>
    </w:p>
    <w:p>
      <w:pPr>
        <w:ind w:right="60" w:firstLine="964"/>
        <w:spacing w:after="0" w:line="279" w:lineRule="auto"/>
        <w:rPr>
          <w:sz w:val="20"/>
          <w:szCs w:val="20"/>
          <w:color w:val="auto"/>
        </w:rPr>
      </w:pPr>
      <w:r>
        <w:rPr>
          <w:rFonts w:ascii="Times New Roman" w:cs="Times New Roman" w:eastAsia="Times New Roman" w:hAnsi="Times New Roman"/>
          <w:sz w:val="16"/>
          <w:szCs w:val="16"/>
          <w:color w:val="auto"/>
        </w:rPr>
        <w:t xml:space="preserve">SECTION 5.04. </w:t>
      </w:r>
      <w:r>
        <w:rPr>
          <w:rFonts w:ascii="Times New Roman" w:cs="Times New Roman" w:eastAsia="Times New Roman" w:hAnsi="Times New Roman"/>
          <w:sz w:val="16"/>
          <w:szCs w:val="16"/>
          <w:u w:val="single" w:color="auto"/>
          <w:color w:val="auto"/>
        </w:rPr>
        <w:t>Existence; Conduct of Business; Public Health Laws</w:t>
      </w:r>
      <w:r>
        <w:rPr>
          <w:rFonts w:ascii="Times New Roman" w:cs="Times New Roman" w:eastAsia="Times New Roman" w:hAnsi="Times New Roman"/>
          <w:sz w:val="16"/>
          <w:szCs w:val="16"/>
          <w:color w:val="auto"/>
        </w:rPr>
        <w:t xml:space="preserve">. The Borrower will, and will cause each of the Subsidiaries to, do or cause to be done all things necessary to preserve, renew and keep in full force and effect its legal existence and the rights, qualifications, permits, approvals, accreditations, authorizations, licenses, franchises, patents, copyrights, trademarks and trade names material to the conduct of its business;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shall not prohibit any merger, consolidation, liquidation or dissolution permitted under Section 6.03. Without limiting the generality of the foregoing, the Borrower will comply, and will cause each other Loan Party to comply, with all applicable Health Care Laws and Public Health Laws relating to the operation of such Person’s business, except where non-compliance is not reasonably likely to result in, individually or in the aggregate, Material Regulatory Liabilities. All products developed, manufactured, tested, investigated, distributed or marketed by or on behalf of the Borrower and its Subsidiaries that are subject to the jurisdiction of the FDA or any comparable Governmental Authority shall be developed, tested, manufactured, investigated, distributed and marketed in compliance with the applicable Public Health Laws and any other applicable Requirement of Law, including, without limitation, pre-market notification, good manufacturing practices, labeling, advertising, record-keeping, and adverse event reporting, except where the failure to comply is not reasonably likely to result, either individually or in the aggregate, in Material Regulatory Liabilities.</w:t>
      </w:r>
    </w:p>
    <w:p>
      <w:pPr>
        <w:spacing w:after="0" w:line="168" w:lineRule="exact"/>
        <w:rPr>
          <w:sz w:val="20"/>
          <w:szCs w:val="20"/>
          <w:color w:val="auto"/>
        </w:rPr>
      </w:pPr>
    </w:p>
    <w:p>
      <w:pPr>
        <w:ind w:right="80"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Borrower will, and will cause each of the Subsidiaries to, pay its Tax liabilities, before the same shall become delinquent or in default, except where (a) the validity or amount thereof is being contested in good faith by appropriate proceedings and the Borrower or such Subsidiary has set aside on its books adequate reserves with respect thereto in accordance with GAAP or (b) the failure to make payment pending such contest is not reasonably likely to, individually or in the aggregate, result in a Material Adverse Effect.</w:t>
      </w:r>
    </w:p>
    <w:p>
      <w:pPr>
        <w:spacing w:after="0" w:line="184" w:lineRule="exact"/>
        <w:rPr>
          <w:sz w:val="20"/>
          <w:szCs w:val="20"/>
          <w:color w:val="auto"/>
        </w:rPr>
      </w:pPr>
    </w:p>
    <w:p>
      <w:pPr>
        <w:ind w:right="220" w:firstLine="964"/>
        <w:spacing w:after="0" w:line="288" w:lineRule="auto"/>
        <w:rPr>
          <w:sz w:val="20"/>
          <w:szCs w:val="20"/>
          <w:color w:val="auto"/>
        </w:rPr>
      </w:pPr>
      <w:r>
        <w:rPr>
          <w:rFonts w:ascii="Times New Roman" w:cs="Times New Roman" w:eastAsia="Times New Roman" w:hAnsi="Times New Roman"/>
          <w:sz w:val="16"/>
          <w:szCs w:val="16"/>
          <w:color w:val="auto"/>
        </w:rPr>
        <w:t xml:space="preserve">SECTION 5.06. </w:t>
      </w:r>
      <w:r>
        <w:rPr>
          <w:rFonts w:ascii="Times New Roman" w:cs="Times New Roman" w:eastAsia="Times New Roman" w:hAnsi="Times New Roman"/>
          <w:sz w:val="16"/>
          <w:szCs w:val="16"/>
          <w:u w:val="single" w:color="auto"/>
          <w:color w:val="auto"/>
        </w:rPr>
        <w:t>Maintenance of Properties</w:t>
      </w:r>
      <w:r>
        <w:rPr>
          <w:rFonts w:ascii="Times New Roman" w:cs="Times New Roman" w:eastAsia="Times New Roman" w:hAnsi="Times New Roman"/>
          <w:sz w:val="16"/>
          <w:szCs w:val="16"/>
          <w:color w:val="auto"/>
        </w:rPr>
        <w:t xml:space="preserve">. The Borrower will, and will cause each of the Subsidiaries to, (a) keep and maintain all tangible property material to the conduct of its business in good working order and condition, ordinary wear and tear and casualty and condemnation excepted and (b) with respect to IP Rights owned by the Borrower and its Subsidiaries, maintain, renew, protect and defend such IP Rights that are material to the conduct of the business of the Borrower and its Subsidiaries, on a consolidated basis;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shall not prohibit any merger, consolidation, liquidation or dissolution permitted under Section 6.03 or any Disposition permitted under Section 6.05.</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720"/>
          </w:cols>
          <w:pgMar w:left="580" w:top="266" w:right="599" w:bottom="1440" w:gutter="0" w:footer="0" w:header="0"/>
        </w:sectPr>
      </w:pPr>
    </w:p>
    <w:bookmarkStart w:id="778" w:name="page779"/>
    <w:bookmarkEnd w:id="778"/>
    <w:p>
      <w:pPr>
        <w:ind w:right="40" w:firstLine="964"/>
        <w:spacing w:after="0" w:line="28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78040" cy="36830"/>
                    </a:xfrm>
                    <a:prstGeom prst="rect">
                      <a:avLst/>
                    </a:prstGeom>
                    <a:noFill/>
                  </pic:spPr>
                </pic:pic>
              </a:graphicData>
            </a:graphic>
          </wp:anchor>
        </w:drawing>
        <w:t xml:space="preserve">SECTION 5.07.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The Borrower will, and will cause each of the Subsidiaries to, maintain, with financially sound and reputable insurance companies (which may include self-insurance), (a) insurance in such amounts (with no greater risk retention) and against such risks as are customarily maintained by companies of established repute engaged in the same or similar businesses operating in the same or similar locations and</w:t>
      </w:r>
    </w:p>
    <w:p>
      <w:pPr>
        <w:spacing w:after="0" w:line="2" w:lineRule="exact"/>
        <w:rPr>
          <w:sz w:val="20"/>
          <w:szCs w:val="20"/>
          <w:color w:val="auto"/>
        </w:rPr>
      </w:pPr>
    </w:p>
    <w:p>
      <w:pPr>
        <w:ind w:firstLine="8"/>
        <w:spacing w:after="0" w:line="243" w:lineRule="auto"/>
        <w:tabs>
          <w:tab w:leader="none" w:pos="248" w:val="left"/>
        </w:tabs>
        <w:numPr>
          <w:ilvl w:val="0"/>
          <w:numId w:val="7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insurance required to be maintained pursuant to the Security Documents; each insurance policy maintained by any Loan Party pursuant to this sentence shall name the Collateral Agent as additional insured or loss payee if permitted by law and the Borrower shall use commercially reasonable efforts to cause each such insurance policy to provide that no cancellation, material reduction in amount or material change in coverage thereof shall be effective until at least 30 days (10 days in the case of non-payment) after receipt by the Collateral Agent of written notice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permitted under Section 6.03. The Borrower will furnish to the Lenders, upon written request of the Administrative Agent, information in reasonable detail as to the insurance so maintained. The Borrower will, with respect to each Mortgaged Property, obtain flood insurance in such total amount as the Administrative Agent or the Required Lenders may from time to time reasonably require (but such amount may be no less than that amount required under the National Flood Insurance Program as set forth in the Flood Disaster Protection Act of 1973, as amended from time to time), if at any time the area in which any improvements located on any Mortgaged Property is designated a “</w:t>
      </w:r>
      <w:r>
        <w:rPr>
          <w:rFonts w:ascii="Times New Roman" w:cs="Times New Roman" w:eastAsia="Times New Roman" w:hAnsi="Times New Roman"/>
          <w:sz w:val="18"/>
          <w:szCs w:val="18"/>
          <w:u w:val="single" w:color="auto"/>
          <w:color w:val="auto"/>
        </w:rPr>
        <w:t>flood hazard area</w:t>
      </w:r>
      <w:r>
        <w:rPr>
          <w:rFonts w:ascii="Times New Roman" w:cs="Times New Roman" w:eastAsia="Times New Roman" w:hAnsi="Times New Roman"/>
          <w:sz w:val="18"/>
          <w:szCs w:val="18"/>
          <w:color w:val="auto"/>
        </w:rPr>
        <w:t>” in any Flood Insurance Rate Map published by the Federal Emergency Management Agency (or any successor agency), and otherwise comply with the National Flood Insurance Program as set forth in the Flood Disaster Protection Act of 1973, as amended from time to time.</w:t>
      </w:r>
    </w:p>
    <w:p>
      <w:pPr>
        <w:spacing w:after="0" w:line="198" w:lineRule="exact"/>
        <w:rPr>
          <w:sz w:val="20"/>
          <w:szCs w:val="20"/>
          <w:color w:val="auto"/>
        </w:rPr>
      </w:pPr>
    </w:p>
    <w:p>
      <w:pPr>
        <w:ind w:right="20"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Casualty and Condemnation</w:t>
      </w:r>
      <w:r>
        <w:rPr>
          <w:rFonts w:ascii="Times New Roman" w:cs="Times New Roman" w:eastAsia="Times New Roman" w:hAnsi="Times New Roman"/>
          <w:sz w:val="18"/>
          <w:szCs w:val="18"/>
          <w:color w:val="auto"/>
        </w:rPr>
        <w:t>. The Borrower (a)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and (b) will ensure that the Net Proceeds of any such event (whether in the form of insurance proceeds, condemnation awards or otherwise) are collected and applied in accordance with the applicable provisions of this Agreement and the Security Documents.</w:t>
      </w:r>
    </w:p>
    <w:p>
      <w:pPr>
        <w:spacing w:after="0" w:line="187" w:lineRule="exact"/>
        <w:rPr>
          <w:sz w:val="20"/>
          <w:szCs w:val="20"/>
          <w:color w:val="auto"/>
        </w:rPr>
      </w:pPr>
    </w:p>
    <w:p>
      <w:pPr>
        <w:ind w:right="40" w:firstLine="964"/>
        <w:spacing w:after="0" w:line="279" w:lineRule="auto"/>
        <w:rPr>
          <w:sz w:val="20"/>
          <w:szCs w:val="20"/>
          <w:color w:val="auto"/>
        </w:rPr>
      </w:pPr>
      <w:r>
        <w:rPr>
          <w:rFonts w:ascii="Times New Roman" w:cs="Times New Roman" w:eastAsia="Times New Roman" w:hAnsi="Times New Roman"/>
          <w:sz w:val="16"/>
          <w:szCs w:val="16"/>
          <w:color w:val="auto"/>
        </w:rPr>
        <w:t xml:space="preserve">SECTION 5.09. </w:t>
      </w:r>
      <w:r>
        <w:rPr>
          <w:rFonts w:ascii="Times New Roman" w:cs="Times New Roman" w:eastAsia="Times New Roman" w:hAnsi="Times New Roman"/>
          <w:sz w:val="16"/>
          <w:szCs w:val="16"/>
          <w:u w:val="single" w:color="auto"/>
          <w:color w:val="auto"/>
        </w:rPr>
        <w:t>Books and Records; Inspection and Audit Rights</w:t>
      </w:r>
      <w:r>
        <w:rPr>
          <w:rFonts w:ascii="Times New Roman" w:cs="Times New Roman" w:eastAsia="Times New Roman" w:hAnsi="Times New Roman"/>
          <w:sz w:val="16"/>
          <w:szCs w:val="16"/>
          <w:color w:val="auto"/>
        </w:rPr>
        <w:t>. The Borrower will, and will cause each of the Subsidiaries to, keep proper books of record and account in which full, true and correct entries are made of all dealings and transactions in relation to its business and activities. The Borrower will, and will cause each of the Subsidiaries to, permit any representatives designated by the Administrative Agent, upon reasonable prior notice, to visit and inspect its properties during normal business hours, to examine and make extracts from its books and records, including any information relating to actual or potential compliance with or liability under Environmental Laws, and to discuss its affairs, finances and condition with its officers and independent accountants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Borrower shall be provided the opportunity to participate in any such discussions with its independent accountants), all at such reasonable times and as often as reasonably requested;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Administrative Agent shall not exercise such rights more often than one time during any calendar year absent the continuance of an Event of Default. Notwithstanding anything to the contrary in this Section 5.09, none of the Borrower nor any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or (iii) that is subject to attorney client or similar privilege or constitutes attorney work product (it being understood, in the case of clauses</w:t>
      </w:r>
    </w:p>
    <w:p>
      <w:pPr>
        <w:spacing w:after="0" w:line="186" w:lineRule="exact"/>
        <w:rPr>
          <w:sz w:val="20"/>
          <w:szCs w:val="20"/>
          <w:color w:val="auto"/>
        </w:rPr>
      </w:pPr>
    </w:p>
    <w:p>
      <w:pPr>
        <w:ind w:right="220" w:firstLine="8"/>
        <w:spacing w:after="0" w:line="247" w:lineRule="auto"/>
        <w:tabs>
          <w:tab w:leader="none" w:pos="258" w:val="left"/>
        </w:tabs>
        <w:numPr>
          <w:ilvl w:val="0"/>
          <w:numId w:val="7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above, that the Borrower shall use its commercially reasonable efforts to communicate any requested information in a way that would not violate the applicable law or agreement or waive the applicable privilege).</w:t>
      </w:r>
    </w:p>
    <w:p>
      <w:pPr>
        <w:spacing w:after="0" w:line="186" w:lineRule="exact"/>
        <w:rPr>
          <w:sz w:val="20"/>
          <w:szCs w:val="20"/>
          <w:color w:val="auto"/>
        </w:rPr>
      </w:pPr>
    </w:p>
    <w:p>
      <w:pPr>
        <w:ind w:right="40"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Borrower will, and will cause each of the Subsidiaries to comply with all Requirements of Law, including ERISA, Environmental Laws, Health Care Laws and Public Health Laws applicable to it, its operations and all property owned, operated and leased by any of them, except where the failure to do so, individually or in the aggregate, is not reasonably likely to result in a Material Adverse Effect.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720"/>
          </w:cols>
          <w:pgMar w:left="580" w:top="264" w:right="599" w:bottom="1440" w:gutter="0" w:footer="0" w:header="0"/>
        </w:sectPr>
      </w:pPr>
    </w:p>
    <w:bookmarkStart w:id="779" w:name="page780"/>
    <w:bookmarkEnd w:id="779"/>
    <w:p>
      <w:pPr>
        <w:ind w:right="380" w:firstLine="96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5.11.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Term Loans shall be used by the Borrower, solely (a) for working capital and general corporate purposes, (b) to finance growth initiatives, (c) to pay for operating expenses and (d) to pay the Transaction Costs. No part of the proceeds of any Loan will be used, whether directly or indirectly, for any purpose that entails a violation of any of the Regulations of the Board, including Regulations T, U and X.</w:t>
      </w:r>
    </w:p>
    <w:p>
      <w:pPr>
        <w:spacing w:after="0" w:line="184" w:lineRule="exact"/>
        <w:rPr>
          <w:sz w:val="20"/>
          <w:szCs w:val="20"/>
          <w:color w:val="auto"/>
        </w:rPr>
      </w:pPr>
    </w:p>
    <w:p>
      <w:pPr>
        <w:jc w:val="both"/>
        <w:ind w:right="120" w:firstLine="964"/>
        <w:spacing w:after="0" w:line="285" w:lineRule="auto"/>
        <w:rPr>
          <w:sz w:val="20"/>
          <w:szCs w:val="20"/>
          <w:color w:val="auto"/>
        </w:rPr>
      </w:pPr>
      <w:r>
        <w:rPr>
          <w:rFonts w:ascii="Times New Roman" w:cs="Times New Roman" w:eastAsia="Times New Roman" w:hAnsi="Times New Roman"/>
          <w:sz w:val="16"/>
          <w:szCs w:val="16"/>
          <w:color w:val="auto"/>
        </w:rPr>
        <w:t xml:space="preserve">SECTION 5.12. </w:t>
      </w:r>
      <w:r>
        <w:rPr>
          <w:rFonts w:ascii="Times New Roman" w:cs="Times New Roman" w:eastAsia="Times New Roman" w:hAnsi="Times New Roman"/>
          <w:sz w:val="16"/>
          <w:szCs w:val="16"/>
          <w:u w:val="single" w:color="auto"/>
          <w:color w:val="auto"/>
        </w:rPr>
        <w:t>Additional Subsidiaries</w:t>
      </w:r>
      <w:r>
        <w:rPr>
          <w:rFonts w:ascii="Times New Roman" w:cs="Times New Roman" w:eastAsia="Times New Roman" w:hAnsi="Times New Roman"/>
          <w:sz w:val="16"/>
          <w:szCs w:val="16"/>
          <w:color w:val="auto"/>
        </w:rPr>
        <w:t xml:space="preserve">. If any additional Subsidiary is formed or acquired after the Effective Date, the Borrower will, within 60 days of such event, notify the Collateral Agent and the Administrative Agent thereof and cause the Collateral and Guarantee Requirement to be satisfied with respect to such Subsidiary (if it is a Subsidiary Loan Party, it being understood that such Loan Party shall not be required to fulfill any requirements not in the Collateral and Guarantee Agreement and is subject to any exclusions and exceptions) and with respect to any Equity Interest in such Subsidiary owned by or on behalf of any Loan Party;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Collateral Agent may, in its reasonable judgment, grant extensions of time for compliance, or exceptions from compliance, with the provisions of this paragraph by any Loan Party.</w:t>
      </w:r>
    </w:p>
    <w:p>
      <w:pPr>
        <w:spacing w:after="0" w:line="265"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5.13.</w:t>
      </w:r>
      <w:r>
        <w:rPr>
          <w:sz w:val="20"/>
          <w:szCs w:val="20"/>
          <w:color w:val="auto"/>
        </w:rPr>
        <w:tab/>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100" w:firstLine="972"/>
        <w:spacing w:after="0" w:line="293" w:lineRule="auto"/>
        <w:tabs>
          <w:tab w:leader="none" w:pos="1330" w:val="left"/>
        </w:tabs>
        <w:numPr>
          <w:ilvl w:val="0"/>
          <w:numId w:val="7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will, and will cause each Subsidiary Loan Party to, execute any and all further documents, financing statements, agreements and instruments, and take all such further actions (including the filing and recording of financing statements, fixture filings, mortgages, deeds of trust and other documents), which may be required under any applicable law, or which the Administrative Agent or the Required Lenders may reasonably request, to cause the Collateral and Guarantee Requirement to be and remain satisfied, all at the expense of the Loan Parties.</w:t>
      </w:r>
    </w:p>
    <w:p>
      <w:pPr>
        <w:spacing w:after="0" w:line="151" w:lineRule="exact"/>
        <w:rPr>
          <w:rFonts w:ascii="Times New Roman" w:cs="Times New Roman" w:eastAsia="Times New Roman" w:hAnsi="Times New Roman"/>
          <w:sz w:val="16"/>
          <w:szCs w:val="16"/>
          <w:color w:val="auto"/>
        </w:rPr>
      </w:pPr>
    </w:p>
    <w:p>
      <w:pPr>
        <w:ind w:right="20" w:firstLine="972"/>
        <w:spacing w:after="0" w:line="245" w:lineRule="auto"/>
        <w:tabs>
          <w:tab w:leader="none" w:pos="1343" w:val="left"/>
        </w:tabs>
        <w:numPr>
          <w:ilvl w:val="0"/>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material assets (including any Material Real Property but excluding any Excluded Assets or any other asset located outside the United States) or improvements thereto or any interest therein are acquired by the Borrower or any Subsidiary Loan Party after the Effective Date (other than assets constituting Collateral under the Collateral Agreement that become subject to the Lien in favor of the Collateral Agent upon acquisition thereof), the Borrower will promptly notify the Administrative Agent and the Lenders thereof and, if requested in writing by the Administrative Agent or the Required Lenders, the Borrower will cause such assets to be subjected to the Lien of the Security Documents securing the Obligations and will take, and cause the Subsidiary Loan Parties to take, such actions as shall be necessary or reasonably requested in writing by the Administrative Agent to grant and perfect such Liens, including actions described in Section 5.13(a), all at the expense of the Loan Parties, all within 90 days of such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Agent may, in its reasonable judgment, grant extensions of time for compliance or exceptions with the provisions of this paragraph by any Loan Party. Notwithstanding anything to the contrary in this Agreement or any Security Document, no Loan Party shall be required to pledge or grant security interests in particular assets if, in the reasonable judgment of the Administrative Agent or the Collateral Agent, the costs of creating or perfecting such pledges or security interests in such assets (including any mortgage, stamp, intangibles or other tax) are excessive in relation to the benefits to the Lenders therefrom.</w:t>
      </w:r>
    </w:p>
    <w:p>
      <w:pPr>
        <w:spacing w:after="0" w:line="195" w:lineRule="exact"/>
        <w:rPr>
          <w:sz w:val="20"/>
          <w:szCs w:val="20"/>
          <w:color w:val="auto"/>
        </w:rPr>
      </w:pPr>
    </w:p>
    <w:p>
      <w:pPr>
        <w:ind w:firstLine="964"/>
        <w:spacing w:after="0" w:line="247"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in each case, to the extent that the failure to do so is not reasonably likely to have, individually or in the aggregate, a Material Adverse Effect, the Borrower will comply, and make commercially reasonable efforts to cause all lessees and other Persons operating or occupying its properties to comply with all applicable Environmental Laws and Environmental Permits; obtain and renew all Environmental Permits necessary for its operations and properties; and, in each case to the extent the Borrower or any Subsidiary is required by Environmental Laws, conduct any investigation, study, sampling and testing, and undertake any cleanup, removal, remedial or other action necessary to remove and clean up all Hazardous Materials at, on, under or emanating from any affected property, in accordance with the requirements of all Environmental Laws.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700"/>
          </w:cols>
          <w:pgMar w:left="580" w:top="265" w:right="619" w:bottom="1440" w:gutter="0" w:footer="0" w:header="0"/>
        </w:sectPr>
      </w:pPr>
    </w:p>
    <w:bookmarkStart w:id="780" w:name="page781"/>
    <w:bookmarkEnd w:id="780"/>
    <w:p>
      <w:pPr>
        <w:ind w:firstLine="964"/>
        <w:spacing w:after="0" w:line="29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5.15. </w:t>
      </w:r>
      <w:r>
        <w:rPr>
          <w:rFonts w:ascii="Times New Roman" w:cs="Times New Roman" w:eastAsia="Times New Roman" w:hAnsi="Times New Roman"/>
          <w:sz w:val="16"/>
          <w:szCs w:val="16"/>
          <w:u w:val="single" w:color="auto"/>
          <w:color w:val="auto"/>
        </w:rPr>
        <w:t>Annual Lender Meeting</w:t>
      </w:r>
      <w:r>
        <w:rPr>
          <w:rFonts w:ascii="Times New Roman" w:cs="Times New Roman" w:eastAsia="Times New Roman" w:hAnsi="Times New Roman"/>
          <w:sz w:val="16"/>
          <w:szCs w:val="16"/>
          <w:color w:val="auto"/>
        </w:rPr>
        <w:t>. The Borrower shall host a meeting (which may be in the form of a conference call) with representatives of the Administrative Agent and the Lenders once during each fiscal year of the Borrower, in each case, following delivery of the financial statements delivered pursuant to Section 5.01(a) and upon reasonable prior notice to be held at such time as reasonably designated by the Borrower (in consultation with the Administrative Agent), at which meeting shall be discussed the financial results of the Borrower and the Subsidiaries.</w:t>
      </w:r>
    </w:p>
    <w:p>
      <w:pPr>
        <w:spacing w:after="0" w:line="152" w:lineRule="exact"/>
        <w:rPr>
          <w:sz w:val="20"/>
          <w:szCs w:val="20"/>
          <w:color w:val="auto"/>
        </w:rPr>
      </w:pPr>
    </w:p>
    <w:p>
      <w:pPr>
        <w:ind w:right="18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Post-Closing Covenants</w:t>
      </w:r>
      <w:r>
        <w:rPr>
          <w:rFonts w:ascii="Times New Roman" w:cs="Times New Roman" w:eastAsia="Times New Roman" w:hAnsi="Times New Roman"/>
          <w:sz w:val="18"/>
          <w:szCs w:val="18"/>
          <w:color w:val="auto"/>
        </w:rPr>
        <w:t>. The Borrower agrees to deliver, or cause to be delivered, to the Administrative Agent, the items described on Schedule 5.16 on the Effective Date by the times specified with respect to such items, or such later time as may be agreed to by the Administrative Agent in its sole discretion.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13" w:lineRule="exact"/>
        <w:rPr>
          <w:sz w:val="20"/>
          <w:szCs w:val="20"/>
          <w:color w:val="auto"/>
        </w:rPr>
      </w:pPr>
    </w:p>
    <w:p>
      <w:pPr>
        <w:ind w:right="180" w:firstLine="428"/>
        <w:spacing w:after="0" w:line="331" w:lineRule="auto"/>
        <w:rPr>
          <w:sz w:val="20"/>
          <w:szCs w:val="20"/>
          <w:color w:val="auto"/>
        </w:rPr>
      </w:pPr>
      <w:r>
        <w:rPr>
          <w:rFonts w:ascii="Times New Roman" w:cs="Times New Roman" w:eastAsia="Times New Roman" w:hAnsi="Times New Roman"/>
          <w:sz w:val="16"/>
          <w:szCs w:val="16"/>
          <w:color w:val="auto"/>
        </w:rPr>
        <w:t>Until the Commitments have expired or been terminated and the principal of and interest on each Loan and all fees, expenses and other amounts payable under any Loan Document have been paid in full, each of the Borrower and the Subsidiaries covenant and agree with the Lenders that:</w:t>
      </w:r>
    </w:p>
    <w:p>
      <w:pPr>
        <w:spacing w:after="0" w:line="228"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20" w:firstLine="972"/>
        <w:spacing w:after="0" w:line="267" w:lineRule="auto"/>
        <w:tabs>
          <w:tab w:leader="none" w:pos="1333" w:val="left"/>
        </w:tabs>
        <w:numPr>
          <w:ilvl w:val="2"/>
          <w:numId w:val="7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nor will it permit any Subsidiary to, directly or indirectly create, incur, issue, guarantee or assume or otherwise become directly or indirectly liable for any Indebtedness, contingently or otherwise, except:</w:t>
      </w:r>
    </w:p>
    <w:p>
      <w:pPr>
        <w:spacing w:after="0" w:line="64" w:lineRule="exact"/>
        <w:rPr>
          <w:rFonts w:ascii="Times New Roman" w:cs="Times New Roman" w:eastAsia="Times New Roman" w:hAnsi="Times New Roman"/>
          <w:sz w:val="18"/>
          <w:szCs w:val="18"/>
          <w:color w:val="auto"/>
        </w:rPr>
      </w:pPr>
    </w:p>
    <w:p>
      <w:pPr>
        <w:ind w:left="1180" w:hanging="333"/>
        <w:spacing w:after="0"/>
        <w:tabs>
          <w:tab w:leader="none" w:pos="1180" w:val="left"/>
        </w:tabs>
        <w:numPr>
          <w:ilvl w:val="1"/>
          <w:numId w:val="7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created under the Loan Documents;</w:t>
      </w:r>
    </w:p>
    <w:p>
      <w:pPr>
        <w:spacing w:after="0" w:line="108" w:lineRule="exact"/>
        <w:rPr>
          <w:rFonts w:ascii="Times New Roman" w:cs="Times New Roman" w:eastAsia="Times New Roman" w:hAnsi="Times New Roman"/>
          <w:sz w:val="18"/>
          <w:szCs w:val="18"/>
          <w:color w:val="auto"/>
        </w:rPr>
      </w:pPr>
    </w:p>
    <w:p>
      <w:pPr>
        <w:ind w:left="1240" w:hanging="393"/>
        <w:spacing w:after="0"/>
        <w:tabs>
          <w:tab w:leader="none" w:pos="1240" w:val="left"/>
        </w:tabs>
        <w:numPr>
          <w:ilvl w:val="1"/>
          <w:numId w:val="7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earn-outs, milestones and other similar deferred purchase price obligations;</w:t>
      </w:r>
    </w:p>
    <w:p>
      <w:pPr>
        <w:spacing w:after="0" w:line="108" w:lineRule="exact"/>
        <w:rPr>
          <w:rFonts w:ascii="Times New Roman" w:cs="Times New Roman" w:eastAsia="Times New Roman" w:hAnsi="Times New Roman"/>
          <w:sz w:val="18"/>
          <w:szCs w:val="18"/>
          <w:color w:val="auto"/>
        </w:rPr>
      </w:pPr>
    </w:p>
    <w:p>
      <w:pPr>
        <w:ind w:left="1280" w:hanging="433"/>
        <w:spacing w:after="0"/>
        <w:tabs>
          <w:tab w:leader="none" w:pos="1280" w:val="left"/>
        </w:tabs>
        <w:numPr>
          <w:ilvl w:val="1"/>
          <w:numId w:val="7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Effective Date and set forth in </w:t>
      </w:r>
      <w:r>
        <w:rPr>
          <w:rFonts w:ascii="Times New Roman" w:cs="Times New Roman" w:eastAsia="Times New Roman" w:hAnsi="Times New Roman"/>
          <w:sz w:val="18"/>
          <w:szCs w:val="18"/>
          <w:u w:val="single" w:color="auto"/>
          <w:color w:val="auto"/>
        </w:rPr>
        <w:t>Schedule 6.01(iii)</w:t>
      </w:r>
      <w:r>
        <w:rPr>
          <w:rFonts w:ascii="Times New Roman" w:cs="Times New Roman" w:eastAsia="Times New Roman" w:hAnsi="Times New Roman"/>
          <w:sz w:val="18"/>
          <w:szCs w:val="18"/>
          <w:color w:val="auto"/>
        </w:rPr>
        <w:t xml:space="preserve"> and Permitted Refinancings thereof;</w:t>
      </w:r>
    </w:p>
    <w:p>
      <w:pPr>
        <w:spacing w:after="0" w:line="108" w:lineRule="exact"/>
        <w:rPr>
          <w:rFonts w:ascii="Times New Roman" w:cs="Times New Roman" w:eastAsia="Times New Roman" w:hAnsi="Times New Roman"/>
          <w:sz w:val="18"/>
          <w:szCs w:val="18"/>
          <w:color w:val="auto"/>
        </w:rPr>
      </w:pPr>
    </w:p>
    <w:p>
      <w:pPr>
        <w:ind w:left="440" w:firstLine="407"/>
        <w:spacing w:after="0" w:line="267" w:lineRule="auto"/>
        <w:tabs>
          <w:tab w:leader="none" w:pos="1279" w:val="left"/>
        </w:tabs>
        <w:numPr>
          <w:ilvl w:val="1"/>
          <w:numId w:val="7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owed to any Subsidiary Loan Party and of any Subsidiary Loan Party owed to the Borrower or any other Subsidiary Loan Party;</w:t>
      </w:r>
    </w:p>
    <w:p>
      <w:pPr>
        <w:spacing w:after="0" w:line="64" w:lineRule="exact"/>
        <w:rPr>
          <w:rFonts w:ascii="Times New Roman" w:cs="Times New Roman" w:eastAsia="Times New Roman" w:hAnsi="Times New Roman"/>
          <w:sz w:val="18"/>
          <w:szCs w:val="18"/>
          <w:color w:val="auto"/>
        </w:rPr>
      </w:pPr>
    </w:p>
    <w:p>
      <w:pPr>
        <w:ind w:left="440" w:right="300" w:firstLine="407"/>
        <w:spacing w:after="0" w:line="267" w:lineRule="auto"/>
        <w:tabs>
          <w:tab w:leader="none" w:pos="1230" w:val="left"/>
        </w:tabs>
        <w:numPr>
          <w:ilvl w:val="1"/>
          <w:numId w:val="7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the Borrower of Indebtedness of any Subsidiary Loan Party and of any Subsidiary Loan Party of Indebtedness of the Borrower or any other Subsidiary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Indebtedness so Guaranteed is permitted by this Section 6.01;</w:t>
      </w:r>
    </w:p>
    <w:p>
      <w:pPr>
        <w:spacing w:after="0" w:line="64" w:lineRule="exact"/>
        <w:rPr>
          <w:rFonts w:ascii="Times New Roman" w:cs="Times New Roman" w:eastAsia="Times New Roman" w:hAnsi="Times New Roman"/>
          <w:sz w:val="18"/>
          <w:szCs w:val="18"/>
          <w:color w:val="auto"/>
        </w:rPr>
      </w:pPr>
    </w:p>
    <w:p>
      <w:pPr>
        <w:ind w:left="440" w:right="140" w:firstLine="407"/>
        <w:spacing w:after="0" w:line="278" w:lineRule="auto"/>
        <w:tabs>
          <w:tab w:leader="none" w:pos="1279" w:val="left"/>
        </w:tabs>
        <w:numPr>
          <w:ilvl w:val="1"/>
          <w:numId w:val="7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Indebtedness of the Borrower or any Subsidiary incurred to finance the acquisition, construction or improvement of any fixed or capital assets, including Capital Lease Obligations, and any Indebtedness assumed by the Borrower or any Subsidiary in connection with the acquisition of any such assets or secured by a Lien on any such assets prior to the acquisition thereof;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such Indebtedness is incurred prior to or within 270 days after such acquisition or the completion of such construction or improvement and (ii) the aggregate principal amount of Indebtedness permitted by clauses (A) and (B) of this clause (vi) shall not exceed $15,000,000 outstanding at any time; and</w:t>
      </w:r>
    </w:p>
    <w:p>
      <w:pPr>
        <w:spacing w:after="0" w:line="2" w:lineRule="exact"/>
        <w:rPr>
          <w:rFonts w:ascii="Times New Roman" w:cs="Times New Roman" w:eastAsia="Times New Roman" w:hAnsi="Times New Roman"/>
          <w:sz w:val="16"/>
          <w:szCs w:val="16"/>
          <w:color w:val="auto"/>
        </w:rPr>
      </w:pPr>
    </w:p>
    <w:p>
      <w:pPr>
        <w:ind w:left="720" w:hanging="284"/>
        <w:spacing w:after="0"/>
        <w:tabs>
          <w:tab w:leader="none" w:pos="720" w:val="left"/>
        </w:tabs>
        <w:numPr>
          <w:ilvl w:val="0"/>
          <w:numId w:val="7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Refinancings thereof;</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720"/>
          </w:cols>
          <w:pgMar w:left="580" w:top="265" w:right="599" w:bottom="1440" w:gutter="0" w:footer="0" w:header="0"/>
        </w:sectPr>
      </w:pPr>
    </w:p>
    <w:bookmarkStart w:id="781" w:name="page782"/>
    <w:bookmarkEnd w:id="781"/>
    <w:p>
      <w:pPr>
        <w:ind w:left="4" w:right="200" w:firstLine="407"/>
        <w:spacing w:after="0" w:line="285" w:lineRule="auto"/>
        <w:tabs>
          <w:tab w:leader="none" w:pos="891" w:val="left"/>
        </w:tabs>
        <w:numPr>
          <w:ilvl w:val="1"/>
          <w:numId w:val="7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 Indebtedness of any Person that becomes a Subsidiary after the date 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such Indebtedness exists at the time such Person becomes a Subsidiary and is not created in contemplation of or in connection with such Person becoming a Subsidiary and</w:t>
      </w:r>
    </w:p>
    <w:p>
      <w:pPr>
        <w:spacing w:after="0" w:line="1" w:lineRule="exact"/>
        <w:rPr>
          <w:rFonts w:ascii="Times New Roman" w:cs="Times New Roman" w:eastAsia="Times New Roman" w:hAnsi="Times New Roman"/>
          <w:sz w:val="16"/>
          <w:szCs w:val="16"/>
          <w:color w:val="auto"/>
        </w:rPr>
      </w:pPr>
    </w:p>
    <w:p>
      <w:pPr>
        <w:ind w:left="4" w:right="120" w:hanging="4"/>
        <w:spacing w:after="0" w:line="247" w:lineRule="auto"/>
        <w:tabs>
          <w:tab w:leader="none" w:pos="281"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Refinancings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the aggregate amount of Indebtedness under this Section 6.01(a)(vii), shall not exceed $2,500,000;</w:t>
      </w:r>
    </w:p>
    <w:p>
      <w:pPr>
        <w:spacing w:after="0" w:line="81" w:lineRule="exact"/>
        <w:rPr>
          <w:rFonts w:ascii="Times New Roman" w:cs="Times New Roman" w:eastAsia="Times New Roman" w:hAnsi="Times New Roman"/>
          <w:sz w:val="18"/>
          <w:szCs w:val="18"/>
          <w:color w:val="auto"/>
        </w:rPr>
      </w:pPr>
    </w:p>
    <w:p>
      <w:pPr>
        <w:ind w:left="4" w:right="340" w:firstLine="407"/>
        <w:spacing w:after="0" w:line="255" w:lineRule="auto"/>
        <w:tabs>
          <w:tab w:leader="none" w:pos="940" w:val="left"/>
        </w:tabs>
        <w:numPr>
          <w:ilvl w:val="1"/>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any Person (including obligations in respect of letters of credit for the benefit of such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75" w:lineRule="exact"/>
        <w:rPr>
          <w:rFonts w:ascii="Times New Roman" w:cs="Times New Roman" w:eastAsia="Times New Roman" w:hAnsi="Times New Roman"/>
          <w:sz w:val="18"/>
          <w:szCs w:val="18"/>
          <w:color w:val="auto"/>
        </w:rPr>
      </w:pPr>
    </w:p>
    <w:p>
      <w:pPr>
        <w:ind w:left="4" w:firstLine="407"/>
        <w:spacing w:after="0" w:line="267" w:lineRule="auto"/>
        <w:tabs>
          <w:tab w:leader="none" w:pos="843" w:val="left"/>
        </w:tabs>
        <w:numPr>
          <w:ilvl w:val="1"/>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Subsidiary in respect of performance bonds, bid bonds, appeal bonds, surety bonds, performance and completion guarantees and similar obligations, in each case provided in the ordinary course of business;</w:t>
      </w:r>
    </w:p>
    <w:p>
      <w:pPr>
        <w:spacing w:after="0" w:line="64" w:lineRule="exact"/>
        <w:rPr>
          <w:rFonts w:ascii="Times New Roman" w:cs="Times New Roman" w:eastAsia="Times New Roman" w:hAnsi="Times New Roman"/>
          <w:sz w:val="18"/>
          <w:szCs w:val="18"/>
          <w:color w:val="auto"/>
        </w:rPr>
      </w:pPr>
    </w:p>
    <w:p>
      <w:pPr>
        <w:ind w:left="784" w:hanging="373"/>
        <w:spacing w:after="0"/>
        <w:tabs>
          <w:tab w:leader="none" w:pos="784" w:val="left"/>
        </w:tabs>
        <w:numPr>
          <w:ilvl w:val="1"/>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Loan Party pursuant to Swap Agreements permitted by Section 6.14;</w:t>
      </w:r>
    </w:p>
    <w:p>
      <w:pPr>
        <w:spacing w:after="0" w:line="108" w:lineRule="exact"/>
        <w:rPr>
          <w:rFonts w:ascii="Times New Roman" w:cs="Times New Roman" w:eastAsia="Times New Roman" w:hAnsi="Times New Roman"/>
          <w:sz w:val="18"/>
          <w:szCs w:val="18"/>
          <w:color w:val="auto"/>
        </w:rPr>
      </w:pPr>
    </w:p>
    <w:p>
      <w:pPr>
        <w:ind w:left="844" w:hanging="433"/>
        <w:spacing w:after="0"/>
        <w:tabs>
          <w:tab w:leader="none" w:pos="844" w:val="left"/>
        </w:tabs>
        <w:numPr>
          <w:ilvl w:val="1"/>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left="884" w:hanging="473"/>
        <w:spacing w:after="0"/>
        <w:tabs>
          <w:tab w:leader="none" w:pos="884" w:val="left"/>
        </w:tabs>
        <w:numPr>
          <w:ilvl w:val="1"/>
          <w:numId w:val="7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representing deferred compensation to employees of the Borrower and the Subsidiaries incurred in the ordinary course</w:t>
      </w:r>
    </w:p>
    <w:p>
      <w:pPr>
        <w:spacing w:after="0" w:line="43"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of business;</w:t>
      </w:r>
    </w:p>
    <w:p>
      <w:pPr>
        <w:spacing w:after="0" w:line="90" w:lineRule="exact"/>
        <w:rPr>
          <w:rFonts w:ascii="Times New Roman" w:cs="Times New Roman" w:eastAsia="Times New Roman" w:hAnsi="Times New Roman"/>
          <w:sz w:val="16"/>
          <w:szCs w:val="16"/>
          <w:color w:val="auto"/>
        </w:rPr>
      </w:pPr>
    </w:p>
    <w:p>
      <w:pPr>
        <w:ind w:left="4" w:firstLine="407"/>
        <w:spacing w:after="0" w:line="248" w:lineRule="auto"/>
        <w:tabs>
          <w:tab w:leader="none" w:pos="940" w:val="left"/>
        </w:tabs>
        <w:numPr>
          <w:ilvl w:val="1"/>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of the Borrower or any Subsidiary Loan Party owed to any non-Loan Party Subsidiary existing on the Effective Date and set forth in </w:t>
      </w:r>
      <w:r>
        <w:rPr>
          <w:rFonts w:ascii="Times New Roman" w:cs="Times New Roman" w:eastAsia="Times New Roman" w:hAnsi="Times New Roman"/>
          <w:sz w:val="18"/>
          <w:szCs w:val="18"/>
          <w:u w:val="single" w:color="auto"/>
          <w:color w:val="auto"/>
        </w:rPr>
        <w:t>Schedule 6.01(xiii)</w:t>
      </w:r>
      <w:r>
        <w:rPr>
          <w:rFonts w:ascii="Times New Roman" w:cs="Times New Roman" w:eastAsia="Times New Roman" w:hAnsi="Times New Roman"/>
          <w:sz w:val="18"/>
          <w:szCs w:val="18"/>
          <w:color w:val="auto"/>
        </w:rPr>
        <w:t xml:space="preserve">, (B) Indebtedness of any non-Loan Party Subsidiary owed to the Borrower or any Subsidiary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Indebtedness under this Section 6.01(a)(xiii)(B), when taken together with Investments made under Section 6.04(a)(xvii)(C), shall not exceed $10,000,000 and (C) Indebtedness of the Borrower or any Subsidiary Loan Party owed to any non-Loan Party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any such Indebtedness shall be unsecured and subordinated in right of payment to the payment in full of the Obligations pursuant to subordination terms reasonably satisfactory to the Administrative Agent;</w:t>
      </w:r>
    </w:p>
    <w:p>
      <w:pPr>
        <w:spacing w:after="0" w:line="82" w:lineRule="exact"/>
        <w:rPr>
          <w:rFonts w:ascii="Times New Roman" w:cs="Times New Roman" w:eastAsia="Times New Roman" w:hAnsi="Times New Roman"/>
          <w:sz w:val="18"/>
          <w:szCs w:val="18"/>
          <w:color w:val="auto"/>
        </w:rPr>
      </w:pPr>
    </w:p>
    <w:p>
      <w:pPr>
        <w:ind w:left="924" w:hanging="513"/>
        <w:spacing w:after="0"/>
        <w:tabs>
          <w:tab w:leader="none" w:pos="924" w:val="left"/>
        </w:tabs>
        <w:numPr>
          <w:ilvl w:val="1"/>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 Subsidiary consisting of the financing of insurance premiums;</w:t>
      </w:r>
    </w:p>
    <w:p>
      <w:pPr>
        <w:spacing w:after="0" w:line="108" w:lineRule="exact"/>
        <w:rPr>
          <w:rFonts w:ascii="Times New Roman" w:cs="Times New Roman" w:eastAsia="Times New Roman" w:hAnsi="Times New Roman"/>
          <w:sz w:val="18"/>
          <w:szCs w:val="18"/>
          <w:color w:val="auto"/>
        </w:rPr>
      </w:pPr>
    </w:p>
    <w:p>
      <w:pPr>
        <w:ind w:left="4" w:right="240" w:firstLine="407"/>
        <w:spacing w:after="0" w:line="267" w:lineRule="auto"/>
        <w:tabs>
          <w:tab w:leader="none" w:pos="882" w:val="left"/>
        </w:tabs>
        <w:numPr>
          <w:ilvl w:val="1"/>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 Subsidiary in connection with cash management services (including netting services, automatic clearinghouse arrangements, overdraft protections, employee credit card programs and related or similar services or activities);</w:t>
      </w:r>
    </w:p>
    <w:p>
      <w:pPr>
        <w:spacing w:after="0" w:line="64" w:lineRule="exact"/>
        <w:rPr>
          <w:rFonts w:ascii="Times New Roman" w:cs="Times New Roman" w:eastAsia="Times New Roman" w:hAnsi="Times New Roman"/>
          <w:sz w:val="18"/>
          <w:szCs w:val="18"/>
          <w:color w:val="auto"/>
        </w:rPr>
      </w:pPr>
    </w:p>
    <w:p>
      <w:pPr>
        <w:ind w:left="924" w:hanging="513"/>
        <w:spacing w:after="0"/>
        <w:tabs>
          <w:tab w:leader="none" w:pos="924" w:val="left"/>
        </w:tabs>
        <w:numPr>
          <w:ilvl w:val="1"/>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left="984" w:hanging="573"/>
        <w:spacing w:after="0"/>
        <w:tabs>
          <w:tab w:leader="none" w:pos="984" w:val="left"/>
        </w:tabs>
        <w:numPr>
          <w:ilvl w:val="1"/>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Indebtedness resulting from endorsements of negotiable instruments for collection in the ordinary course of</w:t>
      </w:r>
    </w:p>
    <w:p>
      <w:pPr>
        <w:spacing w:after="0" w:line="20"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90" w:lineRule="exact"/>
        <w:rPr>
          <w:rFonts w:ascii="Times New Roman" w:cs="Times New Roman" w:eastAsia="Times New Roman" w:hAnsi="Times New Roman"/>
          <w:sz w:val="18"/>
          <w:szCs w:val="18"/>
          <w:color w:val="auto"/>
        </w:rPr>
      </w:pPr>
    </w:p>
    <w:p>
      <w:pPr>
        <w:ind w:left="1024" w:hanging="613"/>
        <w:spacing w:after="0"/>
        <w:tabs>
          <w:tab w:leader="none" w:pos="1024" w:val="left"/>
        </w:tabs>
        <w:numPr>
          <w:ilvl w:val="1"/>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Indebtedness in an aggregate principal amount not to exceed $5,000,000 at any time outstanding; and</w:t>
      </w:r>
    </w:p>
    <w:p>
      <w:pPr>
        <w:spacing w:after="0" w:line="147"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224"/>
          </w:cols>
          <w:pgMar w:left="1016" w:top="266" w:right="659" w:bottom="1440" w:gutter="0" w:footer="0" w:header="0"/>
        </w:sectPr>
      </w:pPr>
    </w:p>
    <w:bookmarkStart w:id="782" w:name="page783"/>
    <w:bookmarkEnd w:id="782"/>
    <w:p>
      <w:pPr>
        <w:ind w:left="440" w:right="40" w:firstLine="407"/>
        <w:spacing w:after="0" w:line="255" w:lineRule="auto"/>
        <w:tabs>
          <w:tab w:leader="none" w:pos="1366" w:val="left"/>
        </w:tabs>
        <w:numPr>
          <w:ilvl w:val="0"/>
          <w:numId w:val="7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incurrence of Indebtedness arising from agreements of the Borrower or a Subsidiary providing for indemnification, adjustment of purchase price, holdback, contingency payment obligations or similar obligations, in each case, incurred or assumed in connection with the disposition or acquisition of any business, assets or capital stock of the Borrower or any Subsidiary.</w:t>
      </w:r>
    </w:p>
    <w:p>
      <w:pPr>
        <w:spacing w:after="0" w:line="180" w:lineRule="exact"/>
        <w:rPr>
          <w:sz w:val="20"/>
          <w:szCs w:val="20"/>
          <w:color w:val="auto"/>
        </w:rPr>
      </w:pPr>
    </w:p>
    <w:p>
      <w:pPr>
        <w:ind w:firstLine="972"/>
        <w:spacing w:after="0" w:line="247" w:lineRule="auto"/>
        <w:tabs>
          <w:tab w:leader="none" w:pos="1343"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Section 6.01(a), in the event that an item of Indebtedness (or any portion thereof) at any time, whether at the time of incurrence or upon the application of all or a portion of the proceeds thereof or subsequently, meets the criteria of more than one of the categories of permitted Indebtedness described in Section 6.01(a)(i) through (xix) above, the Borrower, in its sole discretion, will classify and may subsequently reclassify such item of Indebtedness (or any portion thereof) in any one or more of the types of Indebtedness described in Section 6.01(a)(i) through (xix) above and will only be required to include the amount and type of such Indebtedness in such of the above clauses as determined by the Borrower at such time. The Borrower will be entitled to divide and classify an item of Indebtedness in more than one of the types of Indebtedness described in Section 6.01(a)(i) through (xix) above.</w:t>
      </w:r>
    </w:p>
    <w:p>
      <w:pPr>
        <w:spacing w:after="0" w:line="189" w:lineRule="exact"/>
        <w:rPr>
          <w:sz w:val="20"/>
          <w:szCs w:val="20"/>
          <w:color w:val="auto"/>
        </w:rPr>
      </w:pPr>
    </w:p>
    <w:p>
      <w:pPr>
        <w:ind w:right="16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(a) The Borrower will not,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75" w:lineRule="exact"/>
        <w:rPr>
          <w:sz w:val="20"/>
          <w:szCs w:val="20"/>
          <w:color w:val="auto"/>
        </w:rPr>
      </w:pPr>
    </w:p>
    <w:p>
      <w:pPr>
        <w:ind w:left="1180" w:hanging="333"/>
        <w:spacing w:after="0"/>
        <w:tabs>
          <w:tab w:leader="none" w:pos="1180" w:val="left"/>
        </w:tabs>
        <w:numPr>
          <w:ilvl w:val="0"/>
          <w:numId w:val="7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by the Loan Documents;</w:t>
      </w:r>
    </w:p>
    <w:p>
      <w:pPr>
        <w:spacing w:after="0" w:line="108" w:lineRule="exact"/>
        <w:rPr>
          <w:rFonts w:ascii="Times New Roman" w:cs="Times New Roman" w:eastAsia="Times New Roman" w:hAnsi="Times New Roman"/>
          <w:sz w:val="18"/>
          <w:szCs w:val="18"/>
          <w:color w:val="auto"/>
        </w:rPr>
      </w:pPr>
    </w:p>
    <w:p>
      <w:pPr>
        <w:ind w:left="1240" w:hanging="393"/>
        <w:spacing w:after="0"/>
        <w:tabs>
          <w:tab w:leader="none" w:pos="1240" w:val="left"/>
        </w:tabs>
        <w:numPr>
          <w:ilvl w:val="0"/>
          <w:numId w:val="7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108" w:lineRule="exact"/>
        <w:rPr>
          <w:rFonts w:ascii="Times New Roman" w:cs="Times New Roman" w:eastAsia="Times New Roman" w:hAnsi="Times New Roman"/>
          <w:sz w:val="18"/>
          <w:szCs w:val="18"/>
          <w:color w:val="auto"/>
        </w:rPr>
      </w:pPr>
    </w:p>
    <w:p>
      <w:pPr>
        <w:ind w:left="440" w:right="20" w:firstLine="407"/>
        <w:spacing w:after="0" w:line="251" w:lineRule="auto"/>
        <w:tabs>
          <w:tab w:leader="none" w:pos="1289" w:val="left"/>
        </w:tabs>
        <w:numPr>
          <w:ilvl w:val="0"/>
          <w:numId w:val="7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any property or asset of the Borrower or any Subsidiary existing on the Effective Date and set forth in Schedule 6.02; provided that (A) such Lien shall not apply to any other property or asset of the Borrower or any Subsidiary (other than improvements, accessions, proceeds, dividends or distributions in respect thereof and assets fixed or appurtenant thereto) and (B) such Lien shall secure only those obligations which it secures on the Effective Date and Permitted Refinancings thereof;</w:t>
      </w:r>
    </w:p>
    <w:p>
      <w:pPr>
        <w:spacing w:after="0" w:line="79" w:lineRule="exact"/>
        <w:rPr>
          <w:rFonts w:ascii="Times New Roman" w:cs="Times New Roman" w:eastAsia="Times New Roman" w:hAnsi="Times New Roman"/>
          <w:sz w:val="18"/>
          <w:szCs w:val="18"/>
          <w:color w:val="auto"/>
        </w:rPr>
      </w:pPr>
    </w:p>
    <w:p>
      <w:pPr>
        <w:ind w:left="440" w:right="40" w:firstLine="407"/>
        <w:spacing w:after="0" w:line="248" w:lineRule="auto"/>
        <w:tabs>
          <w:tab w:leader="none" w:pos="1279" w:val="left"/>
        </w:tabs>
        <w:numPr>
          <w:ilvl w:val="0"/>
          <w:numId w:val="7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existing on any property or asset prior to the acquisition thereof by the Borrower or any Subsidiary or existing on any property or asset or Equity Interests of any Person that becomes a Subsidiary after the date hereof prior to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 secures Indebtedness permitted by Section 6.01(a)(vii) and such Lien is not created in contemplation of or in connection with such acquisition or such Person becoming a Subsidiary, as applicable, (B) such Lien shall not apply to any other property or asset of the Borrower or any Subsidiary and (C) such Lien shall secure only those obligations that it secures on the date of such acquisition or the date such Person becomes a Subsidiary, as applicable, and any Permitted Refinancings thereof;</w:t>
      </w:r>
    </w:p>
    <w:p>
      <w:pPr>
        <w:spacing w:after="0" w:line="82" w:lineRule="exact"/>
        <w:rPr>
          <w:rFonts w:ascii="Times New Roman" w:cs="Times New Roman" w:eastAsia="Times New Roman" w:hAnsi="Times New Roman"/>
          <w:sz w:val="18"/>
          <w:szCs w:val="18"/>
          <w:color w:val="auto"/>
        </w:rPr>
      </w:pPr>
    </w:p>
    <w:p>
      <w:pPr>
        <w:ind w:left="440" w:right="60" w:firstLine="407"/>
        <w:spacing w:after="0" w:line="249" w:lineRule="auto"/>
        <w:tabs>
          <w:tab w:leader="none" w:pos="1230" w:val="left"/>
        </w:tabs>
        <w:numPr>
          <w:ilvl w:val="0"/>
          <w:numId w:val="7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fixed or capital assets acquired, constructed or improved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security interests secure Indebtedness permitted by Sections 6.01(a)(vi), (B) such security interests and the Indebtedness secured thereby are incurred prior to or within 270 days after such acquisition or the completion of such construction or improvement and (C) such security interests shall not apply to any other property or assets of the Borrower or any Subsidiary (other than improvements, accessions, proceeds, dividends or distributions in respect thereof and assets fixed or appurtenant thereto);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720"/>
          </w:cols>
          <w:pgMar w:left="580" w:top="265" w:right="599" w:bottom="1440" w:gutter="0" w:footer="0" w:header="0"/>
        </w:sectPr>
      </w:pPr>
    </w:p>
    <w:bookmarkStart w:id="783" w:name="page784"/>
    <w:bookmarkEnd w:id="783"/>
    <w:p>
      <w:pPr>
        <w:ind w:firstLine="407"/>
        <w:spacing w:after="0" w:line="267" w:lineRule="auto"/>
        <w:tabs>
          <w:tab w:leader="none" w:pos="839"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Liens of a collecting bank arising in the ordinary course of business under Section 4-208 of the Uniform Commercial Code in effect in the relevant jurisdiction covering only the items being collected upon;</w:t>
      </w:r>
    </w:p>
    <w:p>
      <w:pPr>
        <w:spacing w:after="0" w:line="64" w:lineRule="exact"/>
        <w:rPr>
          <w:rFonts w:ascii="Times New Roman" w:cs="Times New Roman" w:eastAsia="Times New Roman" w:hAnsi="Times New Roman"/>
          <w:sz w:val="18"/>
          <w:szCs w:val="18"/>
          <w:color w:val="auto"/>
        </w:rPr>
      </w:pPr>
    </w:p>
    <w:p>
      <w:pPr>
        <w:ind w:left="880" w:hanging="473"/>
        <w:spacing w:after="0"/>
        <w:tabs>
          <w:tab w:leader="none" w:pos="880"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sale and leaseback transactions permitted by Section 6.06;</w:t>
      </w:r>
    </w:p>
    <w:p>
      <w:pPr>
        <w:spacing w:after="0" w:line="108" w:lineRule="exact"/>
        <w:rPr>
          <w:rFonts w:ascii="Times New Roman" w:cs="Times New Roman" w:eastAsia="Times New Roman" w:hAnsi="Times New Roman"/>
          <w:sz w:val="18"/>
          <w:szCs w:val="18"/>
          <w:color w:val="auto"/>
        </w:rPr>
      </w:pPr>
    </w:p>
    <w:p>
      <w:pPr>
        <w:ind w:right="360" w:firstLine="407"/>
        <w:spacing w:after="0" w:line="267" w:lineRule="auto"/>
        <w:tabs>
          <w:tab w:leader="none" w:pos="936"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 Subsidiary that is not a Loan Party in favor of the Borrower or another Loan Party in respect of Indebtedness owed by such Subsidiary;</w:t>
      </w:r>
    </w:p>
    <w:p>
      <w:pPr>
        <w:spacing w:after="0" w:line="64" w:lineRule="exact"/>
        <w:rPr>
          <w:rFonts w:ascii="Times New Roman" w:cs="Times New Roman" w:eastAsia="Times New Roman" w:hAnsi="Times New Roman"/>
          <w:sz w:val="18"/>
          <w:szCs w:val="18"/>
          <w:color w:val="auto"/>
        </w:rPr>
      </w:pPr>
    </w:p>
    <w:p>
      <w:pPr>
        <w:ind w:right="60" w:firstLine="407"/>
        <w:spacing w:after="0" w:line="267" w:lineRule="auto"/>
        <w:tabs>
          <w:tab w:leader="none" w:pos="839"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or sublicenses, leases or subleases, granted to others not interfering in any material respect with the business of the Borrower or any Subsidiary;</w:t>
      </w:r>
    </w:p>
    <w:p>
      <w:pPr>
        <w:spacing w:after="0" w:line="64" w:lineRule="exact"/>
        <w:rPr>
          <w:rFonts w:ascii="Times New Roman" w:cs="Times New Roman" w:eastAsia="Times New Roman" w:hAnsi="Times New Roman"/>
          <w:sz w:val="18"/>
          <w:szCs w:val="18"/>
          <w:color w:val="auto"/>
        </w:rPr>
      </w:pPr>
    </w:p>
    <w:p>
      <w:pPr>
        <w:ind w:right="520" w:firstLine="407"/>
        <w:spacing w:after="0" w:line="267" w:lineRule="auto"/>
        <w:tabs>
          <w:tab w:leader="none" w:pos="790"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64" w:lineRule="exact"/>
        <w:rPr>
          <w:rFonts w:ascii="Times New Roman" w:cs="Times New Roman" w:eastAsia="Times New Roman" w:hAnsi="Times New Roman"/>
          <w:sz w:val="18"/>
          <w:szCs w:val="18"/>
          <w:color w:val="auto"/>
        </w:rPr>
      </w:pPr>
    </w:p>
    <w:p>
      <w:pPr>
        <w:ind w:right="20" w:firstLine="407"/>
        <w:spacing w:after="0" w:line="251" w:lineRule="auto"/>
        <w:tabs>
          <w:tab w:leader="none" w:pos="839"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 rights of set-off (i) relating to the establishment of depositary relations with banks not given in connection with the issuance of Indebtedness, (ii) relating to pooled deposit or sweep accounts of the Borrower or any Subsidiary to permit satisfaction of overdraft or similar obligations incurred in the ordinary course of business of the Borrower and the Subsidiaries or (iii) relating to purchase orders and other agreements entered into with customers of the Borrower or any Subsidiary in the ordinary course of business;</w:t>
      </w:r>
    </w:p>
    <w:p>
      <w:pPr>
        <w:spacing w:after="0" w:line="79" w:lineRule="exact"/>
        <w:rPr>
          <w:rFonts w:ascii="Times New Roman" w:cs="Times New Roman" w:eastAsia="Times New Roman" w:hAnsi="Times New Roman"/>
          <w:sz w:val="18"/>
          <w:szCs w:val="18"/>
          <w:color w:val="auto"/>
        </w:rPr>
      </w:pPr>
    </w:p>
    <w:p>
      <w:pPr>
        <w:ind w:right="240" w:firstLine="407"/>
        <w:spacing w:after="0" w:line="267" w:lineRule="auto"/>
        <w:tabs>
          <w:tab w:leader="none" w:pos="887"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earned money deposits made by the Borrower or any Subsidiary in connection with any letter of intent or purchase agreement permitted hereunder;</w:t>
      </w:r>
    </w:p>
    <w:p>
      <w:pPr>
        <w:spacing w:after="0" w:line="64" w:lineRule="exact"/>
        <w:rPr>
          <w:rFonts w:ascii="Times New Roman" w:cs="Times New Roman" w:eastAsia="Times New Roman" w:hAnsi="Times New Roman"/>
          <w:sz w:val="18"/>
          <w:szCs w:val="18"/>
          <w:color w:val="auto"/>
        </w:rPr>
      </w:pPr>
    </w:p>
    <w:p>
      <w:pPr>
        <w:ind w:left="940" w:hanging="533"/>
        <w:spacing w:after="0"/>
        <w:tabs>
          <w:tab w:leader="none" w:pos="940"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 Loan Party securing Indebtedness permitted under Sections 6.01(a)(iv) and (v);</w:t>
      </w:r>
    </w:p>
    <w:p>
      <w:pPr>
        <w:spacing w:after="0" w:line="108" w:lineRule="exact"/>
        <w:rPr>
          <w:rFonts w:ascii="Times New Roman" w:cs="Times New Roman" w:eastAsia="Times New Roman" w:hAnsi="Times New Roman"/>
          <w:sz w:val="18"/>
          <w:szCs w:val="18"/>
          <w:color w:val="auto"/>
        </w:rPr>
      </w:pPr>
    </w:p>
    <w:p>
      <w:pPr>
        <w:ind w:left="920" w:hanging="513"/>
        <w:spacing w:after="0"/>
        <w:tabs>
          <w:tab w:leader="none" w:pos="920"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proceeds in favor of insurance companies granted solely to secured financed insurance premiums;</w:t>
      </w:r>
    </w:p>
    <w:p>
      <w:pPr>
        <w:spacing w:after="0" w:line="108" w:lineRule="exact"/>
        <w:rPr>
          <w:rFonts w:ascii="Times New Roman" w:cs="Times New Roman" w:eastAsia="Times New Roman" w:hAnsi="Times New Roman"/>
          <w:sz w:val="18"/>
          <w:szCs w:val="18"/>
          <w:color w:val="auto"/>
        </w:rPr>
      </w:pPr>
    </w:p>
    <w:p>
      <w:pPr>
        <w:ind w:right="40" w:firstLine="407"/>
        <w:spacing w:after="0" w:line="267" w:lineRule="auto"/>
        <w:tabs>
          <w:tab w:leader="none" w:pos="878"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of the Borrower or the Subsidiaries not otherwise permitted by this Section 6.02, so long as the aggregate outstanding principal amount of the obligations secured thereby does not exceed $5,000,000;</w:t>
      </w:r>
    </w:p>
    <w:p>
      <w:pPr>
        <w:spacing w:after="0" w:line="64" w:lineRule="exact"/>
        <w:rPr>
          <w:rFonts w:ascii="Times New Roman" w:cs="Times New Roman" w:eastAsia="Times New Roman" w:hAnsi="Times New Roman"/>
          <w:sz w:val="18"/>
          <w:szCs w:val="18"/>
          <w:color w:val="auto"/>
        </w:rPr>
      </w:pPr>
    </w:p>
    <w:p>
      <w:pPr>
        <w:ind w:left="920" w:hanging="513"/>
        <w:spacing w:after="0"/>
        <w:tabs>
          <w:tab w:leader="none" w:pos="920"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permitted under Section 6.01(a)(xiii);</w:t>
      </w:r>
    </w:p>
    <w:p>
      <w:pPr>
        <w:spacing w:after="0" w:line="108" w:lineRule="exact"/>
        <w:rPr>
          <w:rFonts w:ascii="Times New Roman" w:cs="Times New Roman" w:eastAsia="Times New Roman" w:hAnsi="Times New Roman"/>
          <w:sz w:val="18"/>
          <w:szCs w:val="18"/>
          <w:color w:val="auto"/>
        </w:rPr>
      </w:pPr>
    </w:p>
    <w:p>
      <w:pPr>
        <w:ind w:right="420" w:firstLine="407"/>
        <w:spacing w:after="0" w:line="267" w:lineRule="auto"/>
        <w:tabs>
          <w:tab w:leader="none" w:pos="975"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Equity Interests of any joint venture (a) securing obligations of such joint venture or (b) pursuant to the relevant joint venture agreement or arrangement;</w:t>
      </w:r>
    </w:p>
    <w:p>
      <w:pPr>
        <w:spacing w:after="0" w:line="64" w:lineRule="exact"/>
        <w:rPr>
          <w:rFonts w:ascii="Times New Roman" w:cs="Times New Roman" w:eastAsia="Times New Roman" w:hAnsi="Times New Roman"/>
          <w:sz w:val="18"/>
          <w:szCs w:val="18"/>
          <w:color w:val="auto"/>
        </w:rPr>
      </w:pPr>
    </w:p>
    <w:p>
      <w:pPr>
        <w:ind w:right="100" w:firstLine="407"/>
        <w:spacing w:after="0" w:line="331" w:lineRule="auto"/>
        <w:tabs>
          <w:tab w:leader="none" w:pos="1024" w:val="left"/>
        </w:tabs>
        <w:numPr>
          <w:ilvl w:val="0"/>
          <w:numId w:val="7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in favor of a seller solely on any cash earnest money deposits made by the Borrower or any of its Subsidiaries in connection with any letter of intent or purchase agreement with respect to any Permitted Acquisition or other Investment permitted hereunder; and</w:t>
      </w:r>
    </w:p>
    <w:p>
      <w:pPr>
        <w:spacing w:after="0" w:line="17" w:lineRule="exact"/>
        <w:rPr>
          <w:rFonts w:ascii="Times New Roman" w:cs="Times New Roman" w:eastAsia="Times New Roman" w:hAnsi="Times New Roman"/>
          <w:sz w:val="16"/>
          <w:szCs w:val="16"/>
          <w:color w:val="auto"/>
        </w:rPr>
      </w:pPr>
    </w:p>
    <w:p>
      <w:pPr>
        <w:ind w:right="260" w:firstLine="407"/>
        <w:spacing w:after="0" w:line="267" w:lineRule="auto"/>
        <w:tabs>
          <w:tab w:leader="none" w:pos="926"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by the Borrower or any of its Subsidiaries in the ordinary course of business.</w:t>
      </w:r>
    </w:p>
    <w:p>
      <w:pPr>
        <w:spacing w:after="0" w:line="10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240"/>
          </w:cols>
          <w:pgMar w:left="1020" w:top="265" w:right="639" w:bottom="1440" w:gutter="0" w:footer="0" w:header="0"/>
        </w:sectPr>
      </w:pPr>
    </w:p>
    <w:bookmarkStart w:id="784" w:name="page785"/>
    <w:bookmarkEnd w:id="784"/>
    <w:p>
      <w:pPr>
        <w:ind w:right="20" w:firstLine="972"/>
        <w:spacing w:after="0" w:line="285" w:lineRule="auto"/>
        <w:tabs>
          <w:tab w:leader="none" w:pos="1343" w:val="left"/>
        </w:tabs>
        <w:numPr>
          <w:ilvl w:val="0"/>
          <w:numId w:val="7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For purposes of determining compliance with Section 6.02(a), in the event that a Lien (or any portion thereof) at any time, whether at the time of incurrence or upon the application of all or a portion of the proceeds thereof or subsequently, meets the criteria of more than one of the categories of permitted Liens described in Section 6.02(a)(i) through (xix) above, the Borrower, in its sole discretion, will classify and may subsequently reclassify such Lien (or any portion thereof) in any one or more of the types of Liens described in Section 6.02(a)(i) through (xix) above and will only be required to include the amount and type of such Lien in such of the above clauses as determined by the Borrower at such time. The Borrower will be entitled to divide and classify a Lien in more than one of the types of Liens described in Section 6.02(a)(i) through (xix) above.</w:t>
      </w:r>
    </w:p>
    <w:p>
      <w:pPr>
        <w:spacing w:after="0" w:line="265"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6"/>
          <w:szCs w:val="16"/>
          <w:u w:val="single" w:color="auto"/>
          <w:color w:val="auto"/>
        </w:rPr>
        <w:t>Fundamental Changes; Line of Business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firstLine="972"/>
        <w:spacing w:after="0" w:line="245" w:lineRule="auto"/>
        <w:tabs>
          <w:tab w:leader="none" w:pos="1330"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will not, nor will it permit any Subsidiary to, merge into or consolidate with, or transfer substantially all of its assets to, any other Person, or permit any other Person to merge into or consolidate with it, or liquidate or dissolve, except that if at the time thereof and immediately after giving effect thereto no Default shall have occurred and be continuing, (i) any wholly-owned Subsidiary may merge into the Borrower in a transaction in which the surviving entity is the Borrower, (ii) any Subsidiary may merge with any one or more other Subsidiaries (in each case, other than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when any wholly-owned Subsidiary is merging with another Subsidiary, a wholly-owned Subsidiary shall be the continuing or surviving Person and (y) if any party to such merger is a Subsidiary Loan Party, the continuing or surviving Person is or becomes a Subsidiary Loan Party concurrently with such merger, (iii) any Subsidiary (other than a Subsidiary Loan Party) may liquidate or dissolve if the Borrower determines in good faith that such liquidation or dissolution is in the best interests of the Borrower and is not materially disadvantageous to the Lenders and (iv) any asset sale permitted by Section 6.05(g) may be effected through the merger of a subsidiary of the Borrower with a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merger referred to in clauses (ii), (iii) or (iv) above involving a Person that is not a wholly-owned Subsidiary immediately prior to such merger shall not be permitted unless also permitted by Section 6.04.</w:t>
      </w:r>
    </w:p>
    <w:p>
      <w:pPr>
        <w:spacing w:after="0" w:line="196" w:lineRule="exact"/>
        <w:rPr>
          <w:rFonts w:ascii="Times New Roman" w:cs="Times New Roman" w:eastAsia="Times New Roman" w:hAnsi="Times New Roman"/>
          <w:sz w:val="18"/>
          <w:szCs w:val="18"/>
          <w:color w:val="auto"/>
        </w:rPr>
      </w:pPr>
    </w:p>
    <w:p>
      <w:pPr>
        <w:ind w:left="1340" w:hanging="368"/>
        <w:spacing w:after="0"/>
        <w:tabs>
          <w:tab w:leader="none" w:pos="1340"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and will not permit any Subsidiary to, engage to any material extent in any business other than a Permitted</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195"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6"/>
          <w:szCs w:val="16"/>
          <w:u w:val="single" w:color="auto"/>
          <w:color w:val="auto"/>
        </w:rPr>
        <w:t>Investments, Loans, Advances, Guarantees and Acquisitions</w:t>
      </w:r>
      <w:r>
        <w:rPr>
          <w:rFonts w:ascii="Times New Roman" w:cs="Times New Roman" w:eastAsia="Times New Roman" w:hAnsi="Times New Roman"/>
          <w:sz w:val="16"/>
          <w:szCs w:val="16"/>
          <w:color w:val="auto"/>
        </w:rPr>
        <w:t>. (a) The Borrower will not, nor will it permit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Subsidiary to, purchase or acquire (including pursuant to any merger with any Person that was not a wholly owned Subsidiary prior to such merger) 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except:</w:t>
      </w:r>
    </w:p>
    <w:p>
      <w:pPr>
        <w:spacing w:after="0" w:line="90" w:lineRule="exact"/>
        <w:rPr>
          <w:sz w:val="20"/>
          <w:szCs w:val="20"/>
          <w:color w:val="auto"/>
        </w:rPr>
      </w:pPr>
    </w:p>
    <w:p>
      <w:pPr>
        <w:ind w:left="1180" w:hanging="333"/>
        <w:spacing w:after="0"/>
        <w:tabs>
          <w:tab w:leader="none" w:pos="1180" w:val="left"/>
        </w:tabs>
        <w:numPr>
          <w:ilvl w:val="0"/>
          <w:numId w:val="7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108" w:lineRule="exact"/>
        <w:rPr>
          <w:rFonts w:ascii="Times New Roman" w:cs="Times New Roman" w:eastAsia="Times New Roman" w:hAnsi="Times New Roman"/>
          <w:sz w:val="18"/>
          <w:szCs w:val="18"/>
          <w:color w:val="auto"/>
        </w:rPr>
      </w:pPr>
    </w:p>
    <w:p>
      <w:pPr>
        <w:ind w:left="1240" w:hanging="393"/>
        <w:spacing w:after="0"/>
        <w:tabs>
          <w:tab w:leader="none" w:pos="1240" w:val="left"/>
        </w:tabs>
        <w:numPr>
          <w:ilvl w:val="0"/>
          <w:numId w:val="7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w:t>
      </w:r>
    </w:p>
    <w:p>
      <w:pPr>
        <w:spacing w:after="0" w:line="108" w:lineRule="exact"/>
        <w:rPr>
          <w:rFonts w:ascii="Times New Roman" w:cs="Times New Roman" w:eastAsia="Times New Roman" w:hAnsi="Times New Roman"/>
          <w:sz w:val="18"/>
          <w:szCs w:val="18"/>
          <w:color w:val="auto"/>
        </w:rPr>
      </w:pPr>
    </w:p>
    <w:p>
      <w:pPr>
        <w:ind w:left="440" w:right="860" w:firstLine="407"/>
        <w:spacing w:after="0" w:line="267" w:lineRule="auto"/>
        <w:tabs>
          <w:tab w:leader="none" w:pos="1289" w:val="left"/>
        </w:tabs>
        <w:numPr>
          <w:ilvl w:val="0"/>
          <w:numId w:val="7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existing on the Effective Date and set forth on </w:t>
      </w:r>
      <w:r>
        <w:rPr>
          <w:rFonts w:ascii="Times New Roman" w:cs="Times New Roman" w:eastAsia="Times New Roman" w:hAnsi="Times New Roman"/>
          <w:sz w:val="18"/>
          <w:szCs w:val="18"/>
          <w:u w:val="single" w:color="auto"/>
          <w:color w:val="auto"/>
        </w:rPr>
        <w:t>Schedule 6.04(iii)</w:t>
      </w:r>
      <w:r>
        <w:rPr>
          <w:rFonts w:ascii="Times New Roman" w:cs="Times New Roman" w:eastAsia="Times New Roman" w:hAnsi="Times New Roman"/>
          <w:sz w:val="18"/>
          <w:szCs w:val="18"/>
          <w:color w:val="auto"/>
        </w:rPr>
        <w:t xml:space="preserve"> and any modification, replacement, renewal, reinvestment or extension thereof;</w:t>
      </w:r>
    </w:p>
    <w:p>
      <w:pPr>
        <w:spacing w:after="0" w:line="64" w:lineRule="exact"/>
        <w:rPr>
          <w:rFonts w:ascii="Times New Roman" w:cs="Times New Roman" w:eastAsia="Times New Roman" w:hAnsi="Times New Roman"/>
          <w:sz w:val="18"/>
          <w:szCs w:val="18"/>
          <w:color w:val="auto"/>
        </w:rPr>
      </w:pPr>
    </w:p>
    <w:p>
      <w:pPr>
        <w:ind w:left="440" w:right="40" w:firstLine="407"/>
        <w:spacing w:after="0" w:line="249" w:lineRule="auto"/>
        <w:tabs>
          <w:tab w:leader="none" w:pos="1279" w:val="left"/>
        </w:tabs>
        <w:numPr>
          <w:ilvl w:val="0"/>
          <w:numId w:val="7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(including cash payments in respect of earn-outs, milestones and other similar deferred purchase price obligations) in an aggregate amount not to exceed, when taken together with the aggregate amount of payments made pursuant to Section 6.08(b)(iii), $5,000,000 per fiscal year of the Borrower and $25,000,000 during the term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before and immediately after giving effect to any such Investment, no Specified Event of Default has occurred and is continuing or would result therefrom and (y) pro forma Liquidity after giving effect thereto shall exceed $50,000,000;</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720"/>
          </w:cols>
          <w:pgMar w:left="580" w:top="265" w:right="599" w:bottom="1440" w:gutter="0" w:footer="0" w:header="0"/>
        </w:sectPr>
      </w:pPr>
    </w:p>
    <w:bookmarkStart w:id="785" w:name="page786"/>
    <w:bookmarkEnd w:id="785"/>
    <w:p>
      <w:pPr>
        <w:ind w:right="40" w:firstLine="407"/>
        <w:spacing w:after="0" w:line="293" w:lineRule="auto"/>
        <w:tabs>
          <w:tab w:leader="none" w:pos="790" w:val="left"/>
        </w:tabs>
        <w:numPr>
          <w:ilvl w:val="0"/>
          <w:numId w:val="7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loans or advances made by the Borrower to any Subsidiary Loan Party and made by any Subsidiary Loan Party to the Borrower or any Subsidiary Loan Party,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such loans and advances made by a Loan Party shall be evidenced by a promissory note pledged pursuant to the Collateral Agreement; provided, however, that the foregoing pledge requirement with respect to any intercompany indebtedness may be satisfied by delivery of an omnibus or global intercompany note executed by all Loan Parties as payees and all such obligors as payors;</w:t>
      </w:r>
    </w:p>
    <w:p>
      <w:pPr>
        <w:spacing w:after="0" w:line="46" w:lineRule="exact"/>
        <w:rPr>
          <w:rFonts w:ascii="Times New Roman" w:cs="Times New Roman" w:eastAsia="Times New Roman" w:hAnsi="Times New Roman"/>
          <w:sz w:val="16"/>
          <w:szCs w:val="16"/>
          <w:color w:val="auto"/>
        </w:rPr>
      </w:pPr>
    </w:p>
    <w:p>
      <w:pPr>
        <w:ind w:left="840" w:hanging="433"/>
        <w:spacing w:after="0"/>
        <w:tabs>
          <w:tab w:leader="none" w:pos="840"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constituting Indebtedness permitted by Section 6.01;</w:t>
      </w:r>
    </w:p>
    <w:p>
      <w:pPr>
        <w:spacing w:after="0" w:line="108" w:lineRule="exact"/>
        <w:rPr>
          <w:rFonts w:ascii="Times New Roman" w:cs="Times New Roman" w:eastAsia="Times New Roman" w:hAnsi="Times New Roman"/>
          <w:sz w:val="18"/>
          <w:szCs w:val="18"/>
          <w:color w:val="auto"/>
        </w:rPr>
      </w:pPr>
    </w:p>
    <w:p>
      <w:pPr>
        <w:jc w:val="both"/>
        <w:ind w:right="80" w:firstLine="407"/>
        <w:spacing w:after="0" w:line="255" w:lineRule="auto"/>
        <w:tabs>
          <w:tab w:leader="none" w:pos="887"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receivables or other trade payables owing to the Borrower or any Subsidiary if created or acquired in the ordinary course of business consistent with past practice and payable or dischargeable in accordance with customary trade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trade terms may include such concessionary trade terms as the Borrower or any such Subsidiary deems reasonable under the circumstances;</w:t>
      </w:r>
    </w:p>
    <w:p>
      <w:pPr>
        <w:spacing w:after="0" w:line="75" w:lineRule="exact"/>
        <w:rPr>
          <w:rFonts w:ascii="Times New Roman" w:cs="Times New Roman" w:eastAsia="Times New Roman" w:hAnsi="Times New Roman"/>
          <w:sz w:val="18"/>
          <w:szCs w:val="18"/>
          <w:color w:val="auto"/>
        </w:rPr>
      </w:pPr>
    </w:p>
    <w:p>
      <w:pPr>
        <w:ind w:right="140" w:firstLine="407"/>
        <w:spacing w:after="0" w:line="255" w:lineRule="auto"/>
        <w:tabs>
          <w:tab w:leader="none" w:pos="936"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Equity Interests, obligations, securities or other property received in settlement of delinquent accounts of and disputes with customers and suppliers in the ordinary course of business and owing to the Borrower or any Subsidiary or in satisfaction of judgments;</w:t>
      </w:r>
    </w:p>
    <w:p>
      <w:pPr>
        <w:spacing w:after="0" w:line="75" w:lineRule="exact"/>
        <w:rPr>
          <w:rFonts w:ascii="Times New Roman" w:cs="Times New Roman" w:eastAsia="Times New Roman" w:hAnsi="Times New Roman"/>
          <w:sz w:val="18"/>
          <w:szCs w:val="18"/>
          <w:color w:val="auto"/>
        </w:rPr>
      </w:pPr>
    </w:p>
    <w:p>
      <w:pPr>
        <w:ind w:firstLine="407"/>
        <w:spacing w:after="0" w:line="267" w:lineRule="auto"/>
        <w:tabs>
          <w:tab w:leader="none" w:pos="839"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the Borrower or any Subsidiary in payroll, travel and similar advances to cover matters that are expected at the time of such advances ultimately to be treated as expenses for accounting purposes and that are made in the ordinary course of business;</w:t>
      </w:r>
    </w:p>
    <w:p>
      <w:pPr>
        <w:spacing w:after="0" w:line="64" w:lineRule="exact"/>
        <w:rPr>
          <w:rFonts w:ascii="Times New Roman" w:cs="Times New Roman" w:eastAsia="Times New Roman" w:hAnsi="Times New Roman"/>
          <w:sz w:val="18"/>
          <w:szCs w:val="18"/>
          <w:color w:val="auto"/>
        </w:rPr>
      </w:pPr>
    </w:p>
    <w:p>
      <w:pPr>
        <w:ind w:right="300" w:firstLine="407"/>
        <w:spacing w:after="0" w:line="255" w:lineRule="auto"/>
        <w:tabs>
          <w:tab w:leader="none" w:pos="790"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by the Borrower or any Subsidiary to employees (A) made for reasonable and customary business-related travel, entertainment, relocation and other ordinary business purposes and (B) otherwise not exceeding $5,000,000 in the aggregate at any time outstanding (determined without regard to any write-downs or write-offs of such loans or advances);</w:t>
      </w:r>
    </w:p>
    <w:p>
      <w:pPr>
        <w:spacing w:after="0" w:line="75" w:lineRule="exact"/>
        <w:rPr>
          <w:rFonts w:ascii="Times New Roman" w:cs="Times New Roman" w:eastAsia="Times New Roman" w:hAnsi="Times New Roman"/>
          <w:sz w:val="18"/>
          <w:szCs w:val="18"/>
          <w:color w:val="auto"/>
        </w:rPr>
      </w:pPr>
    </w:p>
    <w:p>
      <w:pPr>
        <w:ind w:left="840" w:hanging="433"/>
        <w:spacing w:after="0"/>
        <w:tabs>
          <w:tab w:leader="none" w:pos="840"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form of Swap Agreements permitted by Section 6.14;</w:t>
      </w:r>
    </w:p>
    <w:p>
      <w:pPr>
        <w:spacing w:after="0" w:line="108" w:lineRule="exact"/>
        <w:rPr>
          <w:rFonts w:ascii="Times New Roman" w:cs="Times New Roman" w:eastAsia="Times New Roman" w:hAnsi="Times New Roman"/>
          <w:sz w:val="18"/>
          <w:szCs w:val="18"/>
          <w:color w:val="auto"/>
        </w:rPr>
      </w:pPr>
    </w:p>
    <w:p>
      <w:pPr>
        <w:ind w:right="60" w:firstLine="407"/>
        <w:spacing w:after="0" w:line="255" w:lineRule="auto"/>
        <w:tabs>
          <w:tab w:leader="none" w:pos="887"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any Person existing at the time such Person becomes a Subsidiary of the Borrower or consolidates or merges with the Borrower or any of the Subsidiaries (including in connection with a Permitted Acquisition) so long as such investments were not made in contemplation of such Person becoming a Subsidiary or of such consolidation or merger;</w:t>
      </w:r>
    </w:p>
    <w:p>
      <w:pPr>
        <w:spacing w:after="0" w:line="75" w:lineRule="exact"/>
        <w:rPr>
          <w:rFonts w:ascii="Times New Roman" w:cs="Times New Roman" w:eastAsia="Times New Roman" w:hAnsi="Times New Roman"/>
          <w:sz w:val="18"/>
          <w:szCs w:val="18"/>
          <w:color w:val="auto"/>
        </w:rPr>
      </w:pPr>
    </w:p>
    <w:p>
      <w:pPr>
        <w:ind w:left="940" w:hanging="533"/>
        <w:spacing w:after="0"/>
        <w:tabs>
          <w:tab w:leader="none" w:pos="940"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in connection with the dispositions of assets permitted by Section 6.05;</w:t>
      </w:r>
    </w:p>
    <w:p>
      <w:pPr>
        <w:spacing w:after="0" w:line="108" w:lineRule="exact"/>
        <w:rPr>
          <w:rFonts w:ascii="Times New Roman" w:cs="Times New Roman" w:eastAsia="Times New Roman" w:hAnsi="Times New Roman"/>
          <w:sz w:val="18"/>
          <w:szCs w:val="18"/>
          <w:color w:val="auto"/>
        </w:rPr>
      </w:pPr>
    </w:p>
    <w:p>
      <w:pPr>
        <w:ind w:left="920" w:hanging="513"/>
        <w:spacing w:after="0"/>
        <w:tabs>
          <w:tab w:leader="none" w:pos="920"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constituting deposits described in clauses (c) and (d) of the definition of the term “Permitted Encumbrances”;</w:t>
      </w:r>
    </w:p>
    <w:p>
      <w:pPr>
        <w:spacing w:after="0" w:line="108" w:lineRule="exact"/>
        <w:rPr>
          <w:rFonts w:ascii="Times New Roman" w:cs="Times New Roman" w:eastAsia="Times New Roman" w:hAnsi="Times New Roman"/>
          <w:sz w:val="18"/>
          <w:szCs w:val="18"/>
          <w:color w:val="auto"/>
        </w:rPr>
      </w:pPr>
    </w:p>
    <w:p>
      <w:pPr>
        <w:ind w:firstLine="407"/>
        <w:spacing w:after="0" w:line="251" w:lineRule="auto"/>
        <w:tabs>
          <w:tab w:leader="none" w:pos="878"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Investments (including in respect of earn-outs, milestones and other similar deferred purchase price obligations) in an aggregate amount not to exceed the Available Basket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before and immediately after giving effect to any such Investment, no Specified Event of Default has occurred and is continuing or would result therefrom and (y) pro forma Liquidity after giving effect thereto shall exceed $100,000,000;</w:t>
      </w:r>
    </w:p>
    <w:p>
      <w:pPr>
        <w:spacing w:after="0" w:line="11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240"/>
          </w:cols>
          <w:pgMar w:left="1020" w:top="266" w:right="639" w:bottom="1440" w:gutter="0" w:footer="0" w:header="0"/>
        </w:sectPr>
      </w:pPr>
    </w:p>
    <w:bookmarkStart w:id="786" w:name="page787"/>
    <w:bookmarkEnd w:id="786"/>
    <w:p>
      <w:pPr>
        <w:ind w:left="440" w:right="300" w:firstLine="407"/>
        <w:spacing w:after="0" w:line="267" w:lineRule="auto"/>
        <w:tabs>
          <w:tab w:leader="none" w:pos="1366" w:val="left"/>
        </w:tabs>
        <w:numPr>
          <w:ilvl w:val="0"/>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Guarantees by the Borrower or any Subsidiary of leases (other than Capital Lease Obligations) or of other obligations that do not constitute Indebtedness, in each case entered into in the ordinary course of business;</w:t>
      </w:r>
    </w:p>
    <w:p>
      <w:pPr>
        <w:spacing w:after="0" w:line="64" w:lineRule="exact"/>
        <w:rPr>
          <w:rFonts w:ascii="Times New Roman" w:cs="Times New Roman" w:eastAsia="Times New Roman" w:hAnsi="Times New Roman"/>
          <w:sz w:val="18"/>
          <w:szCs w:val="18"/>
          <w:color w:val="auto"/>
        </w:rPr>
      </w:pPr>
    </w:p>
    <w:p>
      <w:pPr>
        <w:ind w:left="1420" w:hanging="573"/>
        <w:spacing w:after="0"/>
        <w:tabs>
          <w:tab w:leader="none" w:pos="1420" w:val="left"/>
        </w:tabs>
        <w:numPr>
          <w:ilvl w:val="0"/>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Investments from Loan Parties to non-Loan Party Subsidiaries existing on the Effective Date and set forth on </w:t>
      </w:r>
      <w:r>
        <w:rPr>
          <w:rFonts w:ascii="Times New Roman" w:cs="Times New Roman" w:eastAsia="Times New Roman" w:hAnsi="Times New Roman"/>
          <w:sz w:val="18"/>
          <w:szCs w:val="18"/>
          <w:u w:val="single" w:color="auto"/>
          <w:color w:val="auto"/>
        </w:rPr>
        <w:t>Schedule</w:t>
      </w:r>
    </w:p>
    <w:p>
      <w:pPr>
        <w:spacing w:after="0" w:line="21" w:lineRule="exact"/>
        <w:rPr>
          <w:sz w:val="20"/>
          <w:szCs w:val="20"/>
          <w:color w:val="auto"/>
        </w:rPr>
      </w:pPr>
    </w:p>
    <w:p>
      <w:pPr>
        <w:ind w:left="440" w:right="20"/>
        <w:spacing w:after="0" w:line="245" w:lineRule="auto"/>
        <w:rPr>
          <w:sz w:val="20"/>
          <w:szCs w:val="20"/>
          <w:color w:val="auto"/>
        </w:rPr>
      </w:pPr>
      <w:r>
        <w:rPr>
          <w:rFonts w:ascii="Times New Roman" w:cs="Times New Roman" w:eastAsia="Times New Roman" w:hAnsi="Times New Roman"/>
          <w:sz w:val="18"/>
          <w:szCs w:val="18"/>
          <w:u w:val="single" w:color="auto"/>
          <w:color w:val="auto"/>
        </w:rPr>
        <w:t>6.04(xvii)</w:t>
      </w:r>
      <w:r>
        <w:rPr>
          <w:rFonts w:ascii="Times New Roman" w:cs="Times New Roman" w:eastAsia="Times New Roman" w:hAnsi="Times New Roman"/>
          <w:sz w:val="18"/>
          <w:szCs w:val="18"/>
          <w:color w:val="auto"/>
        </w:rPr>
        <w:t xml:space="preserve"> and any modification, replacement, renewal, reinvestment or extension thereof; (B) Investments from non-Loan Party Subsidiaries to Loan Parties and (C) Investments from Loan Parties to non-Loan Party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Investments under this Section 6.04(a)(xvii)(C), when taken together with any Indebtedness under Section 6.01(a)(xiii)(B), shall not exceed $10,000,000;</w:t>
      </w:r>
    </w:p>
    <w:p>
      <w:pPr>
        <w:spacing w:after="0" w:line="83" w:lineRule="exact"/>
        <w:rPr>
          <w:sz w:val="20"/>
          <w:szCs w:val="20"/>
          <w:color w:val="auto"/>
        </w:rPr>
      </w:pPr>
    </w:p>
    <w:p>
      <w:pPr>
        <w:jc w:val="both"/>
        <w:ind w:left="440" w:right="140" w:firstLine="407"/>
        <w:spacing w:after="0" w:line="255" w:lineRule="auto"/>
        <w:tabs>
          <w:tab w:leader="none" w:pos="1464"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Investments in respect of earn-outs, milestones and other similar deferred purchase price obligations in an aggregate amount not to exceed $4,000,000 in any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before and immediately after giving effect to any such Investment, no Specified Event of Default has occurred and is continuing or would result therefrom;</w:t>
      </w:r>
    </w:p>
    <w:p>
      <w:pPr>
        <w:spacing w:after="0" w:line="75" w:lineRule="exact"/>
        <w:rPr>
          <w:rFonts w:ascii="Times New Roman" w:cs="Times New Roman" w:eastAsia="Times New Roman" w:hAnsi="Times New Roman"/>
          <w:sz w:val="18"/>
          <w:szCs w:val="18"/>
          <w:color w:val="auto"/>
        </w:rPr>
      </w:pPr>
    </w:p>
    <w:p>
      <w:pPr>
        <w:ind w:left="440" w:right="400" w:firstLine="407"/>
        <w:spacing w:after="0" w:line="331" w:lineRule="auto"/>
        <w:tabs>
          <w:tab w:leader="none" w:pos="1366" w:val="left"/>
        </w:tabs>
        <w:numPr>
          <w:ilvl w:val="0"/>
          <w:numId w:val="7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licensing of intellectual property on arms’-length terms pursuant to joint marketing or joint venture arrangements with other Persons in the ordinary course of business which do not materially interfere with the business of the Borrower and the Subsidiaries; and</w:t>
      </w:r>
    </w:p>
    <w:p>
      <w:pPr>
        <w:spacing w:after="0" w:line="17" w:lineRule="exact"/>
        <w:rPr>
          <w:rFonts w:ascii="Times New Roman" w:cs="Times New Roman" w:eastAsia="Times New Roman" w:hAnsi="Times New Roman"/>
          <w:sz w:val="16"/>
          <w:szCs w:val="16"/>
          <w:color w:val="auto"/>
        </w:rPr>
      </w:pPr>
    </w:p>
    <w:p>
      <w:pPr>
        <w:ind w:left="440" w:right="200" w:firstLine="407"/>
        <w:spacing w:after="0" w:line="267" w:lineRule="auto"/>
        <w:tabs>
          <w:tab w:leader="none" w:pos="1318"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form of prepayments of expenses, so long as such expenses were incurred in the ordinary course of business and are paid in accordance with customary trade terms of the Borrower or any of its Subsidiaries.</w:t>
      </w:r>
    </w:p>
    <w:p>
      <w:pPr>
        <w:spacing w:after="0" w:line="169" w:lineRule="exact"/>
        <w:rPr>
          <w:rFonts w:ascii="Times New Roman" w:cs="Times New Roman" w:eastAsia="Times New Roman" w:hAnsi="Times New Roman"/>
          <w:sz w:val="18"/>
          <w:szCs w:val="18"/>
          <w:color w:val="auto"/>
        </w:rPr>
      </w:pPr>
    </w:p>
    <w:p>
      <w:pPr>
        <w:ind w:firstLine="972"/>
        <w:spacing w:after="0" w:line="283" w:lineRule="auto"/>
        <w:tabs>
          <w:tab w:leader="none" w:pos="1343" w:val="left"/>
        </w:tabs>
        <w:numPr>
          <w:ilvl w:val="1"/>
          <w:numId w:val="7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purposes of determining compliance with Section 6.04, in the event that an Investment (or any portion thereof) at any time meets the criteria of more than one of the categories of permitted Investments described in Section 6.04(a)(i) through (xx) above, the Borrower, in its sole discretion, will classify and may subsequently reclassify such Investment (or any portion thereof) in any one or more of the types of Investments described in Section 6.04(a)(i) through (xx) above and will only be required to include the amount and type of such Investment in such of the above clauses as determined by the Borrower at such time. The Borrower will be entitled to divide and classify an Investment in more than one of the types of Investments described in Section 6.04(a)(i) through (xx) above. For purposes of covenant compliance, the amount of any Investment shall be the amount actually invested, </w:t>
      </w:r>
      <w:r>
        <w:rPr>
          <w:rFonts w:ascii="Times New Roman" w:cs="Times New Roman" w:eastAsia="Times New Roman" w:hAnsi="Times New Roman"/>
          <w:sz w:val="16"/>
          <w:szCs w:val="16"/>
          <w:u w:val="single" w:color="auto"/>
          <w:color w:val="auto"/>
        </w:rPr>
        <w:t>less</w:t>
      </w:r>
      <w:r>
        <w:rPr>
          <w:rFonts w:ascii="Times New Roman" w:cs="Times New Roman" w:eastAsia="Times New Roman" w:hAnsi="Times New Roman"/>
          <w:sz w:val="16"/>
          <w:szCs w:val="16"/>
          <w:color w:val="auto"/>
        </w:rPr>
        <w:t xml:space="preserve"> any return of capital, without adjustment for subsequent increases or decreases in the value of such Investment.</w:t>
      </w:r>
    </w:p>
    <w:p>
      <w:pPr>
        <w:spacing w:after="0" w:line="162" w:lineRule="exact"/>
        <w:rPr>
          <w:sz w:val="20"/>
          <w:szCs w:val="20"/>
          <w:color w:val="auto"/>
        </w:rPr>
      </w:pPr>
    </w:p>
    <w:p>
      <w:pPr>
        <w:jc w:val="both"/>
        <w:ind w:right="6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 The Borrower will not, nor will it permit any Subsidiary to, sell, transfer, lease or otherwise dispose of any asset, including any Equity Interest owned by it, nor will the Borrower permit any Subsidiary to issue any additional Equity Interest in such Subsidiary (other than to the Borrower or another Subsidiary in compliance with Section 6.04) (each,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except:</w:t>
      </w:r>
    </w:p>
    <w:p>
      <w:pPr>
        <w:spacing w:after="0" w:line="180" w:lineRule="exact"/>
        <w:rPr>
          <w:sz w:val="20"/>
          <w:szCs w:val="20"/>
          <w:color w:val="auto"/>
        </w:rPr>
      </w:pPr>
    </w:p>
    <w:p>
      <w:pPr>
        <w:ind w:right="120" w:firstLine="972"/>
        <w:spacing w:after="0" w:line="247" w:lineRule="auto"/>
        <w:tabs>
          <w:tab w:leader="none" w:pos="1333" w:val="left"/>
        </w:tabs>
        <w:numPr>
          <w:ilvl w:val="0"/>
          <w:numId w:val="7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 inventory in the ordinary course of business, (ii) used, obsolete, worn out or surplus equipment or property in the ordinary course of business; and (iii) property no longer used or useful, or economically practicable or commercially desirable to maintain, in the conduct of the business of the Borrower and any Subsidiary (including by ceasing to enforce or allowing the lapse, abandonment or invalidation of or discontinuing the use or maintenance of or putting into the public domain any intellectual property that is, in the reasonable judgment of the Borrower, no longer used or useful, or economically practicable or commercially desirable to maintain, or in respect of which the Borrower determines in its reasonable business judgment that such action or inaction is desirable, in each case pursuant to this clause (iii), which has a Fair Market Value, individually or in the aggregate, in an amount not to exceed $5,000,000 for the period of four consecutive fiscal quarters of the Borrower most recently ended for which financial statements have been delivered (calculated at the time of such Disposition));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700"/>
          </w:cols>
          <w:pgMar w:left="580" w:top="266" w:right="619" w:bottom="1440" w:gutter="0" w:footer="0" w:header="0"/>
        </w:sectPr>
      </w:pPr>
    </w:p>
    <w:bookmarkStart w:id="787" w:name="page788"/>
    <w:bookmarkEnd w:id="787"/>
    <w:p>
      <w:pPr>
        <w:ind w:right="620" w:firstLine="972"/>
        <w:spacing w:after="0" w:line="267" w:lineRule="auto"/>
        <w:tabs>
          <w:tab w:leader="none" w:pos="1343"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Dispositions to the Borrower or any Subsidiary, </w:t>
      </w:r>
      <w:r>
        <w:rPr>
          <w:rFonts w:ascii="Times New Roman" w:cs="Times New Roman" w:eastAsia="Times New Roman" w:hAnsi="Times New Roman"/>
          <w:sz w:val="18"/>
          <w:szCs w:val="18"/>
          <w:u w:val="single" w:color="auto"/>
          <w:color w:val="auto"/>
        </w:rPr>
        <w:t>provided that any such sales, transfers or dispositions from a Loan Party to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Subsidiary that is not a Loan Party or from the Borrower or a Subsidiary shall constitute Investments subject to Section 6.04;</w:t>
      </w:r>
    </w:p>
    <w:p>
      <w:pPr>
        <w:spacing w:after="0" w:line="169" w:lineRule="exact"/>
        <w:rPr>
          <w:rFonts w:ascii="Times New Roman" w:cs="Times New Roman" w:eastAsia="Times New Roman" w:hAnsi="Times New Roman"/>
          <w:sz w:val="18"/>
          <w:szCs w:val="18"/>
          <w:color w:val="auto"/>
        </w:rPr>
      </w:pPr>
    </w:p>
    <w:p>
      <w:pPr>
        <w:ind w:left="1340" w:hanging="368"/>
        <w:spacing w:after="0"/>
        <w:tabs>
          <w:tab w:leader="none" w:pos="1340" w:val="left"/>
        </w:tabs>
        <w:numPr>
          <w:ilvl w:val="0"/>
          <w:numId w:val="7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Dispositions of accounts receivable in connection with the compromise, settlement or collection thereof consistent with past practice;</w:t>
      </w:r>
    </w:p>
    <w:p>
      <w:pPr>
        <w:spacing w:after="0" w:line="236" w:lineRule="exact"/>
        <w:rPr>
          <w:rFonts w:ascii="Times New Roman" w:cs="Times New Roman" w:eastAsia="Times New Roman" w:hAnsi="Times New Roman"/>
          <w:sz w:val="16"/>
          <w:szCs w:val="16"/>
          <w:color w:val="auto"/>
        </w:rPr>
      </w:pPr>
    </w:p>
    <w:p>
      <w:pPr>
        <w:ind w:left="1360" w:hanging="388"/>
        <w:spacing w:after="0"/>
        <w:tabs>
          <w:tab w:leader="none" w:pos="1360"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Dispositions, transactions permitted by Sections 6.02, 6.03, 6.04, 6.06 and 6.08;</w:t>
      </w:r>
    </w:p>
    <w:p>
      <w:pPr>
        <w:spacing w:after="0" w:line="213" w:lineRule="exact"/>
        <w:rPr>
          <w:rFonts w:ascii="Times New Roman" w:cs="Times New Roman" w:eastAsia="Times New Roman" w:hAnsi="Times New Roman"/>
          <w:sz w:val="18"/>
          <w:szCs w:val="18"/>
          <w:color w:val="auto"/>
        </w:rPr>
      </w:pPr>
    </w:p>
    <w:p>
      <w:pPr>
        <w:ind w:right="640" w:firstLine="972"/>
        <w:spacing w:after="0" w:line="267" w:lineRule="auto"/>
        <w:tabs>
          <w:tab w:leader="none" w:pos="1333"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69" w:lineRule="exact"/>
        <w:rPr>
          <w:rFonts w:ascii="Times New Roman" w:cs="Times New Roman" w:eastAsia="Times New Roman" w:hAnsi="Times New Roman"/>
          <w:sz w:val="18"/>
          <w:szCs w:val="18"/>
          <w:color w:val="auto"/>
        </w:rPr>
      </w:pPr>
    </w:p>
    <w:p>
      <w:pPr>
        <w:ind w:right="920" w:firstLine="972"/>
        <w:spacing w:after="0" w:line="267" w:lineRule="auto"/>
        <w:tabs>
          <w:tab w:leader="none" w:pos="1314"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resulting from any casualty or other insured damage to, or any taking under power of eminent domain or by condemnation or similar proceeding of, any property or asset of the Borrower or any Subsidiary;</w:t>
      </w:r>
    </w:p>
    <w:p>
      <w:pPr>
        <w:spacing w:after="0" w:line="169" w:lineRule="exact"/>
        <w:rPr>
          <w:rFonts w:ascii="Times New Roman" w:cs="Times New Roman" w:eastAsia="Times New Roman" w:hAnsi="Times New Roman"/>
          <w:sz w:val="18"/>
          <w:szCs w:val="18"/>
          <w:color w:val="auto"/>
        </w:rPr>
      </w:pPr>
    </w:p>
    <w:p>
      <w:pPr>
        <w:ind w:right="80" w:firstLine="972"/>
        <w:spacing w:after="0" w:line="302" w:lineRule="auto"/>
        <w:tabs>
          <w:tab w:leader="none" w:pos="1343" w:val="left"/>
        </w:tabs>
        <w:numPr>
          <w:ilvl w:val="0"/>
          <w:numId w:val="7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Dispositions of assets that are not permitted by any other paragraph of this Section 6.05,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aggregate Fair Market Value represented by such assets during any period of four consecutive fiscal quarters is not greater than $10,000,000 for the period of four consecutive fiscal quarters of the Borrower most recently ended for which financial statements have been delivered (calculated at the time of such Disposition);</w:t>
      </w:r>
    </w:p>
    <w:p>
      <w:pPr>
        <w:spacing w:after="0" w:line="145" w:lineRule="exact"/>
        <w:rPr>
          <w:rFonts w:ascii="Times New Roman" w:cs="Times New Roman" w:eastAsia="Times New Roman" w:hAnsi="Times New Roman"/>
          <w:sz w:val="16"/>
          <w:szCs w:val="16"/>
          <w:color w:val="auto"/>
        </w:rPr>
      </w:pPr>
    </w:p>
    <w:p>
      <w:pPr>
        <w:ind w:left="1360" w:hanging="388"/>
        <w:spacing w:after="0"/>
        <w:tabs>
          <w:tab w:leader="none" w:pos="1360"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exchanges of property for similar replacement property for fair value;</w:t>
      </w:r>
    </w:p>
    <w:p>
      <w:pPr>
        <w:spacing w:after="0" w:line="213" w:lineRule="exact"/>
        <w:rPr>
          <w:rFonts w:ascii="Times New Roman" w:cs="Times New Roman" w:eastAsia="Times New Roman" w:hAnsi="Times New Roman"/>
          <w:sz w:val="18"/>
          <w:szCs w:val="18"/>
          <w:color w:val="auto"/>
        </w:rPr>
      </w:pPr>
    </w:p>
    <w:p>
      <w:pPr>
        <w:ind w:left="1320" w:hanging="348"/>
        <w:spacing w:after="0"/>
        <w:tabs>
          <w:tab w:leader="none" w:pos="1320"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left="1320" w:hanging="348"/>
        <w:spacing w:after="0"/>
        <w:tabs>
          <w:tab w:leader="none" w:pos="1320"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left="1360" w:hanging="388"/>
        <w:spacing w:after="0"/>
        <w:tabs>
          <w:tab w:leader="none" w:pos="1360"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Permitted Investments;</w:t>
      </w:r>
    </w:p>
    <w:p>
      <w:pPr>
        <w:spacing w:after="0" w:line="213" w:lineRule="exact"/>
        <w:rPr>
          <w:rFonts w:ascii="Times New Roman" w:cs="Times New Roman" w:eastAsia="Times New Roman" w:hAnsi="Times New Roman"/>
          <w:sz w:val="18"/>
          <w:szCs w:val="18"/>
          <w:color w:val="auto"/>
        </w:rPr>
      </w:pPr>
    </w:p>
    <w:p>
      <w:pPr>
        <w:ind w:right="320" w:firstLine="972"/>
        <w:spacing w:after="0" w:line="255" w:lineRule="auto"/>
        <w:tabs>
          <w:tab w:leader="none" w:pos="1304"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allowable under Section 1031 of the Code (or comparable or successor provision), any exchange of like property (excluding any boot thereon permitted by such provision) for use in any business conducted by the Borrower or any of the Subsidiaries that is not in contravention of Section 6.03(b);</w:t>
      </w:r>
    </w:p>
    <w:p>
      <w:pPr>
        <w:spacing w:after="0" w:line="180" w:lineRule="exact"/>
        <w:rPr>
          <w:rFonts w:ascii="Times New Roman" w:cs="Times New Roman" w:eastAsia="Times New Roman" w:hAnsi="Times New Roman"/>
          <w:sz w:val="18"/>
          <w:szCs w:val="18"/>
          <w:color w:val="auto"/>
        </w:rPr>
      </w:pPr>
    </w:p>
    <w:p>
      <w:pPr>
        <w:ind w:left="1400" w:hanging="428"/>
        <w:spacing w:after="0"/>
        <w:tabs>
          <w:tab w:leader="none" w:pos="1400"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left="1360" w:hanging="388"/>
        <w:spacing w:after="0"/>
        <w:tabs>
          <w:tab w:leader="none" w:pos="1360" w:val="left"/>
        </w:tabs>
        <w:numPr>
          <w:ilvl w:val="0"/>
          <w:numId w:val="7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non-exclusive licensing or sublicensing of intellectual property in the ordinary course of business or in accordance with industry</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practice;</w:t>
      </w:r>
    </w:p>
    <w:p>
      <w:pPr>
        <w:spacing w:after="0" w:line="195" w:lineRule="exact"/>
        <w:rPr>
          <w:rFonts w:ascii="Times New Roman" w:cs="Times New Roman" w:eastAsia="Times New Roman" w:hAnsi="Times New Roman"/>
          <w:sz w:val="16"/>
          <w:szCs w:val="16"/>
          <w:color w:val="auto"/>
        </w:rPr>
      </w:pPr>
    </w:p>
    <w:p>
      <w:pPr>
        <w:ind w:left="1360" w:hanging="388"/>
        <w:spacing w:after="0"/>
        <w:tabs>
          <w:tab w:leader="none" w:pos="1360"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of Swap Agreements permitted by Section 6.14; and</w:t>
      </w:r>
    </w:p>
    <w:p>
      <w:pPr>
        <w:spacing w:after="0" w:line="213" w:lineRule="exact"/>
        <w:rPr>
          <w:rFonts w:ascii="Times New Roman" w:cs="Times New Roman" w:eastAsia="Times New Roman" w:hAnsi="Times New Roman"/>
          <w:sz w:val="18"/>
          <w:szCs w:val="18"/>
          <w:color w:val="auto"/>
        </w:rPr>
      </w:pPr>
    </w:p>
    <w:p>
      <w:pPr>
        <w:ind w:left="1360" w:hanging="388"/>
        <w:spacing w:after="0"/>
        <w:tabs>
          <w:tab w:leader="none" w:pos="1360"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compromise, settlement, release or surrender of a contract, tort or other litigation claim, arbitration or other disputes.</w:t>
      </w:r>
    </w:p>
    <w:p>
      <w:pPr>
        <w:spacing w:after="0" w:line="21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sales, transfers, leases and other dispositions permitted by clause (g) above shall be made for Fair Market Value and for at least 75% cash consideration (it being understood that the following shall constitute cash consideration: real estate, equipment or other operating assets used or useful in a Permitted Business received by the Borrower or the Subsidiaries as consideration (excluding stock, notes or other securities)) and after giving effect to such sales, transfers, leases and other dispositions permitted hereby the Borrower shall be in compliance with the Financial Performance Covenants on a pro forma basis.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700"/>
          </w:cols>
          <w:pgMar w:left="580" w:top="265" w:right="619" w:bottom="1440" w:gutter="0" w:footer="0" w:header="0"/>
        </w:sectPr>
      </w:pPr>
    </w:p>
    <w:bookmarkStart w:id="788" w:name="page789"/>
    <w:bookmarkEnd w:id="788"/>
    <w:p>
      <w:pPr>
        <w:ind w:right="100" w:firstLine="964"/>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6.06. </w:t>
      </w:r>
      <w:r>
        <w:rPr>
          <w:rFonts w:ascii="Times New Roman" w:cs="Times New Roman" w:eastAsia="Times New Roman" w:hAnsi="Times New Roman"/>
          <w:sz w:val="18"/>
          <w:szCs w:val="18"/>
          <w:u w:val="single" w:color="auto"/>
          <w:color w:val="auto"/>
        </w:rPr>
        <w:t>Sale and Leaseback Transactions</w:t>
      </w:r>
      <w:r>
        <w:rPr>
          <w:rFonts w:ascii="Times New Roman" w:cs="Times New Roman" w:eastAsia="Times New Roman" w:hAnsi="Times New Roman"/>
          <w:sz w:val="18"/>
          <w:szCs w:val="18"/>
          <w:color w:val="auto"/>
        </w:rPr>
        <w:t>. The Borrower will not, nor will it permit any Subsidiary to, enter into any arrangement, directly or indirectly, whereby it shall sell or transfer any property, real or personal, used or useful in the business of the Borrower or its Subsidiaries, whether now owned or hereafter acquired, and thereafter enter into any agreement (either directly or through any other Subsidiary) to rent or lease such property or other property that it intends to use for substantially the same purpose or purposes as the property sold or transferred, except for sale and leaseback transactions approved by the Required Lenders in their sole discretion.</w:t>
      </w:r>
    </w:p>
    <w:p>
      <w:pPr>
        <w:spacing w:after="0" w:line="187"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318"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6.08.</w:t>
      </w:r>
      <w:r>
        <w:rPr>
          <w:sz w:val="20"/>
          <w:szCs w:val="20"/>
          <w:color w:val="auto"/>
        </w:rPr>
        <w:tab/>
      </w:r>
      <w:r>
        <w:rPr>
          <w:rFonts w:ascii="Times New Roman" w:cs="Times New Roman" w:eastAsia="Times New Roman" w:hAnsi="Times New Roman"/>
          <w:sz w:val="16"/>
          <w:szCs w:val="16"/>
          <w:u w:val="single" w:color="auto"/>
          <w:color w:val="auto"/>
        </w:rPr>
        <w:t>Restricted Payments; Certain Payments of Indebtedness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1340" w:hanging="368"/>
        <w:spacing w:after="0"/>
        <w:tabs>
          <w:tab w:leader="none" w:pos="1340" w:val="left"/>
        </w:tabs>
        <w:numPr>
          <w:ilvl w:val="1"/>
          <w:numId w:val="7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nor will it permit any Subsidiary to, declare or make, any Restricted Payment, except:</w:t>
      </w:r>
    </w:p>
    <w:p>
      <w:pPr>
        <w:spacing w:after="0" w:line="108" w:lineRule="exact"/>
        <w:rPr>
          <w:rFonts w:ascii="Times New Roman" w:cs="Times New Roman" w:eastAsia="Times New Roman" w:hAnsi="Times New Roman"/>
          <w:sz w:val="18"/>
          <w:szCs w:val="18"/>
          <w:color w:val="auto"/>
        </w:rPr>
      </w:pPr>
    </w:p>
    <w:p>
      <w:pPr>
        <w:ind w:left="440" w:right="60" w:firstLine="407"/>
        <w:spacing w:after="0" w:line="267" w:lineRule="auto"/>
        <w:tabs>
          <w:tab w:leader="none" w:pos="1191" w:val="left"/>
        </w:tabs>
        <w:numPr>
          <w:ilvl w:val="0"/>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declare and pay dividends with respect to its common stock payable solely in additional shares of its common stock, and, with respect to its preferred stock, payable solely in additional shares of such preferred stock or in shares of its common stock;</w:t>
      </w:r>
    </w:p>
    <w:p>
      <w:pPr>
        <w:spacing w:after="0" w:line="64" w:lineRule="exact"/>
        <w:rPr>
          <w:rFonts w:ascii="Times New Roman" w:cs="Times New Roman" w:eastAsia="Times New Roman" w:hAnsi="Times New Roman"/>
          <w:sz w:val="18"/>
          <w:szCs w:val="18"/>
          <w:color w:val="auto"/>
        </w:rPr>
      </w:pPr>
    </w:p>
    <w:p>
      <w:pPr>
        <w:ind w:left="440" w:right="120" w:firstLine="407"/>
        <w:spacing w:after="0" w:line="267" w:lineRule="auto"/>
        <w:tabs>
          <w:tab w:leader="none" w:pos="1240" w:val="left"/>
        </w:tabs>
        <w:numPr>
          <w:ilvl w:val="0"/>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may declare and pay distributions ratably with respect to their capital stock, membership or partnership interests or other similar Equity Interests;</w:t>
      </w:r>
    </w:p>
    <w:p>
      <w:pPr>
        <w:spacing w:after="0" w:line="64" w:lineRule="exact"/>
        <w:rPr>
          <w:rFonts w:ascii="Times New Roman" w:cs="Times New Roman" w:eastAsia="Times New Roman" w:hAnsi="Times New Roman"/>
          <w:sz w:val="18"/>
          <w:szCs w:val="18"/>
          <w:color w:val="auto"/>
        </w:rPr>
      </w:pPr>
    </w:p>
    <w:p>
      <w:pPr>
        <w:ind w:left="1280" w:hanging="433"/>
        <w:spacing w:after="0"/>
        <w:tabs>
          <w:tab w:leader="none" w:pos="1280" w:val="left"/>
        </w:tabs>
        <w:numPr>
          <w:ilvl w:val="0"/>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left="440" w:firstLine="407"/>
        <w:spacing w:after="0" w:line="248" w:lineRule="auto"/>
        <w:tabs>
          <w:tab w:leader="none" w:pos="1279" w:val="left"/>
        </w:tabs>
        <w:numPr>
          <w:ilvl w:val="0"/>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Subsidiaries may (A) purchase or pay cash in lieu of fractional shares of its Equity Interests arising out of stock dividends, splits, or business combinations or in connection with issuance of Qualified Equity Interests of the Borrower pursuant to mergers, consolidations or other acquisitions permitted by this Agreement, (B) pay cash in lieu of fractional shares upon the exercise of warrants, options or other securities convertible into or exercisable for Qualified Equity Interests of the Borrower, and (C) make payments in connection with the retention of Qualified Equity Interests in payment of withholding Taxes in connection with equity-based compensation plans to the extent that net share settlement arrangements are deemed to be repurchases;</w:t>
      </w:r>
    </w:p>
    <w:p>
      <w:pPr>
        <w:spacing w:after="0" w:line="82" w:lineRule="exact"/>
        <w:rPr>
          <w:rFonts w:ascii="Times New Roman" w:cs="Times New Roman" w:eastAsia="Times New Roman" w:hAnsi="Times New Roman"/>
          <w:sz w:val="18"/>
          <w:szCs w:val="18"/>
          <w:color w:val="auto"/>
        </w:rPr>
      </w:pPr>
    </w:p>
    <w:p>
      <w:pPr>
        <w:ind w:left="440" w:right="80" w:firstLine="407"/>
        <w:spacing w:after="0" w:line="285" w:lineRule="auto"/>
        <w:tabs>
          <w:tab w:leader="none" w:pos="1230" w:val="left"/>
        </w:tabs>
        <w:numPr>
          <w:ilvl w:val="0"/>
          <w:numId w:val="7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may make Restricted Payments to the direct or indirect equity holders of the Borrower to the extent tax liabilities are attributable to the ownership or operations of the Borrower, its direct or indirect Subsidiaries and any Subsidiary,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the amount of such Restricted Payments shall not exceed the tax liabilities that the Borrower and the direct or indirect Subsidiaries would be required to pay in respect of Federal, state and local taxes were the Borrower and the direct or indirect Subsidiaries to pay such Taxes as stand-alone taxpayers less any tax payable directly by the Borrower or any direct or indirect Subsidiary and (B) all Restricted Payments made to the direct or indirect equity holders of the Borrower pursuant to this clause (v) are used by such Person solely for the purposes specified herein;</w:t>
      </w:r>
    </w:p>
    <w:p>
      <w:pPr>
        <w:spacing w:after="0" w:line="54" w:lineRule="exact"/>
        <w:rPr>
          <w:rFonts w:ascii="Times New Roman" w:cs="Times New Roman" w:eastAsia="Times New Roman" w:hAnsi="Times New Roman"/>
          <w:sz w:val="16"/>
          <w:szCs w:val="16"/>
          <w:color w:val="auto"/>
        </w:rPr>
      </w:pPr>
    </w:p>
    <w:p>
      <w:pPr>
        <w:ind w:left="440" w:right="20" w:firstLine="407"/>
        <w:spacing w:after="0" w:line="249" w:lineRule="auto"/>
        <w:tabs>
          <w:tab w:leader="none" w:pos="1279" w:val="left"/>
        </w:tabs>
        <w:numPr>
          <w:ilvl w:val="0"/>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Restricted Payments in the form of cash payments in respect of its preferred Equity Interests and other dividends, distributions and repurchases in respect of its Equity Interests in an aggregate amount not to exceed (x) $6,000,000 in any fiscal year of the Borrower in respect of dividends on preferred Equity Interests and (y) $1,000,000 in any fiscal year of the Borrower in respect of stock repurchases and other Restricted Payments;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before and immediately after giving effect to such Restricted Payment, no Specified Event of Default has occurred and is continuing or would result therefrom;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700"/>
          </w:cols>
          <w:pgMar w:left="580" w:top="265" w:right="619" w:bottom="1440" w:gutter="0" w:footer="0" w:header="0"/>
        </w:sectPr>
      </w:pPr>
    </w:p>
    <w:bookmarkStart w:id="789" w:name="page790"/>
    <w:bookmarkEnd w:id="789"/>
    <w:p>
      <w:pPr>
        <w:ind w:left="440" w:right="140" w:firstLine="407"/>
        <w:spacing w:after="0" w:line="255" w:lineRule="auto"/>
        <w:tabs>
          <w:tab w:leader="none" w:pos="1327" w:val="left"/>
        </w:tabs>
        <w:numPr>
          <w:ilvl w:val="0"/>
          <w:numId w:val="7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78040" cy="36830"/>
                    </a:xfrm>
                    <a:prstGeom prst="rect">
                      <a:avLst/>
                    </a:prstGeom>
                    <a:noFill/>
                  </pic:spPr>
                </pic:pic>
              </a:graphicData>
            </a:graphic>
          </wp:anchor>
        </w:drawing>
        <w:t xml:space="preserve">the Borrower and the Subsidiaries may make additional Restricted Payments in an aggregate amount not exceeding $5,000,000 throughout the term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after giving effect to such Restricted Payment no Default or Event of Default has occurred and is continuing; and</w:t>
      </w:r>
    </w:p>
    <w:p>
      <w:pPr>
        <w:spacing w:after="0" w:line="75" w:lineRule="exact"/>
        <w:rPr>
          <w:rFonts w:ascii="Times New Roman" w:cs="Times New Roman" w:eastAsia="Times New Roman" w:hAnsi="Times New Roman"/>
          <w:sz w:val="18"/>
          <w:szCs w:val="18"/>
          <w:color w:val="auto"/>
        </w:rPr>
      </w:pPr>
    </w:p>
    <w:p>
      <w:pPr>
        <w:ind w:left="440" w:right="220" w:firstLine="407"/>
        <w:spacing w:after="0" w:line="255" w:lineRule="auto"/>
        <w:tabs>
          <w:tab w:leader="none" w:pos="1376" w:val="left"/>
        </w:tabs>
        <w:numPr>
          <w:ilvl w:val="0"/>
          <w:numId w:val="7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purchase, redeem, retire or otherwise acquire for value of Equity Interests (and any related stock appreciation rights, plans, equity incentive or achievement plans or any similar plans) in a person being acquired in any Permitted Acquisition in connection with such Permitted Acquisition.</w:t>
      </w:r>
    </w:p>
    <w:p>
      <w:pPr>
        <w:spacing w:after="0" w:line="180" w:lineRule="exact"/>
        <w:rPr>
          <w:sz w:val="20"/>
          <w:szCs w:val="20"/>
          <w:color w:val="auto"/>
        </w:rPr>
      </w:pPr>
    </w:p>
    <w:p>
      <w:pPr>
        <w:jc w:val="both"/>
        <w:ind w:firstLine="972"/>
        <w:spacing w:after="0" w:line="293" w:lineRule="auto"/>
        <w:tabs>
          <w:tab w:leader="none" w:pos="1340" w:val="left"/>
        </w:tabs>
        <w:numPr>
          <w:ilvl w:val="1"/>
          <w:numId w:val="7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will not nor will it permit any Subsidiary to, make, directly or indirectly, any payment or other distribution (whether in cash, securities or other property) of or in respect of principal of or interest on, or any payment or other distribution (whether in cash, securities or other property), including any sinking fund or similar deposit, on account of the purchase, redemption, retirement, acquisition, cancellation or termination of, any Subordinated Indebtedness (other than intercompany loans among Subsidiary Loan Parties and the Borrower), except:</w:t>
      </w:r>
    </w:p>
    <w:p>
      <w:pPr>
        <w:spacing w:after="0" w:line="46" w:lineRule="exact"/>
        <w:rPr>
          <w:rFonts w:ascii="Times New Roman" w:cs="Times New Roman" w:eastAsia="Times New Roman" w:hAnsi="Times New Roman"/>
          <w:sz w:val="16"/>
          <w:szCs w:val="16"/>
          <w:color w:val="auto"/>
        </w:rPr>
      </w:pPr>
    </w:p>
    <w:p>
      <w:pPr>
        <w:ind w:left="440" w:right="620" w:firstLine="407"/>
        <w:spacing w:after="0" w:line="267" w:lineRule="auto"/>
        <w:tabs>
          <w:tab w:leader="none" w:pos="1191" w:val="left"/>
        </w:tabs>
        <w:numPr>
          <w:ilvl w:val="0"/>
          <w:numId w:val="7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regularly scheduled interest and principal payments as and when due in respect of such Indebtedness, other than as prohibited by any subordination provisions thereof;</w:t>
      </w:r>
    </w:p>
    <w:p>
      <w:pPr>
        <w:spacing w:after="0" w:line="64" w:lineRule="exact"/>
        <w:rPr>
          <w:rFonts w:ascii="Times New Roman" w:cs="Times New Roman" w:eastAsia="Times New Roman" w:hAnsi="Times New Roman"/>
          <w:sz w:val="18"/>
          <w:szCs w:val="18"/>
          <w:color w:val="auto"/>
        </w:rPr>
      </w:pPr>
    </w:p>
    <w:p>
      <w:pPr>
        <w:ind w:left="440" w:right="80" w:firstLine="407"/>
        <w:spacing w:after="0" w:line="251" w:lineRule="auto"/>
        <w:tabs>
          <w:tab w:leader="none" w:pos="1240" w:val="left"/>
        </w:tabs>
        <w:numPr>
          <w:ilvl w:val="0"/>
          <w:numId w:val="7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in respect of the Google Note, earn-outs, milestone and other similar deferred purchase price obligations in an aggregate amount not to exceed the Available Basket Amount; provided that (x) before and immediately after giving effect to any such prepayment, no Specified Event of Default has occurred and is continuing or would result therefrom and (y) pro forma Liquidity after giving effect thereto shall exceed $100,000,000;</w:t>
      </w:r>
    </w:p>
    <w:p>
      <w:pPr>
        <w:spacing w:after="0" w:line="79" w:lineRule="exact"/>
        <w:rPr>
          <w:rFonts w:ascii="Times New Roman" w:cs="Times New Roman" w:eastAsia="Times New Roman" w:hAnsi="Times New Roman"/>
          <w:sz w:val="18"/>
          <w:szCs w:val="18"/>
          <w:color w:val="auto"/>
        </w:rPr>
      </w:pPr>
    </w:p>
    <w:p>
      <w:pPr>
        <w:ind w:left="440" w:firstLine="407"/>
        <w:spacing w:after="0" w:line="249" w:lineRule="auto"/>
        <w:tabs>
          <w:tab w:leader="none" w:pos="1289" w:val="left"/>
        </w:tabs>
        <w:numPr>
          <w:ilvl w:val="0"/>
          <w:numId w:val="7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cash payments in respect of any earn-out, milestone and other similar deferred purchase price obligations in an aggregate amount not to exceed, when taken together with the aggregate amount of Investments made pursuant to Section 6.04(a)(iv), $5,000,000 per fiscal year and $25,000,000 during the term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before and immediately after giving effect to any such Investment, no Specified Event of Default has occurred and is continuing or would result therefrom and (y) pro forma Liquidity after giving effect thereto shall exceed $50,000,000;</w:t>
      </w:r>
    </w:p>
    <w:p>
      <w:pPr>
        <w:spacing w:after="0" w:line="81" w:lineRule="exact"/>
        <w:rPr>
          <w:rFonts w:ascii="Times New Roman" w:cs="Times New Roman" w:eastAsia="Times New Roman" w:hAnsi="Times New Roman"/>
          <w:sz w:val="18"/>
          <w:szCs w:val="18"/>
          <w:color w:val="auto"/>
        </w:rPr>
      </w:pPr>
    </w:p>
    <w:p>
      <w:pPr>
        <w:ind w:left="1280" w:hanging="433"/>
        <w:spacing w:after="0"/>
        <w:tabs>
          <w:tab w:leader="none" w:pos="1280" w:val="left"/>
        </w:tabs>
        <w:numPr>
          <w:ilvl w:val="0"/>
          <w:numId w:val="7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refinancing thereof with any Indebtedness (to the extent such Indebtedness constitutes a Permitted Refinancing); and</w:t>
      </w:r>
    </w:p>
    <w:p>
      <w:pPr>
        <w:spacing w:after="0" w:line="108" w:lineRule="exact"/>
        <w:rPr>
          <w:rFonts w:ascii="Times New Roman" w:cs="Times New Roman" w:eastAsia="Times New Roman" w:hAnsi="Times New Roman"/>
          <w:sz w:val="18"/>
          <w:szCs w:val="18"/>
          <w:color w:val="auto"/>
        </w:rPr>
      </w:pPr>
    </w:p>
    <w:p>
      <w:pPr>
        <w:ind w:left="440" w:right="180" w:firstLine="407"/>
        <w:spacing w:after="0" w:line="267" w:lineRule="auto"/>
        <w:tabs>
          <w:tab w:leader="none" w:pos="1230" w:val="left"/>
        </w:tabs>
        <w:numPr>
          <w:ilvl w:val="0"/>
          <w:numId w:val="7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of any such Indebtedness into, or redemption, repurchase, prepayment, defeasance or other retirement of any such Indebtedness with, Borrower’s Equity Interests.</w:t>
      </w:r>
    </w:p>
    <w:p>
      <w:pPr>
        <w:spacing w:after="0" w:line="170" w:lineRule="exact"/>
        <w:rPr>
          <w:sz w:val="20"/>
          <w:szCs w:val="20"/>
          <w:color w:val="auto"/>
        </w:rPr>
      </w:pPr>
    </w:p>
    <w:p>
      <w:pPr>
        <w:ind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The Borrower will not, nor will it permit any Subsidiary to, sell, lease or otherwise transfer any property or assets to, or purchase, lease or otherwise acquire any property or assets from, or otherwise engage in any other transactions with, any of its Affiliates, involving aggregate payments or consideration in excess of $2,500,000 for any individual transaction or series of related transactions, except:</w:t>
      </w:r>
    </w:p>
    <w:p>
      <w:pPr>
        <w:spacing w:after="0" w:line="184" w:lineRule="exact"/>
        <w:rPr>
          <w:sz w:val="20"/>
          <w:szCs w:val="20"/>
          <w:color w:val="auto"/>
        </w:rPr>
      </w:pPr>
    </w:p>
    <w:p>
      <w:pPr>
        <w:ind w:right="520" w:firstLine="972"/>
        <w:spacing w:after="0" w:line="267" w:lineRule="auto"/>
        <w:tabs>
          <w:tab w:leader="none" w:pos="1333" w:val="left"/>
        </w:tabs>
        <w:numPr>
          <w:ilvl w:val="0"/>
          <w:numId w:val="8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that are at prices and on terms and conditions not less favorable to the Borrower or such Subsidiary than could be obtained on an arm’s-length basis from unrelated third parties,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680"/>
          </w:cols>
          <w:pgMar w:left="580" w:top="264" w:right="639" w:bottom="1440" w:gutter="0" w:footer="0" w:header="0"/>
        </w:sectPr>
      </w:pPr>
    </w:p>
    <w:bookmarkStart w:id="790" w:name="page791"/>
    <w:bookmarkEnd w:id="790"/>
    <w:p>
      <w:pPr>
        <w:ind w:left="-40" w:firstLine="972"/>
        <w:spacing w:after="0" w:line="255" w:lineRule="auto"/>
        <w:tabs>
          <w:tab w:leader="none" w:pos="1303"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 transactions between or among the Borrower and the Subsidiary Loan Parties, (ii) transactions between or among Subsidiaries that are not Subsidiary Loan Parties and (iii) transactions between or among the Borrower and the Subsidiary consistent with past practice and made in the ordinary course,</w:t>
      </w:r>
    </w:p>
    <w:p>
      <w:pPr>
        <w:spacing w:after="0" w:line="180" w:lineRule="exact"/>
        <w:rPr>
          <w:rFonts w:ascii="Times New Roman" w:cs="Times New Roman" w:eastAsia="Times New Roman" w:hAnsi="Times New Roman"/>
          <w:sz w:val="18"/>
          <w:szCs w:val="18"/>
          <w:color w:val="auto"/>
        </w:rPr>
      </w:pPr>
    </w:p>
    <w:p>
      <w:pPr>
        <w:ind w:left="1300" w:hanging="368"/>
        <w:spacing w:after="0"/>
        <w:tabs>
          <w:tab w:leader="none" w:pos="1300"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permitted under Sections 6.01, 6.02, 6.03, 6.04, 6.05 or 6.08,</w:t>
      </w:r>
    </w:p>
    <w:p>
      <w:pPr>
        <w:spacing w:after="0" w:line="213" w:lineRule="exact"/>
        <w:rPr>
          <w:rFonts w:ascii="Times New Roman" w:cs="Times New Roman" w:eastAsia="Times New Roman" w:hAnsi="Times New Roman"/>
          <w:sz w:val="18"/>
          <w:szCs w:val="18"/>
          <w:color w:val="auto"/>
        </w:rPr>
      </w:pPr>
    </w:p>
    <w:p>
      <w:pPr>
        <w:ind w:left="1320" w:hanging="388"/>
        <w:spacing w:after="0"/>
        <w:tabs>
          <w:tab w:leader="none" w:pos="1320"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left="1300" w:hanging="368"/>
        <w:spacing w:after="0"/>
        <w:tabs>
          <w:tab w:leader="none" w:pos="1300"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left="1280" w:hanging="348"/>
        <w:spacing w:after="0"/>
        <w:tabs>
          <w:tab w:leader="none" w:pos="1280"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left="1320" w:hanging="388"/>
        <w:spacing w:after="0"/>
        <w:tabs>
          <w:tab w:leader="none" w:pos="1320"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left="-40" w:right="80" w:firstLine="972"/>
        <w:spacing w:after="0" w:line="255" w:lineRule="auto"/>
        <w:tabs>
          <w:tab w:leader="none" w:pos="1303"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or sublease entered into between the Borrower or any Subsidiary, as lessee or sublessee, and any of the Affiliates (as of the Effective Date) of the Borrower or entity controlled by such Affiliates, as lessor or sublessor, which is approved in good faith by a majority of the disinterested members of the Board of Directors of the Borrower,</w:t>
      </w:r>
    </w:p>
    <w:p>
      <w:pPr>
        <w:spacing w:after="0" w:line="180" w:lineRule="exact"/>
        <w:rPr>
          <w:rFonts w:ascii="Times New Roman" w:cs="Times New Roman" w:eastAsia="Times New Roman" w:hAnsi="Times New Roman"/>
          <w:sz w:val="18"/>
          <w:szCs w:val="18"/>
          <w:color w:val="auto"/>
        </w:rPr>
      </w:pPr>
    </w:p>
    <w:p>
      <w:pPr>
        <w:ind w:left="-40" w:right="360" w:firstLine="972"/>
        <w:spacing w:after="0" w:line="267" w:lineRule="auto"/>
        <w:tabs>
          <w:tab w:leader="none" w:pos="1264"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or from, and transactions with, any joint venture in the ordinary course of business (including any cash management activities related thereto),</w:t>
      </w:r>
    </w:p>
    <w:p>
      <w:pPr>
        <w:spacing w:after="0" w:line="169" w:lineRule="exact"/>
        <w:rPr>
          <w:rFonts w:ascii="Times New Roman" w:cs="Times New Roman" w:eastAsia="Times New Roman" w:hAnsi="Times New Roman"/>
          <w:sz w:val="18"/>
          <w:szCs w:val="18"/>
          <w:color w:val="auto"/>
        </w:rPr>
      </w:pPr>
    </w:p>
    <w:p>
      <w:pPr>
        <w:ind w:left="1280" w:hanging="348"/>
        <w:spacing w:after="0"/>
        <w:tabs>
          <w:tab w:leader="none" w:pos="1280"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left="-40" w:right="140" w:firstLine="972"/>
        <w:spacing w:after="0" w:line="255" w:lineRule="auto"/>
        <w:tabs>
          <w:tab w:leader="none" w:pos="1303"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reasonable fees to directors of the Borrower or any Subsidiary who are not employees of the Borrower or any Subsidiary, and compensation and employee benefit arrangements paid to, and indemnities provided for the benefit of, directors, officers or employees of the Borrower or any Subsidiary in the ordinary course of business,</w:t>
      </w:r>
    </w:p>
    <w:p>
      <w:pPr>
        <w:spacing w:after="0" w:line="180" w:lineRule="exact"/>
        <w:rPr>
          <w:rFonts w:ascii="Times New Roman" w:cs="Times New Roman" w:eastAsia="Times New Roman" w:hAnsi="Times New Roman"/>
          <w:sz w:val="18"/>
          <w:szCs w:val="18"/>
          <w:color w:val="auto"/>
        </w:rPr>
      </w:pPr>
    </w:p>
    <w:p>
      <w:pPr>
        <w:ind w:left="-40" w:right="660" w:firstLine="972"/>
        <w:spacing w:after="0" w:line="267" w:lineRule="auto"/>
        <w:tabs>
          <w:tab w:leader="none" w:pos="1264"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issuances of securities or other payments, awards or grants in cash, securities or otherwise pursuant to, or the funding of, employment agreements, stock options and stock ownership plans approved by the Borrower’s Board of Directors,</w:t>
      </w:r>
    </w:p>
    <w:p>
      <w:pPr>
        <w:spacing w:after="0" w:line="169" w:lineRule="exact"/>
        <w:rPr>
          <w:rFonts w:ascii="Times New Roman" w:cs="Times New Roman" w:eastAsia="Times New Roman" w:hAnsi="Times New Roman"/>
          <w:sz w:val="18"/>
          <w:szCs w:val="18"/>
          <w:color w:val="auto"/>
        </w:rPr>
      </w:pPr>
    </w:p>
    <w:p>
      <w:pPr>
        <w:ind w:left="-40" w:firstLine="972"/>
        <w:spacing w:after="0" w:line="255" w:lineRule="auto"/>
        <w:tabs>
          <w:tab w:leader="none" w:pos="1352"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pursuant to agreements existing on the Effective Date and set forth on </w:t>
      </w:r>
      <w:r>
        <w:rPr>
          <w:rFonts w:ascii="Times New Roman" w:cs="Times New Roman" w:eastAsia="Times New Roman" w:hAnsi="Times New Roman"/>
          <w:sz w:val="18"/>
          <w:szCs w:val="18"/>
          <w:u w:val="single" w:color="auto"/>
          <w:color w:val="auto"/>
        </w:rPr>
        <w:t>Schedule 6.09</w:t>
      </w:r>
      <w:r>
        <w:rPr>
          <w:rFonts w:ascii="Times New Roman" w:cs="Times New Roman" w:eastAsia="Times New Roman" w:hAnsi="Times New Roman"/>
          <w:sz w:val="18"/>
          <w:szCs w:val="18"/>
          <w:color w:val="auto"/>
        </w:rPr>
        <w:t xml:space="preserve"> and any amendments thereto to the extent such amendments are not materially less favorable to the Borrower or such Subsidiary Loan Party than those provided for in the original agreements,</w:t>
      </w:r>
    </w:p>
    <w:p>
      <w:pPr>
        <w:spacing w:after="0" w:line="180" w:lineRule="exact"/>
        <w:rPr>
          <w:rFonts w:ascii="Times New Roman" w:cs="Times New Roman" w:eastAsia="Times New Roman" w:hAnsi="Times New Roman"/>
          <w:sz w:val="18"/>
          <w:szCs w:val="18"/>
          <w:color w:val="auto"/>
        </w:rPr>
      </w:pPr>
    </w:p>
    <w:p>
      <w:pPr>
        <w:ind w:left="-40" w:right="220" w:firstLine="972"/>
        <w:spacing w:after="0" w:line="267" w:lineRule="auto"/>
        <w:tabs>
          <w:tab w:leader="none" w:pos="1303"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severance arrangements entered into in the ordinary course of business and approved by the Borrower’s Board of Directors between the Borrower or any Subsidiary and any employee thereof,</w:t>
      </w:r>
    </w:p>
    <w:p>
      <w:pPr>
        <w:spacing w:after="0" w:line="169" w:lineRule="exact"/>
        <w:rPr>
          <w:rFonts w:ascii="Times New Roman" w:cs="Times New Roman" w:eastAsia="Times New Roman" w:hAnsi="Times New Roman"/>
          <w:sz w:val="18"/>
          <w:szCs w:val="18"/>
          <w:color w:val="auto"/>
        </w:rPr>
      </w:pPr>
    </w:p>
    <w:p>
      <w:pPr>
        <w:ind w:left="1320" w:hanging="388"/>
        <w:spacing w:after="0"/>
        <w:tabs>
          <w:tab w:leader="none" w:pos="1320"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or to be made in connection with the Transactions, including the payment of the Transaction Costs,</w:t>
      </w:r>
    </w:p>
    <w:p>
      <w:pPr>
        <w:spacing w:after="0" w:line="213" w:lineRule="exact"/>
        <w:rPr>
          <w:rFonts w:ascii="Times New Roman" w:cs="Times New Roman" w:eastAsia="Times New Roman" w:hAnsi="Times New Roman"/>
          <w:sz w:val="18"/>
          <w:szCs w:val="18"/>
          <w:color w:val="auto"/>
        </w:rPr>
      </w:pPr>
    </w:p>
    <w:p>
      <w:pPr>
        <w:ind w:left="1320" w:hanging="388"/>
        <w:spacing w:after="0"/>
        <w:tabs>
          <w:tab w:leader="none" w:pos="1320"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660"/>
          </w:cols>
          <w:pgMar w:left="620" w:top="265" w:right="619" w:bottom="1440" w:gutter="0" w:footer="0" w:header="0"/>
        </w:sectPr>
      </w:pPr>
    </w:p>
    <w:bookmarkStart w:id="791" w:name="page792"/>
    <w:bookmarkEnd w:id="791"/>
    <w:p>
      <w:pPr>
        <w:ind w:left="1360" w:hanging="388"/>
        <w:spacing w:after="0"/>
        <w:tabs>
          <w:tab w:leader="none" w:pos="1360" w:val="left"/>
        </w:tabs>
        <w:numPr>
          <w:ilvl w:val="0"/>
          <w:numId w:val="8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[reserved]; and</w:t>
      </w:r>
    </w:p>
    <w:p>
      <w:pPr>
        <w:spacing w:after="0" w:line="213" w:lineRule="exact"/>
        <w:rPr>
          <w:rFonts w:ascii="Times New Roman" w:cs="Times New Roman" w:eastAsia="Times New Roman" w:hAnsi="Times New Roman"/>
          <w:sz w:val="18"/>
          <w:szCs w:val="18"/>
          <w:color w:val="auto"/>
        </w:rPr>
      </w:pPr>
    </w:p>
    <w:p>
      <w:pPr>
        <w:ind w:left="1320" w:hanging="348"/>
        <w:spacing w:after="0"/>
        <w:tabs>
          <w:tab w:leader="none" w:pos="1320" w:val="left"/>
        </w:tabs>
        <w:numPr>
          <w:ilvl w:val="0"/>
          <w:numId w:val="8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management services agreements or similar agreements between the Borrower or any Subsidiary.</w:t>
      </w:r>
    </w:p>
    <w:p>
      <w:pPr>
        <w:spacing w:after="0" w:line="318"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6"/>
          <w:szCs w:val="16"/>
          <w:u w:val="single" w:color="auto"/>
          <w:color w:val="auto"/>
        </w:rPr>
        <w:t>Restrictive Agreements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firstLine="972"/>
        <w:spacing w:after="0" w:line="249" w:lineRule="auto"/>
        <w:tabs>
          <w:tab w:leader="none" w:pos="1333" w:val="left"/>
        </w:tabs>
        <w:numPr>
          <w:ilvl w:val="1"/>
          <w:numId w:val="8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(b) and (c) below, the Borrower will not, nor will it permit any Subsidiary to, directly or indirectly, enter into, incur or permit to exist any agreement or other arrangement that prohibits, restricts or imposes any condition upon (i) the ability of the Borrower or any Subsidiary to create, incur or permit to exist any Lien upon any of its property or assets or (ii) the ability of any Subsidiary to pay dividends or other distributions with respect to any shares of its capital stock or to make or repay loans or advances to the Borrower or any Subsidiary or to Guarantee Indebtedness of the Borrower or any other Subsidiary.</w:t>
      </w:r>
    </w:p>
    <w:p>
      <w:pPr>
        <w:spacing w:after="0" w:line="186" w:lineRule="exact"/>
        <w:rPr>
          <w:rFonts w:ascii="Times New Roman" w:cs="Times New Roman" w:eastAsia="Times New Roman" w:hAnsi="Times New Roman"/>
          <w:sz w:val="18"/>
          <w:szCs w:val="18"/>
          <w:color w:val="auto"/>
        </w:rPr>
      </w:pPr>
    </w:p>
    <w:p>
      <w:pPr>
        <w:ind w:firstLine="972"/>
        <w:spacing w:after="0" w:line="276" w:lineRule="auto"/>
        <w:tabs>
          <w:tab w:leader="none" w:pos="1343" w:val="left"/>
        </w:tabs>
        <w:numPr>
          <w:ilvl w:val="1"/>
          <w:numId w:val="8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Section 6.10(a) shall not apply to restrictions and conditions (i) imposed by law or by any Loan Document, (ii) existing on the Effective Date and identified on </w:t>
      </w:r>
      <w:r>
        <w:rPr>
          <w:rFonts w:ascii="Times New Roman" w:cs="Times New Roman" w:eastAsia="Times New Roman" w:hAnsi="Times New Roman"/>
          <w:sz w:val="16"/>
          <w:szCs w:val="16"/>
          <w:u w:val="single" w:color="auto"/>
          <w:color w:val="auto"/>
        </w:rPr>
        <w:t>Schedule 6.10</w:t>
      </w:r>
      <w:r>
        <w:rPr>
          <w:rFonts w:ascii="Times New Roman" w:cs="Times New Roman" w:eastAsia="Times New Roman" w:hAnsi="Times New Roman"/>
          <w:sz w:val="16"/>
          <w:szCs w:val="16"/>
          <w:color w:val="auto"/>
        </w:rPr>
        <w:t xml:space="preserve"> (but shall apply to any extension or renewal of, or any amendment or modification expanding the scope of, any such restriction or condition unless such amendment is not otherwise prohibited by </w:t>
      </w:r>
      <w:r>
        <w:rPr>
          <w:rFonts w:ascii="Times New Roman" w:cs="Times New Roman" w:eastAsia="Times New Roman" w:hAnsi="Times New Roman"/>
          <w:sz w:val="16"/>
          <w:szCs w:val="16"/>
          <w:u w:val="single" w:color="auto"/>
          <w:color w:val="auto"/>
        </w:rPr>
        <w:t>Section 6.11</w:t>
      </w:r>
      <w:r>
        <w:rPr>
          <w:rFonts w:ascii="Times New Roman" w:cs="Times New Roman" w:eastAsia="Times New Roman" w:hAnsi="Times New Roman"/>
          <w:sz w:val="16"/>
          <w:szCs w:val="16"/>
          <w:color w:val="auto"/>
        </w:rPr>
        <w:t xml:space="preserve">), (iii) contained in agreements relating to the sale of a Subsidiary pending such sale,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such restrictions and conditions apply only to the Subsidiary that is to be sold and such sale is permitted hereunder, (iv) imposed by any customary provisions restricting assignment of any agreement entered into the ordinary course of business, (v) imposed by any instrument or agreement governing Indebtedness of a Subsidiary acquired by the Borrower or any of the Subsidiaries as in effect at the time of such acquisition (except to the extent such Indebtedness was incurred in connection with or in contemplation of such acquisition), which encumbrance or restriction is not applicable to any Person, or the properties or assets of any such Person, other than the Person or any of its Subsidiaries, so acquired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Indebtedness was permitted by Section 6.01 to be incurred), (vi) imposed by any instrument or agreement governing Indebtedness of the Borrower or any Subsidiary that is incurred or issued subsequent to the Effective Date and is permitted pursuant to Section 6.01 (provided that the restrictions in such Indebtedness are not materially more restrictive in the aggregate than the restrictions contained in this Agreement), or</w:t>
      </w:r>
    </w:p>
    <w:p>
      <w:pPr>
        <w:spacing w:after="0" w:line="1" w:lineRule="exact"/>
        <w:rPr>
          <w:rFonts w:ascii="Times New Roman" w:cs="Times New Roman" w:eastAsia="Times New Roman" w:hAnsi="Times New Roman"/>
          <w:sz w:val="16"/>
          <w:szCs w:val="16"/>
          <w:color w:val="auto"/>
        </w:rPr>
      </w:pPr>
    </w:p>
    <w:p>
      <w:pPr>
        <w:ind w:right="320" w:firstLine="8"/>
        <w:spacing w:after="0" w:line="245" w:lineRule="auto"/>
        <w:tabs>
          <w:tab w:leader="none" w:pos="345" w:val="left"/>
        </w:tabs>
        <w:numPr>
          <w:ilvl w:val="0"/>
          <w:numId w:val="8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shareholders agreements, joint venture agreements, organization constitutive documents or similar binding agreements relating to any joint venture or non-wholly-owned Subsidiary and other similar agreements applicable to joint ventures and non-wholly-owned Subsidiaries and applicable solely to such joint venture or non-wholly-owned Subsidiary and the Equity Interests issued thereby.</w:t>
      </w:r>
    </w:p>
    <w:p>
      <w:pPr>
        <w:spacing w:after="0" w:line="188" w:lineRule="exact"/>
        <w:rPr>
          <w:rFonts w:ascii="Times New Roman" w:cs="Times New Roman" w:eastAsia="Times New Roman" w:hAnsi="Times New Roman"/>
          <w:sz w:val="18"/>
          <w:szCs w:val="18"/>
          <w:color w:val="auto"/>
        </w:rPr>
      </w:pPr>
    </w:p>
    <w:p>
      <w:pPr>
        <w:ind w:left="1340" w:hanging="368"/>
        <w:spacing w:after="0"/>
        <w:tabs>
          <w:tab w:leader="none" w:pos="1340" w:val="left"/>
        </w:tabs>
        <w:numPr>
          <w:ilvl w:val="1"/>
          <w:numId w:val="8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6.10(a)(i) shall not apply to restrictions or conditions imposed by customary provisions in leases restricting the assignment</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thereof.</w:t>
      </w:r>
    </w:p>
    <w:p>
      <w:pPr>
        <w:spacing w:after="0" w:line="195" w:lineRule="exact"/>
        <w:rPr>
          <w:sz w:val="20"/>
          <w:szCs w:val="20"/>
          <w:color w:val="auto"/>
        </w:rPr>
      </w:pPr>
    </w:p>
    <w:p>
      <w:pPr>
        <w:ind w:firstLine="964"/>
        <w:spacing w:after="0" w:line="248"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Amendment of Material Documents</w:t>
      </w:r>
      <w:r>
        <w:rPr>
          <w:rFonts w:ascii="Times New Roman" w:cs="Times New Roman" w:eastAsia="Times New Roman" w:hAnsi="Times New Roman"/>
          <w:sz w:val="18"/>
          <w:szCs w:val="18"/>
          <w:color w:val="auto"/>
        </w:rPr>
        <w:t>. The Borrower will not, nor will it permit any Subsidiary to, amend, modify or waive any of its rights under (a) any documentation governing any Subordinated Indebtedness (other than on terms that would be permitted in a Permitted Refinancing thereof or as permitted in accordance with any intercreditor agreement), (b) the Google Note (in an manner that would be adverse in any material respect to the interests of the Lenders (including, without limitation, modifications or amendments that advance the maturity date thereof to a date sooner that 135 days after the Term Loan Maturity Date)) or (c) its certificate of incorporation, by-laws or other organizational documents (to the extent such amendment, modification or waiver would be materially adverse to the Lenders).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700"/>
          </w:cols>
          <w:pgMar w:left="580" w:top="265" w:right="619" w:bottom="1440" w:gutter="0" w:footer="0" w:header="0"/>
        </w:sectPr>
      </w:pPr>
    </w:p>
    <w:bookmarkStart w:id="792" w:name="page793"/>
    <w:bookmarkEnd w:id="792"/>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78040" cy="38100"/>
                    </a:xfrm>
                    <a:prstGeom prst="rect">
                      <a:avLst/>
                    </a:prstGeom>
                    <a:noFill/>
                  </pic:spPr>
                </pic:pic>
              </a:graphicData>
            </a:graphic>
          </wp:anchor>
        </w:drawing>
        <w:t>SECTION 6.12.</w:t>
      </w:r>
      <w:r>
        <w:rPr>
          <w:sz w:val="20"/>
          <w:szCs w:val="20"/>
          <w:color w:val="auto"/>
        </w:rPr>
        <w:tab/>
      </w:r>
      <w:r>
        <w:rPr>
          <w:rFonts w:ascii="Times New Roman" w:cs="Times New Roman" w:eastAsia="Times New Roman" w:hAnsi="Times New Roman"/>
          <w:sz w:val="16"/>
          <w:szCs w:val="16"/>
          <w:u w:val="single" w:color="auto"/>
          <w:color w:val="auto"/>
        </w:rPr>
        <w:t>Financial Performance Covenants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60" w:firstLine="972"/>
        <w:spacing w:after="0" w:line="331" w:lineRule="auto"/>
        <w:tabs>
          <w:tab w:leader="none" w:pos="1333" w:val="left"/>
        </w:tabs>
        <w:numPr>
          <w:ilvl w:val="0"/>
          <w:numId w:val="8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Minimum Liquidity</w:t>
      </w:r>
      <w:r>
        <w:rPr>
          <w:rFonts w:ascii="Times New Roman" w:cs="Times New Roman" w:eastAsia="Times New Roman" w:hAnsi="Times New Roman"/>
          <w:sz w:val="16"/>
          <w:szCs w:val="16"/>
          <w:color w:val="auto"/>
        </w:rPr>
        <w:t>. As of the last day of each month, commencing with the month ending December 31, 2022, the Borrower shall not permit Liquidity, calculated as the average daily balance for the month then ended, to be less than $25,000,000 (the “</w:t>
      </w:r>
      <w:r>
        <w:rPr>
          <w:rFonts w:ascii="Times New Roman" w:cs="Times New Roman" w:eastAsia="Times New Roman" w:hAnsi="Times New Roman"/>
          <w:sz w:val="16"/>
          <w:szCs w:val="16"/>
          <w:u w:val="single" w:color="auto"/>
          <w:color w:val="auto"/>
        </w:rPr>
        <w:t>Minimum Liquidity Amount</w:t>
      </w:r>
      <w:r>
        <w:rPr>
          <w:rFonts w:ascii="Times New Roman" w:cs="Times New Roman" w:eastAsia="Times New Roman" w:hAnsi="Times New Roman"/>
          <w:sz w:val="16"/>
          <w:szCs w:val="16"/>
          <w:color w:val="auto"/>
        </w:rPr>
        <w:t>”).</w:t>
      </w:r>
    </w:p>
    <w:p>
      <w:pPr>
        <w:spacing w:after="0" w:line="122" w:lineRule="exact"/>
        <w:rPr>
          <w:rFonts w:ascii="Times New Roman" w:cs="Times New Roman" w:eastAsia="Times New Roman" w:hAnsi="Times New Roman"/>
          <w:sz w:val="16"/>
          <w:szCs w:val="16"/>
          <w:color w:val="auto"/>
        </w:rPr>
      </w:pPr>
    </w:p>
    <w:p>
      <w:pPr>
        <w:ind w:firstLine="972"/>
        <w:spacing w:after="0" w:line="255" w:lineRule="auto"/>
        <w:tabs>
          <w:tab w:leader="none" w:pos="1343" w:val="left"/>
        </w:tabs>
        <w:numPr>
          <w:ilvl w:val="0"/>
          <w:numId w:val="8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Revenue</w:t>
      </w:r>
      <w:r>
        <w:rPr>
          <w:rFonts w:ascii="Times New Roman" w:cs="Times New Roman" w:eastAsia="Times New Roman" w:hAnsi="Times New Roman"/>
          <w:sz w:val="18"/>
          <w:szCs w:val="18"/>
          <w:color w:val="auto"/>
        </w:rPr>
        <w:t>. As of the last day of each fiscal quarter, commencing with the fiscal quarter ending December 31, 2022, the Borrower shall not permit consolidated Revenues of the Borrower and its Subsidiaries for the trailing twelve month period ending on the last day of such fiscal quarter to be less than the amount set forth below of each applicable period:</w:t>
      </w:r>
    </w:p>
    <w:p>
      <w:pPr>
        <w:spacing w:after="0" w:line="201" w:lineRule="exact"/>
        <w:rPr>
          <w:sz w:val="20"/>
          <w:szCs w:val="20"/>
          <w:color w:val="auto"/>
        </w:rPr>
      </w:pPr>
    </w:p>
    <w:tbl>
      <w:tblPr>
        <w:tblLayout w:type="fixed"/>
        <w:tblInd w:w="1720" w:type="dxa"/>
        <w:tblCellMar>
          <w:top w:w="0" w:type="dxa"/>
          <w:left w:w="0" w:type="dxa"/>
          <w:bottom w:w="0" w:type="dxa"/>
          <w:right w:w="0" w:type="dxa"/>
        </w:tblCellMar>
      </w:tblPr>
      <w:tr>
        <w:trPr>
          <w:trHeight w:val="189"/>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Quarter End</w:t>
            </w:r>
          </w:p>
        </w:tc>
        <w:tc>
          <w:tcPr>
            <w:tcW w:w="3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Minimum Consolidated Revenues</w:t>
            </w:r>
          </w:p>
        </w:tc>
      </w:tr>
      <w:tr>
        <w:trPr>
          <w:trHeight w:val="196"/>
        </w:trPr>
        <w:tc>
          <w:tcPr>
            <w:tcW w:w="44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December 31, 2022</w:t>
            </w:r>
          </w:p>
        </w:tc>
        <w:tc>
          <w:tcPr>
            <w:tcW w:w="7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ind w:left="420"/>
              <w:spacing w:after="0" w:line="196" w:lineRule="exact"/>
              <w:rPr>
                <w:sz w:val="20"/>
                <w:szCs w:val="20"/>
                <w:color w:val="auto"/>
              </w:rPr>
            </w:pPr>
            <w:r>
              <w:rPr>
                <w:rFonts w:ascii="Times New Roman" w:cs="Times New Roman" w:eastAsia="Times New Roman" w:hAnsi="Times New Roman"/>
                <w:sz w:val="18"/>
                <w:szCs w:val="18"/>
                <w:color w:val="auto"/>
                <w:w w:val="94"/>
              </w:rPr>
              <w:t>226,500,000.00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2023</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253,100,000.00</w:t>
            </w:r>
          </w:p>
        </w:tc>
      </w:tr>
      <w:tr>
        <w:trPr>
          <w:trHeight w:val="21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283,500,000.00</w:t>
            </w:r>
          </w:p>
        </w:tc>
      </w:tr>
      <w:tr>
        <w:trPr>
          <w:trHeight w:val="21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2023</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312,900,000.00</w:t>
            </w:r>
          </w:p>
        </w:tc>
      </w:tr>
      <w:tr>
        <w:trPr>
          <w:trHeight w:val="21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342,700,000.00</w:t>
            </w:r>
          </w:p>
        </w:tc>
      </w:tr>
      <w:tr>
        <w:trPr>
          <w:trHeight w:val="21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371,600,000.00</w:t>
            </w:r>
          </w:p>
        </w:tc>
      </w:tr>
      <w:tr>
        <w:trPr>
          <w:trHeight w:val="21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408,300,000.00</w:t>
            </w:r>
          </w:p>
        </w:tc>
      </w:tr>
      <w:tr>
        <w:trPr>
          <w:trHeight w:val="21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443,000,000.00</w:t>
            </w:r>
          </w:p>
        </w:tc>
      </w:tr>
      <w:tr>
        <w:trPr>
          <w:trHeight w:val="21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459,100,000.00</w:t>
            </w:r>
          </w:p>
        </w:tc>
      </w:tr>
      <w:tr>
        <w:trPr>
          <w:trHeight w:val="21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487,900,000.00</w:t>
            </w:r>
          </w:p>
        </w:tc>
      </w:tr>
      <w:tr>
        <w:trPr>
          <w:trHeight w:val="21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521,900,000.00</w:t>
            </w:r>
          </w:p>
        </w:tc>
      </w:tr>
      <w:tr>
        <w:trPr>
          <w:trHeight w:val="21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556,700,000.00</w:t>
            </w:r>
          </w:p>
        </w:tc>
      </w:tr>
      <w:tr>
        <w:trPr>
          <w:trHeight w:val="21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 and each fiscal quarter thereafter</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594,100,000.00</w:t>
            </w:r>
          </w:p>
        </w:tc>
      </w:tr>
    </w:tbl>
    <w:p>
      <w:pPr>
        <w:spacing w:after="0" w:line="192" w:lineRule="exact"/>
        <w:rPr>
          <w:sz w:val="20"/>
          <w:szCs w:val="20"/>
          <w:color w:val="auto"/>
        </w:rPr>
      </w:pPr>
    </w:p>
    <w:p>
      <w:pPr>
        <w:ind w:right="34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Accounting; Fiscal Year</w:t>
      </w:r>
      <w:r>
        <w:rPr>
          <w:rFonts w:ascii="Times New Roman" w:cs="Times New Roman" w:eastAsia="Times New Roman" w:hAnsi="Times New Roman"/>
          <w:sz w:val="18"/>
          <w:szCs w:val="18"/>
          <w:color w:val="auto"/>
        </w:rPr>
        <w:t>. The Borrower will not, and will not permit any of its Subsidiaries to, make any significant change in accounting treatment or reporting practices, except as permitted by GAAP, and will not change its fiscal year-end to a date other than December 31.</w:t>
      </w:r>
    </w:p>
    <w:p>
      <w:pPr>
        <w:spacing w:after="0" w:line="285" w:lineRule="exact"/>
        <w:rPr>
          <w:sz w:val="20"/>
          <w:szCs w:val="20"/>
          <w:color w:val="auto"/>
        </w:rPr>
      </w:pPr>
    </w:p>
    <w:p>
      <w:pPr>
        <w:ind w:right="120"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Swap Agreements</w:t>
      </w:r>
      <w:r>
        <w:rPr>
          <w:rFonts w:ascii="Times New Roman" w:cs="Times New Roman" w:eastAsia="Times New Roman" w:hAnsi="Times New Roman"/>
          <w:sz w:val="18"/>
          <w:szCs w:val="18"/>
          <w:color w:val="auto"/>
        </w:rPr>
        <w:t>. The Borrower will not, and will not permit any of its Subsidiaries to, enter into any Swap Agreement, except (a) Swap Agreements entered into to hedge or mitigate risks to which the Borrower or such Subsidiary has actual exposure (other than those in respect of Equity Interests) and (b) Swap Agreements entered into in order to effectively cap, collar or exchange interest rates (from fixed to floating rates, from one floating rate to another floating rate or otherwise) with respect to any interest-bearing liability or investment of the Borrower or such Subsidiary, in each case, for bona fide hedging purposes and not for speculation.</w:t>
      </w:r>
    </w:p>
    <w:p>
      <w:pPr>
        <w:spacing w:after="0" w:line="187" w:lineRule="exact"/>
        <w:rPr>
          <w:sz w:val="20"/>
          <w:szCs w:val="20"/>
          <w:color w:val="auto"/>
        </w:rPr>
      </w:pPr>
    </w:p>
    <w:p>
      <w:pPr>
        <w:ind w:right="12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Changes in Name</w:t>
      </w:r>
      <w:r>
        <w:rPr>
          <w:rFonts w:ascii="Times New Roman" w:cs="Times New Roman" w:eastAsia="Times New Roman" w:hAnsi="Times New Roman"/>
          <w:sz w:val="18"/>
          <w:szCs w:val="18"/>
          <w:color w:val="auto"/>
        </w:rPr>
        <w:t>. The Borrower shall not, and shall not permit any of its Subsidiaries to, change its legal name except as permitted by Section 5.03(a).</w:t>
      </w:r>
    </w:p>
    <w:p>
      <w:pPr>
        <w:spacing w:after="0" w:line="170" w:lineRule="exact"/>
        <w:rPr>
          <w:sz w:val="20"/>
          <w:szCs w:val="20"/>
          <w:color w:val="auto"/>
        </w:rPr>
      </w:pPr>
    </w:p>
    <w:p>
      <w:pPr>
        <w:ind w:right="8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OFAC; Patriot Act</w:t>
      </w:r>
      <w:r>
        <w:rPr>
          <w:rFonts w:ascii="Times New Roman" w:cs="Times New Roman" w:eastAsia="Times New Roman" w:hAnsi="Times New Roman"/>
          <w:sz w:val="18"/>
          <w:szCs w:val="18"/>
          <w:color w:val="auto"/>
        </w:rPr>
        <w:t>. The Borrower shall not, and shall not permit any of its Subsidiaries to, fail to comply with the laws, regulations and executive orders referred to in Section 3.17.</w:t>
      </w:r>
    </w:p>
    <w:p>
      <w:pPr>
        <w:spacing w:after="0" w:line="170" w:lineRule="exact"/>
        <w:rPr>
          <w:sz w:val="20"/>
          <w:szCs w:val="20"/>
          <w:color w:val="auto"/>
        </w:rPr>
      </w:pPr>
    </w:p>
    <w:p>
      <w:pPr>
        <w:ind w:right="4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Issuance or Repurchase of Equity Interests</w:t>
      </w:r>
      <w:r>
        <w:rPr>
          <w:rFonts w:ascii="Times New Roman" w:cs="Times New Roman" w:eastAsia="Times New Roman" w:hAnsi="Times New Roman"/>
          <w:sz w:val="18"/>
          <w:szCs w:val="18"/>
          <w:color w:val="auto"/>
        </w:rPr>
        <w:t>. The Borrower shall not, and shall not permit any of its Subsidiaries to, issue any Disqualified Equity Interests.</w:t>
      </w:r>
    </w:p>
    <w:p>
      <w:pPr>
        <w:spacing w:after="0" w:line="170" w:lineRule="exact"/>
        <w:rPr>
          <w:sz w:val="20"/>
          <w:szCs w:val="20"/>
          <w:color w:val="auto"/>
        </w:rPr>
      </w:pPr>
    </w:p>
    <w:p>
      <w:pPr>
        <w:ind w:right="80" w:firstLine="964"/>
        <w:spacing w:after="0" w:line="281" w:lineRule="auto"/>
        <w:rPr>
          <w:sz w:val="20"/>
          <w:szCs w:val="20"/>
          <w:color w:val="auto"/>
        </w:rPr>
      </w:pPr>
      <w:r>
        <w:rPr>
          <w:rFonts w:ascii="Times New Roman" w:cs="Times New Roman" w:eastAsia="Times New Roman" w:hAnsi="Times New Roman"/>
          <w:sz w:val="16"/>
          <w:szCs w:val="16"/>
          <w:color w:val="auto"/>
        </w:rPr>
        <w:t xml:space="preserve">SECTION 6.18. </w:t>
      </w:r>
      <w:r>
        <w:rPr>
          <w:rFonts w:ascii="Times New Roman" w:cs="Times New Roman" w:eastAsia="Times New Roman" w:hAnsi="Times New Roman"/>
          <w:sz w:val="16"/>
          <w:szCs w:val="16"/>
          <w:u w:val="single" w:color="auto"/>
          <w:color w:val="auto"/>
        </w:rPr>
        <w:t>Capital Expenditures</w:t>
      </w:r>
      <w:r>
        <w:rPr>
          <w:rFonts w:ascii="Times New Roman" w:cs="Times New Roman" w:eastAsia="Times New Roman" w:hAnsi="Times New Roman"/>
          <w:sz w:val="16"/>
          <w:szCs w:val="16"/>
          <w:color w:val="auto"/>
        </w:rPr>
        <w:t xml:space="preserve">. The Borrower will not, and will not permit any of its Subsidiaries to, make Capital Expenditures in any fiscal year in an aggregate amount exceeding (i) $25,000,000 plus (ii) an additional amount with the prior written consent of the Administrative Agent (such consent not to be unreasonably withheld, conditioned or delayed)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(iii) 50% of the Available Basket Amount;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Capital Expenditure made in reliance on the foregoing clause (ii) shall be subject to the following conditions: (x) before and immediately after giving effect to any such Capital Expenditure, no Specified Event of Default has occurred and is continuing or would result therefrom and (y) pro forma Liquidity after giving effect thereto shall exceed $100,000,000;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any unused amount under the foregoing clause (i) of this Section 6.18 shall carry forward to the immediately following fiscal year (such amount, the “</w:t>
      </w:r>
      <w:r>
        <w:rPr>
          <w:rFonts w:ascii="Times New Roman" w:cs="Times New Roman" w:eastAsia="Times New Roman" w:hAnsi="Times New Roman"/>
          <w:sz w:val="16"/>
          <w:szCs w:val="16"/>
          <w:u w:val="single" w:color="auto"/>
          <w:color w:val="auto"/>
        </w:rPr>
        <w:t>Capital Expenditure Carryover Amount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any Capital Expenditures made in a particular fiscal year of the Borrower shall first be deemed to have been made with the portion of the Capital Expenditures permitted for such fiscal year before the Capital Expenditure Carryover Amount is applied to such fiscal year.</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720"/>
          </w:cols>
          <w:pgMar w:left="580" w:top="266" w:right="599" w:bottom="1440" w:gutter="0" w:footer="0" w:header="0"/>
        </w:sectPr>
      </w:pPr>
    </w:p>
    <w:bookmarkStart w:id="793" w:name="page794"/>
    <w:bookmarkEnd w:id="79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VII</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13"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6"/>
          <w:szCs w:val="16"/>
          <w:u w:val="single" w:color="auto"/>
          <w:color w:val="auto"/>
        </w:rPr>
        <w:t>Events of Default</w:t>
      </w:r>
      <w:r>
        <w:rPr>
          <w:rFonts w:ascii="Times New Roman" w:cs="Times New Roman" w:eastAsia="Times New Roman" w:hAnsi="Times New Roman"/>
          <w:sz w:val="16"/>
          <w:szCs w:val="16"/>
          <w:color w:val="auto"/>
        </w:rPr>
        <w:t>. If any of the following events (any such event, an “</w:t>
      </w:r>
      <w:r>
        <w:rPr>
          <w:rFonts w:ascii="Times New Roman" w:cs="Times New Roman" w:eastAsia="Times New Roman" w:hAnsi="Times New Roman"/>
          <w:sz w:val="16"/>
          <w:szCs w:val="16"/>
          <w:u w:val="single" w:color="auto"/>
          <w:color w:val="auto"/>
        </w:rPr>
        <w:t>Event of Default</w:t>
      </w:r>
      <w:r>
        <w:rPr>
          <w:rFonts w:ascii="Times New Roman" w:cs="Times New Roman" w:eastAsia="Times New Roman" w:hAnsi="Times New Roman"/>
          <w:sz w:val="16"/>
          <w:szCs w:val="16"/>
          <w:color w:val="auto"/>
        </w:rPr>
        <w:t>”) shall occur:</w:t>
      </w:r>
    </w:p>
    <w:p>
      <w:pPr>
        <w:spacing w:after="0" w:line="213" w:lineRule="exact"/>
        <w:rPr>
          <w:sz w:val="20"/>
          <w:szCs w:val="20"/>
          <w:color w:val="auto"/>
        </w:rPr>
      </w:pPr>
    </w:p>
    <w:p>
      <w:pPr>
        <w:ind w:right="60" w:firstLine="972"/>
        <w:spacing w:after="0" w:line="267" w:lineRule="auto"/>
        <w:tabs>
          <w:tab w:leader="none" w:pos="1333" w:val="left"/>
        </w:tabs>
        <w:numPr>
          <w:ilvl w:val="0"/>
          <w:numId w:val="8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principal of any Loan when and as the same shall become due and payable, whether at the due date thereof or at a date fixed for prepayment thereof or otherwise;</w:t>
      </w:r>
    </w:p>
    <w:p>
      <w:pPr>
        <w:spacing w:after="0" w:line="169" w:lineRule="exact"/>
        <w:rPr>
          <w:rFonts w:ascii="Times New Roman" w:cs="Times New Roman" w:eastAsia="Times New Roman" w:hAnsi="Times New Roman"/>
          <w:sz w:val="18"/>
          <w:szCs w:val="18"/>
          <w:color w:val="auto"/>
        </w:rPr>
      </w:pPr>
    </w:p>
    <w:p>
      <w:pPr>
        <w:ind w:right="40" w:firstLine="972"/>
        <w:spacing w:after="0" w:line="255" w:lineRule="auto"/>
        <w:tabs>
          <w:tab w:leader="none" w:pos="1343" w:val="left"/>
        </w:tabs>
        <w:numPr>
          <w:ilvl w:val="0"/>
          <w:numId w:val="8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interest on any Loan or any fee (including any Make Whole/Prepayment Fee Amount) or any other amount (other than an amount referred to in Section 7.01(a)) payable under this Agreement or any other Loan Document, when and as the same shall become due and payable, and such failure shall continue unremedied for a period of five Business Days;</w:t>
      </w:r>
    </w:p>
    <w:p>
      <w:pPr>
        <w:spacing w:after="0" w:line="180" w:lineRule="exact"/>
        <w:rPr>
          <w:rFonts w:ascii="Times New Roman" w:cs="Times New Roman" w:eastAsia="Times New Roman" w:hAnsi="Times New Roman"/>
          <w:sz w:val="18"/>
          <w:szCs w:val="18"/>
          <w:color w:val="auto"/>
        </w:rPr>
      </w:pPr>
    </w:p>
    <w:p>
      <w:pPr>
        <w:ind w:right="60" w:firstLine="972"/>
        <w:spacing w:after="0" w:line="288" w:lineRule="auto"/>
        <w:tabs>
          <w:tab w:leader="none" w:pos="1333" w:val="left"/>
        </w:tabs>
        <w:numPr>
          <w:ilvl w:val="0"/>
          <w:numId w:val="8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representation or warranty made or deemed made by or on behalf of the Borrower or any Subsidiary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(except to the extent any such representation or warranty is qualified by “materially”, “Material Adverse Effect” or a similar term, in which case such representation or warranty shall prove to have been incorrect in any respect) when made or deemed made;</w:t>
      </w:r>
    </w:p>
    <w:p>
      <w:pPr>
        <w:spacing w:after="0" w:line="156" w:lineRule="exact"/>
        <w:rPr>
          <w:rFonts w:ascii="Times New Roman" w:cs="Times New Roman" w:eastAsia="Times New Roman" w:hAnsi="Times New Roman"/>
          <w:sz w:val="16"/>
          <w:szCs w:val="16"/>
          <w:color w:val="auto"/>
        </w:rPr>
      </w:pPr>
    </w:p>
    <w:p>
      <w:pPr>
        <w:ind w:firstLine="972"/>
        <w:spacing w:after="0" w:line="255" w:lineRule="auto"/>
        <w:tabs>
          <w:tab w:leader="none" w:pos="1343" w:val="left"/>
        </w:tabs>
        <w:numPr>
          <w:ilvl w:val="0"/>
          <w:numId w:val="8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observe or perform any covenant, condition or agreement contained in Section 5.02(a), 5.04 (with respect to the existence of the Borrower) or in Article VI (it being understood and agreed that any breach of Section 6.12(b) is subject to cure as provided in Section 7.02);</w:t>
      </w:r>
    </w:p>
    <w:p>
      <w:pPr>
        <w:spacing w:after="0" w:line="180" w:lineRule="exact"/>
        <w:rPr>
          <w:rFonts w:ascii="Times New Roman" w:cs="Times New Roman" w:eastAsia="Times New Roman" w:hAnsi="Times New Roman"/>
          <w:sz w:val="18"/>
          <w:szCs w:val="18"/>
          <w:color w:val="auto"/>
        </w:rPr>
      </w:pPr>
    </w:p>
    <w:p>
      <w:pPr>
        <w:ind w:right="220" w:firstLine="972"/>
        <w:spacing w:after="0" w:line="267" w:lineRule="auto"/>
        <w:tabs>
          <w:tab w:leader="none" w:pos="1333" w:val="left"/>
        </w:tabs>
        <w:numPr>
          <w:ilvl w:val="0"/>
          <w:numId w:val="8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observe or perform any covenant, condition or agreement contained in Section 5.01(a), (b), (c) or (d) and such failure shall continue unremedied for a period of 10 days;</w:t>
      </w:r>
    </w:p>
    <w:p>
      <w:pPr>
        <w:spacing w:after="0" w:line="169" w:lineRule="exact"/>
        <w:rPr>
          <w:rFonts w:ascii="Times New Roman" w:cs="Times New Roman" w:eastAsia="Times New Roman" w:hAnsi="Times New Roman"/>
          <w:sz w:val="18"/>
          <w:szCs w:val="18"/>
          <w:color w:val="auto"/>
        </w:rPr>
      </w:pPr>
    </w:p>
    <w:p>
      <w:pPr>
        <w:ind w:right="160" w:firstLine="972"/>
        <w:spacing w:after="0" w:line="255" w:lineRule="auto"/>
        <w:tabs>
          <w:tab w:leader="none" w:pos="1314" w:val="left"/>
        </w:tabs>
        <w:numPr>
          <w:ilvl w:val="0"/>
          <w:numId w:val="8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Subsidiary Loan Party shall fail to observe or perform any covenant, condition or agreement contained in any Loan Document (other than those specified in Sections 7.01(a), (b), (d) or (e)), and such failure shall continue unremedied for a period of 30 days after notice thereof from the Administrative Agent to the Borrower (which notice will be given at the request of any Lender);</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720"/>
          </w:cols>
          <w:pgMar w:left="580" w:top="266" w:right="599" w:bottom="1440" w:gutter="0" w:footer="0" w:header="0"/>
        </w:sectPr>
      </w:pPr>
    </w:p>
    <w:bookmarkStart w:id="794" w:name="page795"/>
    <w:bookmarkEnd w:id="794"/>
    <w:p>
      <w:pPr>
        <w:ind w:right="20" w:firstLine="972"/>
        <w:spacing w:after="0" w:line="285" w:lineRule="auto"/>
        <w:tabs>
          <w:tab w:leader="none" w:pos="1343" w:val="left"/>
        </w:tabs>
        <w:numPr>
          <w:ilvl w:val="0"/>
          <w:numId w:val="8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the Borrower or any Subsidiary shall fail to make any payment (whether of principal or interest and regardless of amount) in respect of any Material Indebtedness, when and as the same shall become due and payable (after giving effect to any applicable grace period);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this paragraph (g) shall not apply to any Indebtedness if the sole remedy of the holder thereof in the event of such non-payment is to elect to convert such Indebtedness into Qualified Equity Interests (and cash in lieu of fractional shares);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further that this paragraph (g) shall not apply to any such failure that (x) is remedied by the Borrower or any applicable Subsidiary or (y) waived (including in the form of amendment) by the requisite holders of the applicable item of Material Indebtedness in either case, prior to acceleration of all the Loans pursuant to this Section 7.01;</w:t>
      </w:r>
    </w:p>
    <w:p>
      <w:pPr>
        <w:spacing w:after="0" w:line="159" w:lineRule="exact"/>
        <w:rPr>
          <w:rFonts w:ascii="Times New Roman" w:cs="Times New Roman" w:eastAsia="Times New Roman" w:hAnsi="Times New Roman"/>
          <w:sz w:val="16"/>
          <w:szCs w:val="16"/>
          <w:color w:val="auto"/>
        </w:rPr>
      </w:pPr>
    </w:p>
    <w:p>
      <w:pPr>
        <w:ind w:firstLine="972"/>
        <w:spacing w:after="0" w:line="279" w:lineRule="auto"/>
        <w:tabs>
          <w:tab w:leader="none" w:pos="1343" w:val="left"/>
        </w:tabs>
        <w:numPr>
          <w:ilvl w:val="0"/>
          <w:numId w:val="8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event or condition (other than, with respect to Indebtedness consisting of Swap Agreements, termination events or equivalent events pursuant to the terms of such Swap Agreements and not as a result of any default thereunder by any Loan Party) occurs that results in any Material Indebtedness becoming due prior to its scheduled maturity or that enables or permits (with all applicable grace periods having expired and all required notices have been given)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this clause (h) shall not apply to (i) secured Indebtedness that becomes due as a result of the voluntary sale or transfer of the property or assets (to the extent not prohibited under this Agreement) securing such Indebtedness; (ii) termination events or similar events occurring under any Swap Agreement that constitutes Material Indebtedness (it being understood that paragraph (g) of this Section 7.01 will apply to any failure to make any payment required as a result of any such termination or similar event) or (iii) any Indebtedness if the sole remedy of the holder thereof following such event or condition is to elect to convert such Indebtedness into Qualified Equity Interests (and cash in lieu of fractional shares);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further that this paragraph (h) shall not apply to any such failure that (x) is remedied by the Borrower or any applicable Subsidiary or (y) waived (including in the form of amendment) by the requisite holders of the applicable item of Material Indebtedness in either case, prior to acceleration of all the Loans pursuant to this Section 7.01;</w:t>
      </w:r>
    </w:p>
    <w:p>
      <w:pPr>
        <w:spacing w:after="0" w:line="164" w:lineRule="exact"/>
        <w:rPr>
          <w:rFonts w:ascii="Times New Roman" w:cs="Times New Roman" w:eastAsia="Times New Roman" w:hAnsi="Times New Roman"/>
          <w:sz w:val="16"/>
          <w:szCs w:val="16"/>
          <w:color w:val="auto"/>
        </w:rPr>
      </w:pPr>
    </w:p>
    <w:p>
      <w:pPr>
        <w:ind w:right="20" w:firstLine="972"/>
        <w:spacing w:after="0" w:line="249" w:lineRule="auto"/>
        <w:tabs>
          <w:tab w:leader="none" w:pos="1304" w:val="left"/>
        </w:tabs>
        <w:numPr>
          <w:ilvl w:val="0"/>
          <w:numId w:val="8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or other relief in respect of a Loan Party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 Loan Party or any Subsidiary or for a substantial part of its assets, and, in any such case, such proceeding or petition shall continue undismissed or unstayed for 60 days or an order or decree approving or ordering any of the foregoing shall be entered;</w:t>
      </w:r>
    </w:p>
    <w:p>
      <w:pPr>
        <w:spacing w:after="0" w:line="186" w:lineRule="exact"/>
        <w:rPr>
          <w:rFonts w:ascii="Times New Roman" w:cs="Times New Roman" w:eastAsia="Times New Roman" w:hAnsi="Times New Roman"/>
          <w:sz w:val="18"/>
          <w:szCs w:val="18"/>
          <w:color w:val="auto"/>
        </w:rPr>
      </w:pPr>
    </w:p>
    <w:p>
      <w:pPr>
        <w:ind w:right="60" w:firstLine="972"/>
        <w:spacing w:after="0" w:line="285" w:lineRule="auto"/>
        <w:tabs>
          <w:tab w:leader="none" w:pos="1304" w:val="left"/>
        </w:tabs>
        <w:numPr>
          <w:ilvl w:val="0"/>
          <w:numId w:val="8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Loan Party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Section 7.01(h), (iii) apply for or consent to the appointment of a receiver, trustee, custodian, sequestrator, conservator or similar official for a Loan Party or any Subsidiary or for a substantial part of its assets, (iv) file an answer admitting the material allegations of a petition filed against it in any such proceeding, (v) make a general assignment for the benefit of creditors or (vi) take any formal action for the purpose of effecting any of the foregoing;</w:t>
      </w:r>
    </w:p>
    <w:p>
      <w:pPr>
        <w:spacing w:after="0" w:line="159" w:lineRule="exact"/>
        <w:rPr>
          <w:rFonts w:ascii="Times New Roman" w:cs="Times New Roman" w:eastAsia="Times New Roman" w:hAnsi="Times New Roman"/>
          <w:sz w:val="16"/>
          <w:szCs w:val="16"/>
          <w:color w:val="auto"/>
        </w:rPr>
      </w:pPr>
    </w:p>
    <w:p>
      <w:pPr>
        <w:ind w:left="1360" w:hanging="388"/>
        <w:spacing w:after="0"/>
        <w:tabs>
          <w:tab w:leader="none" w:pos="1360" w:val="left"/>
        </w:tabs>
        <w:numPr>
          <w:ilvl w:val="0"/>
          <w:numId w:val="8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any Subsidiary shall become unable, admit in writing its inability or fail generally to pay its debts as they become</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due;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700"/>
          </w:cols>
          <w:pgMar w:left="580" w:top="266" w:right="619" w:bottom="1440" w:gutter="0" w:footer="0" w:header="0"/>
        </w:sectPr>
      </w:pPr>
    </w:p>
    <w:bookmarkStart w:id="795" w:name="page796"/>
    <w:bookmarkEnd w:id="795"/>
    <w:p>
      <w:pPr>
        <w:ind w:firstLine="972"/>
        <w:spacing w:after="0" w:line="249" w:lineRule="auto"/>
        <w:tabs>
          <w:tab w:leader="none" w:pos="1304" w:val="left"/>
        </w:tabs>
        <w:numPr>
          <w:ilvl w:val="0"/>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78040" cy="36830"/>
                    </a:xfrm>
                    <a:prstGeom prst="rect">
                      <a:avLst/>
                    </a:prstGeom>
                    <a:noFill/>
                  </pic:spPr>
                </pic:pic>
              </a:graphicData>
            </a:graphic>
          </wp:anchor>
        </w:drawing>
        <w:t>one or more judgments for the payment of money (to the extent not paid or covered by insurance provided by a carrier that has a credit rating of at least “A” by A.M. Best Company, Inc. and has not denied or disputed coverage) in an aggregate amount in excess of $10,000,000 shall be rendered against a Loan Party, or any combination thereof and the same shall remain unpaid or undischarged for a period of 30 consecutive days during which execution shall not be effectively stayed, or any action shall be legally taken by a judgment creditor to attach or levy upon any assets of the Borrower or any Subsidiary to enforce any such judgment;</w:t>
      </w:r>
    </w:p>
    <w:p>
      <w:pPr>
        <w:spacing w:after="0" w:line="186" w:lineRule="exact"/>
        <w:rPr>
          <w:rFonts w:ascii="Times New Roman" w:cs="Times New Roman" w:eastAsia="Times New Roman" w:hAnsi="Times New Roman"/>
          <w:sz w:val="18"/>
          <w:szCs w:val="18"/>
          <w:color w:val="auto"/>
        </w:rPr>
      </w:pPr>
    </w:p>
    <w:p>
      <w:pPr>
        <w:ind w:right="100" w:firstLine="972"/>
        <w:spacing w:after="0" w:line="255" w:lineRule="auto"/>
        <w:tabs>
          <w:tab w:leader="none" w:pos="1392" w:val="left"/>
        </w:tabs>
        <w:numPr>
          <w:ilvl w:val="0"/>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in the opinion of the Required Lenders, when taken together with all other ERISA Events that have occurred, could reasonably be expected to result in liability of the Borrower and the Subsidiaries in an aggregate amount exceeding $10,000,000 for all periods;</w:t>
      </w:r>
    </w:p>
    <w:p>
      <w:pPr>
        <w:spacing w:after="0" w:line="180" w:lineRule="exact"/>
        <w:rPr>
          <w:rFonts w:ascii="Times New Roman" w:cs="Times New Roman" w:eastAsia="Times New Roman" w:hAnsi="Times New Roman"/>
          <w:sz w:val="18"/>
          <w:szCs w:val="18"/>
          <w:color w:val="auto"/>
        </w:rPr>
      </w:pPr>
    </w:p>
    <w:p>
      <w:pPr>
        <w:ind w:right="20" w:firstLine="972"/>
        <w:spacing w:after="0" w:line="248" w:lineRule="auto"/>
        <w:tabs>
          <w:tab w:leader="none" w:pos="1343" w:val="left"/>
        </w:tabs>
        <w:numPr>
          <w:ilvl w:val="0"/>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purported to be created under any Security Document for any reason (other than pursuant to the terms thereof including as a result of a transaction permitted under this Agreement) shall cease to be, or shall be asserted by any Loan Party not to be, a valid and perfected (if and to the extent required to be perfected under the Loan Documents) Lien on any material portion of the Collateral with the priority required by the applicable Security Document, except (i) as a result of the sale or other disposition of the applicable Collateral in a transaction permitted under the Loan Documents or (ii) as a result of the Administrative Agent’s failure to maintain possession of any stock certificates, promissory notes or other instruments delivered to it under the Collateral Agreement;</w:t>
      </w:r>
    </w:p>
    <w:p>
      <w:pPr>
        <w:spacing w:after="0" w:line="187" w:lineRule="exact"/>
        <w:rPr>
          <w:rFonts w:ascii="Times New Roman" w:cs="Times New Roman" w:eastAsia="Times New Roman" w:hAnsi="Times New Roman"/>
          <w:sz w:val="18"/>
          <w:szCs w:val="18"/>
          <w:color w:val="auto"/>
        </w:rPr>
      </w:pPr>
    </w:p>
    <w:p>
      <w:pPr>
        <w:ind w:left="1360" w:hanging="388"/>
        <w:spacing w:after="0"/>
        <w:tabs>
          <w:tab w:leader="none" w:pos="1360" w:val="left"/>
        </w:tabs>
        <w:numPr>
          <w:ilvl w:val="0"/>
          <w:numId w:val="8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Loan Document shall for any reason be asserted by any Loan Party not to be a legal, valid and binding obligation of any party</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thereto;</w:t>
      </w:r>
    </w:p>
    <w:p>
      <w:pPr>
        <w:spacing w:after="0" w:line="195" w:lineRule="exact"/>
        <w:rPr>
          <w:rFonts w:ascii="Times New Roman" w:cs="Times New Roman" w:eastAsia="Times New Roman" w:hAnsi="Times New Roman"/>
          <w:sz w:val="16"/>
          <w:szCs w:val="16"/>
          <w:color w:val="auto"/>
        </w:rPr>
      </w:pPr>
    </w:p>
    <w:p>
      <w:pPr>
        <w:ind w:right="120" w:firstLine="972"/>
        <w:spacing w:after="0" w:line="255" w:lineRule="auto"/>
        <w:tabs>
          <w:tab w:leader="none" w:pos="1343" w:val="left"/>
        </w:tabs>
        <w:numPr>
          <w:ilvl w:val="0"/>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Guarantees of the Obligations by the Borrower and the Subsidiary Loan Parties pursuant to the Collateral Agreement shall cease to be in full force and effect (other than in accordance with the terms of the Loan Documents) or shall be asserted by the Borrower or any Subsidiary Loan Party not to be in effect or not to be legal, valid and binding obligations;</w:t>
      </w:r>
    </w:p>
    <w:p>
      <w:pPr>
        <w:spacing w:after="0" w:line="180" w:lineRule="exact"/>
        <w:rPr>
          <w:rFonts w:ascii="Times New Roman" w:cs="Times New Roman" w:eastAsia="Times New Roman" w:hAnsi="Times New Roman"/>
          <w:sz w:val="18"/>
          <w:szCs w:val="18"/>
          <w:color w:val="auto"/>
        </w:rPr>
      </w:pPr>
    </w:p>
    <w:p>
      <w:pPr>
        <w:ind w:right="40" w:firstLine="972"/>
        <w:spacing w:after="0" w:line="255" w:lineRule="auto"/>
        <w:tabs>
          <w:tab w:leader="none" w:pos="1343" w:val="left"/>
        </w:tabs>
        <w:numPr>
          <w:ilvl w:val="0"/>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Subordinated Indebtedness or any Guarantees thereof shall cease, for any reason, to be validly subordinated to the Obligations or the obligations of the Borrower and the Subsidiary Loan Parties in respect of their Guarantees under the Collateral Agreement, as applicable, or any Loan Party or the holders of at least 25% in aggregate principal amount of any Subordinated Indebtedness shall so assert;</w:t>
      </w:r>
    </w:p>
    <w:p>
      <w:pPr>
        <w:spacing w:after="0" w:line="180" w:lineRule="exact"/>
        <w:rPr>
          <w:rFonts w:ascii="Times New Roman" w:cs="Times New Roman" w:eastAsia="Times New Roman" w:hAnsi="Times New Roman"/>
          <w:sz w:val="18"/>
          <w:szCs w:val="18"/>
          <w:color w:val="auto"/>
        </w:rPr>
      </w:pPr>
    </w:p>
    <w:p>
      <w:pPr>
        <w:ind w:left="1320" w:hanging="348"/>
        <w:spacing w:after="0"/>
        <w:tabs>
          <w:tab w:leader="none" w:pos="1320" w:val="left"/>
        </w:tabs>
        <w:numPr>
          <w:ilvl w:val="0"/>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shall occur;</w:t>
      </w:r>
    </w:p>
    <w:p>
      <w:pPr>
        <w:spacing w:after="0" w:line="213" w:lineRule="exact"/>
        <w:rPr>
          <w:rFonts w:ascii="Times New Roman" w:cs="Times New Roman" w:eastAsia="Times New Roman" w:hAnsi="Times New Roman"/>
          <w:sz w:val="18"/>
          <w:szCs w:val="18"/>
          <w:color w:val="auto"/>
        </w:rPr>
      </w:pPr>
    </w:p>
    <w:p>
      <w:pPr>
        <w:ind w:left="1340" w:hanging="368"/>
        <w:spacing w:after="0"/>
        <w:tabs>
          <w:tab w:leader="none" w:pos="1340" w:val="left"/>
        </w:tabs>
        <w:numPr>
          <w:ilvl w:val="0"/>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Regulatory Liability shall occur;</w:t>
      </w:r>
    </w:p>
    <w:p>
      <w:pPr>
        <w:spacing w:after="0" w:line="213" w:lineRule="exact"/>
        <w:rPr>
          <w:rFonts w:ascii="Times New Roman" w:cs="Times New Roman" w:eastAsia="Times New Roman" w:hAnsi="Times New Roman"/>
          <w:sz w:val="18"/>
          <w:szCs w:val="18"/>
          <w:color w:val="auto"/>
        </w:rPr>
      </w:pPr>
    </w:p>
    <w:p>
      <w:pPr>
        <w:ind w:right="100" w:firstLine="972"/>
        <w:spacing w:after="0" w:line="255" w:lineRule="auto"/>
        <w:tabs>
          <w:tab w:leader="none" w:pos="1304" w:val="left"/>
        </w:tabs>
        <w:numPr>
          <w:ilvl w:val="0"/>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Registration shall be terminated, forfeited or revoked or shall fail to be renewed for any reason other than Borrower’s reasonable determination, in consultation with the Administrative Agent, that such Registration is no longer required for its ongoing operations, or shall be modified in a manner materially adverse to the Borrower and its Subsidiaries;</w:t>
      </w:r>
    </w:p>
    <w:p>
      <w:pPr>
        <w:spacing w:after="0" w:line="180" w:lineRule="exact"/>
        <w:rPr>
          <w:rFonts w:ascii="Times New Roman" w:cs="Times New Roman" w:eastAsia="Times New Roman" w:hAnsi="Times New Roman"/>
          <w:sz w:val="18"/>
          <w:szCs w:val="18"/>
          <w:color w:val="auto"/>
        </w:rPr>
      </w:pPr>
    </w:p>
    <w:p>
      <w:pPr>
        <w:jc w:val="both"/>
        <w:ind w:right="60" w:firstLine="972"/>
        <w:spacing w:after="0" w:line="255" w:lineRule="auto"/>
        <w:tabs>
          <w:tab w:leader="none" w:pos="1343" w:val="left"/>
        </w:tabs>
        <w:numPr>
          <w:ilvl w:val="0"/>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 judgment, warrant of attachment, execution or similar process shall be issued or levied against a substantial or material part of a Loan Party’s properties, and such writ, judgment, warrant of attachment, execution or similar process shall not be released, vacated or fully bonded within 30 days after commencement, filing or levy; or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720"/>
          </w:cols>
          <w:pgMar w:left="580" w:top="265" w:right="599" w:bottom="1440" w:gutter="0" w:footer="0" w:header="0"/>
        </w:sectPr>
      </w:pPr>
    </w:p>
    <w:bookmarkStart w:id="796" w:name="page797"/>
    <w:bookmarkEnd w:id="796"/>
    <w:p>
      <w:pPr>
        <w:ind w:firstLine="972"/>
        <w:spacing w:after="0" w:line="255" w:lineRule="auto"/>
        <w:tabs>
          <w:tab w:leader="none" w:pos="1343" w:val="left"/>
        </w:tabs>
        <w:numPr>
          <w:ilvl w:val="0"/>
          <w:numId w:val="8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 Loan Party shall be enjoined, restrained or in any way prevented by any Governmental Authority from conducting any material part of its business for a material period of time; a Loan Party shall suffer the loss, revocation or termination of any material license, permit, lease or agreement necessary to its business; or any material property of a Loan Party shall be taken or impaired through condemnation,</w:t>
      </w:r>
    </w:p>
    <w:p>
      <w:pPr>
        <w:spacing w:after="0" w:line="18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then, and in every such event (other than an event with respect to the Borrower described in Section 7.01(h) or (i)),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(including any Make Whole/Prepayment Fee Amount), shall become due and payable immediately, without presentment, demand, protest or other notice of any kind, all of which are hereby waived by the Borrower; and in case of any event with respect to the Borrower described in Section 7.01(i) or (j),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provided that, the foregoing actions may not be taken in the case of an Event of Default under Section 6.12(b), until the ability to exercise the Cure Right under Section 7.02 has expired (but may be taken as soon as the ability to exercise the Cure Right has expired or to the extent that the Borrower has confirmed in writing that it does not intend to provide the Cure Amount).</w:t>
      </w:r>
    </w:p>
    <w:p>
      <w:pPr>
        <w:spacing w:after="0" w:line="194" w:lineRule="exact"/>
        <w:rPr>
          <w:sz w:val="20"/>
          <w:szCs w:val="20"/>
          <w:color w:val="auto"/>
        </w:rPr>
      </w:pPr>
    </w:p>
    <w:p>
      <w:pPr>
        <w:ind w:right="20" w:firstLine="964"/>
        <w:spacing w:after="0" w:line="278" w:lineRule="auto"/>
        <w:rPr>
          <w:sz w:val="20"/>
          <w:szCs w:val="20"/>
          <w:color w:val="auto"/>
        </w:rPr>
      </w:pPr>
      <w:r>
        <w:rPr>
          <w:rFonts w:ascii="Times New Roman" w:cs="Times New Roman" w:eastAsia="Times New Roman" w:hAnsi="Times New Roman"/>
          <w:sz w:val="16"/>
          <w:szCs w:val="16"/>
          <w:color w:val="auto"/>
        </w:rPr>
        <w:t xml:space="preserve">SECTION 7.02. </w:t>
      </w:r>
      <w:r>
        <w:rPr>
          <w:rFonts w:ascii="Times New Roman" w:cs="Times New Roman" w:eastAsia="Times New Roman" w:hAnsi="Times New Roman"/>
          <w:sz w:val="16"/>
          <w:szCs w:val="16"/>
          <w:u w:val="single" w:color="auto"/>
          <w:color w:val="auto"/>
        </w:rPr>
        <w:t>Right to Cure</w:t>
      </w:r>
      <w:r>
        <w:rPr>
          <w:rFonts w:ascii="Times New Roman" w:cs="Times New Roman" w:eastAsia="Times New Roman" w:hAnsi="Times New Roman"/>
          <w:sz w:val="16"/>
          <w:szCs w:val="16"/>
          <w:color w:val="auto"/>
        </w:rPr>
        <w:t xml:space="preserve">. Notwithstanding anything to the contrary contained in this </w:t>
      </w:r>
      <w:r>
        <w:rPr>
          <w:rFonts w:ascii="Times New Roman" w:cs="Times New Roman" w:eastAsia="Times New Roman" w:hAnsi="Times New Roman"/>
          <w:sz w:val="16"/>
          <w:szCs w:val="16"/>
          <w:u w:val="single" w:color="auto"/>
          <w:color w:val="auto"/>
        </w:rPr>
        <w:t>Article 7</w:t>
      </w:r>
      <w:r>
        <w:rPr>
          <w:rFonts w:ascii="Times New Roman" w:cs="Times New Roman" w:eastAsia="Times New Roman" w:hAnsi="Times New Roman"/>
          <w:sz w:val="16"/>
          <w:szCs w:val="16"/>
          <w:color w:val="auto"/>
        </w:rPr>
        <w:t>, in the event that the Borrower fails to comply with the requirements of Section 6.12(b) as of the end of any relevant fiscal quarter, the Borrower shall have the right (the “</w:t>
      </w:r>
      <w:r>
        <w:rPr>
          <w:rFonts w:ascii="Times New Roman" w:cs="Times New Roman" w:eastAsia="Times New Roman" w:hAnsi="Times New Roman"/>
          <w:sz w:val="16"/>
          <w:szCs w:val="16"/>
          <w:u w:val="single" w:color="auto"/>
          <w:color w:val="auto"/>
        </w:rPr>
        <w:t>Cure Right</w:t>
      </w:r>
      <w:r>
        <w:rPr>
          <w:rFonts w:ascii="Times New Roman" w:cs="Times New Roman" w:eastAsia="Times New Roman" w:hAnsi="Times New Roman"/>
          <w:sz w:val="16"/>
          <w:szCs w:val="16"/>
          <w:color w:val="auto"/>
        </w:rPr>
        <w:t>”) (at any time during such fiscal quarter or thereafter until the date that is ten Business Days after the date on which the financial statements for such quarter were required to have been delivered in accordance with Section 5.01(b)), to issue Equity Interests for cash or otherwise receive cash contributions to its equity for such Equity Interests (the “</w:t>
      </w:r>
      <w:r>
        <w:rPr>
          <w:rFonts w:ascii="Times New Roman" w:cs="Times New Roman" w:eastAsia="Times New Roman" w:hAnsi="Times New Roman"/>
          <w:sz w:val="16"/>
          <w:szCs w:val="16"/>
          <w:u w:val="single" w:color="auto"/>
          <w:color w:val="auto"/>
        </w:rPr>
        <w:t>Cure Amount</w:t>
      </w:r>
      <w:r>
        <w:rPr>
          <w:rFonts w:ascii="Times New Roman" w:cs="Times New Roman" w:eastAsia="Times New Roman" w:hAnsi="Times New Roman"/>
          <w:sz w:val="16"/>
          <w:szCs w:val="16"/>
          <w:color w:val="auto"/>
        </w:rPr>
        <w:t>”), the proceeds of which shall be required to prepay outstanding Term Loan Borrowings in accordance with Section 2.11(d), and thereupon the Borrower’s compliance with Section 6.12(b) shall be recalculated giving effect to the following pro forma adjustments: (i) Revenue shall be increased, solely for the purposes of determining compliance with Section 6.12(b), including determining compliance with Section 6.12(b) as of the end of such fiscal quarter and applicable subsequent periods that include such fiscal quarter by an amount equal to the Cure Amount and (ii) if, after giving effect to the foregoing recalculations, the requirements of Section 6.12(b) shall be satisfied, then the requirements of Section 6.12(b) shall be deemed satisfied as of the end of the relevant fiscal quarter with the same effect as though there had been no failure to comply therewith at such date, and the applicable breach or default of Section 6.12(b) that had occurred shall be deemed cured for the purposes of this Agreement. Notwithstanding anything herein to the contrary, (v) during the term of this Agreement, the Cure Right shall not be exercised more than two times, (w) the Cure Right shall not be exercised in consecutive fiscal quarters, (x) in each four fiscal quarter period there shall be a period of at least two fiscal quarter in which the Cure Right is not exercised, (y) the Cure Amount shall be no greater than the amount required for purposes of complying with 6.12(b) for the applicable fiscal quarter and (z) no Event of Default may arise under Section 6.12(b) until the earlier of</w:t>
      </w:r>
    </w:p>
    <w:p>
      <w:pPr>
        <w:spacing w:after="0" w:line="185" w:lineRule="exact"/>
        <w:rPr>
          <w:sz w:val="20"/>
          <w:szCs w:val="20"/>
          <w:color w:val="auto"/>
        </w:rPr>
      </w:pPr>
    </w:p>
    <w:p>
      <w:pPr>
        <w:jc w:val="both"/>
        <w:ind w:firstLine="8"/>
        <w:spacing w:after="0" w:line="219" w:lineRule="auto"/>
        <w:tabs>
          <w:tab w:leader="none" w:pos="287" w:val="left"/>
        </w:tabs>
        <w:numPr>
          <w:ilvl w:val="0"/>
          <w:numId w:val="8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after the day on which the relevant financial statements are required to be delivered (unless the Cure Right has been exercised two times in the applicable four consecutive fiscal quarter period), and then only to the extent the Cure Amount has not been received on or prior to such date and (B) the date (if any) on which the Borrower delivers notice to the Administrative Agent that the Cure Right with respect to such breach will not be exercised.</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700"/>
          </w:cols>
          <w:pgMar w:left="580" w:top="266" w:right="619" w:bottom="1440" w:gutter="0" w:footer="0" w:header="0"/>
        </w:sectPr>
      </w:pPr>
    </w:p>
    <w:bookmarkStart w:id="797" w:name="page798"/>
    <w:bookmarkEnd w:id="79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VIII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Agents</w:t>
      </w:r>
    </w:p>
    <w:p>
      <w:pPr>
        <w:spacing w:after="0" w:line="213" w:lineRule="exact"/>
        <w:rPr>
          <w:sz w:val="20"/>
          <w:szCs w:val="20"/>
          <w:color w:val="auto"/>
        </w:rPr>
      </w:pPr>
    </w:p>
    <w:p>
      <w:pPr>
        <w:ind w:firstLine="964"/>
        <w:spacing w:after="0" w:line="246"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The Lenders hereby authorize the Administrative Agent to enter into any intercreditor agreement or arrangement permitted under this Agreement and any such intercreditor agreement or arrangement is binding upon the Lenders.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91" w:lineRule="exact"/>
        <w:rPr>
          <w:sz w:val="20"/>
          <w:szCs w:val="20"/>
          <w:color w:val="auto"/>
        </w:rPr>
      </w:pPr>
    </w:p>
    <w:p>
      <w:pPr>
        <w:ind w:firstLine="964"/>
        <w:spacing w:after="0" w:line="247"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The Administrative Agent</w:t>
      </w:r>
      <w:r>
        <w:rPr>
          <w:rFonts w:ascii="Times New Roman" w:cs="Times New Roman" w:eastAsia="Times New Roman" w:hAnsi="Times New Roman"/>
          <w:sz w:val="18"/>
          <w:szCs w:val="18"/>
          <w:color w:val="auto"/>
        </w:rPr>
        <w:t>. The Administrative Agent may execute any of its duties under this Agreement and the other Loan Documents and exercise its rights and powers hereunder or under any other Loan Document by or through agents, sub-agents or attorneys-in-fact and shall be entitled to advice of counsel concerning all matters pertaining to such duties. The Administrative Agent shall not be responsible for the negligence or misconduct of any agents, sub-agents or attorneys in-fact selected by it with reasonable care. The Administrative Agent and any such sub-agent may perform any and all of its duties and exercise its rights and powers by or through their respective Related Parties. The exculpatory provisions of this Article VIII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86" w:lineRule="exact"/>
        <w:rPr>
          <w:sz w:val="20"/>
          <w:szCs w:val="20"/>
          <w:color w:val="auto"/>
        </w:rPr>
      </w:pPr>
    </w:p>
    <w:p>
      <w:pPr>
        <w:ind w:right="20" w:firstLine="964"/>
        <w:spacing w:after="0" w:line="278" w:lineRule="auto"/>
        <w:rPr>
          <w:sz w:val="20"/>
          <w:szCs w:val="20"/>
          <w:color w:val="auto"/>
        </w:rPr>
      </w:pPr>
      <w:r>
        <w:rPr>
          <w:rFonts w:ascii="Times New Roman" w:cs="Times New Roman" w:eastAsia="Times New Roman" w:hAnsi="Times New Roman"/>
          <w:sz w:val="16"/>
          <w:szCs w:val="16"/>
          <w:color w:val="auto"/>
        </w:rPr>
        <w:t xml:space="preserve">SECTION 8.03. </w:t>
      </w:r>
      <w:r>
        <w:rPr>
          <w:rFonts w:ascii="Times New Roman" w:cs="Times New Roman" w:eastAsia="Times New Roman" w:hAnsi="Times New Roman"/>
          <w:sz w:val="16"/>
          <w:szCs w:val="16"/>
          <w:u w:val="single" w:color="auto"/>
          <w:color w:val="auto"/>
        </w:rPr>
        <w:t>Exculpatory Provisions</w:t>
      </w:r>
      <w:r>
        <w:rPr>
          <w:rFonts w:ascii="Times New Roman" w:cs="Times New Roman" w:eastAsia="Times New Roman" w:hAnsi="Times New Roman"/>
          <w:sz w:val="16"/>
          <w:szCs w:val="16"/>
          <w:color w:val="auto"/>
        </w:rPr>
        <w:t>. Neither any Agent nor any of their respective officers, directors, employees, agents, advisors,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 The Administrative Agent does not warrant, nor accept responsibility, nor shall the Administrative Agent have any liability with respect to the administration, submission or any other matter related to the rates in the definition of “SOFR”, or “Term SOFR” or with respect to any comparable or successor rate thereto including, without limitation, whether the composition or characteristics of any such alternative, successor or replacement reference rate, as it may or may not be adjusted pursuant to Section 2.14, will be similar to, or produce the same value or economic equivalence of, Term SOFR.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700"/>
          </w:cols>
          <w:pgMar w:left="580" w:top="266" w:right="619" w:bottom="1440" w:gutter="0" w:footer="0" w:header="0"/>
        </w:sectPr>
      </w:pPr>
    </w:p>
    <w:bookmarkStart w:id="798" w:name="page799"/>
    <w:bookmarkEnd w:id="798"/>
    <w:p>
      <w:pPr>
        <w:ind w:right="60" w:firstLine="964"/>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8.04.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and shall be fully protected in relying, upon any instrument, writing, resolution, notice, consent, certificate, affidavit, letter, telecopy or email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the Lenders and all future holders of the Loans.</w:t>
      </w:r>
    </w:p>
    <w:p>
      <w:pPr>
        <w:spacing w:after="0" w:line="195" w:lineRule="exact"/>
        <w:rPr>
          <w:sz w:val="20"/>
          <w:szCs w:val="20"/>
          <w:color w:val="auto"/>
        </w:rPr>
      </w:pPr>
    </w:p>
    <w:p>
      <w:pPr>
        <w:ind w:right="20" w:firstLine="964"/>
        <w:spacing w:after="0" w:line="283" w:lineRule="auto"/>
        <w:rPr>
          <w:sz w:val="20"/>
          <w:szCs w:val="20"/>
          <w:color w:val="auto"/>
        </w:rPr>
      </w:pPr>
      <w:r>
        <w:rPr>
          <w:rFonts w:ascii="Times New Roman" w:cs="Times New Roman" w:eastAsia="Times New Roman" w:hAnsi="Times New Roman"/>
          <w:sz w:val="16"/>
          <w:szCs w:val="16"/>
          <w:color w:val="auto"/>
        </w:rPr>
        <w:t xml:space="preserve">SECTION 8.05. </w:t>
      </w:r>
      <w:r>
        <w:rPr>
          <w:rFonts w:ascii="Times New Roman" w:cs="Times New Roman" w:eastAsia="Times New Roman" w:hAnsi="Times New Roman"/>
          <w:sz w:val="16"/>
          <w:szCs w:val="16"/>
          <w:u w:val="single" w:color="auto"/>
          <w:color w:val="auto"/>
        </w:rPr>
        <w:t>Notice of Default</w:t>
      </w:r>
      <w:r>
        <w:rPr>
          <w:rFonts w:ascii="Times New Roman" w:cs="Times New Roman" w:eastAsia="Times New Roman" w:hAnsi="Times New Roman"/>
          <w:sz w:val="16"/>
          <w:szCs w:val="16"/>
          <w:color w:val="auto"/>
        </w:rPr>
        <w:t>. The Administrative Agent shall not be deemed to have knowledge or notice of the occurrence of any Default or Event of Default unless the Administrative Agent has received notice from a Lender or the Borrower referring to this Agreement, describing such Default or Event of Default and stating that such notice is a “</w:t>
      </w:r>
      <w:r>
        <w:rPr>
          <w:rFonts w:ascii="Times New Roman" w:cs="Times New Roman" w:eastAsia="Times New Roman" w:hAnsi="Times New Roman"/>
          <w:sz w:val="16"/>
          <w:szCs w:val="16"/>
          <w:u w:val="single" w:color="auto"/>
          <w:color w:val="auto"/>
        </w:rPr>
        <w:t>notice of default</w:t>
      </w:r>
      <w:r>
        <w:rPr>
          <w:rFonts w:ascii="Times New Roman" w:cs="Times New Roman" w:eastAsia="Times New Roman" w:hAnsi="Times New Roman"/>
          <w:sz w:val="16"/>
          <w:szCs w:val="16"/>
          <w:color w:val="auto"/>
        </w:rPr>
        <w:t xml:space="preserve">”.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62" w:lineRule="exact"/>
        <w:rPr>
          <w:sz w:val="20"/>
          <w:szCs w:val="20"/>
          <w:color w:val="auto"/>
        </w:rPr>
      </w:pPr>
    </w:p>
    <w:p>
      <w:pPr>
        <w:ind w:firstLine="964"/>
        <w:spacing w:after="0" w:line="278" w:lineRule="auto"/>
        <w:rPr>
          <w:sz w:val="20"/>
          <w:szCs w:val="20"/>
          <w:color w:val="auto"/>
        </w:rPr>
      </w:pPr>
      <w:r>
        <w:rPr>
          <w:rFonts w:ascii="Times New Roman" w:cs="Times New Roman" w:eastAsia="Times New Roman" w:hAnsi="Times New Roman"/>
          <w:sz w:val="16"/>
          <w:szCs w:val="16"/>
          <w:color w:val="auto"/>
        </w:rPr>
        <w:t xml:space="preserve">SECTION 8.06. </w:t>
      </w:r>
      <w:r>
        <w:rPr>
          <w:rFonts w:ascii="Times New Roman" w:cs="Times New Roman" w:eastAsia="Times New Roman" w:hAnsi="Times New Roman"/>
          <w:sz w:val="16"/>
          <w:szCs w:val="16"/>
          <w:u w:val="single" w:color="auto"/>
          <w:color w:val="auto"/>
        </w:rPr>
        <w:t>Non-Reliance on Agents and Other Lenders</w:t>
      </w:r>
      <w:r>
        <w:rPr>
          <w:rFonts w:ascii="Times New Roman" w:cs="Times New Roman" w:eastAsia="Times New Roman" w:hAnsi="Times New Roman"/>
          <w:sz w:val="16"/>
          <w:szCs w:val="16"/>
          <w:color w:val="auto"/>
        </w:rPr>
        <w:t>. Each Lender expressly acknowledges that neither the Agents nor any of their respective officers, directors, employees, agents, advisors,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respective officers, directors, employees, agents, advisors, attorneys-in-fact or affiliates.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700"/>
          </w:cols>
          <w:pgMar w:left="580" w:top="265" w:right="619" w:bottom="1440" w:gutter="0" w:footer="0" w:header="0"/>
        </w:sectPr>
      </w:pPr>
    </w:p>
    <w:bookmarkStart w:id="799" w:name="page800"/>
    <w:bookmarkEnd w:id="799"/>
    <w:p>
      <w:pPr>
        <w:ind w:firstLine="964"/>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8.07.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Lenders agree to indemnify each Agent and its officers, directors, employees, affiliates, agents, advisors and controlling persons (each, an “</w:t>
      </w:r>
      <w:r>
        <w:rPr>
          <w:rFonts w:ascii="Times New Roman" w:cs="Times New Roman" w:eastAsia="Times New Roman" w:hAnsi="Times New Roman"/>
          <w:sz w:val="18"/>
          <w:szCs w:val="18"/>
          <w:u w:val="single" w:color="auto"/>
          <w:color w:val="auto"/>
        </w:rPr>
        <w:t>Agent Indemnitee</w:t>
      </w:r>
      <w:r>
        <w:rPr>
          <w:rFonts w:ascii="Times New Roman" w:cs="Times New Roman" w:eastAsia="Times New Roman" w:hAnsi="Times New Roman"/>
          <w:sz w:val="18"/>
          <w:szCs w:val="18"/>
          <w:color w:val="auto"/>
        </w:rPr>
        <w:t xml:space="preserve">”) (to the extent not reimbursed by the Borrower and without limiting the obligation of the Borrower to do so), ratably according to their respective Aggregate Exposure Percentages in effect on the date on which indemnification is sought under this Section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Section shall survive the termination of this Agreement and the payment of the Loans and all other amounts payable hereunder.</w:t>
      </w:r>
    </w:p>
    <w:p>
      <w:pPr>
        <w:spacing w:after="0" w:line="194" w:lineRule="exact"/>
        <w:rPr>
          <w:sz w:val="20"/>
          <w:szCs w:val="20"/>
          <w:color w:val="auto"/>
        </w:rPr>
      </w:pPr>
    </w:p>
    <w:p>
      <w:pPr>
        <w:ind w:right="20"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Agent in Its Individual Capacity</w:t>
      </w:r>
      <w:r>
        <w:rPr>
          <w:rFonts w:ascii="Times New Roman" w:cs="Times New Roman" w:eastAsia="Times New Roman" w:hAnsi="Times New Roman"/>
          <w:sz w:val="18"/>
          <w:szCs w:val="18"/>
          <w:color w:val="auto"/>
        </w:rPr>
        <w:t>. Each Agent and its affiliates may make loans to, accept deposits from and generally engage in any kind of business with any Loan Party as though such Agent were not an Agent. With respect to its Loans made or renewed by it, each Agent shall have the same rights and powers under this Agreement and the other Loan Documents as any Lender and may exercise the same as though it were not an Agent, and the terms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shall include each Agent in its individual capacity.</w:t>
      </w:r>
    </w:p>
    <w:p>
      <w:pPr>
        <w:spacing w:after="0" w:line="184" w:lineRule="exact"/>
        <w:rPr>
          <w:sz w:val="20"/>
          <w:szCs w:val="20"/>
          <w:color w:val="auto"/>
        </w:rPr>
      </w:pPr>
    </w:p>
    <w:p>
      <w:pPr>
        <w:ind w:firstLine="964"/>
        <w:spacing w:after="0" w:line="245"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 xml:space="preserve">. The Administrative Agent may resign as Administrative Agent upon 10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Sections 7.01(a), 7.01(b), 7.01(h), 7.01(i) or 7.01(j) with respect to the Borrower shall have occurred and be continuing) be subject to approval by the Borrower (which approval shall not be unreasonably withheld, conditioned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10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successor agent receiving payments from the Loan Parties shall be a “U.S. person” and a “financial institution” within the meaning of Treasury Regulations Section 1.1441-1. After any retiring Administrative Agent’s resignation as Administrative Agent, the provisions of this Section 8 and of Section 9.03 shall continue to inure to its benefit.</w:t>
      </w:r>
    </w:p>
    <w:p>
      <w:pPr>
        <w:spacing w:after="0" w:line="298"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8.10.</w:t>
      </w:r>
      <w:r>
        <w:rPr>
          <w:sz w:val="20"/>
          <w:szCs w:val="20"/>
          <w:color w:val="auto"/>
        </w:rPr>
        <w:tab/>
      </w:r>
      <w:r>
        <w:rPr>
          <w:rFonts w:ascii="Times New Roman" w:cs="Times New Roman" w:eastAsia="Times New Roman" w:hAnsi="Times New Roman"/>
          <w:sz w:val="16"/>
          <w:szCs w:val="16"/>
          <w:u w:val="single" w:color="auto"/>
          <w:color w:val="auto"/>
        </w:rPr>
        <w:t>Erroneous Paym</w:t>
      </w:r>
      <w:r>
        <w:rPr>
          <w:rFonts w:ascii="Times New Roman" w:cs="Times New Roman" w:eastAsia="Times New Roman" w:hAnsi="Times New Roman"/>
          <w:sz w:val="16"/>
          <w:szCs w:val="16"/>
          <w:color w:val="auto"/>
        </w:rPr>
        <w:t>ents.</w:t>
      </w:r>
    </w:p>
    <w:p>
      <w:pPr>
        <w:spacing w:after="0" w:line="108" w:lineRule="exact"/>
        <w:rPr>
          <w:sz w:val="20"/>
          <w:szCs w:val="20"/>
          <w:color w:val="auto"/>
        </w:rPr>
      </w:pPr>
    </w:p>
    <w:p>
      <w:pPr>
        <w:ind w:right="40" w:firstLine="972"/>
        <w:spacing w:after="0" w:line="279" w:lineRule="auto"/>
        <w:tabs>
          <w:tab w:leader="none" w:pos="1333" w:val="left"/>
        </w:tabs>
        <w:numPr>
          <w:ilvl w:val="0"/>
          <w:numId w:val="8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Administrative Agent (x) notifies a Lender or any Person who has received funds on behalf of a Lender (any such Lender or other recipient (and each of their respective successors and assigns), a “</w:t>
      </w:r>
      <w:r>
        <w:rPr>
          <w:rFonts w:ascii="Times New Roman" w:cs="Times New Roman" w:eastAsia="Times New Roman" w:hAnsi="Times New Roman"/>
          <w:sz w:val="16"/>
          <w:szCs w:val="16"/>
          <w:u w:val="single" w:color="auto"/>
          <w:color w:val="auto"/>
        </w:rPr>
        <w:t>Payment Recipient</w:t>
      </w:r>
      <w:r>
        <w:rPr>
          <w:rFonts w:ascii="Times New Roman" w:cs="Times New Roman" w:eastAsia="Times New Roman" w:hAnsi="Times New Roman"/>
          <w:sz w:val="16"/>
          <w:szCs w:val="16"/>
          <w:color w:val="auto"/>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6"/>
          <w:szCs w:val="16"/>
          <w:u w:val="single" w:color="auto"/>
          <w:color w:val="auto"/>
        </w:rPr>
        <w:t>Erroneous Payment</w:t>
      </w:r>
      <w:r>
        <w:rPr>
          <w:rFonts w:ascii="Times New Roman" w:cs="Times New Roman" w:eastAsia="Times New Roman" w:hAnsi="Times New Roman"/>
          <w:sz w:val="16"/>
          <w:szCs w:val="16"/>
          <w:color w:val="auto"/>
        </w:rPr>
        <w:t>”) and (y) demands in writing the return of such Erroneous Payment (or a portion thereof), such Erroneous Payment shall at all times remain the property of the Administrative Agent pending its return or repayment as contemplated below in this Section 8.11 and held in trust for the benefit of the Administrative Agent, and such Lender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A notice of the Administrative Agent to any Payment Recipient under this clause (a) shall be conclusive, absent manifest error.</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720"/>
          </w:cols>
          <w:pgMar w:left="580" w:top="265" w:right="599" w:bottom="1440" w:gutter="0" w:footer="0" w:header="0"/>
        </w:sectPr>
      </w:pPr>
    </w:p>
    <w:bookmarkStart w:id="800" w:name="page801"/>
    <w:bookmarkEnd w:id="800"/>
    <w:p>
      <w:pPr>
        <w:ind w:left="-140" w:right="40" w:firstLine="972"/>
        <w:spacing w:after="0" w:line="283" w:lineRule="auto"/>
        <w:tabs>
          <w:tab w:leader="none" w:pos="1200" w:val="left"/>
        </w:tabs>
        <w:numPr>
          <w:ilvl w:val="1"/>
          <w:numId w:val="8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78040" cy="36830"/>
                    </a:xfrm>
                    <a:prstGeom prst="rect">
                      <a:avLst/>
                    </a:prstGeom>
                    <a:noFill/>
                  </pic:spPr>
                </pic:pic>
              </a:graphicData>
            </a:graphic>
          </wp:anchor>
        </w:drawing>
        <w:t>Without limiting immediately preceding clause (a),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w:t>
      </w:r>
    </w:p>
    <w:p>
      <w:pPr>
        <w:spacing w:after="0" w:line="56" w:lineRule="exact"/>
        <w:rPr>
          <w:rFonts w:ascii="Times New Roman" w:cs="Times New Roman" w:eastAsia="Times New Roman" w:hAnsi="Times New Roman"/>
          <w:sz w:val="16"/>
          <w:szCs w:val="16"/>
          <w:color w:val="auto"/>
        </w:rPr>
      </w:pPr>
    </w:p>
    <w:p>
      <w:pPr>
        <w:ind w:left="300" w:right="40" w:firstLine="407"/>
        <w:spacing w:after="0" w:line="255" w:lineRule="auto"/>
        <w:tabs>
          <w:tab w:leader="none" w:pos="1051" w:val="left"/>
        </w:tabs>
        <w:numPr>
          <w:ilvl w:val="0"/>
          <w:numId w:val="8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spacing w:after="0" w:line="75" w:lineRule="exact"/>
        <w:rPr>
          <w:rFonts w:ascii="Times New Roman" w:cs="Times New Roman" w:eastAsia="Times New Roman" w:hAnsi="Times New Roman"/>
          <w:sz w:val="18"/>
          <w:szCs w:val="18"/>
          <w:color w:val="auto"/>
        </w:rPr>
      </w:pPr>
    </w:p>
    <w:p>
      <w:pPr>
        <w:ind w:left="300" w:firstLine="407"/>
        <w:spacing w:after="0" w:line="279" w:lineRule="auto"/>
        <w:tabs>
          <w:tab w:leader="none" w:pos="1100" w:val="left"/>
        </w:tabs>
        <w:numPr>
          <w:ilvl w:val="0"/>
          <w:numId w:val="8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Lender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w:t>
      </w:r>
    </w:p>
    <w:p>
      <w:pPr>
        <w:spacing w:after="0" w:line="2" w:lineRule="exact"/>
        <w:rPr>
          <w:rFonts w:ascii="Times New Roman" w:cs="Times New Roman" w:eastAsia="Times New Roman" w:hAnsi="Times New Roman"/>
          <w:sz w:val="16"/>
          <w:szCs w:val="16"/>
          <w:color w:val="auto"/>
        </w:rPr>
      </w:pPr>
    </w:p>
    <w:p>
      <w:pPr>
        <w:ind w:left="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Section 8.11(b).</w:t>
      </w:r>
    </w:p>
    <w:p>
      <w:pPr>
        <w:spacing w:after="0" w:line="90" w:lineRule="exact"/>
        <w:rPr>
          <w:rFonts w:ascii="Times New Roman" w:cs="Times New Roman" w:eastAsia="Times New Roman" w:hAnsi="Times New Roman"/>
          <w:sz w:val="16"/>
          <w:szCs w:val="16"/>
          <w:color w:val="auto"/>
        </w:rPr>
      </w:pPr>
    </w:p>
    <w:p>
      <w:pPr>
        <w:ind w:left="300" w:right="60" w:firstLine="407"/>
        <w:spacing w:after="0" w:line="331" w:lineRule="auto"/>
        <w:tabs>
          <w:tab w:leader="none" w:pos="1149" w:val="left"/>
        </w:tabs>
        <w:numPr>
          <w:ilvl w:val="0"/>
          <w:numId w:val="8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failure to deliver a notice to the Administrative Agent pursuant to this Section 8.11(b) shall not have any effect on a Payment Recipient’s obligations pursuant to Section 8.11(a) or on whether or not an Erroneous Payment has been made.</w:t>
      </w:r>
    </w:p>
    <w:p>
      <w:pPr>
        <w:spacing w:after="0" w:line="122" w:lineRule="exact"/>
        <w:rPr>
          <w:rFonts w:ascii="Times New Roman" w:cs="Times New Roman" w:eastAsia="Times New Roman" w:hAnsi="Times New Roman"/>
          <w:sz w:val="16"/>
          <w:szCs w:val="16"/>
          <w:color w:val="auto"/>
        </w:rPr>
      </w:pPr>
    </w:p>
    <w:p>
      <w:pPr>
        <w:ind w:left="-140" w:right="140" w:firstLine="972"/>
        <w:spacing w:after="0" w:line="251" w:lineRule="auto"/>
        <w:tabs>
          <w:tab w:leader="none" w:pos="1193" w:val="left"/>
        </w:tabs>
        <w:numPr>
          <w:ilvl w:val="1"/>
          <w:numId w:val="8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authorizes the Administrative Agent to set off, net and apply any and all amounts at any time owing to such Lender under any Loan Document, or otherwise payable or distributable by the Administrative Agent to such Lender under any Loan Document with respect to any payment of principal, interest, fees or other amounts, against any amount that the Administrative Agent has demanded to be returned under immediately preceding clause (a).</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460"/>
          </w:cols>
          <w:pgMar w:left="720" w:top="265" w:right="719" w:bottom="1440" w:gutter="0" w:footer="0" w:header="0"/>
        </w:sectPr>
      </w:pPr>
    </w:p>
    <w:bookmarkStart w:id="801" w:name="page802"/>
    <w:bookmarkEnd w:id="801"/>
    <w:p>
      <w:pPr>
        <w:ind w:right="80" w:firstLine="972"/>
        <w:spacing w:after="0" w:line="245" w:lineRule="auto"/>
        <w:tabs>
          <w:tab w:leader="none" w:pos="1340" w:val="left"/>
        </w:tabs>
        <w:numPr>
          <w:ilvl w:val="0"/>
          <w:numId w:val="8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under the Loan Documents with respect to such amount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and (y) an Erroneous Payment shall not pay, prepay, repay, discharge or otherwise satisfy any Obligations owed by the Borrower; provided that this Section 8.11 shall not be interpreted to increase (or accelerate the due date for), or have the effect of increasing (or accelerating the due date for), the Obligations of the Borrower relative to the amount (or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 for the purpose of a payment on the Obligations.</w:t>
      </w:r>
    </w:p>
    <w:p>
      <w:pPr>
        <w:spacing w:after="0" w:line="196" w:lineRule="exact"/>
        <w:rPr>
          <w:rFonts w:ascii="Times New Roman" w:cs="Times New Roman" w:eastAsia="Times New Roman" w:hAnsi="Times New Roman"/>
          <w:sz w:val="18"/>
          <w:szCs w:val="18"/>
          <w:color w:val="auto"/>
        </w:rPr>
      </w:pPr>
    </w:p>
    <w:p>
      <w:pPr>
        <w:ind w:right="80" w:firstLine="972"/>
        <w:spacing w:after="0" w:line="251" w:lineRule="auto"/>
        <w:tabs>
          <w:tab w:leader="none" w:pos="1330" w:val="left"/>
        </w:tabs>
        <w:numPr>
          <w:ilvl w:val="0"/>
          <w:numId w:val="8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8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Each party’s obligations, agreements and waivers under this Section 8.11 shall survive the resignation or replacement of the Administrative Agent, any transfer of rights or obligations by, or the replacement of, a Lender, the termination of the applicable Commitments or the repayment, satisfaction or discharge of all Obligations (or any portion thereof) under any Loan Document.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IX</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13"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firstLine="972"/>
        <w:spacing w:after="0" w:line="255" w:lineRule="auto"/>
        <w:tabs>
          <w:tab w:leader="none" w:pos="1333" w:val="left"/>
        </w:tabs>
        <w:numPr>
          <w:ilvl w:val="0"/>
          <w:numId w:val="8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180" w:lineRule="exact"/>
        <w:rPr>
          <w:sz w:val="20"/>
          <w:szCs w:val="20"/>
          <w:color w:val="auto"/>
        </w:rPr>
      </w:pPr>
    </w:p>
    <w:p>
      <w:pPr>
        <w:ind w:left="980"/>
        <w:spacing w:after="0"/>
        <w:tabs>
          <w:tab w:leader="none" w:pos="130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6"/>
          <w:szCs w:val="16"/>
          <w:color w:val="auto"/>
        </w:rPr>
        <w:t>if to the Borrower, to Tempus Labs, Inc.</w:t>
      </w:r>
    </w:p>
    <w:p>
      <w:pPr>
        <w:spacing w:after="0" w:line="2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600 West Chicago Avenue, Suite 510</w:t>
      </w:r>
    </w:p>
    <w:p>
      <w:pPr>
        <w:spacing w:after="0" w:line="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Email: jim.rogers@tempus.com</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720"/>
          </w:cols>
          <w:pgMar w:left="580" w:top="266" w:right="599" w:bottom="1440" w:gutter="0" w:footer="0" w:header="0"/>
        </w:sectPr>
      </w:pPr>
    </w:p>
    <w:bookmarkStart w:id="802" w:name="page803"/>
    <w:bookmarkEnd w:id="802"/>
    <w:p>
      <w:pPr>
        <w:ind w:left="193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with a copy to:</w:t>
      </w:r>
    </w:p>
    <w:p>
      <w:pPr>
        <w:spacing w:after="0" w:line="213" w:lineRule="exact"/>
        <w:rPr>
          <w:sz w:val="20"/>
          <w:szCs w:val="20"/>
          <w:color w:val="auto"/>
        </w:rPr>
      </w:pPr>
    </w:p>
    <w:p>
      <w:pPr>
        <w:ind w:left="1932"/>
        <w:spacing w:after="0"/>
        <w:rPr>
          <w:sz w:val="20"/>
          <w:szCs w:val="20"/>
          <w:color w:val="auto"/>
        </w:rPr>
      </w:pPr>
      <w:r>
        <w:rPr>
          <w:rFonts w:ascii="Times New Roman" w:cs="Times New Roman" w:eastAsia="Times New Roman" w:hAnsi="Times New Roman"/>
          <w:sz w:val="18"/>
          <w:szCs w:val="18"/>
          <w:color w:val="auto"/>
        </w:rPr>
        <w:t>Cooley LLP</w:t>
      </w:r>
    </w:p>
    <w:p>
      <w:pPr>
        <w:spacing w:after="0" w:line="21" w:lineRule="exact"/>
        <w:rPr>
          <w:sz w:val="20"/>
          <w:szCs w:val="20"/>
          <w:color w:val="auto"/>
        </w:rPr>
      </w:pPr>
    </w:p>
    <w:p>
      <w:pPr>
        <w:ind w:left="1932"/>
        <w:spacing w:after="0"/>
        <w:rPr>
          <w:sz w:val="20"/>
          <w:szCs w:val="20"/>
          <w:color w:val="auto"/>
        </w:rPr>
      </w:pPr>
      <w:r>
        <w:rPr>
          <w:rFonts w:ascii="Times New Roman" w:cs="Times New Roman" w:eastAsia="Times New Roman" w:hAnsi="Times New Roman"/>
          <w:sz w:val="18"/>
          <w:szCs w:val="18"/>
          <w:color w:val="auto"/>
        </w:rPr>
        <w:t>110 N. Wacker Drive</w:t>
      </w:r>
    </w:p>
    <w:p>
      <w:pPr>
        <w:spacing w:after="0" w:line="3" w:lineRule="exact"/>
        <w:rPr>
          <w:sz w:val="20"/>
          <w:szCs w:val="20"/>
          <w:color w:val="auto"/>
        </w:rPr>
      </w:pPr>
    </w:p>
    <w:p>
      <w:pPr>
        <w:ind w:left="1932"/>
        <w:spacing w:after="0"/>
        <w:rPr>
          <w:sz w:val="20"/>
          <w:szCs w:val="20"/>
          <w:color w:val="auto"/>
        </w:rPr>
      </w:pPr>
      <w:r>
        <w:rPr>
          <w:rFonts w:ascii="Times New Roman" w:cs="Times New Roman" w:eastAsia="Times New Roman" w:hAnsi="Times New Roman"/>
          <w:sz w:val="18"/>
          <w:szCs w:val="18"/>
          <w:color w:val="auto"/>
        </w:rPr>
        <w:t>Chicago, IL 60606-1511</w:t>
      </w:r>
    </w:p>
    <w:p>
      <w:pPr>
        <w:spacing w:after="0" w:line="3" w:lineRule="exact"/>
        <w:rPr>
          <w:sz w:val="20"/>
          <w:szCs w:val="20"/>
          <w:color w:val="auto"/>
        </w:rPr>
      </w:pPr>
    </w:p>
    <w:p>
      <w:pPr>
        <w:ind w:left="1932"/>
        <w:spacing w:after="0"/>
        <w:rPr>
          <w:sz w:val="20"/>
          <w:szCs w:val="20"/>
          <w:color w:val="auto"/>
        </w:rPr>
      </w:pPr>
      <w:r>
        <w:rPr>
          <w:rFonts w:ascii="Times New Roman" w:cs="Times New Roman" w:eastAsia="Times New Roman" w:hAnsi="Times New Roman"/>
          <w:sz w:val="18"/>
          <w:szCs w:val="18"/>
          <w:color w:val="auto"/>
        </w:rPr>
        <w:t>Attention: Addison Pierce</w:t>
      </w:r>
    </w:p>
    <w:p>
      <w:pPr>
        <w:spacing w:after="0" w:line="3" w:lineRule="exact"/>
        <w:rPr>
          <w:sz w:val="20"/>
          <w:szCs w:val="20"/>
          <w:color w:val="auto"/>
        </w:rPr>
      </w:pPr>
    </w:p>
    <w:p>
      <w:pPr>
        <w:ind w:left="1932"/>
        <w:spacing w:after="0"/>
        <w:rPr>
          <w:sz w:val="20"/>
          <w:szCs w:val="20"/>
          <w:color w:val="auto"/>
        </w:rPr>
      </w:pPr>
      <w:r>
        <w:rPr>
          <w:rFonts w:ascii="Times New Roman" w:cs="Times New Roman" w:eastAsia="Times New Roman" w:hAnsi="Times New Roman"/>
          <w:sz w:val="18"/>
          <w:szCs w:val="18"/>
          <w:color w:val="auto"/>
        </w:rPr>
        <w:t>Email: afpierce@cooley.com</w:t>
      </w:r>
    </w:p>
    <w:p>
      <w:pPr>
        <w:spacing w:after="0" w:line="195" w:lineRule="exact"/>
        <w:rPr>
          <w:sz w:val="20"/>
          <w:szCs w:val="20"/>
          <w:color w:val="auto"/>
        </w:rPr>
      </w:pPr>
    </w:p>
    <w:p>
      <w:pPr>
        <w:ind w:left="972"/>
        <w:spacing w:after="0"/>
        <w:tabs>
          <w:tab w:leader="none" w:pos="1332"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6"/>
          <w:szCs w:val="16"/>
          <w:color w:val="auto"/>
        </w:rPr>
        <w:t>if to the Administrative Agent or the Collateral Agent, to:</w:t>
      </w:r>
    </w:p>
    <w:p>
      <w:pPr>
        <w:spacing w:after="0" w:line="213" w:lineRule="exact"/>
        <w:rPr>
          <w:sz w:val="20"/>
          <w:szCs w:val="20"/>
          <w:color w:val="auto"/>
        </w:rPr>
      </w:pPr>
    </w:p>
    <w:p>
      <w:pPr>
        <w:ind w:left="1932"/>
        <w:spacing w:after="0"/>
        <w:rPr>
          <w:sz w:val="20"/>
          <w:szCs w:val="20"/>
          <w:color w:val="auto"/>
        </w:rPr>
      </w:pPr>
      <w:r>
        <w:rPr>
          <w:rFonts w:ascii="Times New Roman" w:cs="Times New Roman" w:eastAsia="Times New Roman" w:hAnsi="Times New Roman"/>
          <w:sz w:val="18"/>
          <w:szCs w:val="18"/>
          <w:color w:val="auto"/>
        </w:rPr>
        <w:t>Ares Capital Corporation</w:t>
      </w:r>
    </w:p>
    <w:p>
      <w:pPr>
        <w:ind w:left="1932"/>
        <w:spacing w:after="0" w:line="187" w:lineRule="auto"/>
        <w:rPr>
          <w:sz w:val="20"/>
          <w:szCs w:val="20"/>
          <w:color w:val="auto"/>
        </w:rPr>
      </w:pPr>
      <w:r>
        <w:rPr>
          <w:rFonts w:ascii="Times New Roman" w:cs="Times New Roman" w:eastAsia="Times New Roman" w:hAnsi="Times New Roman"/>
          <w:sz w:val="18"/>
          <w:szCs w:val="18"/>
          <w:color w:val="auto"/>
        </w:rPr>
        <w:t>245 Park Avenue,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ind w:left="1932"/>
        <w:spacing w:after="0"/>
        <w:rPr>
          <w:sz w:val="20"/>
          <w:szCs w:val="20"/>
          <w:color w:val="auto"/>
        </w:rPr>
      </w:pPr>
      <w:r>
        <w:rPr>
          <w:rFonts w:ascii="Times New Roman" w:cs="Times New Roman" w:eastAsia="Times New Roman" w:hAnsi="Times New Roman"/>
          <w:sz w:val="18"/>
          <w:szCs w:val="18"/>
          <w:color w:val="auto"/>
        </w:rPr>
        <w:t>New York, New York 10167</w:t>
      </w:r>
    </w:p>
    <w:p>
      <w:pPr>
        <w:spacing w:after="0" w:line="1" w:lineRule="exact"/>
        <w:rPr>
          <w:sz w:val="20"/>
          <w:szCs w:val="20"/>
          <w:color w:val="auto"/>
        </w:rPr>
      </w:pPr>
    </w:p>
    <w:p>
      <w:pPr>
        <w:ind w:left="1932"/>
        <w:spacing w:after="0"/>
        <w:rPr>
          <w:sz w:val="20"/>
          <w:szCs w:val="20"/>
          <w:color w:val="auto"/>
        </w:rPr>
      </w:pPr>
      <w:r>
        <w:rPr>
          <w:rFonts w:ascii="Times New Roman" w:cs="Times New Roman" w:eastAsia="Times New Roman" w:hAnsi="Times New Roman"/>
          <w:sz w:val="18"/>
          <w:szCs w:val="18"/>
          <w:color w:val="auto"/>
        </w:rPr>
        <w:t>Attn: Middle Office DL - Tempus</w:t>
      </w:r>
    </w:p>
    <w:p>
      <w:pPr>
        <w:spacing w:after="0" w:line="3" w:lineRule="exact"/>
        <w:rPr>
          <w:sz w:val="20"/>
          <w:szCs w:val="20"/>
          <w:color w:val="auto"/>
        </w:rPr>
      </w:pPr>
    </w:p>
    <w:p>
      <w:pPr>
        <w:ind w:left="1932"/>
        <w:spacing w:after="0"/>
        <w:rPr>
          <w:sz w:val="20"/>
          <w:szCs w:val="20"/>
          <w:color w:val="auto"/>
        </w:rPr>
      </w:pPr>
      <w:r>
        <w:rPr>
          <w:rFonts w:ascii="Times New Roman" w:cs="Times New Roman" w:eastAsia="Times New Roman" w:hAnsi="Times New Roman"/>
          <w:sz w:val="18"/>
          <w:szCs w:val="18"/>
          <w:color w:val="auto"/>
        </w:rPr>
        <w:t>Email: agency@aresmgmt.com; middleofficedl@aresmgmt.com;</w:t>
      </w:r>
    </w:p>
    <w:p>
      <w:pPr>
        <w:spacing w:after="0" w:line="3" w:lineRule="exact"/>
        <w:rPr>
          <w:sz w:val="20"/>
          <w:szCs w:val="20"/>
          <w:color w:val="auto"/>
        </w:rPr>
      </w:pPr>
    </w:p>
    <w:p>
      <w:pPr>
        <w:ind w:left="1932"/>
        <w:spacing w:after="0"/>
        <w:rPr>
          <w:sz w:val="20"/>
          <w:szCs w:val="20"/>
          <w:color w:val="auto"/>
        </w:rPr>
      </w:pPr>
      <w:r>
        <w:rPr>
          <w:rFonts w:ascii="Times New Roman" w:cs="Times New Roman" w:eastAsia="Times New Roman" w:hAnsi="Times New Roman"/>
          <w:sz w:val="18"/>
          <w:szCs w:val="18"/>
          <w:color w:val="auto"/>
        </w:rPr>
        <w:t>aresagency@alterdomus.com</w:t>
      </w:r>
    </w:p>
    <w:p>
      <w:pPr>
        <w:spacing w:after="0" w:line="195" w:lineRule="exact"/>
        <w:rPr>
          <w:sz w:val="20"/>
          <w:szCs w:val="20"/>
          <w:color w:val="auto"/>
        </w:rPr>
      </w:pPr>
    </w:p>
    <w:p>
      <w:pPr>
        <w:ind w:left="1932"/>
        <w:spacing w:after="0"/>
        <w:rPr>
          <w:sz w:val="20"/>
          <w:szCs w:val="20"/>
          <w:color w:val="auto"/>
        </w:rPr>
      </w:pPr>
      <w:r>
        <w:rPr>
          <w:rFonts w:ascii="Times New Roman" w:cs="Times New Roman" w:eastAsia="Times New Roman" w:hAnsi="Times New Roman"/>
          <w:sz w:val="18"/>
          <w:szCs w:val="18"/>
          <w:color w:val="auto"/>
        </w:rPr>
        <w:t>with a copy to:</w:t>
      </w:r>
    </w:p>
    <w:p>
      <w:pPr>
        <w:spacing w:after="0" w:line="213" w:lineRule="exact"/>
        <w:rPr>
          <w:sz w:val="20"/>
          <w:szCs w:val="20"/>
          <w:color w:val="auto"/>
        </w:rPr>
      </w:pPr>
    </w:p>
    <w:p>
      <w:pPr>
        <w:ind w:left="1932"/>
        <w:spacing w:after="0"/>
        <w:rPr>
          <w:sz w:val="20"/>
          <w:szCs w:val="20"/>
          <w:color w:val="auto"/>
        </w:rPr>
      </w:pPr>
      <w:r>
        <w:rPr>
          <w:rFonts w:ascii="Times New Roman" w:cs="Times New Roman" w:eastAsia="Times New Roman" w:hAnsi="Times New Roman"/>
          <w:sz w:val="18"/>
          <w:szCs w:val="18"/>
          <w:color w:val="auto"/>
        </w:rPr>
        <w:t>Katten Muchin Rosenman LLP</w:t>
      </w:r>
    </w:p>
    <w:p>
      <w:pPr>
        <w:spacing w:after="0" w:line="21" w:lineRule="exact"/>
        <w:rPr>
          <w:sz w:val="20"/>
          <w:szCs w:val="20"/>
          <w:color w:val="auto"/>
        </w:rPr>
      </w:pPr>
    </w:p>
    <w:p>
      <w:pPr>
        <w:ind w:left="1932"/>
        <w:spacing w:after="0"/>
        <w:rPr>
          <w:sz w:val="20"/>
          <w:szCs w:val="20"/>
          <w:color w:val="auto"/>
        </w:rPr>
      </w:pPr>
      <w:r>
        <w:rPr>
          <w:rFonts w:ascii="Times New Roman" w:cs="Times New Roman" w:eastAsia="Times New Roman" w:hAnsi="Times New Roman"/>
          <w:sz w:val="18"/>
          <w:szCs w:val="18"/>
          <w:color w:val="auto"/>
        </w:rPr>
        <w:t>525 W. Monroe St.</w:t>
      </w:r>
    </w:p>
    <w:p>
      <w:pPr>
        <w:spacing w:after="0" w:line="3" w:lineRule="exact"/>
        <w:rPr>
          <w:sz w:val="20"/>
          <w:szCs w:val="20"/>
          <w:color w:val="auto"/>
        </w:rPr>
      </w:pPr>
    </w:p>
    <w:p>
      <w:pPr>
        <w:ind w:left="1932"/>
        <w:spacing w:after="0"/>
        <w:rPr>
          <w:sz w:val="20"/>
          <w:szCs w:val="20"/>
          <w:color w:val="auto"/>
        </w:rPr>
      </w:pPr>
      <w:r>
        <w:rPr>
          <w:rFonts w:ascii="Times New Roman" w:cs="Times New Roman" w:eastAsia="Times New Roman" w:hAnsi="Times New Roman"/>
          <w:sz w:val="18"/>
          <w:szCs w:val="18"/>
          <w:color w:val="auto"/>
        </w:rPr>
        <w:t>Chicago, IL 60661</w:t>
      </w:r>
    </w:p>
    <w:p>
      <w:pPr>
        <w:spacing w:after="0" w:line="3" w:lineRule="exact"/>
        <w:rPr>
          <w:sz w:val="20"/>
          <w:szCs w:val="20"/>
          <w:color w:val="auto"/>
        </w:rPr>
      </w:pPr>
    </w:p>
    <w:p>
      <w:pPr>
        <w:ind w:left="1932"/>
        <w:spacing w:after="0"/>
        <w:rPr>
          <w:sz w:val="20"/>
          <w:szCs w:val="20"/>
          <w:color w:val="auto"/>
        </w:rPr>
      </w:pPr>
      <w:r>
        <w:rPr>
          <w:rFonts w:ascii="Times New Roman" w:cs="Times New Roman" w:eastAsia="Times New Roman" w:hAnsi="Times New Roman"/>
          <w:sz w:val="18"/>
          <w:szCs w:val="18"/>
          <w:color w:val="auto"/>
        </w:rPr>
        <w:t>Attention: Michael A. Jacobson, Esq.</w:t>
      </w:r>
    </w:p>
    <w:p>
      <w:pPr>
        <w:spacing w:after="0" w:line="3" w:lineRule="exact"/>
        <w:rPr>
          <w:sz w:val="20"/>
          <w:szCs w:val="20"/>
          <w:color w:val="auto"/>
        </w:rPr>
      </w:pPr>
    </w:p>
    <w:p>
      <w:pPr>
        <w:ind w:left="1932"/>
        <w:spacing w:after="0"/>
        <w:rPr>
          <w:sz w:val="20"/>
          <w:szCs w:val="20"/>
          <w:color w:val="auto"/>
        </w:rPr>
      </w:pPr>
      <w:r>
        <w:rPr>
          <w:rFonts w:ascii="Times New Roman" w:cs="Times New Roman" w:eastAsia="Times New Roman" w:hAnsi="Times New Roman"/>
          <w:sz w:val="18"/>
          <w:szCs w:val="18"/>
          <w:color w:val="auto"/>
        </w:rPr>
        <w:t>Email: michael.jacobson@katten.com</w:t>
      </w:r>
    </w:p>
    <w:p>
      <w:pPr>
        <w:spacing w:after="0" w:line="195" w:lineRule="exact"/>
        <w:rPr>
          <w:sz w:val="20"/>
          <w:szCs w:val="20"/>
          <w:color w:val="auto"/>
        </w:rPr>
      </w:pPr>
    </w:p>
    <w:p>
      <w:pPr>
        <w:ind w:left="1272" w:hanging="433"/>
        <w:spacing w:after="0"/>
        <w:tabs>
          <w:tab w:leader="none" w:pos="1272" w:val="left"/>
        </w:tabs>
        <w:numPr>
          <w:ilvl w:val="1"/>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it at its address (or telecopy number) set forth in its Administrative Questionnaire.</w:t>
      </w:r>
    </w:p>
    <w:p>
      <w:pPr>
        <w:spacing w:after="0" w:line="213" w:lineRule="exact"/>
        <w:rPr>
          <w:rFonts w:ascii="Times New Roman" w:cs="Times New Roman" w:eastAsia="Times New Roman" w:hAnsi="Times New Roman"/>
          <w:sz w:val="18"/>
          <w:szCs w:val="18"/>
          <w:color w:val="auto"/>
        </w:rPr>
      </w:pPr>
    </w:p>
    <w:p>
      <w:pPr>
        <w:ind w:left="-8" w:firstLine="972"/>
        <w:spacing w:after="0" w:line="276" w:lineRule="auto"/>
        <w:tabs>
          <w:tab w:leader="none" w:pos="1336" w:val="left"/>
        </w:tabs>
        <w:numPr>
          <w:ilvl w:val="2"/>
          <w:numId w:val="8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Notices and other communications to the Lenders hereunder may be delivered or furnished by electronic communications pursuant to procedures approved by the Administrative Agent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shall not apply to notices to any Lender pursuant to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or of a Default if such Lender has notified the Administrative Agent that it is incapable of receiving notices under such Article by electronic communication 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Administrative Agent shall in any event also receive hard copies of the notices described in this proviso and, to the extent requested, any other documents delivered electronically under this Agreement.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w:t>
      </w:r>
    </w:p>
    <w:p>
      <w:pPr>
        <w:spacing w:after="0" w:line="1" w:lineRule="exact"/>
        <w:rPr>
          <w:rFonts w:ascii="Times New Roman" w:cs="Times New Roman" w:eastAsia="Times New Roman" w:hAnsi="Times New Roman"/>
          <w:sz w:val="16"/>
          <w:szCs w:val="16"/>
          <w:color w:val="auto"/>
        </w:rPr>
      </w:pPr>
    </w:p>
    <w:p>
      <w:pPr>
        <w:ind w:left="212" w:hanging="212"/>
        <w:spacing w:after="0"/>
        <w:tabs>
          <w:tab w:leader="none" w:pos="212" w:val="left"/>
        </w:tabs>
        <w:numPr>
          <w:ilvl w:val="0"/>
          <w:numId w:val="8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required notification that such notice or communication is available and identifying the website address therefor.</w:t>
      </w:r>
    </w:p>
    <w:p>
      <w:pPr>
        <w:spacing w:after="0" w:line="195" w:lineRule="exact"/>
        <w:rPr>
          <w:rFonts w:ascii="Times New Roman" w:cs="Times New Roman" w:eastAsia="Times New Roman" w:hAnsi="Times New Roman"/>
          <w:sz w:val="18"/>
          <w:szCs w:val="18"/>
          <w:color w:val="auto"/>
        </w:rPr>
      </w:pPr>
    </w:p>
    <w:p>
      <w:pPr>
        <w:ind w:left="-8" w:right="140" w:firstLine="972"/>
        <w:spacing w:after="0" w:line="248" w:lineRule="auto"/>
        <w:tabs>
          <w:tab w:leader="none" w:pos="1316" w:val="left"/>
        </w:tabs>
        <w:numPr>
          <w:ilvl w:val="2"/>
          <w:numId w:val="8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its address or telecopy number for notices and other communications hereunder by notice to the Administrative Agent (and, in the case of the Administrative Agent, by written notice to the Borrower). All notices and other communications given to any party hereto in accordance with the provisions of this Agreement shall be deemed to have been given as follows: notices sent by hand or overnight courier service, or mailed by certified or registered mail, shall be deemed to have been given when received; notices sent by telecopier (with a send successful notice) shall be deemed to have been given when sent (except that, if not given during normal business hours for the recipient, shall be deemed to have been given at the opening of business on the next business day for the recipient).</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692"/>
          </w:cols>
          <w:pgMar w:left="588" w:top="265" w:right="619" w:bottom="1440" w:gutter="0" w:footer="0" w:header="0"/>
        </w:sectPr>
      </w:pPr>
    </w:p>
    <w:bookmarkStart w:id="803" w:name="page804"/>
    <w:bookmarkEnd w:id="803"/>
    <w:p>
      <w:pPr>
        <w:ind w:left="920"/>
        <w:spacing w:after="0"/>
        <w:tabs>
          <w:tab w:leader="none" w:pos="22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9.02.</w:t>
      </w:r>
      <w:r>
        <w:rPr>
          <w:sz w:val="20"/>
          <w:szCs w:val="20"/>
          <w:color w:val="auto"/>
        </w:rPr>
        <w:tab/>
      </w:r>
      <w:r>
        <w:rPr>
          <w:rFonts w:ascii="Times New Roman" w:cs="Times New Roman" w:eastAsia="Times New Roman" w:hAnsi="Times New Roman"/>
          <w:sz w:val="16"/>
          <w:szCs w:val="16"/>
          <w:u w:val="single" w:color="auto"/>
          <w:color w:val="auto"/>
        </w:rPr>
        <w:t>Waivers; Amendments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60" w:firstLine="972"/>
        <w:spacing w:after="0" w:line="246" w:lineRule="auto"/>
        <w:tabs>
          <w:tab w:leader="none" w:pos="1273" w:val="left"/>
        </w:tabs>
        <w:numPr>
          <w:ilvl w:val="1"/>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Administrative Agent, the Collateral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Section 9.02(b),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any Lender or the Collateral Agent may have had notice or knowledge of such Default at the time.</w:t>
      </w:r>
    </w:p>
    <w:p>
      <w:pPr>
        <w:spacing w:after="0" w:line="191" w:lineRule="exact"/>
        <w:rPr>
          <w:rFonts w:ascii="Times New Roman" w:cs="Times New Roman" w:eastAsia="Times New Roman" w:hAnsi="Times New Roman"/>
          <w:sz w:val="18"/>
          <w:szCs w:val="18"/>
          <w:color w:val="auto"/>
        </w:rPr>
      </w:pPr>
    </w:p>
    <w:p>
      <w:pPr>
        <w:ind w:left="-60" w:right="20" w:firstLine="972"/>
        <w:spacing w:after="0" w:line="249" w:lineRule="auto"/>
        <w:tabs>
          <w:tab w:leader="none" w:pos="1283" w:val="left"/>
        </w:tabs>
        <w:numPr>
          <w:ilvl w:val="1"/>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this Agreement nor any other Loan Document nor any provision hereof or thereof may be waived, amended or modified except, in the case of this Agreement, pursuant to an agreement or agreements in writing entered into by the Borrower and the Required Lenders (with a fully executed copy thereof delivered to the Administrative Agent) or, in the case of any other Loan Document, pursuant to an agreement or agreements in writing entered into by the Administrative Agent and the Loan Party or Loan Parties that are parties thereto (and, if party thereto, the Collateral Agent), in each case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w:t>
      </w:r>
    </w:p>
    <w:p>
      <w:pPr>
        <w:spacing w:after="0" w:line="81" w:lineRule="exact"/>
        <w:rPr>
          <w:rFonts w:ascii="Times New Roman" w:cs="Times New Roman" w:eastAsia="Times New Roman" w:hAnsi="Times New Roman"/>
          <w:sz w:val="18"/>
          <w:szCs w:val="18"/>
          <w:color w:val="auto"/>
        </w:rPr>
      </w:pPr>
    </w:p>
    <w:p>
      <w:pPr>
        <w:ind w:left="380" w:right="140" w:firstLine="407"/>
        <w:spacing w:after="0" w:line="331" w:lineRule="auto"/>
        <w:tabs>
          <w:tab w:leader="none" w:pos="1131" w:val="left"/>
        </w:tabs>
        <w:numPr>
          <w:ilvl w:val="0"/>
          <w:numId w:val="8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the Commitment of any Lender without the written consent of such Lender, (it being understood that a waiver of any Default or mandatory prepayment or mandatory reduction of any Commitments shall not constitute an increase of any Commitment of any Lender);</w:t>
      </w:r>
    </w:p>
    <w:p>
      <w:pPr>
        <w:spacing w:after="0" w:line="17" w:lineRule="exact"/>
        <w:rPr>
          <w:rFonts w:ascii="Times New Roman" w:cs="Times New Roman" w:eastAsia="Times New Roman" w:hAnsi="Times New Roman"/>
          <w:sz w:val="16"/>
          <w:szCs w:val="16"/>
          <w:color w:val="auto"/>
        </w:rPr>
      </w:pPr>
    </w:p>
    <w:p>
      <w:pPr>
        <w:ind w:left="380" w:right="160" w:firstLine="407"/>
        <w:spacing w:after="0" w:line="251" w:lineRule="auto"/>
        <w:tabs>
          <w:tab w:leader="none" w:pos="1180" w:val="left"/>
        </w:tabs>
        <w:numPr>
          <w:ilvl w:val="0"/>
          <w:numId w:val="8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amount of any Loan or reduce the rate of interest thereon, or reduce any fees payable hereunder (including, without limitation, the Make Whole/Prepayment Fee Amount), without the written consent of each Lender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only the consent of the Required Lenders shall be necessary to amend the definition of “Default Rate” or to waive any obligation of the Borrower to pay interest at the Default Rate,</w:t>
      </w:r>
    </w:p>
    <w:p>
      <w:pPr>
        <w:spacing w:after="0" w:line="79" w:lineRule="exact"/>
        <w:rPr>
          <w:rFonts w:ascii="Times New Roman" w:cs="Times New Roman" w:eastAsia="Times New Roman" w:hAnsi="Times New Roman"/>
          <w:sz w:val="18"/>
          <w:szCs w:val="18"/>
          <w:color w:val="auto"/>
        </w:rPr>
      </w:pPr>
    </w:p>
    <w:p>
      <w:pPr>
        <w:ind w:left="380" w:firstLine="407"/>
        <w:spacing w:after="0" w:line="249" w:lineRule="auto"/>
        <w:tabs>
          <w:tab w:leader="none" w:pos="1229" w:val="left"/>
        </w:tabs>
        <w:numPr>
          <w:ilvl w:val="0"/>
          <w:numId w:val="8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the maturity of any Loan (it being understood that a waiver of any Default, Event of Default, or mandatory prepayment shall not constitute an extension of any maturity date), or any date for the payment of any interest or fees payable hereunder, or reduce the amount of, waive or excuse any such payment, or postpone the scheduled date of expiration of any Commitment, without the written consent of each Lender adversely affected thereby, it being understood that the waiver of any condition precedent or the waiver of any Default or mandatory prepayment requirement shall not constitute a postponement or reduction hereunder,</w:t>
      </w:r>
    </w:p>
    <w:p>
      <w:pPr>
        <w:spacing w:after="0" w:line="81" w:lineRule="exact"/>
        <w:rPr>
          <w:rFonts w:ascii="Times New Roman" w:cs="Times New Roman" w:eastAsia="Times New Roman" w:hAnsi="Times New Roman"/>
          <w:sz w:val="18"/>
          <w:szCs w:val="18"/>
          <w:color w:val="auto"/>
        </w:rPr>
      </w:pPr>
    </w:p>
    <w:p>
      <w:pPr>
        <w:ind w:left="380" w:right="20" w:firstLine="407"/>
        <w:spacing w:after="0" w:line="249" w:lineRule="auto"/>
        <w:tabs>
          <w:tab w:leader="none" w:pos="1219" w:val="left"/>
        </w:tabs>
        <w:numPr>
          <w:ilvl w:val="0"/>
          <w:numId w:val="8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have the effect of changing the priority or pro rata treatment of any payments (including voluntary and mandatory prepayments), Liens, proceeds of Collateral or reductions in Commitments (including as a result in whole or in part of allowing the issuance or incurrence, pursuant to this Agreement or otherwise, of new loans or other Indebtedness having any priority over any of the Obligations in respect of payments, Liens, Collateral or proceeds of Collateral, in exchange for any Obligations or otherwise), without the written consent of each Lender directly and adverse affected thereby,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620"/>
          </w:cols>
          <w:pgMar w:left="640" w:top="266" w:right="639" w:bottom="1440" w:gutter="0" w:footer="0" w:header="0"/>
        </w:sectPr>
      </w:pPr>
    </w:p>
    <w:bookmarkStart w:id="804" w:name="page805"/>
    <w:bookmarkEnd w:id="804"/>
    <w:p>
      <w:pPr>
        <w:ind w:left="440" w:firstLine="407"/>
        <w:spacing w:after="0" w:line="255" w:lineRule="auto"/>
        <w:tabs>
          <w:tab w:leader="none" w:pos="1230" w:val="left"/>
        </w:tabs>
        <w:numPr>
          <w:ilvl w:val="0"/>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change any of the provisions of this Section 9.02,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w:t>
      </w:r>
    </w:p>
    <w:p>
      <w:pPr>
        <w:spacing w:after="0" w:line="75" w:lineRule="exact"/>
        <w:rPr>
          <w:rFonts w:ascii="Times New Roman" w:cs="Times New Roman" w:eastAsia="Times New Roman" w:hAnsi="Times New Roman"/>
          <w:sz w:val="18"/>
          <w:szCs w:val="18"/>
          <w:color w:val="auto"/>
        </w:rPr>
      </w:pPr>
    </w:p>
    <w:p>
      <w:pPr>
        <w:ind w:left="440" w:right="160" w:firstLine="407"/>
        <w:spacing w:after="0" w:line="255" w:lineRule="auto"/>
        <w:tabs>
          <w:tab w:leader="none" w:pos="1279" w:val="left"/>
        </w:tabs>
        <w:numPr>
          <w:ilvl w:val="0"/>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percentage set forth in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w:t>
      </w:r>
    </w:p>
    <w:p>
      <w:pPr>
        <w:spacing w:after="0" w:line="75" w:lineRule="exact"/>
        <w:rPr>
          <w:rFonts w:ascii="Times New Roman" w:cs="Times New Roman" w:eastAsia="Times New Roman" w:hAnsi="Times New Roman"/>
          <w:sz w:val="18"/>
          <w:szCs w:val="18"/>
          <w:color w:val="auto"/>
        </w:rPr>
      </w:pPr>
    </w:p>
    <w:p>
      <w:pPr>
        <w:ind w:left="1320" w:hanging="473"/>
        <w:spacing w:after="0"/>
        <w:tabs>
          <w:tab w:leader="none" w:pos="1320" w:val="left"/>
        </w:tabs>
        <w:numPr>
          <w:ilvl w:val="0"/>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the Borrower or any Subsidiary Loan Party from its Guarantee under the Collateral Agreement (except as provided in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6.03 or in the Collateral Agreement) or limit its liability in respect of such Guarantee, without the written consent of each Lender, or</w:t>
      </w:r>
    </w:p>
    <w:p>
      <w:pPr>
        <w:spacing w:after="0" w:line="90" w:lineRule="exact"/>
        <w:rPr>
          <w:sz w:val="20"/>
          <w:szCs w:val="20"/>
          <w:color w:val="auto"/>
        </w:rPr>
      </w:pPr>
    </w:p>
    <w:p>
      <w:pPr>
        <w:ind w:left="440" w:right="160" w:firstLine="407"/>
        <w:spacing w:after="0" w:line="267" w:lineRule="auto"/>
        <w:tabs>
          <w:tab w:leader="none" w:pos="1376" w:val="left"/>
        </w:tabs>
        <w:numPr>
          <w:ilvl w:val="0"/>
          <w:numId w:val="8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the Collateral from the Liens of the Security Documents (except as provided in Section 6.03 or in the Collateral Agreement), without the written consent of each Lender.</w:t>
      </w:r>
    </w:p>
    <w:p>
      <w:pPr>
        <w:spacing w:after="0" w:line="170" w:lineRule="exact"/>
        <w:rPr>
          <w:sz w:val="20"/>
          <w:szCs w:val="20"/>
          <w:color w:val="auto"/>
        </w:rPr>
      </w:pPr>
    </w:p>
    <w:p>
      <w:pPr>
        <w:ind w:right="40" w:firstLine="964"/>
        <w:spacing w:after="0" w:line="24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no such agreement shall amend, modify or otherwise affect the rights or duties of the Administrative Agent without the prior written consent of the Administrative Agent and (B) notwithstanding the preceding clause (iv), only those Lenders that have not been provided a reasonable opportunity, as determined in the good faith judgment of the Administrative Agent, to receive the most-favorable treatment under or in connection with the applicable amendment, waiver or supplement described in the preceding clause (iv) (other than the right to receive customary administrative agency, arranging, underwriting and other similar fees) that is provided to any other Person, including the opportunity to participate on a pro rata basis on the same terms in any new loans or other Indebtedness permitted to be issued as a result of such amendment, waiver or supplement, shall be deemed to be directly and adversely affected by such amendment, waiver or supplement. In connection with any proposed amendment, modification, waiver or termination (a “</w:t>
      </w:r>
      <w:r>
        <w:rPr>
          <w:rFonts w:ascii="Times New Roman" w:cs="Times New Roman" w:eastAsia="Times New Roman" w:hAnsi="Times New Roman"/>
          <w:sz w:val="18"/>
          <w:szCs w:val="18"/>
          <w:u w:val="single" w:color="auto"/>
          <w:color w:val="auto"/>
        </w:rPr>
        <w:t>Proposed Change</w:t>
      </w:r>
      <w:r>
        <w:rPr>
          <w:rFonts w:ascii="Times New Roman" w:cs="Times New Roman" w:eastAsia="Times New Roman" w:hAnsi="Times New Roman"/>
          <w:sz w:val="18"/>
          <w:szCs w:val="18"/>
          <w:color w:val="auto"/>
        </w:rPr>
        <w:t>”) requiring the consent of all affected Lenders, if the consent of the Required Lenders to such Proposed Change is obtained, but the consent to such Proposed Change of other Lenders whose consent is required is not obtained (any such Lender whose consent is not obtained as described in this Section 9.02(b) being referred to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then, so long as the Lender that is acting as the Administrative Agent is not a Non-Consenting Lender, at the Borrower’s request, any assignee that is acceptable to the Administrative Agent shall have the right, with the Administrative Agent’s consent, to purchase from such Non-Consenting Lender, and such Non-Consenting Lender agrees that it shall, upon the Borrower’s request, sell and assign to such assignee, at no expense to such Non-Consenting Lender, all the Term Loans of such Non-Consenting Lender for an amount equal to the principal balance of all Term Loans held by such Non-Consenting Lender and all accrued interest and fees with respect thereto through the date of sale (including amounts under Sections 2.15, 2.16 and 2.17) so long as such principal balance of all other Non-Consenting Lenders is similarly purchased, such purchase and sale to be consummated pursuant to an executed Assignment and Assumption in accordance with Section 9.04(b) (which Assignment and Assumption need not be signed by such Non-Consenting Lender). A copy of each amendment, waiver or other modification to this Agreement or any other Loan Document shall be furnished by the Borrower to the Administrative Agent.</w:t>
      </w:r>
    </w:p>
    <w:p>
      <w:pPr>
        <w:spacing w:after="0" w:line="203" w:lineRule="exact"/>
        <w:rPr>
          <w:sz w:val="20"/>
          <w:szCs w:val="20"/>
          <w:color w:val="auto"/>
        </w:rPr>
      </w:pPr>
    </w:p>
    <w:p>
      <w:pPr>
        <w:ind w:right="40" w:firstLine="972"/>
        <w:spacing w:after="0" w:line="278" w:lineRule="auto"/>
        <w:tabs>
          <w:tab w:leader="none" w:pos="1333" w:val="left"/>
        </w:tabs>
        <w:numPr>
          <w:ilvl w:val="0"/>
          <w:numId w:val="8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provisions of Section 9.02(b), this Agreement may be amended (or amended and restated) with the written consent of the Required Lenders, the Administrative Agent and the Borrower (i) to add one or more additional credit facilities to this Agreement and to permit the extensions of credit from time to time thereunder and the accrued interest and fees in respect thereof to share ratably in the benefits of this Agreement and the other Loan Documents with the Term Loans and the accrued interest and fees in respect thereof, and (ii) to include appropriately the Lenders holding such credit facilities in any determination of the Required Lenders. In addition, this Agreement may be amended with the written consent of the Administrative Agent, the Borrower and the Lenders providing the relevant Replacement Term Loans (as defined below) to permit the refinancing of all outstanding Term Loans (the “</w:t>
      </w:r>
      <w:r>
        <w:rPr>
          <w:rFonts w:ascii="Times New Roman" w:cs="Times New Roman" w:eastAsia="Times New Roman" w:hAnsi="Times New Roman"/>
          <w:sz w:val="16"/>
          <w:szCs w:val="16"/>
          <w:u w:val="single" w:color="auto"/>
          <w:color w:val="auto"/>
        </w:rPr>
        <w:t>Refinanced Term Loans</w:t>
      </w:r>
      <w:r>
        <w:rPr>
          <w:rFonts w:ascii="Times New Roman" w:cs="Times New Roman" w:eastAsia="Times New Roman" w:hAnsi="Times New Roman"/>
          <w:sz w:val="16"/>
          <w:szCs w:val="16"/>
          <w:color w:val="auto"/>
        </w:rPr>
        <w:t>”) and, if applicable, related outstanding commitments, with a replacement term loan tranche hereunder (the “</w:t>
      </w:r>
      <w:r>
        <w:rPr>
          <w:rFonts w:ascii="Times New Roman" w:cs="Times New Roman" w:eastAsia="Times New Roman" w:hAnsi="Times New Roman"/>
          <w:sz w:val="16"/>
          <w:szCs w:val="16"/>
          <w:u w:val="single" w:color="auto"/>
          <w:color w:val="auto"/>
        </w:rPr>
        <w:t>Replacement Term Loans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the aggregate principal amount of such Replacement Term Loans shall not exceed the aggregate principal amount of such Refinanced Term Loans, (ii) the Applicable Rate for such Replacement Term Loans shall not be higher than the Applicable Rate for such Refinanced Term Loans, (iii)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 Refinanced Term Loans) and (iv) all other terms applicable to such Replacement Term Loans shall be substantially identical to, or less favorable to the Lenders providing such Replacement Term Loans than, those applicable to such Refinanced Term Loans, except to the extent necessary to provide for covenants and other terms applicable to any period after the latest final maturity of the Refinanced Term Loans in effect immediately prior to such refinancing.</w:t>
      </w: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700"/>
          </w:cols>
          <w:pgMar w:left="580" w:top="265" w:right="619" w:bottom="1440" w:gutter="0" w:footer="0" w:header="0"/>
        </w:sectPr>
      </w:pPr>
    </w:p>
    <w:bookmarkStart w:id="805" w:name="page806"/>
    <w:bookmarkEnd w:id="805"/>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9.03.</w:t>
      </w:r>
      <w:r>
        <w:rPr>
          <w:sz w:val="20"/>
          <w:szCs w:val="20"/>
          <w:color w:val="auto"/>
        </w:rPr>
        <w:tab/>
      </w:r>
      <w:r>
        <w:rPr>
          <w:rFonts w:ascii="Times New Roman" w:cs="Times New Roman" w:eastAsia="Times New Roman" w:hAnsi="Times New Roman"/>
          <w:sz w:val="16"/>
          <w:szCs w:val="16"/>
          <w:u w:val="single" w:color="auto"/>
          <w:color w:val="auto"/>
        </w:rPr>
        <w:t>Expenses; Indemnity; Damage Waiver</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20" w:firstLine="972"/>
        <w:spacing w:after="0" w:line="245" w:lineRule="auto"/>
        <w:tabs>
          <w:tab w:leader="none" w:pos="1330" w:val="left"/>
        </w:tabs>
        <w:numPr>
          <w:ilvl w:val="1"/>
          <w:numId w:val="8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(i) all reasonable and documented out-of-pocket expenses incurred by the Agents and their respective Affiliates, including the reasonable and documented fees, charges and disbursements of counsel for the Agents, in connection with the preparation and administration of the Loan Documents or any amendments, modifications or waivers of the provisions thereof (limited to, in the case of legal fees and expenses, all reasonable and documented costs and out-of-pocket expenses of one legal counsel and, to the extent necessary, one local counsel in each relevant jurisdiction, but no other advisors without the Borrower’s prior consent) and (ii) all reasonable and documented out-of-pocket expenses incurred by the Administrative Agent or any Lender, including the fees, charges and disbursements of any counsel for the Administrative Agent or any Lender (limited to, in the case of legal fees and expenses, all reasonable and documented costs and out-of-pocket expenses of one legal counsel and, to the extent necessary, one local counsel in each relevant jurisdiction, but no other advisors without the Borrower’s prior consent), in connection with the enforcement or protection of its rights in connection with the Loan Documents, including its rights under this Section 9.03, or in connection with the Loans made hereunder, including all such reasonable and documented out-of-pocket expenses incurred during any workout, restructuring or negotiations in respect of such Loans.</w:t>
      </w:r>
    </w:p>
    <w:p>
      <w:pPr>
        <w:spacing w:after="0" w:line="196" w:lineRule="exact"/>
        <w:rPr>
          <w:rFonts w:ascii="Times New Roman" w:cs="Times New Roman" w:eastAsia="Times New Roman" w:hAnsi="Times New Roman"/>
          <w:sz w:val="18"/>
          <w:szCs w:val="18"/>
          <w:color w:val="auto"/>
        </w:rPr>
      </w:pPr>
    </w:p>
    <w:p>
      <w:pPr>
        <w:ind w:right="40" w:firstLine="972"/>
        <w:spacing w:after="0" w:line="277" w:lineRule="auto"/>
        <w:tabs>
          <w:tab w:leader="none" w:pos="1340" w:val="left"/>
        </w:tabs>
        <w:numPr>
          <w:ilvl w:val="1"/>
          <w:numId w:val="8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indemnify the Administrative Agent, the Collateral Agent and each Lender, and each Related Party of any of the foregoing Persons (each such Person being called an “</w:t>
      </w:r>
      <w:r>
        <w:rPr>
          <w:rFonts w:ascii="Times New Roman" w:cs="Times New Roman" w:eastAsia="Times New Roman" w:hAnsi="Times New Roman"/>
          <w:sz w:val="16"/>
          <w:szCs w:val="16"/>
          <w:u w:val="single" w:color="auto"/>
          <w:color w:val="auto"/>
        </w:rPr>
        <w:t>Indemnitee</w:t>
      </w:r>
      <w:r>
        <w:rPr>
          <w:rFonts w:ascii="Times New Roman" w:cs="Times New Roman" w:eastAsia="Times New Roman" w:hAnsi="Times New Roman"/>
          <w:sz w:val="16"/>
          <w:szCs w:val="16"/>
          <w:color w:val="auto"/>
        </w:rPr>
        <w:t xml:space="preserve">”), and hold each Indemnitee harmless, from and against any and all losses, claims, damages, liabilities and related expenses, including the reasonable and documented fees, charges and disbursements of any counsel for any Indemnitee (limited to, in the case of fees, charges and disbursements of any counsel, one counsel to such Indemnitees, taken as a whole, one local counsel in each relevant jurisdiction to all such Indemnitees, taken as a whole, and, solely in the event of a conflict of interest, one additional counsel (and, if necessary, one local counsel in each relevant jurisdiction)), incurred by or asserted against any Indemnitee arising out of, in connection with, or as a result of (i) the execution or delivery of any Loan Document or any other agreement or instrument contemplated hereby, the performance by the parties to the Loan Documents of their respective obligations thereunder or the consummation of the Transactions or any other transactions contemplated hereby, (ii) any Loan or the use of the proceeds therefrom, (iii) any actual or alleged presence or Release of Hazardous Materials on, at, under or emanating from any Mortgaged Property or any other property currently or formerly owned or operated by the Borrower or any of its Subsidiaries, or any actual or alleged Environmental Liability related in any way to the Borrower or any of its Subsidiaries or their respective properties or operations, or (iv) any actual or prospective claim, litigation, investigation or proceeding relating to any of the foregoing, whether based on contract, tort or any other theory and regardless of whether any Indemnitee is a party thereto or such litigation, claim, investigation or proceeding is brought by a third party or by the Borrower or its Affiliates,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Indemnitee shall be entitled to indemnity in respect of any such losses, claims, damages, liabilities or related expenses to the extent that (i) the same is found by a final, non-appealable judgment of a court of competent jurisdiction to have resulted from (a) the gross negligence, willful misconduct or bad faith of such Indemnitee or (b) a material breach by an Indemnitee of its obligations under this Agreement,</w:t>
      </w:r>
    </w:p>
    <w:p>
      <w:pPr>
        <w:spacing w:after="0" w:line="193" w:lineRule="exact"/>
        <w:rPr>
          <w:rFonts w:ascii="Times New Roman" w:cs="Times New Roman" w:eastAsia="Times New Roman" w:hAnsi="Times New Roman"/>
          <w:sz w:val="16"/>
          <w:szCs w:val="16"/>
          <w:color w:val="auto"/>
        </w:rPr>
      </w:pPr>
    </w:p>
    <w:p>
      <w:pPr>
        <w:ind w:firstLine="8"/>
        <w:spacing w:after="0" w:line="244" w:lineRule="auto"/>
        <w:tabs>
          <w:tab w:leader="none" w:pos="258" w:val="left"/>
        </w:tabs>
        <w:numPr>
          <w:ilvl w:val="0"/>
          <w:numId w:val="8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same arises solely from a dispute among Indemnitees (other than any claim against Ares Capital Corporation solely in its capacity as Administrative Agent) or (iii) any settlement is effected without the Borrower’s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each Indemnitee agrees (by accepting the benefits hereof) to refund and return any and all amounts paid or caused to be paid by the Borrower to such Indemnitee to the extent any of the foregoing items described in clauses (i) through (iii) occurs. For the avoidance of doubt, this Section 9.03 shall not apply to Taxes (other than Taxes arising from a non-Tax claim). Payments under this Section 9.03(b) shall be made by the Borrower to the Administrative Agent for the benefit of the relevant Indemnitee.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720"/>
          </w:cols>
          <w:pgMar w:left="580" w:top="266" w:right="599" w:bottom="1440" w:gutter="0" w:footer="0" w:header="0"/>
        </w:sectPr>
      </w:pPr>
    </w:p>
    <w:bookmarkStart w:id="806" w:name="page807"/>
    <w:bookmarkEnd w:id="806"/>
    <w:p>
      <w:pPr>
        <w:ind w:right="20" w:firstLine="972"/>
        <w:spacing w:after="0" w:line="248" w:lineRule="auto"/>
        <w:tabs>
          <w:tab w:leader="none" w:pos="1330" w:val="left"/>
        </w:tabs>
        <w:numPr>
          <w:ilvl w:val="0"/>
          <w:numId w:val="8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To the extent that the Borrower fails to pay any amount required to be paid by it to the Administrative Agent or the Collateral Agent under Sections 9.03(a) or (b), each Lender severally agrees to pay to the Administrative Agent or the Collateral Agent, as applicable, such Lender’s </w:t>
      </w:r>
      <w:r>
        <w:rPr>
          <w:rFonts w:ascii="Times New Roman" w:cs="Times New Roman" w:eastAsia="Times New Roman" w:hAnsi="Times New Roman"/>
          <w:sz w:val="18"/>
          <w:szCs w:val="18"/>
          <w:u w:val="single" w:color="auto"/>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rata</w:t>
      </w:r>
      <w:r>
        <w:rPr>
          <w:rFonts w:ascii="Times New Roman" w:cs="Times New Roman" w:eastAsia="Times New Roman" w:hAnsi="Times New Roman"/>
          <w:sz w:val="18"/>
          <w:szCs w:val="18"/>
          <w:color w:val="auto"/>
        </w:rPr>
        <w:t xml:space="preserve"> share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applicable, was incurred by or asserted against the Administrative Agent or the Collateral Agent in its capacity as such. For purposes hereof, a Lender’s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shall be determined based upon its share of the aggregate outstanding Term Loans at the time.</w:t>
      </w:r>
    </w:p>
    <w:p>
      <w:pPr>
        <w:spacing w:after="0" w:line="187" w:lineRule="exact"/>
        <w:rPr>
          <w:rFonts w:ascii="Times New Roman" w:cs="Times New Roman" w:eastAsia="Times New Roman" w:hAnsi="Times New Roman"/>
          <w:sz w:val="18"/>
          <w:szCs w:val="18"/>
          <w:color w:val="auto"/>
        </w:rPr>
      </w:pPr>
    </w:p>
    <w:p>
      <w:pPr>
        <w:jc w:val="both"/>
        <w:ind w:right="140" w:firstLine="972"/>
        <w:spacing w:after="0" w:line="293" w:lineRule="auto"/>
        <w:tabs>
          <w:tab w:leader="none" w:pos="1340" w:val="left"/>
        </w:tabs>
        <w:numPr>
          <w:ilvl w:val="0"/>
          <w:numId w:val="8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applicable law, no party hereto shall assert, and each party hereto hereby waives, any claim against any other Person party hereto, on any theory of liability, for special, indirect, consequential or punitive damages (as opposed to direct or actual damages) arising out of, in connection with, or as a result of, this Agreement or any agreement or instrument contemplated hereby, the Transactions, any Loan or the use of the proceeds thereof (other than in respect of any such damages incurred or paid by an Indemnitee to a third party).</w:t>
      </w:r>
    </w:p>
    <w:p>
      <w:pPr>
        <w:spacing w:after="0" w:line="151" w:lineRule="exact"/>
        <w:rPr>
          <w:rFonts w:ascii="Times New Roman" w:cs="Times New Roman" w:eastAsia="Times New Roman" w:hAnsi="Times New Roman"/>
          <w:sz w:val="16"/>
          <w:szCs w:val="16"/>
          <w:color w:val="auto"/>
        </w:rPr>
      </w:pPr>
    </w:p>
    <w:p>
      <w:pPr>
        <w:ind w:left="1340" w:hanging="368"/>
        <w:spacing w:after="0"/>
        <w:tabs>
          <w:tab w:leader="none" w:pos="1340" w:val="left"/>
        </w:tabs>
        <w:numPr>
          <w:ilvl w:val="0"/>
          <w:numId w:val="8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under this Section 9.03 shall be payable not later than 10 days after written demand therefor.</w:t>
      </w:r>
    </w:p>
    <w:p>
      <w:pPr>
        <w:spacing w:after="0" w:line="318"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80" w:firstLine="972"/>
        <w:spacing w:after="0" w:line="277" w:lineRule="auto"/>
        <w:tabs>
          <w:tab w:leader="none" w:pos="1330" w:val="left"/>
        </w:tabs>
        <w:numPr>
          <w:ilvl w:val="0"/>
          <w:numId w:val="8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(except as permitted by Section 6.03) (and any attempted assignment or transfer by the Borrower without such consent shall be null and void) and (ii) no Lender may assign or otherwise transfer its rights or obligations hereunder except (i) to an Assignee pursuant to an assignment made in accordance with the provisions of Section 9.04(b) (such an assignee, an “</w:t>
      </w:r>
      <w:r>
        <w:rPr>
          <w:rFonts w:ascii="Times New Roman" w:cs="Times New Roman" w:eastAsia="Times New Roman" w:hAnsi="Times New Roman"/>
          <w:sz w:val="16"/>
          <w:szCs w:val="16"/>
          <w:u w:val="single" w:color="auto"/>
          <w:color w:val="auto"/>
        </w:rPr>
        <w:t>Eligible Assignee</w:t>
      </w:r>
      <w:r>
        <w:rPr>
          <w:rFonts w:ascii="Times New Roman" w:cs="Times New Roman" w:eastAsia="Times New Roman" w:hAnsi="Times New Roman"/>
          <w:sz w:val="16"/>
          <w:szCs w:val="16"/>
          <w:color w:val="auto"/>
        </w:rPr>
        <w:t>”), (ii) by way of participation in accordance with the provisions of Section 9.04(e) or (iii) by way of pledge or assignment of a security interest subject to the restrictions of</w:t>
      </w:r>
    </w:p>
    <w:p>
      <w:pPr>
        <w:spacing w:after="0" w:line="4" w:lineRule="exact"/>
        <w:rPr>
          <w:rFonts w:ascii="Times New Roman" w:cs="Times New Roman" w:eastAsia="Times New Roman" w:hAnsi="Times New Roman"/>
          <w:sz w:val="16"/>
          <w:szCs w:val="16"/>
          <w:color w:val="auto"/>
        </w:rPr>
      </w:pPr>
    </w:p>
    <w:p>
      <w:pPr>
        <w:spacing w:after="0" w:line="24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Section 9.04(g) (and any other attempted assignment or transfer by any party hereto shall be null and void);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no Lender may assign or transfer by participation any of its rights or obligations hereunder to (i) a natural Person, (ii) to the Borrower or any of its respective Subsidiaries or (iii) any Defaulting Lender. Nothing in this Agreement, express or implied, shall be construed to confer upon any Person (other than the parties hereto, their respective successors and assigns permitted hereby, Participants (to the extent provided in Section 9.04(c)) and, to the extent expressly contemplated hereby, the Related Parties of each of the Administrative Agent and the Lenders) any legal or equitable right, remedy or claim under or by reason of this Agreement.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700"/>
          </w:cols>
          <w:pgMar w:left="580" w:top="265" w:right="619" w:bottom="1440" w:gutter="0" w:footer="0" w:header="0"/>
        </w:sectPr>
      </w:pPr>
    </w:p>
    <w:bookmarkStart w:id="807" w:name="page808"/>
    <w:bookmarkEnd w:id="807"/>
    <w:p>
      <w:pPr>
        <w:jc w:val="both"/>
        <w:ind w:right="180" w:firstLine="972"/>
        <w:spacing w:after="0" w:line="255" w:lineRule="auto"/>
        <w:tabs>
          <w:tab w:leader="none" w:pos="1343" w:val="left"/>
        </w:tabs>
        <w:numPr>
          <w:ilvl w:val="1"/>
          <w:numId w:val="8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 Subject to the conditions set forth in clause (b)(ii) below, any Lender may assign to one or more assignees (“</w:t>
      </w:r>
      <w:r>
        <w:rPr>
          <w:rFonts w:ascii="Times New Roman" w:cs="Times New Roman" w:eastAsia="Times New Roman" w:hAnsi="Times New Roman"/>
          <w:sz w:val="18"/>
          <w:szCs w:val="18"/>
          <w:u w:val="single" w:color="auto"/>
          <w:color w:val="auto"/>
        </w:rPr>
        <w:t>Assignees</w:t>
      </w:r>
      <w:r>
        <w:rPr>
          <w:rFonts w:ascii="Times New Roman" w:cs="Times New Roman" w:eastAsia="Times New Roman" w:hAnsi="Times New Roman"/>
          <w:sz w:val="18"/>
          <w:szCs w:val="18"/>
          <w:color w:val="auto"/>
        </w:rPr>
        <w:t>”)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75" w:lineRule="exact"/>
        <w:rPr>
          <w:rFonts w:ascii="Times New Roman" w:cs="Times New Roman" w:eastAsia="Times New Roman" w:hAnsi="Times New Roman"/>
          <w:sz w:val="18"/>
          <w:szCs w:val="18"/>
          <w:color w:val="auto"/>
        </w:rPr>
      </w:pPr>
    </w:p>
    <w:p>
      <w:pPr>
        <w:ind w:left="440" w:right="60" w:firstLine="407"/>
        <w:spacing w:after="0" w:line="247" w:lineRule="auto"/>
        <w:tabs>
          <w:tab w:leader="none" w:pos="1230" w:val="left"/>
        </w:tabs>
        <w:numPr>
          <w:ilvl w:val="0"/>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Borrower shall be required (x) for assignments to any Lender or Affiliate of a Lender or an Approved Fund (as defined below) thereof or (y) if an Event of Default under Sections 7.01(a) or 7.01(b) or Sections 7.01(i) or 7.01(j), solely with respect to the Borrower, has occurred and is continuing, any Assignee or an assignment of all or a portion of the Loans pursuant to Section 9.04(i);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(x) the Borrower may withhold its consent (in its sole discretion) in respect of an assignment to an Affiliate (other than, in each case, Affiliates that constitute bona fide debt funds primarily investing in loans) of a Disqualified Institution and (y) the Borrower shall be deemed to have consented to an assignment unless it shall object thereto by written notice to the Administrative Agent within five (5) Business Days after having received notice thereof; and</w:t>
      </w:r>
    </w:p>
    <w:p>
      <w:pPr>
        <w:spacing w:after="0" w:line="84" w:lineRule="exact"/>
        <w:rPr>
          <w:rFonts w:ascii="Times New Roman" w:cs="Times New Roman" w:eastAsia="Times New Roman" w:hAnsi="Times New Roman"/>
          <w:sz w:val="18"/>
          <w:szCs w:val="18"/>
          <w:color w:val="auto"/>
        </w:rPr>
      </w:pPr>
    </w:p>
    <w:p>
      <w:pPr>
        <w:ind w:left="440" w:right="100" w:firstLine="407"/>
        <w:spacing w:after="0" w:line="255" w:lineRule="auto"/>
        <w:tabs>
          <w:tab w:leader="none" w:pos="1230" w:val="left"/>
        </w:tabs>
        <w:numPr>
          <w:ilvl w:val="0"/>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(i) of all or any portion of a Term Loan to a Lender, an Affiliate of a Lender or an Approved Fund, (ii) of all or a portion of the Loans pursuant to Section 9.04(k) or Section 9.04(l) or (iii) from an Agent to its Affiliates.</w:t>
      </w:r>
    </w:p>
    <w:p>
      <w:pPr>
        <w:spacing w:after="0" w:line="180"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18"/>
          <w:szCs w:val="18"/>
          <w:color w:val="auto"/>
        </w:rPr>
        <w:t>Notwithstanding the foregoing or anything to the contrary set forth herein, (i) no Lender may assign or transfer by participation any of its rights or obligations hereunder to any Person that is a Defaulting Lender or, unless a Specified Event of Default has occurred and is continuing, a Disqualified Institution and (ii) to the extent any Lender is required to assign any portion of its Commitments, Loans and other rights, duties and obligations hereunder in order to comply with applicable Laws, such assignment may be made by such Lender without the consent of the Borrower, the Administrative Agent or any other party hereto so long as such Lender complies with the requirements of Section 9.04(b)(ii).</w:t>
      </w:r>
    </w:p>
    <w:p>
      <w:pPr>
        <w:spacing w:after="0" w:line="82" w:lineRule="exact"/>
        <w:rPr>
          <w:sz w:val="20"/>
          <w:szCs w:val="20"/>
          <w:color w:val="auto"/>
        </w:rPr>
      </w:pPr>
    </w:p>
    <w:p>
      <w:pPr>
        <w:ind w:left="840"/>
        <w:spacing w:after="0"/>
        <w:tabs>
          <w:tab w:leader="none" w:pos="120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6"/>
          <w:szCs w:val="16"/>
          <w:color w:val="auto"/>
        </w:rPr>
        <w:t>Assignments shall be subject to the following conditions:</w:t>
      </w:r>
    </w:p>
    <w:p>
      <w:pPr>
        <w:spacing w:after="0" w:line="108" w:lineRule="exact"/>
        <w:rPr>
          <w:sz w:val="20"/>
          <w:szCs w:val="20"/>
          <w:color w:val="auto"/>
        </w:rPr>
      </w:pPr>
    </w:p>
    <w:p>
      <w:pPr>
        <w:ind w:left="440" w:firstLine="407"/>
        <w:spacing w:after="0" w:line="278" w:lineRule="auto"/>
        <w:tabs>
          <w:tab w:leader="none" w:pos="1230" w:val="left"/>
        </w:tabs>
        <w:numPr>
          <w:ilvl w:val="0"/>
          <w:numId w:val="8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such consent of the Borrower shall be required (x) for an assignment by a Lender to an Affiliate or an Approved Fund of a Lender or (y) if an Event of Default under</w:t>
      </w:r>
    </w:p>
    <w:p>
      <w:pPr>
        <w:spacing w:after="0" w:line="2" w:lineRule="exact"/>
        <w:rPr>
          <w:rFonts w:ascii="Times New Roman" w:cs="Times New Roman" w:eastAsia="Times New Roman" w:hAnsi="Times New Roman"/>
          <w:sz w:val="16"/>
          <w:szCs w:val="16"/>
          <w:color w:val="auto"/>
        </w:rPr>
      </w:pPr>
    </w:p>
    <w:p>
      <w:pPr>
        <w:ind w:left="440" w:right="160"/>
        <w:spacing w:after="0" w:line="24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Section 7.01(a), (b), (i) or (j) has occurred and is continuing, and that contemporaneous assignments to Approved Funds related to the same Lender shall be aggregated when calculating such minimum assignment amounts; provided further that, consent of the Borrower will be deemed to have been given if the Borrower has not responded within five (5) business days of a request for such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unless a Specified Event of Default has occurred and is continuing, no assignment or participations shall be made to Disqualified Institutions or Competitors;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720"/>
          </w:cols>
          <w:pgMar w:left="580" w:top="265" w:right="599" w:bottom="1440" w:gutter="0" w:footer="0" w:header="0"/>
        </w:sectPr>
      </w:pPr>
    </w:p>
    <w:bookmarkStart w:id="808" w:name="page809"/>
    <w:bookmarkEnd w:id="808"/>
    <w:p>
      <w:pPr>
        <w:ind w:left="420" w:right="420" w:firstLine="407"/>
        <w:spacing w:after="0" w:line="267" w:lineRule="auto"/>
        <w:tabs>
          <w:tab w:leader="none" w:pos="1210" w:val="left"/>
        </w:tabs>
        <w:numPr>
          <w:ilvl w:val="0"/>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each partial assignment shall be made as an assignment of a proportionate part of all the assigning Lender’s rights and obligations under this Agreement;</w:t>
      </w:r>
    </w:p>
    <w:p>
      <w:pPr>
        <w:spacing w:after="0" w:line="64" w:lineRule="exact"/>
        <w:rPr>
          <w:rFonts w:ascii="Times New Roman" w:cs="Times New Roman" w:eastAsia="Times New Roman" w:hAnsi="Times New Roman"/>
          <w:sz w:val="18"/>
          <w:szCs w:val="18"/>
          <w:color w:val="auto"/>
        </w:rPr>
      </w:pPr>
    </w:p>
    <w:p>
      <w:pPr>
        <w:ind w:left="420" w:right="200" w:firstLine="407"/>
        <w:spacing w:after="0" w:line="267" w:lineRule="auto"/>
        <w:tabs>
          <w:tab w:leader="none" w:pos="1210" w:val="left"/>
        </w:tabs>
        <w:numPr>
          <w:ilvl w:val="0"/>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an Assignment and Assumption, together with a processing and recordation fee of $3,500; and</w:t>
      </w:r>
    </w:p>
    <w:p>
      <w:pPr>
        <w:spacing w:after="0" w:line="64" w:lineRule="exact"/>
        <w:rPr>
          <w:rFonts w:ascii="Times New Roman" w:cs="Times New Roman" w:eastAsia="Times New Roman" w:hAnsi="Times New Roman"/>
          <w:sz w:val="18"/>
          <w:szCs w:val="18"/>
          <w:color w:val="auto"/>
        </w:rPr>
      </w:pPr>
    </w:p>
    <w:p>
      <w:pPr>
        <w:jc w:val="both"/>
        <w:ind w:left="420" w:right="60" w:firstLine="407"/>
        <w:spacing w:after="0" w:line="255" w:lineRule="auto"/>
        <w:tabs>
          <w:tab w:leader="none" w:pos="1210" w:val="left"/>
        </w:tabs>
        <w:numPr>
          <w:ilvl w:val="0"/>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is not already a Lender, shall deliver to the Administrative Agent an Administrative Questionnaire, the applicable tax forms described in 2.17(f) and all documentation and other information required by regulatory authorities under applicable “</w:t>
      </w:r>
      <w:r>
        <w:rPr>
          <w:rFonts w:ascii="Times New Roman" w:cs="Times New Roman" w:eastAsia="Times New Roman" w:hAnsi="Times New Roman"/>
          <w:sz w:val="18"/>
          <w:szCs w:val="18"/>
          <w:u w:val="single" w:color="auto"/>
          <w:color w:val="auto"/>
        </w:rPr>
        <w:t>know your customer</w:t>
      </w:r>
      <w:r>
        <w:rPr>
          <w:rFonts w:ascii="Times New Roman" w:cs="Times New Roman" w:eastAsia="Times New Roman" w:hAnsi="Times New Roman"/>
          <w:sz w:val="18"/>
          <w:szCs w:val="18"/>
          <w:color w:val="auto"/>
        </w:rPr>
        <w:t>” and anti-money laundering rules and regulations, including, without limitation, the USA Patriot Act.</w:t>
      </w:r>
    </w:p>
    <w:p>
      <w:pPr>
        <w:spacing w:after="0" w:line="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For purposes of this Section 9.04(b):</w:t>
      </w:r>
    </w:p>
    <w:p>
      <w:pPr>
        <w:spacing w:after="0" w:line="108" w:lineRule="exact"/>
        <w:rPr>
          <w:sz w:val="20"/>
          <w:szCs w:val="20"/>
          <w:color w:val="auto"/>
        </w:rPr>
      </w:pPr>
    </w:p>
    <w:p>
      <w:pPr>
        <w:ind w:left="420" w:right="100" w:firstLine="41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with respect to any Lender, any Fund that is administered, advised or managed by (a) a Lender, (b) an Affiliate of a Lender, (c) an entity or an Affiliate of an entity that administers, advises or manages a Lender or (d) a limited partner or member of any of the foregoing.</w:t>
      </w:r>
    </w:p>
    <w:p>
      <w:pPr>
        <w:spacing w:after="0" w:line="75" w:lineRule="exact"/>
        <w:rPr>
          <w:sz w:val="20"/>
          <w:szCs w:val="20"/>
          <w:color w:val="auto"/>
        </w:rPr>
      </w:pPr>
    </w:p>
    <w:p>
      <w:pPr>
        <w:ind w:left="420" w:right="60" w:firstLine="41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engaged in making, purchasing, holding or otherwise investing in commercial loans and similar extensions of credit in the ordinary course.</w:t>
      </w:r>
    </w:p>
    <w:p>
      <w:pPr>
        <w:spacing w:after="0" w:line="170" w:lineRule="exact"/>
        <w:rPr>
          <w:sz w:val="20"/>
          <w:szCs w:val="20"/>
          <w:color w:val="auto"/>
        </w:rPr>
      </w:pPr>
    </w:p>
    <w:p>
      <w:pPr>
        <w:ind w:left="-20" w:firstLine="972"/>
        <w:spacing w:after="0" w:line="247" w:lineRule="auto"/>
        <w:tabs>
          <w:tab w:leader="none" w:pos="1313" w:val="left"/>
        </w:tabs>
        <w:numPr>
          <w:ilvl w:val="0"/>
          <w:numId w:val="8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Section 9.04(b)(iv), from and after the recordation date of each Assignment and Assumption in the Register,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Section 9.04(c).</w:t>
      </w:r>
    </w:p>
    <w:p>
      <w:pPr>
        <w:spacing w:after="0" w:line="186" w:lineRule="exact"/>
        <w:rPr>
          <w:rFonts w:ascii="Times New Roman" w:cs="Times New Roman" w:eastAsia="Times New Roman" w:hAnsi="Times New Roman"/>
          <w:sz w:val="18"/>
          <w:szCs w:val="18"/>
          <w:color w:val="auto"/>
        </w:rPr>
      </w:pPr>
    </w:p>
    <w:p>
      <w:pPr>
        <w:ind w:left="-20" w:right="100" w:firstLine="972"/>
        <w:spacing w:after="0" w:line="247" w:lineRule="auto"/>
        <w:tabs>
          <w:tab w:leader="none" w:pos="1320" w:val="left"/>
        </w:tabs>
        <w:numPr>
          <w:ilvl w:val="0"/>
          <w:numId w:val="8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 non-fiduciary agent of the Borrower, shall maintain accessible at one of its offices a copy of each Assignment and Assumption delivered to it and a register for the recordation of the names and addresses of the Lenders, and the Commitment of, and principal amounts (and related stated interest amounts) of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and the owner of the amounts owing to it under the Loan Documents as reflected in the Register for all purposes of the Loan Documents, notwithstanding notice to the contrary. The Register shall be available for inspection by the Borrower and, with respect to itself, any Lender, at any reasonable time and from time to time upon reasonable prior written notice.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700"/>
          </w:cols>
          <w:pgMar w:left="600" w:top="266" w:right="599" w:bottom="1440" w:gutter="0" w:footer="0" w:header="0"/>
        </w:sectPr>
      </w:pPr>
    </w:p>
    <w:bookmarkStart w:id="809" w:name="page810"/>
    <w:bookmarkEnd w:id="809"/>
    <w:p>
      <w:pPr>
        <w:ind w:left="420" w:right="40" w:firstLine="407"/>
        <w:spacing w:after="0" w:line="247" w:lineRule="auto"/>
        <w:tabs>
          <w:tab w:leader="none" w:pos="1171" w:val="left"/>
        </w:tabs>
        <w:numPr>
          <w:ilvl w:val="0"/>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78040" cy="36830"/>
                    </a:xfrm>
                    <a:prstGeom prst="rect">
                      <a:avLst/>
                    </a:prstGeom>
                    <a:noFill/>
                  </pic:spPr>
                </pic:pic>
              </a:graphicData>
            </a:graphic>
          </wp:anchor>
        </w:drawing>
        <w:t>Upon its receipt of a duly completed Assignment and Assumption executed by an assigning Lender and an assignee, the assignee’s completed Administrative Questionnaire (unless the assignee shall already be a Lender hereunder) and all documentation and other information required by regulatory authorities under applicable “know your customer” and anti-money laundering rules and regulations, including, without limitation, the USA Patriot Act, the processing and recordation fee referred to in Section 9.04(b) and any written consent to such assignment required by Section 9.04(b),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9" w:lineRule="exact"/>
        <w:rPr>
          <w:rFonts w:ascii="Times New Roman" w:cs="Times New Roman" w:eastAsia="Times New Roman" w:hAnsi="Times New Roman"/>
          <w:sz w:val="18"/>
          <w:szCs w:val="18"/>
          <w:color w:val="auto"/>
        </w:rPr>
      </w:pPr>
    </w:p>
    <w:p>
      <w:pPr>
        <w:ind w:left="-20" w:right="60" w:firstLine="972"/>
        <w:spacing w:after="0" w:line="276" w:lineRule="auto"/>
        <w:tabs>
          <w:tab w:leader="none" w:pos="1304" w:val="left"/>
        </w:tabs>
        <w:numPr>
          <w:ilvl w:val="1"/>
          <w:numId w:val="8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Lender may, without the consent of the Borrower or the Administrative Agent, sell participations to one or more banks or other entities (each a “</w:t>
      </w:r>
      <w:r>
        <w:rPr>
          <w:rFonts w:ascii="Times New Roman" w:cs="Times New Roman" w:eastAsia="Times New Roman" w:hAnsi="Times New Roman"/>
          <w:sz w:val="16"/>
          <w:szCs w:val="16"/>
          <w:u w:val="single" w:color="auto"/>
          <w:color w:val="auto"/>
        </w:rPr>
        <w:t>Participant</w:t>
      </w:r>
      <w:r>
        <w:rPr>
          <w:rFonts w:ascii="Times New Roman" w:cs="Times New Roman" w:eastAsia="Times New Roman" w:hAnsi="Times New Roman"/>
          <w:sz w:val="16"/>
          <w:szCs w:val="16"/>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the other Loan Documents,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agreement or instrument may provide that such Lender will not, without the consent of the Participant, agree to any amendment, modification or waiver described in the first proviso to Section 9.02(b) that requires the affirmative vote of such Lender. Each Lender that sells a participation shall, acting solely for this purpose as a non-fiduciary agent of the Borrower, maintain a register complying with the requirements of Sections 163(f), 871(h) and 881(c)(2) of the Code and the Treasury regulations issued thereunder on which it enters the name and address of each Participant and the principal and stated interest amounts of each Participant’s interest in the Loans held by it (the “</w:t>
      </w:r>
      <w:r>
        <w:rPr>
          <w:rFonts w:ascii="Times New Roman" w:cs="Times New Roman" w:eastAsia="Times New Roman" w:hAnsi="Times New Roman"/>
          <w:sz w:val="16"/>
          <w:szCs w:val="16"/>
          <w:u w:val="single" w:color="auto"/>
          <w:color w:val="auto"/>
        </w:rPr>
        <w:t>Participant Register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any Loan Document) except to the extent that such disclosure is necessary to establish that such Commitment, Loan or other obligation is in registered form under Section 5f.103-1(c) or Proposed Section 1.163-5(b) of the United States Treasury Regulations (or, in each case, any amended or successor version), or is otherwise required thereunder. The entries in the Participant Register shall be conclusive, absent manifest error, and such Lender shall treat each Person whose name is recorded in the Participant Register as the owner of such Loan or other obligation hereunder for all purposes of this Agreement notwithstanding any notice to the contrary. For the avoidance of doubt, the Administrative Agent (in its capacity as Administrative Agent) shall have no responsibility for maintaining a Participant Register. Subject to Section 9.04(f), the Borrower agrees that each Participant shall be entitled to the benefits of Sections 2.15, 2.16 and 2.17 to the same extent as if it were a Lender (subject to the requirements and limitations thereof, it being understood that the documentation required under Section 2.17(f) shall be delivered to the participating Lender) and had acquired its interest by assignment pursuant to Section 9.04(b). To the extent permitted by law, each Participant also shall be entitled to the benefits of Section 9.08 as though it were a Lender,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such Participant agrees to be subject to Section 2.18(c) as though it were a Lender. For the avoidance of doubt, each Lender shall be responsible for the indemnity under Section 9.03(b) with respect to any payments made by such Lender to its Participant(s).</w:t>
      </w:r>
    </w:p>
    <w:p>
      <w:pPr>
        <w:spacing w:after="0" w:line="200" w:lineRule="exact"/>
        <w:rPr>
          <w:rFonts w:ascii="Times New Roman" w:cs="Times New Roman" w:eastAsia="Times New Roman" w:hAnsi="Times New Roman"/>
          <w:sz w:val="16"/>
          <w:szCs w:val="16"/>
          <w:color w:val="auto"/>
        </w:rPr>
      </w:pPr>
    </w:p>
    <w:p>
      <w:pPr>
        <w:spacing w:after="0" w:line="395" w:lineRule="exact"/>
        <w:rPr>
          <w:rFonts w:ascii="Times New Roman" w:cs="Times New Roman" w:eastAsia="Times New Roman" w:hAnsi="Times New Roman"/>
          <w:sz w:val="16"/>
          <w:szCs w:val="16"/>
          <w:color w:val="auto"/>
        </w:rPr>
      </w:pPr>
    </w:p>
    <w:p>
      <w:pPr>
        <w:ind w:left="-20" w:firstLine="972"/>
        <w:spacing w:after="0" w:line="247" w:lineRule="auto"/>
        <w:tabs>
          <w:tab w:leader="none" w:pos="1284" w:val="left"/>
        </w:tabs>
        <w:numPr>
          <w:ilvl w:val="1"/>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not be entitled to receive any greater payment under Section 2.15 or 2.17 than the applicable Lender would have been entitled to receive with respect to the participation sold to such Participant, unless the sale of the participation to such Participant is made with the Borrower’s prior written consent and the entitlement to receive a greater payments results from a Change in Law that occurs after the Participant acquired the applicable participation. A Participant that would be a Foreign Lender if it were a Lender shall not be entitled to the benefits of Section 2.17 unless the Borrower is notified of the participation sold to such Participant and such Participant agrees, for the benefit of the Borrower, to comply with Section 2.17(e) as though it were a Lender (it being understood that the documentation required under Section 2.17 shall be delivered to the participating Lender).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700"/>
          </w:cols>
          <w:pgMar w:left="600" w:top="264" w:right="599" w:bottom="1440" w:gutter="0" w:footer="0" w:header="0"/>
        </w:sectPr>
      </w:pPr>
    </w:p>
    <w:bookmarkStart w:id="810" w:name="page811"/>
    <w:bookmarkEnd w:id="810"/>
    <w:p>
      <w:pPr>
        <w:ind w:firstLine="972"/>
        <w:spacing w:after="0" w:line="251" w:lineRule="auto"/>
        <w:tabs>
          <w:tab w:leader="none" w:pos="1333"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Any Lender may at any time pledge, assign or grant a security interest in all or any portion of its rights under this Agreement to secure obligations of such Lender, including any pledge, assignment or grant to secure obligations to a Federal Reserve Bank, and this Section 9.04 shall not apply to any such pledge, assignment or grant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assignment or grant of a security interest shall release a Lender from any of its obligations hereunder or substitute any such pledge or assignee for such Lender as a party hereto.</w:t>
      </w:r>
    </w:p>
    <w:p>
      <w:pPr>
        <w:spacing w:after="0" w:line="184" w:lineRule="exact"/>
        <w:rPr>
          <w:sz w:val="20"/>
          <w:szCs w:val="20"/>
          <w:color w:val="auto"/>
        </w:rPr>
      </w:pPr>
    </w:p>
    <w:p>
      <w:pPr>
        <w:ind w:right="20" w:firstLine="964"/>
        <w:spacing w:after="0" w:line="246"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covenants, agreements, representations and warranties made by the Loan Parties in the Loan Documents and in the certificates or other instruments delivered in connection with or pursuant to this Agreement or any other Loan Document shall have independent significance and be considered to have been relied upon by the other parties hereto and shall survive the execution and delivery of the Loan Documents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The provisions of Sections 2.15, 2.16, 2.17 and 9.03 and Article VIII shall survive and remain in full force and effect regardless of the consummation of the transactions contemplated hereby, the repayment of the Loans or the termination of this Agreement or any provision hereof.</w:t>
      </w:r>
    </w:p>
    <w:p>
      <w:pPr>
        <w:spacing w:after="0" w:line="191" w:lineRule="exact"/>
        <w:rPr>
          <w:sz w:val="20"/>
          <w:szCs w:val="20"/>
          <w:color w:val="auto"/>
        </w:rPr>
      </w:pPr>
    </w:p>
    <w:p>
      <w:pPr>
        <w:ind w:right="60" w:firstLine="964"/>
        <w:spacing w:after="0" w:line="246"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transmission shall be effective as delivery of a manually executed counterpart of this Agreement.</w:t>
      </w:r>
    </w:p>
    <w:p>
      <w:pPr>
        <w:spacing w:after="0" w:line="191" w:lineRule="exact"/>
        <w:rPr>
          <w:sz w:val="20"/>
          <w:szCs w:val="20"/>
          <w:color w:val="auto"/>
        </w:rPr>
      </w:pPr>
    </w:p>
    <w:p>
      <w:pPr>
        <w:ind w:right="60"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4" w:lineRule="exact"/>
        <w:rPr>
          <w:sz w:val="20"/>
          <w:szCs w:val="20"/>
          <w:color w:val="auto"/>
        </w:rPr>
      </w:pPr>
    </w:p>
    <w:p>
      <w:pPr>
        <w:ind w:firstLine="964"/>
        <w:spacing w:after="0" w:line="245"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Defaulting Lender shall exercise any such right of setoff, (i) all amounts so set off shall be paid over immediately to the Administrative Agent for further application in accordance with the provisions of this Agreement and, pending such payment, shall be segregated by such Defaulting Lender from its other funds and deemed held in trust for the benefit of the Administrative Agent and the Lenders and (ii) the Defaulting Lender shall provide promptly to the Administrative Agent a statement describing in reasonable detail the obligations owing to such Defaulting Lender as to which it exercised such right of set off. The applicable Lender shall notify the Borrower and the Administrative Agent of such setoff or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or application under this Section 9.08. The rights of each Lender under this Section 9.08 are in addition to other rights and remedies (including other rights of setoff) which such Lender may have.</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700"/>
          </w:cols>
          <w:pgMar w:left="580" w:top="265" w:right="619" w:bottom="1440" w:gutter="0" w:footer="0" w:header="0"/>
        </w:sectPr>
      </w:pPr>
    </w:p>
    <w:bookmarkStart w:id="811" w:name="page812"/>
    <w:bookmarkEnd w:id="811"/>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9.09.</w:t>
      </w:r>
      <w:r>
        <w:rPr>
          <w:sz w:val="20"/>
          <w:szCs w:val="20"/>
          <w:color w:val="auto"/>
        </w:rPr>
        <w:tab/>
      </w:r>
      <w:r>
        <w:rPr>
          <w:rFonts w:ascii="Times New Roman" w:cs="Times New Roman" w:eastAsia="Times New Roman" w:hAnsi="Times New Roman"/>
          <w:sz w:val="16"/>
          <w:szCs w:val="16"/>
          <w:u w:val="single" w:color="auto"/>
          <w:color w:val="auto"/>
        </w:rPr>
        <w:t>Governing Law; Jurisdiction; Consent to Service of Process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1340" w:hanging="368"/>
        <w:spacing w:after="0"/>
        <w:tabs>
          <w:tab w:leader="none" w:pos="1340" w:val="left"/>
        </w:tabs>
        <w:numPr>
          <w:ilvl w:val="0"/>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and governed by the laws of the State of New York.</w:t>
      </w:r>
    </w:p>
    <w:p>
      <w:pPr>
        <w:spacing w:after="0" w:line="213" w:lineRule="exact"/>
        <w:rPr>
          <w:rFonts w:ascii="Times New Roman" w:cs="Times New Roman" w:eastAsia="Times New Roman" w:hAnsi="Times New Roman"/>
          <w:sz w:val="18"/>
          <w:szCs w:val="18"/>
          <w:color w:val="auto"/>
        </w:rPr>
      </w:pPr>
    </w:p>
    <w:p>
      <w:pPr>
        <w:ind w:right="40" w:firstLine="972"/>
        <w:spacing w:after="0" w:line="246" w:lineRule="auto"/>
        <w:tabs>
          <w:tab w:leader="none" w:pos="1340" w:val="left"/>
        </w:tabs>
        <w:numPr>
          <w:ilvl w:val="0"/>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Collateral Agent or any Lender may otherwise have to bring any action or proceeding relating to this Agreement or any other Loan Document against the Borrower or its properties in the courts of any jurisdiction.</w:t>
      </w:r>
    </w:p>
    <w:p>
      <w:pPr>
        <w:spacing w:after="0" w:line="191" w:lineRule="exact"/>
        <w:rPr>
          <w:rFonts w:ascii="Times New Roman" w:cs="Times New Roman" w:eastAsia="Times New Roman" w:hAnsi="Times New Roman"/>
          <w:sz w:val="18"/>
          <w:szCs w:val="18"/>
          <w:color w:val="auto"/>
        </w:rPr>
      </w:pPr>
    </w:p>
    <w:p>
      <w:pPr>
        <w:ind w:firstLine="972"/>
        <w:spacing w:after="0" w:line="251" w:lineRule="auto"/>
        <w:tabs>
          <w:tab w:leader="none" w:pos="1330" w:val="left"/>
        </w:tabs>
        <w:numPr>
          <w:ilvl w:val="0"/>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irrevocably and unconditionally waives, to the fullest extent it may legally and effectively do so, any objection that it may now or hereafter have to the laying of venue of any suit, action or proceeding arising out of or relating to this Agreement or any other Loan Document in any court referred to in Section 9.09(b). Each of the parties hereto hereby irrevocably waives, to the fullest extent permitted by law, the defense of an inconvenient forum to the maintenance of such action or proceeding in any such court.</w:t>
      </w:r>
    </w:p>
    <w:p>
      <w:pPr>
        <w:spacing w:after="0" w:line="184" w:lineRule="exact"/>
        <w:rPr>
          <w:rFonts w:ascii="Times New Roman" w:cs="Times New Roman" w:eastAsia="Times New Roman" w:hAnsi="Times New Roman"/>
          <w:sz w:val="18"/>
          <w:szCs w:val="18"/>
          <w:color w:val="auto"/>
        </w:rPr>
      </w:pPr>
    </w:p>
    <w:p>
      <w:pPr>
        <w:ind w:right="80" w:firstLine="972"/>
        <w:spacing w:after="0" w:line="255" w:lineRule="auto"/>
        <w:tabs>
          <w:tab w:leader="none" w:pos="1343" w:val="left"/>
        </w:tabs>
        <w:numPr>
          <w:ilvl w:val="0"/>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80" w:lineRule="exact"/>
        <w:rPr>
          <w:sz w:val="20"/>
          <w:szCs w:val="20"/>
          <w:color w:val="auto"/>
        </w:rPr>
      </w:pPr>
    </w:p>
    <w:p>
      <w:pPr>
        <w:ind w:right="28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THIS AGREEMENT, ANY OTHER LOAN DOCUMENT OR</w:t>
      </w:r>
    </w:p>
    <w:p>
      <w:pPr>
        <w:spacing w:after="0" w:line="1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620"/>
          </w:cols>
          <w:pgMar w:left="580" w:top="265" w:right="699" w:bottom="1440" w:gutter="0" w:footer="0" w:header="0"/>
        </w:sectPr>
      </w:pPr>
    </w:p>
    <w:bookmarkStart w:id="812" w:name="page813"/>
    <w:bookmarkEnd w:id="812"/>
    <w:p>
      <w:pPr>
        <w:ind w:right="20"/>
        <w:spacing w:after="0" w:line="28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9.10.</w:t>
      </w:r>
    </w:p>
    <w:p>
      <w:pPr>
        <w:spacing w:after="0" w:line="156" w:lineRule="exact"/>
        <w:rPr>
          <w:sz w:val="20"/>
          <w:szCs w:val="20"/>
          <w:color w:val="auto"/>
        </w:rPr>
      </w:pPr>
    </w:p>
    <w:p>
      <w:pPr>
        <w:ind w:right="6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ind w:firstLine="964"/>
        <w:spacing w:after="0" w:line="244"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the Administrative Agent and the Lenders agrees to maintain the confidentiality of the Information (as defined below), except that Information may be disclosed (a) to its and its Affiliates’ directors, trustees,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or self-regulatory authority, (c) to the extent required by applicable laws or regulations or by any subpoena or similar legal process, (d) to any other party to this Agreement, (e) in connection with the exercise of any remedies hereunder or any suit, action or proceeding relating to this Agreement or any other Loan Document or the enforcement of rights hereunder or thereunder, (f) subject to an agreement containing provisions substantially the same as those of this Section 9.12, to (i) any assignee or pledgee of or Participant in, or any prospective assignee or pledgee of or Participant in, any of its rights or obligations under this Agreement or (ii) any actual or prospective counterparty (or its advisors) to any swap or derivative transaction relating to the Borrower and its obligations, (g) with the consent of the Borrower or (h) to the extent such Information (i) becomes publicly available other than as a result of a breach of this Section 9.12 or (ii) becomes available to the Administrative Agent or any Lender on a nonconfidential basis from a source other than the Borrower or any of their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source is not actually known by such disclosing party to be bound by an agreement containing provisions substantially the same as those contained in this Section 9.12. For the purposes of this Section 9.12, the term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 relating to the Borrower or its business, other than any such information that is available to the Administrative Agent or any Lender on a nonconfidential basis prior to disclosure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w:t>
      </w:r>
    </w:p>
    <w:p>
      <w:pPr>
        <w:spacing w:after="0" w:line="203" w:lineRule="exact"/>
        <w:rPr>
          <w:sz w:val="20"/>
          <w:szCs w:val="20"/>
          <w:color w:val="auto"/>
        </w:rPr>
      </w:pPr>
    </w:p>
    <w:p>
      <w:pPr>
        <w:ind w:right="60" w:firstLine="964"/>
        <w:spacing w:after="0" w:line="247"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that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that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9.13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720"/>
          </w:cols>
          <w:pgMar w:left="580" w:top="266" w:right="599" w:bottom="1440" w:gutter="0" w:footer="0" w:header="0"/>
        </w:sectPr>
      </w:pPr>
    </w:p>
    <w:bookmarkStart w:id="813" w:name="page814"/>
    <w:bookmarkEnd w:id="813"/>
    <w:p>
      <w:pPr>
        <w:ind w:firstLine="96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9.14.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and each Agent hereby notifies the Borrower that pursuant to the requirements of the USA Patriot Act, it is required to obtain, verify and record information that identifies the Borrower, which information includes the name and address of the Borrower and other information that will allow such Person to identify the Borrower in accordance with the USA Patriot Act.</w:t>
      </w:r>
    </w:p>
    <w:p>
      <w:pPr>
        <w:spacing w:after="0" w:line="180" w:lineRule="exact"/>
        <w:rPr>
          <w:sz w:val="20"/>
          <w:szCs w:val="20"/>
          <w:color w:val="auto"/>
        </w:rPr>
      </w:pPr>
    </w:p>
    <w:p>
      <w:pPr>
        <w:ind w:right="200"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Release of Collateral</w:t>
      </w:r>
      <w:r>
        <w:rPr>
          <w:rFonts w:ascii="Times New Roman" w:cs="Times New Roman" w:eastAsia="Times New Roman" w:hAnsi="Times New Roman"/>
          <w:sz w:val="18"/>
          <w:szCs w:val="18"/>
          <w:color w:val="auto"/>
        </w:rPr>
        <w:t>. Upon any sale or other transfer by any Loan Party of any Collateral that is permitted under this Agreement, or upon the effectiveness of any written consent to the release of the security interest granted hereby in any Collateral pursuant to Section 9.02 of this Agreement, the Mortgage or other security interest in such Collateral shall be automatically released and the Collateral Agent is authorized to, and shall, take any action to effect the foregoing, including, without limitation, executing and delivering to the Borrower, in recordable form, discharges and releases of such Mortgage or other security interest.</w:t>
      </w:r>
    </w:p>
    <w:p>
      <w:pPr>
        <w:spacing w:after="0" w:line="187" w:lineRule="exact"/>
        <w:rPr>
          <w:sz w:val="20"/>
          <w:szCs w:val="20"/>
          <w:color w:val="auto"/>
        </w:rPr>
      </w:pPr>
    </w:p>
    <w:p>
      <w:pPr>
        <w:ind w:right="40"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7" w:lineRule="exact"/>
        <w:rPr>
          <w:sz w:val="20"/>
          <w:szCs w:val="20"/>
          <w:color w:val="auto"/>
        </w:rPr>
      </w:pPr>
    </w:p>
    <w:p>
      <w:pPr>
        <w:ind w:right="380" w:firstLine="972"/>
        <w:spacing w:after="0" w:line="267" w:lineRule="auto"/>
        <w:tabs>
          <w:tab w:leader="none" w:pos="1333" w:val="left"/>
        </w:tabs>
        <w:numPr>
          <w:ilvl w:val="1"/>
          <w:numId w:val="8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69" w:lineRule="exact"/>
        <w:rPr>
          <w:rFonts w:ascii="Times New Roman" w:cs="Times New Roman" w:eastAsia="Times New Roman" w:hAnsi="Times New Roman"/>
          <w:sz w:val="18"/>
          <w:szCs w:val="18"/>
          <w:color w:val="auto"/>
        </w:rPr>
      </w:pPr>
    </w:p>
    <w:p>
      <w:pPr>
        <w:ind w:left="1360" w:hanging="388"/>
        <w:spacing w:after="0"/>
        <w:tabs>
          <w:tab w:leader="none" w:pos="1360" w:val="left"/>
        </w:tabs>
        <w:numPr>
          <w:ilvl w:val="1"/>
          <w:numId w:val="8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08" w:lineRule="exact"/>
        <w:rPr>
          <w:rFonts w:ascii="Times New Roman" w:cs="Times New Roman" w:eastAsia="Times New Roman" w:hAnsi="Times New Roman"/>
          <w:sz w:val="18"/>
          <w:szCs w:val="18"/>
          <w:color w:val="auto"/>
        </w:rPr>
      </w:pPr>
    </w:p>
    <w:p>
      <w:pPr>
        <w:ind w:left="1180" w:hanging="333"/>
        <w:spacing w:after="0"/>
        <w:tabs>
          <w:tab w:leader="none" w:pos="1180" w:val="left"/>
        </w:tabs>
        <w:numPr>
          <w:ilvl w:val="0"/>
          <w:numId w:val="8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08" w:lineRule="exact"/>
        <w:rPr>
          <w:rFonts w:ascii="Times New Roman" w:cs="Times New Roman" w:eastAsia="Times New Roman" w:hAnsi="Times New Roman"/>
          <w:sz w:val="18"/>
          <w:szCs w:val="18"/>
          <w:color w:val="auto"/>
        </w:rPr>
      </w:pPr>
    </w:p>
    <w:p>
      <w:pPr>
        <w:ind w:left="440" w:right="140" w:firstLine="407"/>
        <w:spacing w:after="0" w:line="302" w:lineRule="auto"/>
        <w:tabs>
          <w:tab w:leader="none" w:pos="1240" w:val="left"/>
        </w:tabs>
        <w:numPr>
          <w:ilvl w:val="0"/>
          <w:numId w:val="8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40" w:lineRule="exact"/>
        <w:rPr>
          <w:rFonts w:ascii="Times New Roman" w:cs="Times New Roman" w:eastAsia="Times New Roman" w:hAnsi="Times New Roman"/>
          <w:sz w:val="16"/>
          <w:szCs w:val="16"/>
          <w:color w:val="auto"/>
        </w:rPr>
      </w:pPr>
    </w:p>
    <w:p>
      <w:pPr>
        <w:ind w:left="440" w:right="100" w:firstLine="407"/>
        <w:spacing w:after="0" w:line="267" w:lineRule="auto"/>
        <w:tabs>
          <w:tab w:leader="none" w:pos="1289" w:val="left"/>
        </w:tabs>
        <w:numPr>
          <w:ilvl w:val="0"/>
          <w:numId w:val="8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680"/>
          </w:cols>
          <w:pgMar w:left="580" w:top="266" w:right="639" w:bottom="1440" w:gutter="0" w:footer="0" w:header="0"/>
        </w:sectPr>
      </w:pPr>
    </w:p>
    <w:bookmarkStart w:id="814" w:name="page815"/>
    <w:bookmarkEnd w:id="814"/>
    <w:p>
      <w:pPr>
        <w:ind w:firstLine="964"/>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19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14605</wp:posOffset>
            </wp:positionV>
            <wp:extent cx="235902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1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James Rogers</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3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[Signature Page to Tempus Credit Agreement]</w:t>
      </w:r>
    </w:p>
    <w:p>
      <w:pPr>
        <w:sectPr>
          <w:pgSz w:w="11900" w:h="16838" w:orient="portrait"/>
          <w:cols w:equalWidth="0" w:num="1">
            <w:col w:w="10160"/>
          </w:cols>
          <w:pgMar w:left="580" w:top="265" w:right="1159" w:bottom="1440" w:gutter="0" w:footer="0" w:header="0"/>
        </w:sectPr>
      </w:pPr>
    </w:p>
    <w:bookmarkStart w:id="815" w:name="page816"/>
    <w:bookmarkEnd w:id="815"/>
    <w:p>
      <w:pPr>
        <w:ind w:left="558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ARES CAPITAL CORPORATION</w:t>
      </w:r>
      <w:r>
        <w:rPr>
          <w:rFonts w:ascii="Times New Roman" w:cs="Times New Roman" w:eastAsia="Times New Roman" w:hAnsi="Times New Roman"/>
          <w:sz w:val="16"/>
          <w:szCs w:val="16"/>
          <w:color w:val="auto"/>
        </w:rPr>
        <w:t>, as Administrative</w:t>
      </w:r>
    </w:p>
    <w:p>
      <w:pPr>
        <w:spacing w:after="0" w:line="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Agent, Collateral Agent and a Lender</w:t>
      </w:r>
    </w:p>
    <w:p>
      <w:pPr>
        <w:spacing w:after="0" w:line="193"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14605</wp:posOffset>
            </wp:positionV>
            <wp:extent cx="235902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Scott Lem</w:t>
      </w:r>
    </w:p>
    <w:p>
      <w:pPr>
        <w:spacing w:after="0" w:line="21"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ARES CAPITAL MANAGEMENT LLC</w:t>
      </w:r>
      <w:r>
        <w:rPr>
          <w:rFonts w:ascii="Times New Roman" w:cs="Times New Roman" w:eastAsia="Times New Roman" w:hAnsi="Times New Roman"/>
          <w:sz w:val="18"/>
          <w:szCs w:val="18"/>
          <w:color w:val="auto"/>
        </w:rPr>
        <w:t>, as Lead</w:t>
      </w:r>
    </w:p>
    <w:p>
      <w:pPr>
        <w:spacing w:after="0" w:line="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Arranger and Bookrunner</w:t>
      </w:r>
    </w:p>
    <w:p>
      <w:pPr>
        <w:spacing w:after="0" w:line="193"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14605</wp:posOffset>
            </wp:positionV>
            <wp:extent cx="235902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Scott Lem</w:t>
      </w:r>
    </w:p>
    <w:p>
      <w:pPr>
        <w:spacing w:after="0" w:line="21"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[Signature Page to Tempus Credit Agreement]</w:t>
      </w:r>
    </w:p>
    <w:p>
      <w:pPr>
        <w:sectPr>
          <w:pgSz w:w="11900" w:h="16838" w:orient="portrait"/>
          <w:cols w:equalWidth="0" w:num="1">
            <w:col w:w="9560"/>
          </w:cols>
          <w:pgMar w:left="1440" w:top="263" w:right="899" w:bottom="1440" w:gutter="0" w:footer="0" w:header="0"/>
        </w:sectPr>
      </w:pPr>
    </w:p>
    <w:bookmarkStart w:id="816" w:name="page817"/>
    <w:bookmarkEnd w:id="816"/>
    <w:p>
      <w:pPr>
        <w:ind w:left="5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ARES CREDIT STRATEGIES INSURANCE</w:t>
      </w:r>
    </w:p>
    <w:p>
      <w:pPr>
        <w:spacing w:after="0" w:line="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b w:val="1"/>
          <w:bCs w:val="1"/>
          <w:color w:val="auto"/>
        </w:rPr>
        <w:t>DEDICATED FUND SERIES INTERESTS OF SALI</w:t>
      </w:r>
    </w:p>
    <w:p>
      <w:pPr>
        <w:spacing w:after="0" w:line="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MULTI-SERIES FUND, L.P.</w:t>
      </w:r>
      <w:r>
        <w:rPr>
          <w:rFonts w:ascii="Times New Roman" w:cs="Times New Roman" w:eastAsia="Times New Roman" w:hAnsi="Times New Roman"/>
          <w:sz w:val="18"/>
          <w:szCs w:val="18"/>
          <w:color w:val="auto"/>
        </w:rPr>
        <w:t>, as Lender</w:t>
      </w:r>
    </w:p>
    <w:p>
      <w:pPr>
        <w:spacing w:after="0" w:line="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Ares Management LLC, its investment subadvisor</w:t>
      </w:r>
    </w:p>
    <w:p>
      <w:pPr>
        <w:spacing w:after="0" w:line="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Ares Capital Management LLC, as subadvisor</w:t>
      </w:r>
    </w:p>
    <w:p>
      <w:pPr>
        <w:spacing w:after="0" w:line="206"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14605</wp:posOffset>
            </wp:positionV>
            <wp:extent cx="235902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Scott Lem</w:t>
      </w:r>
    </w:p>
    <w:p>
      <w:pPr>
        <w:spacing w:after="0" w:line="21"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[Signature Page to Tempus Credit Agreement]</w:t>
      </w:r>
    </w:p>
    <w:p>
      <w:pPr>
        <w:sectPr>
          <w:pgSz w:w="11900" w:h="16838" w:orient="portrait"/>
          <w:cols w:equalWidth="0" w:num="1">
            <w:col w:w="9580"/>
          </w:cols>
          <w:pgMar w:left="1440" w:top="264" w:right="879" w:bottom="1440" w:gutter="0" w:footer="0" w:header="0"/>
        </w:sectPr>
      </w:pPr>
    </w:p>
    <w:bookmarkStart w:id="817" w:name="page818"/>
    <w:bookmarkEnd w:id="817"/>
    <w:p>
      <w:pPr>
        <w:ind w:left="558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ARES SFERS CREDIT STRATEGIES FUND LLC</w:t>
      </w:r>
      <w:r>
        <w:rPr>
          <w:rFonts w:ascii="Times New Roman" w:cs="Times New Roman" w:eastAsia="Times New Roman" w:hAnsi="Times New Roman"/>
          <w:sz w:val="16"/>
          <w:szCs w:val="16"/>
          <w:color w:val="auto"/>
        </w:rPr>
        <w:t>, as</w:t>
      </w:r>
    </w:p>
    <w:p>
      <w:pPr>
        <w:spacing w:after="0" w:line="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Lender</w:t>
      </w:r>
    </w:p>
    <w:p>
      <w:pPr>
        <w:spacing w:after="0" w:line="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By: Ares Capital Management LLC, its investment manager</w:t>
      </w:r>
    </w:p>
    <w:p>
      <w:pPr>
        <w:spacing w:after="0" w:line="229"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14605</wp:posOffset>
            </wp:positionV>
            <wp:extent cx="235902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Scott Lem</w:t>
      </w:r>
    </w:p>
    <w:p>
      <w:pPr>
        <w:spacing w:after="0" w:line="21"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[Signature Page to Tempus Credit Agreement]</w:t>
      </w:r>
    </w:p>
    <w:p>
      <w:pPr>
        <w:sectPr>
          <w:pgSz w:w="11900" w:h="16838" w:orient="portrait"/>
          <w:cols w:equalWidth="0" w:num="1">
            <w:col w:w="9800"/>
          </w:cols>
          <w:pgMar w:left="1440" w:top="263" w:right="659" w:bottom="1440" w:gutter="0" w:footer="0" w:header="0"/>
        </w:sectPr>
      </w:pPr>
    </w:p>
    <w:bookmarkStart w:id="818" w:name="page819"/>
    <w:bookmarkEnd w:id="818"/>
    <w:p>
      <w:pPr>
        <w:ind w:left="5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ARES DIRECT FINANCE I LLP, </w:t>
      </w:r>
      <w:r>
        <w:rPr>
          <w:rFonts w:ascii="Times New Roman" w:cs="Times New Roman" w:eastAsia="Times New Roman" w:hAnsi="Times New Roman"/>
          <w:sz w:val="18"/>
          <w:szCs w:val="18"/>
          <w:color w:val="auto"/>
        </w:rPr>
        <w:t>as Lender</w:t>
      </w:r>
    </w:p>
    <w:p>
      <w:pPr>
        <w:spacing w:after="0" w:line="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By: Ares Capital Management LLC, its investment manager</w:t>
      </w:r>
    </w:p>
    <w:p>
      <w:pPr>
        <w:spacing w:after="0" w:line="229"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14605</wp:posOffset>
            </wp:positionV>
            <wp:extent cx="235902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Scott Lem</w:t>
      </w:r>
    </w:p>
    <w:p>
      <w:pPr>
        <w:spacing w:after="0" w:line="21"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[Signature Page to Tempus Credit Agreement]</w:t>
      </w:r>
    </w:p>
    <w:p>
      <w:pPr>
        <w:sectPr>
          <w:pgSz w:w="11900" w:h="16838" w:orient="portrait"/>
          <w:cols w:equalWidth="0" w:num="1">
            <w:col w:w="9800"/>
          </w:cols>
          <w:pgMar w:left="1440" w:top="263" w:right="659" w:bottom="1440" w:gutter="0" w:footer="0" w:header="0"/>
        </w:sectPr>
      </w:pPr>
    </w:p>
    <w:bookmarkStart w:id="819" w:name="page820"/>
    <w:bookmarkEnd w:id="819"/>
    <w:p>
      <w:pPr>
        <w:ind w:left="5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78040" cy="38100"/>
                    </a:xfrm>
                    <a:prstGeom prst="rect">
                      <a:avLst/>
                    </a:prstGeom>
                    <a:noFill/>
                  </pic:spPr>
                </pic:pic>
              </a:graphicData>
            </a:graphic>
          </wp:anchor>
        </w:drawing>
        <w:t>AO MIDDLE MARKET CREDIT L.P.</w:t>
      </w:r>
      <w:r>
        <w:rPr>
          <w:rFonts w:ascii="Times New Roman" w:cs="Times New Roman" w:eastAsia="Times New Roman" w:hAnsi="Times New Roman"/>
          <w:sz w:val="18"/>
          <w:szCs w:val="18"/>
          <w:color w:val="auto"/>
        </w:rPr>
        <w:t>, as a Lender</w:t>
      </w:r>
    </w:p>
    <w:p>
      <w:pPr>
        <w:spacing w:after="0" w:line="2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by its general partner, OCM Middle Market Credit G.P. Inc.</w:t>
      </w:r>
    </w:p>
    <w:p>
      <w:pPr>
        <w:spacing w:after="0" w:line="234"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14605</wp:posOffset>
            </wp:positionV>
            <wp:extent cx="235902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K. Patel</w:t>
      </w:r>
    </w:p>
    <w:p>
      <w:pPr>
        <w:spacing w:after="0" w:line="21"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93"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Jeremy Ehrlich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14605</wp:posOffset>
            </wp:positionV>
            <wp:extent cx="235902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J. Ehrlich</w:t>
      </w:r>
    </w:p>
    <w:p>
      <w:pPr>
        <w:spacing w:after="0" w:line="21"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[Signature Page to Tempus Credit Agreement]</w:t>
      </w:r>
    </w:p>
    <w:p>
      <w:pPr>
        <w:sectPr>
          <w:pgSz w:w="11900" w:h="16838" w:orient="portrait"/>
          <w:cols w:equalWidth="0" w:num="1">
            <w:col w:w="9760"/>
          </w:cols>
          <w:pgMar w:left="1440" w:top="264" w:right="699" w:bottom="1440" w:gutter="0" w:footer="0" w:header="0"/>
        </w:sectPr>
      </w:pPr>
    </w:p>
    <w:bookmarkStart w:id="820" w:name="page821"/>
    <w:bookmarkEnd w:id="820"/>
    <w:p>
      <w:pPr>
        <w:ind w:left="5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AO MIDDLE MARKET CREDIT L.P., </w:t>
      </w:r>
      <w:r>
        <w:rPr>
          <w:rFonts w:ascii="Times New Roman" w:cs="Times New Roman" w:eastAsia="Times New Roman" w:hAnsi="Times New Roman"/>
          <w:sz w:val="18"/>
          <w:szCs w:val="18"/>
          <w:color w:val="auto"/>
        </w:rPr>
        <w:t>as a Lender</w:t>
      </w:r>
    </w:p>
    <w:p>
      <w:pPr>
        <w:spacing w:after="0" w:line="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By: OCM Middle Market Credit G.P. Inc., its general partner</w:t>
      </w:r>
    </w:p>
    <w:p>
      <w:pPr>
        <w:spacing w:after="0" w:line="2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13335</wp:posOffset>
            </wp:positionV>
            <wp:extent cx="235902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13335</wp:posOffset>
            </wp:positionV>
            <wp:extent cx="235902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13335</wp:posOffset>
            </wp:positionV>
            <wp:extent cx="235902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2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ARES DIVERSIFIED CREDIT STRATEGIES FUND</w:t>
      </w:r>
    </w:p>
    <w:p>
      <w:pPr>
        <w:spacing w:after="0" w:line="23" w:lineRule="exact"/>
        <w:rPr>
          <w:sz w:val="20"/>
          <w:szCs w:val="20"/>
          <w:color w:val="auto"/>
        </w:rPr>
      </w:pPr>
    </w:p>
    <w:p>
      <w:pPr>
        <w:ind w:left="5840" w:hanging="259"/>
        <w:spacing w:after="0"/>
        <w:tabs>
          <w:tab w:leader="none" w:pos="5840" w:val="left"/>
        </w:tabs>
        <w:numPr>
          <w:ilvl w:val="0"/>
          <w:numId w:val="8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L.P., </w:t>
      </w:r>
      <w:r>
        <w:rPr>
          <w:rFonts w:ascii="Times New Roman" w:cs="Times New Roman" w:eastAsia="Times New Roman" w:hAnsi="Times New Roman"/>
          <w:sz w:val="18"/>
          <w:szCs w:val="18"/>
          <w:color w:val="auto"/>
        </w:rPr>
        <w:t>as Lender</w:t>
      </w:r>
    </w:p>
    <w:p>
      <w:pPr>
        <w:spacing w:after="0" w:line="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Ares Management LLC, its investment manager</w:t>
      </w:r>
    </w:p>
    <w:p>
      <w:pPr>
        <w:spacing w:after="0" w:line="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Ares Capital Management LLC, its sub-advisor</w:t>
      </w:r>
    </w:p>
    <w:p>
      <w:pPr>
        <w:spacing w:after="0" w:line="193"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14605</wp:posOffset>
            </wp:positionV>
            <wp:extent cx="235902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Scott Lem</w:t>
      </w:r>
    </w:p>
    <w:p>
      <w:pPr>
        <w:spacing w:after="0" w:line="21"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[Signature Page to Tempus Credit Agreement]</w:t>
      </w:r>
    </w:p>
    <w:p>
      <w:pPr>
        <w:sectPr>
          <w:pgSz w:w="11900" w:h="16838" w:orient="portrait"/>
          <w:cols w:equalWidth="0" w:num="1">
            <w:col w:w="9860"/>
          </w:cols>
          <w:pgMar w:left="1440" w:top="263" w:right="599" w:bottom="1440" w:gutter="0" w:footer="0" w:header="0"/>
        </w:sectPr>
      </w:pPr>
    </w:p>
    <w:bookmarkStart w:id="821" w:name="page822"/>
    <w:bookmarkEnd w:id="82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ASSIGNMENT AND ASSUMPTION</w:t>
      </w:r>
    </w:p>
    <w:p>
      <w:pPr>
        <w:spacing w:after="0" w:line="193" w:lineRule="exact"/>
        <w:rPr>
          <w:sz w:val="20"/>
          <w:szCs w:val="20"/>
          <w:color w:val="auto"/>
        </w:rPr>
      </w:pPr>
    </w:p>
    <w:p>
      <w:pPr>
        <w:ind w:right="80" w:firstLine="964"/>
        <w:spacing w:after="0" w:line="247" w:lineRule="auto"/>
        <w:rPr>
          <w:sz w:val="20"/>
          <w:szCs w:val="20"/>
          <w:color w:val="auto"/>
        </w:rPr>
      </w:pPr>
      <w:r>
        <w:rPr>
          <w:rFonts w:ascii="Times New Roman" w:cs="Times New Roman" w:eastAsia="Times New Roman" w:hAnsi="Times New Roman"/>
          <w:sz w:val="18"/>
          <w:szCs w:val="18"/>
          <w:color w:val="auto"/>
        </w:rPr>
        <w:t>This Assignment and Assumption is dated as of the date set forth below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and is entered into by and between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each</w:t>
      </w:r>
      <w:r>
        <w:rPr>
          <w:rFonts w:ascii="Times New Roman" w:cs="Times New Roman" w:eastAsia="Times New Roman" w:hAnsi="Times New Roman"/>
          <w:sz w:val="18"/>
          <w:szCs w:val="18"/>
          <w:color w:val="auto"/>
        </w:rPr>
        <w:t>] Assignor (as defined below) and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each</w:t>
      </w:r>
      <w:r>
        <w:rPr>
          <w:rFonts w:ascii="Times New Roman" w:cs="Times New Roman" w:eastAsia="Times New Roman" w:hAnsi="Times New Roman"/>
          <w:sz w:val="18"/>
          <w:szCs w:val="18"/>
          <w:color w:val="auto"/>
        </w:rPr>
        <w:t>] Assignee (as defined below). Capitalized terms used in this Assignment and Assumption and not otherwise defined herein have the meanings specified in the Credit Agreement dated as of September 22, 2022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Tempus Labs,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party thereto from time to time, Ares Capital Corporation, as Administrative Agent, and Ares Capital Management LLC, as Lead Arranger and Bookrunner, receipt of a copy of which is hereby acknowledged by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each</w:t>
      </w:r>
      <w:r>
        <w:rPr>
          <w:rFonts w:ascii="Times New Roman" w:cs="Times New Roman" w:eastAsia="Times New Roman" w:hAnsi="Times New Roman"/>
          <w:sz w:val="18"/>
          <w:szCs w:val="18"/>
          <w:color w:val="auto"/>
        </w:rPr>
        <w:t xml:space="preserve">] Assignee. The Standard Terms and Conditions set forth in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Standard Terms</w:t>
      </w:r>
      <w:r>
        <w:rPr>
          <w:rFonts w:ascii="Times New Roman" w:cs="Times New Roman" w:eastAsia="Times New Roman" w:hAnsi="Times New Roman"/>
          <w:sz w:val="18"/>
          <w:szCs w:val="18"/>
          <w:color w:val="auto"/>
        </w:rPr>
        <w:t>”) are hereby agreed to and incorporated herein by reference and made a part of this Assignment and Assumption as if set forth herein in full.</w:t>
      </w:r>
    </w:p>
    <w:p>
      <w:pPr>
        <w:spacing w:after="0" w:line="186" w:lineRule="exact"/>
        <w:rPr>
          <w:sz w:val="20"/>
          <w:szCs w:val="20"/>
          <w:color w:val="auto"/>
        </w:rPr>
      </w:pPr>
    </w:p>
    <w:p>
      <w:pPr>
        <w:ind w:right="80" w:firstLine="964"/>
        <w:spacing w:after="0" w:line="279" w:lineRule="auto"/>
        <w:rPr>
          <w:sz w:val="20"/>
          <w:szCs w:val="20"/>
          <w:color w:val="auto"/>
        </w:rPr>
      </w:pPr>
      <w:r>
        <w:rPr>
          <w:rFonts w:ascii="Times New Roman" w:cs="Times New Roman" w:eastAsia="Times New Roman" w:hAnsi="Times New Roman"/>
          <w:sz w:val="16"/>
          <w:szCs w:val="16"/>
          <w:color w:val="auto"/>
        </w:rPr>
        <w:t>For an agreed consideration,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each</w:t>
      </w:r>
      <w:r>
        <w:rPr>
          <w:rFonts w:ascii="Times New Roman" w:cs="Times New Roman" w:eastAsia="Times New Roman" w:hAnsi="Times New Roman"/>
          <w:sz w:val="16"/>
          <w:szCs w:val="16"/>
          <w:color w:val="auto"/>
        </w:rPr>
        <w:t>] Assignor hereby irrevocably sells and assigns to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each</w:t>
      </w:r>
      <w:r>
        <w:rPr>
          <w:rFonts w:ascii="Times New Roman" w:cs="Times New Roman" w:eastAsia="Times New Roman" w:hAnsi="Times New Roman"/>
          <w:sz w:val="16"/>
          <w:szCs w:val="16"/>
          <w:color w:val="auto"/>
        </w:rPr>
        <w:t>] Assignee, and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each</w:t>
      </w:r>
      <w:r>
        <w:rPr>
          <w:rFonts w:ascii="Times New Roman" w:cs="Times New Roman" w:eastAsia="Times New Roman" w:hAnsi="Times New Roman"/>
          <w:sz w:val="16"/>
          <w:szCs w:val="16"/>
          <w:color w:val="auto"/>
        </w:rPr>
        <w:t>] Assignee hereby irrevocably purchases and assumes from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each</w:t>
      </w:r>
      <w:r>
        <w:rPr>
          <w:rFonts w:ascii="Times New Roman" w:cs="Times New Roman" w:eastAsia="Times New Roman" w:hAnsi="Times New Roman"/>
          <w:sz w:val="16"/>
          <w:szCs w:val="16"/>
          <w:color w:val="auto"/>
        </w:rPr>
        <w:t>] Assignor, subject to and in accordance with the Standard Terms and the Credit Agreement, as of the Effective Date inserted by Administrative Agent as contemplated below (a) all of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each</w:t>
      </w:r>
      <w:r>
        <w:rPr>
          <w:rFonts w:ascii="Times New Roman" w:cs="Times New Roman" w:eastAsia="Times New Roman" w:hAnsi="Times New Roman"/>
          <w:sz w:val="16"/>
          <w:szCs w:val="16"/>
          <w:color w:val="auto"/>
        </w:rPr>
        <w:t>]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each</w:t>
      </w:r>
      <w:r>
        <w:rPr>
          <w:rFonts w:ascii="Times New Roman" w:cs="Times New Roman" w:eastAsia="Times New Roman" w:hAnsi="Times New Roman"/>
          <w:sz w:val="16"/>
          <w:szCs w:val="16"/>
          <w:color w:val="auto"/>
        </w:rPr>
        <w:t>] Assignor under the facility identified below and</w:t>
      </w:r>
    </w:p>
    <w:p>
      <w:pPr>
        <w:spacing w:after="0" w:line="1" w:lineRule="exact"/>
        <w:rPr>
          <w:sz w:val="20"/>
          <w:szCs w:val="20"/>
          <w:color w:val="auto"/>
        </w:rPr>
      </w:pPr>
    </w:p>
    <w:p>
      <w:pPr>
        <w:ind w:right="140" w:firstLine="8"/>
        <w:spacing w:after="0" w:line="244" w:lineRule="auto"/>
        <w:tabs>
          <w:tab w:leader="none" w:pos="248" w:val="left"/>
        </w:tabs>
        <w:numPr>
          <w:ilvl w:val="0"/>
          <w:numId w:val="8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to be assigned under applicable law, all claims, suits, causes of action and any other right of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each</w:t>
      </w:r>
      <w:r>
        <w:rPr>
          <w:rFonts w:ascii="Times New Roman" w:cs="Times New Roman" w:eastAsia="Times New Roman" w:hAnsi="Times New Roman"/>
          <w:sz w:val="18"/>
          <w:szCs w:val="18"/>
          <w:color w:val="auto"/>
        </w:rPr>
        <w:t>]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(a) above (the rights and obligations sold and assigned pursuant to clauses (a) and (b) above being referred to herein collectively as the “Assigned Interest”). Such sale and assignment is without recourse to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each</w:t>
      </w:r>
      <w:r>
        <w:rPr>
          <w:rFonts w:ascii="Times New Roman" w:cs="Times New Roman" w:eastAsia="Times New Roman" w:hAnsi="Times New Roman"/>
          <w:sz w:val="18"/>
          <w:szCs w:val="18"/>
          <w:color w:val="auto"/>
        </w:rPr>
        <w:t>] Assignor and, except as expressly provided in this Assignment and Assumption, without representation or warranty by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such</w:t>
      </w:r>
      <w:r>
        <w:rPr>
          <w:rFonts w:ascii="Times New Roman" w:cs="Times New Roman" w:eastAsia="Times New Roman" w:hAnsi="Times New Roman"/>
          <w:sz w:val="18"/>
          <w:szCs w:val="18"/>
          <w:color w:val="auto"/>
        </w:rPr>
        <w:t>] Assignor.</w:t>
      </w:r>
    </w:p>
    <w:p>
      <w:pPr>
        <w:spacing w:after="0" w:line="18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Exhibit A</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264" w:right="599" w:bottom="1440" w:gutter="0" w:footer="0" w:header="0"/>
        </w:sectPr>
      </w:pPr>
    </w:p>
    <w:bookmarkStart w:id="822" w:name="page823"/>
    <w:bookmarkEnd w:id="822"/>
    <w:p>
      <w:pPr>
        <w:ind w:left="952" w:hanging="532"/>
        <w:spacing w:after="0"/>
        <w:tabs>
          <w:tab w:leader="none" w:pos="952" w:val="left"/>
        </w:tabs>
        <w:numPr>
          <w:ilvl w:val="0"/>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178040" cy="36830"/>
                    </a:xfrm>
                    <a:prstGeom prst="rect">
                      <a:avLst/>
                    </a:prstGeom>
                    <a:noFill/>
                  </pic:spPr>
                </pic:pic>
              </a:graphicData>
            </a:graphic>
          </wp:anchor>
        </w:drawing>
        <w:t>Assignor</w:t>
      </w: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952" w:hanging="532"/>
        <w:spacing w:after="0"/>
        <w:tabs>
          <w:tab w:leader="none" w:pos="952" w:val="left"/>
        </w:tabs>
        <w:numPr>
          <w:ilvl w:val="0"/>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1223645</wp:posOffset>
            </wp:positionH>
            <wp:positionV relativeFrom="paragraph">
              <wp:posOffset>-217805</wp:posOffset>
            </wp:positionV>
            <wp:extent cx="15830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583055" cy="825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-9525</wp:posOffset>
            </wp:positionV>
            <wp:extent cx="158305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583055" cy="8255"/>
                    </a:xfrm>
                    <a:prstGeom prst="rect">
                      <a:avLst/>
                    </a:prstGeom>
                    <a:noFill/>
                  </pic:spPr>
                </pic:pic>
              </a:graphicData>
            </a:graphic>
          </wp:anchor>
        </w:drawing>
      </w:r>
    </w:p>
    <w:p>
      <w:pPr>
        <w:spacing w:after="0" w:line="85" w:lineRule="exact"/>
        <w:rPr>
          <w:sz w:val="20"/>
          <w:szCs w:val="20"/>
          <w:color w:val="auto"/>
        </w:rPr>
      </w:pPr>
    </w:p>
    <w:tbl>
      <w:tblPr>
        <w:tblLayout w:type="fixed"/>
        <w:tblInd w:w="412"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[Assignee is an Affiliate of:</w:t>
            </w:r>
          </w:p>
        </w:tc>
        <w:tc>
          <w:tcPr>
            <w:tcW w:w="580" w:type="dxa"/>
            <w:vAlign w:val="bottom"/>
          </w:tcPr>
          <w:p>
            <w:pPr>
              <w:spacing w:after="0"/>
              <w:rPr>
                <w:sz w:val="17"/>
                <w:szCs w:val="17"/>
                <w:color w:val="auto"/>
              </w:rPr>
            </w:pPr>
          </w:p>
        </w:tc>
        <w:tc>
          <w:tcPr>
            <w:tcW w:w="2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8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w w:val="97"/>
              </w:rPr>
              <w:t>[Assignee is an Approved Fund of:</w:t>
            </w: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6" w:lineRule="exact"/>
        <w:rPr>
          <w:sz w:val="20"/>
          <w:szCs w:val="20"/>
          <w:color w:val="auto"/>
        </w:rPr>
      </w:pPr>
    </w:p>
    <w:p>
      <w:pPr>
        <w:ind w:left="952" w:hanging="532"/>
        <w:spacing w:after="0"/>
        <w:tabs>
          <w:tab w:leader="none" w:pos="952" w:val="left"/>
        </w:tabs>
        <w:numPr>
          <w:ilvl w:val="0"/>
          <w:numId w:val="8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TEMPUS LABS, INC.</w:t>
      </w:r>
    </w:p>
    <w:p>
      <w:pPr>
        <w:spacing w:after="0" w:line="121" w:lineRule="exact"/>
        <w:rPr>
          <w:rFonts w:ascii="Times New Roman" w:cs="Times New Roman" w:eastAsia="Times New Roman" w:hAnsi="Times New Roman"/>
          <w:sz w:val="18"/>
          <w:szCs w:val="18"/>
          <w:color w:val="auto"/>
        </w:rPr>
      </w:pPr>
    </w:p>
    <w:p>
      <w:pPr>
        <w:ind w:left="952" w:hanging="532"/>
        <w:spacing w:after="0"/>
        <w:tabs>
          <w:tab w:leader="none" w:pos="952" w:val="left"/>
        </w:tabs>
        <w:numPr>
          <w:ilvl w:val="0"/>
          <w:numId w:val="8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ARES CAPITAL CORPORATION, as Administrative Agent under the Credit Agreement.</w:t>
      </w:r>
    </w:p>
    <w:p>
      <w:pPr>
        <w:spacing w:after="0" w:line="121" w:lineRule="exact"/>
        <w:rPr>
          <w:rFonts w:ascii="Times New Roman" w:cs="Times New Roman" w:eastAsia="Times New Roman" w:hAnsi="Times New Roman"/>
          <w:sz w:val="18"/>
          <w:szCs w:val="18"/>
          <w:color w:val="auto"/>
        </w:rPr>
      </w:pPr>
    </w:p>
    <w:p>
      <w:pPr>
        <w:ind w:left="952" w:hanging="532"/>
        <w:spacing w:after="0"/>
        <w:tabs>
          <w:tab w:leader="none" w:pos="952" w:val="left"/>
        </w:tabs>
        <w:numPr>
          <w:ilvl w:val="0"/>
          <w:numId w:val="8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w:t>
      </w:r>
    </w:p>
    <w:p>
      <w:pPr>
        <w:spacing w:after="0" w:line="217" w:lineRule="exact"/>
        <w:rPr>
          <w:sz w:val="20"/>
          <w:szCs w:val="20"/>
          <w:color w:val="auto"/>
        </w:rPr>
      </w:pPr>
    </w:p>
    <w:tbl>
      <w:tblPr>
        <w:tblLayout w:type="fixed"/>
        <w:tblInd w:w="412"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2460" w:type="dxa"/>
            <w:vAlign w:val="bottom"/>
            <w:gridSpan w:val="2"/>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w w:val="99"/>
              </w:rPr>
              <w:t>Aggregate Amount of</w:t>
            </w:r>
          </w:p>
        </w:tc>
        <w:tc>
          <w:tcPr>
            <w:tcW w:w="224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w w:val="96"/>
              </w:rPr>
              <w:t>Amount of Term</w:t>
            </w:r>
          </w:p>
        </w:tc>
        <w:tc>
          <w:tcPr>
            <w:tcW w:w="2600" w:type="dxa"/>
            <w:vAlign w:val="bottom"/>
            <w:gridSpan w:val="3"/>
            <w:vMerge w:val="restart"/>
          </w:tcPr>
          <w:p>
            <w:pPr>
              <w:jc w:val="center"/>
              <w:ind w:left="970"/>
              <w:spacing w:after="0"/>
              <w:rPr>
                <w:sz w:val="20"/>
                <w:szCs w:val="20"/>
                <w:color w:val="auto"/>
              </w:rPr>
            </w:pPr>
            <w:r>
              <w:rPr>
                <w:rFonts w:ascii="Times New Roman" w:cs="Times New Roman" w:eastAsia="Times New Roman" w:hAnsi="Times New Roman"/>
                <w:sz w:val="14"/>
                <w:szCs w:val="14"/>
                <w:b w:val="1"/>
                <w:bCs w:val="1"/>
                <w:color w:val="auto"/>
                <w:w w:val="98"/>
              </w:rPr>
              <w:t>Percentage of Term</w:t>
            </w:r>
          </w:p>
        </w:tc>
        <w:tc>
          <w:tcPr>
            <w:tcW w:w="0" w:type="dxa"/>
            <w:vAlign w:val="bottom"/>
          </w:tcPr>
          <w:p>
            <w:pPr>
              <w:spacing w:after="0"/>
              <w:rPr>
                <w:sz w:val="1"/>
                <w:szCs w:val="1"/>
                <w:color w:val="auto"/>
              </w:rPr>
            </w:pPr>
          </w:p>
        </w:tc>
      </w:tr>
      <w:tr>
        <w:trPr>
          <w:trHeight w:val="143"/>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180" w:type="dxa"/>
            <w:vAlign w:val="bottom"/>
          </w:tcPr>
          <w:p>
            <w:pPr>
              <w:spacing w:after="0"/>
              <w:rPr>
                <w:sz w:val="12"/>
                <w:szCs w:val="12"/>
                <w:color w:val="auto"/>
              </w:rPr>
            </w:pPr>
          </w:p>
        </w:tc>
        <w:tc>
          <w:tcPr>
            <w:tcW w:w="12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All Lenders’ Term</w:t>
            </w:r>
          </w:p>
        </w:tc>
        <w:tc>
          <w:tcPr>
            <w:tcW w:w="2240" w:type="dxa"/>
            <w:vAlign w:val="bottom"/>
            <w:gridSpan w:val="2"/>
            <w:vMerge w:val="continue"/>
          </w:tcPr>
          <w:p>
            <w:pPr>
              <w:spacing w:after="0"/>
              <w:rPr>
                <w:sz w:val="12"/>
                <w:szCs w:val="12"/>
                <w:color w:val="auto"/>
              </w:rPr>
            </w:pPr>
          </w:p>
        </w:tc>
        <w:tc>
          <w:tcPr>
            <w:tcW w:w="2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Assigned</w:t>
            </w:r>
          </w:p>
        </w:tc>
        <w:tc>
          <w:tcPr>
            <w:tcW w:w="11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24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Loans Assigned</w:t>
            </w:r>
          </w:p>
        </w:tc>
        <w:tc>
          <w:tcPr>
            <w:tcW w:w="1240" w:type="dxa"/>
            <w:vAlign w:val="bottom"/>
          </w:tcPr>
          <w:p>
            <w:pPr>
              <w:spacing w:after="0"/>
              <w:rPr>
                <w:sz w:val="14"/>
                <w:szCs w:val="14"/>
                <w:color w:val="auto"/>
              </w:rPr>
            </w:pPr>
          </w:p>
        </w:tc>
        <w:tc>
          <w:tcPr>
            <w:tcW w:w="1360" w:type="dxa"/>
            <w:vAlign w:val="bottom"/>
            <w:gridSpan w:val="2"/>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8"/>
              </w:rPr>
              <w:t>Loans Assigned</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jc w:val="right"/>
              <w:ind w:right="1126"/>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89"/>
        </w:trPr>
        <w:tc>
          <w:tcPr>
            <w:tcW w:w="4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tcPr>
          <w:p>
            <w:pPr>
              <w:spacing w:after="0"/>
              <w:rPr>
                <w:sz w:val="24"/>
                <w:szCs w:val="24"/>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1180" w:type="dxa"/>
            <w:vAlign w:val="bottom"/>
          </w:tcPr>
          <w:p>
            <w:pPr>
              <w:jc w:val="right"/>
              <w:ind w:right="481"/>
              <w:spacing w:after="0" w:line="288" w:lineRule="exact"/>
              <w:rPr>
                <w:sz w:val="20"/>
                <w:szCs w:val="20"/>
                <w:color w:val="auto"/>
              </w:rPr>
            </w:pPr>
            <w:r>
              <w:rPr>
                <w:rFonts w:ascii="Times New Roman" w:cs="Times New Roman" w:eastAsia="Times New Roman" w:hAnsi="Times New Roman"/>
                <w:sz w:val="18"/>
                <w:szCs w:val="18"/>
                <w:color w:val="auto"/>
              </w:rPr>
              <w:t xml:space="preserve">, 20  . </w:t>
            </w:r>
            <w:r>
              <w:rPr>
                <w:rFonts w:ascii="Times New Roman" w:cs="Times New Roman" w:eastAsia="Times New Roman" w:hAnsi="Times New Roman"/>
                <w:sz w:val="26"/>
                <w:szCs w:val="26"/>
                <w:color w:val="auto"/>
                <w:vertAlign w:val="superscript"/>
              </w:rPr>
              <w:t>1</w:t>
            </w: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375285</wp:posOffset>
            </wp:positionV>
            <wp:extent cx="75057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412" w:hanging="412"/>
        <w:spacing w:after="0"/>
        <w:tabs>
          <w:tab w:leader="none" w:pos="412" w:val="left"/>
        </w:tabs>
        <w:numPr>
          <w:ilvl w:val="0"/>
          <w:numId w:val="84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To be inserted by Administrative Agent and which shall be the effective date of recordation of transfer in the register therefor.</w:t>
      </w:r>
    </w:p>
    <w:p>
      <w:pPr>
        <w:spacing w:after="0" w:line="127" w:lineRule="exact"/>
        <w:rPr>
          <w:sz w:val="20"/>
          <w:szCs w:val="20"/>
          <w:color w:val="auto"/>
        </w:rPr>
      </w:pPr>
    </w:p>
    <w:p>
      <w:pPr>
        <w:jc w:val="center"/>
        <w:ind w:right="-832"/>
        <w:spacing w:after="0"/>
        <w:rPr>
          <w:sz w:val="20"/>
          <w:szCs w:val="20"/>
          <w:color w:val="auto"/>
        </w:rPr>
      </w:pPr>
      <w:r>
        <w:rPr>
          <w:rFonts w:ascii="Times New Roman" w:cs="Times New Roman" w:eastAsia="Times New Roman" w:hAnsi="Times New Roman"/>
          <w:sz w:val="18"/>
          <w:szCs w:val="18"/>
          <w:color w:val="auto"/>
        </w:rPr>
        <w:t>Exhibit A</w:t>
      </w:r>
    </w:p>
    <w:p>
      <w:pPr>
        <w:spacing w:after="0" w:line="21" w:lineRule="exact"/>
        <w:rPr>
          <w:sz w:val="20"/>
          <w:szCs w:val="20"/>
          <w:color w:val="auto"/>
        </w:rPr>
      </w:pPr>
    </w:p>
    <w:p>
      <w:pPr>
        <w:jc w:val="center"/>
        <w:ind w:right="-832"/>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872"/>
          </w:cols>
          <w:pgMar w:left="588" w:top="263" w:right="1440" w:bottom="1440" w:gutter="0" w:footer="0" w:header="0"/>
        </w:sectPr>
      </w:pPr>
    </w:p>
    <w:bookmarkStart w:id="823" w:name="page824"/>
    <w:bookmarkEnd w:id="823"/>
    <w:p>
      <w:pPr>
        <w:ind w:left="432"/>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terms set forth by this Assignment and Assumption are hereby agreed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2220595</wp:posOffset>
            </wp:positionV>
            <wp:extent cx="75057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12" w:hanging="412"/>
        <w:spacing w:after="0"/>
        <w:tabs>
          <w:tab w:leader="none" w:pos="412" w:val="left"/>
        </w:tabs>
        <w:numPr>
          <w:ilvl w:val="0"/>
          <w:numId w:val="84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Additional signature blocks may be added as appropriate.</w:t>
      </w:r>
    </w:p>
    <w:p>
      <w:pPr>
        <w:ind w:left="412" w:hanging="412"/>
        <w:spacing w:after="0" w:line="182" w:lineRule="auto"/>
        <w:tabs>
          <w:tab w:leader="none" w:pos="412" w:val="left"/>
        </w:tabs>
        <w:numPr>
          <w:ilvl w:val="0"/>
          <w:numId w:val="84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Additional signature blocks may be added as appropriate.</w:t>
      </w:r>
    </w:p>
    <w:p>
      <w:pPr>
        <w:spacing w:after="0" w:line="127" w:lineRule="exact"/>
        <w:rPr>
          <w:sz w:val="20"/>
          <w:szCs w:val="20"/>
          <w:color w:val="auto"/>
        </w:rPr>
      </w:pPr>
    </w:p>
    <w:p>
      <w:pPr>
        <w:jc w:val="center"/>
        <w:ind w:left="4852"/>
        <w:spacing w:after="0"/>
        <w:rPr>
          <w:sz w:val="20"/>
          <w:szCs w:val="20"/>
          <w:color w:val="auto"/>
        </w:rPr>
      </w:pPr>
      <w:r>
        <w:rPr>
          <w:rFonts w:ascii="Times New Roman" w:cs="Times New Roman" w:eastAsia="Times New Roman" w:hAnsi="Times New Roman"/>
          <w:sz w:val="18"/>
          <w:szCs w:val="18"/>
          <w:color w:val="auto"/>
        </w:rPr>
        <w:t>Exhibit A</w:t>
      </w:r>
    </w:p>
    <w:p>
      <w:pPr>
        <w:spacing w:after="0" w:line="21" w:lineRule="exact"/>
        <w:rPr>
          <w:sz w:val="20"/>
          <w:szCs w:val="20"/>
          <w:color w:val="auto"/>
        </w:rPr>
      </w:pPr>
    </w:p>
    <w:p>
      <w:pPr>
        <w:jc w:val="center"/>
        <w:ind w:left="485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Assignor</w:t>
      </w:r>
      <w:r>
        <w:rPr>
          <w:rFonts w:ascii="Times New Roman" w:cs="Times New Roman" w:eastAsia="Times New Roman" w:hAnsi="Times New Roman"/>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-186690</wp:posOffset>
            </wp:positionV>
            <wp:extent cx="271780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235902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271780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Assignee</w:t>
      </w:r>
      <w:r>
        <w:rPr>
          <w:rFonts w:ascii="Times New Roman" w:cs="Times New Roman" w:eastAsia="Times New Roman" w:hAnsi="Times New Roman"/>
          <w:sz w:val="25"/>
          <w:szCs w:val="25"/>
          <w:color w:val="auto"/>
          <w:vertAlign w:val="superscript"/>
        </w:rPr>
        <w:t>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235902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2">
            <w:col w:w="5852" w:space="580"/>
            <w:col w:w="3439"/>
          </w:cols>
          <w:pgMar w:left="588" w:top="266" w:right="1440" w:bottom="1440" w:gutter="0" w:footer="0" w:header="0"/>
        </w:sectPr>
      </w:pPr>
    </w:p>
    <w:bookmarkStart w:id="824" w:name="page825"/>
    <w:bookmarkEnd w:id="824"/>
    <w:p>
      <w:pPr>
        <w:ind w:left="6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[Consented to and] Accepted:</w:t>
      </w:r>
    </w:p>
    <w:p>
      <w:pPr>
        <w:spacing w:after="0" w:line="21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b w:val="1"/>
          <w:bCs w:val="1"/>
          <w:color w:val="auto"/>
        </w:rPr>
        <w:t>ARES CAPITAL CORPORATION</w:t>
      </w:r>
      <w:r>
        <w:rPr>
          <w:rFonts w:ascii="Times New Roman" w:cs="Times New Roman" w:eastAsia="Times New Roman" w:hAnsi="Times New Roman"/>
          <w:sz w:val="16"/>
          <w:szCs w:val="16"/>
          <w:color w:val="auto"/>
        </w:rPr>
        <w:t>,</w:t>
      </w:r>
    </w:p>
    <w:p>
      <w:pPr>
        <w:spacing w:after="0" w:line="4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13335</wp:posOffset>
            </wp:positionV>
            <wp:extent cx="230949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230949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TEMPUS LABS, INC.</w:t>
      </w:r>
      <w:r>
        <w:rPr>
          <w:rFonts w:ascii="Times New Roman" w:cs="Times New Roman" w:eastAsia="Times New Roman" w:hAnsi="Times New Roman"/>
          <w:sz w:val="18"/>
          <w:szCs w:val="18"/>
          <w:color w:val="auto"/>
        </w:rPr>
        <w:t>, a Delaware corporation</w:t>
      </w:r>
      <w:r>
        <w:rPr>
          <w:rFonts w:ascii="Times New Roman" w:cs="Times New Roman" w:eastAsia="Times New Roman" w:hAnsi="Times New Roman"/>
          <w:sz w:val="26"/>
          <w:szCs w:val="26"/>
          <w:color w:val="auto"/>
          <w:vertAlign w:val="superscript"/>
        </w:rPr>
        <w:t>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-10795</wp:posOffset>
            </wp:positionV>
            <wp:extent cx="191643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91643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 w:lineRule="exact"/>
        <w:rPr>
          <w:sz w:val="20"/>
          <w:szCs w:val="20"/>
          <w:color w:val="auto"/>
        </w:rPr>
      </w:pPr>
    </w:p>
    <w:p>
      <w:pPr>
        <w:spacing w:after="0"/>
        <w:tabs>
          <w:tab w:leader="none" w:pos="3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5057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pacing w:after="0" w:line="222" w:lineRule="exact"/>
        <w:rPr>
          <w:sz w:val="20"/>
          <w:szCs w:val="20"/>
          <w:color w:val="auto"/>
        </w:rPr>
      </w:pPr>
    </w:p>
    <w:p>
      <w:pPr>
        <w:ind w:left="420" w:hanging="412"/>
        <w:spacing w:after="0"/>
        <w:tabs>
          <w:tab w:leader="none" w:pos="420" w:val="left"/>
        </w:tabs>
        <w:numPr>
          <w:ilvl w:val="0"/>
          <w:numId w:val="84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 xml:space="preserve">To be included to the extent applicable under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of the Credit Agreement.</w:t>
      </w:r>
    </w:p>
    <w:p>
      <w:pPr>
        <w:ind w:left="420" w:hanging="412"/>
        <w:spacing w:after="0" w:line="182" w:lineRule="auto"/>
        <w:tabs>
          <w:tab w:leader="none" w:pos="420" w:val="left"/>
        </w:tabs>
        <w:numPr>
          <w:ilvl w:val="0"/>
          <w:numId w:val="8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 xml:space="preserve">To be included to the extent applicable under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of the Credit Agreement.</w:t>
      </w:r>
    </w:p>
    <w:p>
      <w:pPr>
        <w:spacing w:after="0" w:line="12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Exhibit A</w:t>
      </w:r>
    </w:p>
    <w:p>
      <w:pPr>
        <w:spacing w:after="0" w:line="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879"/>
          </w:cols>
          <w:pgMar w:left="580" w:top="266" w:right="1440" w:bottom="1440" w:gutter="0" w:footer="0" w:header="0"/>
        </w:sectPr>
      </w:pPr>
    </w:p>
    <w:bookmarkStart w:id="825" w:name="page826"/>
    <w:bookmarkEnd w:id="825"/>
    <w:p>
      <w:pPr>
        <w:ind w:left="37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STANDARD TERMS AND CONDITIONS</w:t>
      </w:r>
    </w:p>
    <w:p>
      <w:pPr>
        <w:spacing w:after="0" w:line="2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FOR ASSIGNMENT AND ASSUMPTION</w:t>
      </w:r>
    </w:p>
    <w:p>
      <w:pPr>
        <w:spacing w:after="0" w:line="195" w:lineRule="exact"/>
        <w:rPr>
          <w:sz w:val="20"/>
          <w:szCs w:val="20"/>
          <w:color w:val="auto"/>
        </w:rPr>
      </w:pPr>
    </w:p>
    <w:p>
      <w:pPr>
        <w:ind w:left="1280" w:hanging="308"/>
        <w:spacing w:after="0"/>
        <w:tabs>
          <w:tab w:leader="none" w:pos="1280" w:val="left"/>
        </w:tabs>
        <w:numPr>
          <w:ilvl w:val="0"/>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980"/>
        <w:spacing w:after="0"/>
        <w:tabs>
          <w:tab w:leader="none" w:pos="13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u w:val="single" w:color="auto"/>
          <w:color w:val="auto"/>
        </w:rPr>
        <w:t>Assignor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Each</w:t>
      </w:r>
      <w:r>
        <w:rPr>
          <w:rFonts w:ascii="Times New Roman" w:cs="Times New Roman" w:eastAsia="Times New Roman" w:hAnsi="Times New Roman"/>
          <w:sz w:val="16"/>
          <w:szCs w:val="16"/>
          <w:color w:val="auto"/>
        </w:rPr>
        <w:t>] Assignor (a) represents and warrants that (i) it is the legal and beneficial owner of the Assigned Interest,</w:t>
      </w:r>
    </w:p>
    <w:p>
      <w:pPr>
        <w:spacing w:after="0" w:line="23" w:lineRule="exact"/>
        <w:rPr>
          <w:sz w:val="20"/>
          <w:szCs w:val="20"/>
          <w:color w:val="auto"/>
        </w:rPr>
      </w:pPr>
    </w:p>
    <w:p>
      <w:pPr>
        <w:ind w:right="100" w:firstLine="8"/>
        <w:spacing w:after="0" w:line="274" w:lineRule="auto"/>
        <w:tabs>
          <w:tab w:leader="none" w:pos="258" w:val="left"/>
        </w:tabs>
        <w:numPr>
          <w:ilvl w:val="0"/>
          <w:numId w:val="8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w:t>
      </w:r>
    </w:p>
    <w:p>
      <w:pPr>
        <w:jc w:val="both"/>
        <w:ind w:right="160" w:firstLine="8"/>
        <w:spacing w:after="0" w:line="245" w:lineRule="auto"/>
        <w:tabs>
          <w:tab w:leader="none" w:pos="306" w:val="left"/>
        </w:tabs>
        <w:numPr>
          <w:ilvl w:val="0"/>
          <w:numId w:val="8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Borrower, any of its Subsidiaries or Affiliates or any other Person obligated in respect of any Loan Document or (iv) the performance or observance by Borrower, any of its Subsidiaries or Affiliates or any other Person of any of their respective obligations under any Loan Document.</w:t>
      </w:r>
    </w:p>
    <w:p>
      <w:pPr>
        <w:spacing w:after="0" w:line="186" w:lineRule="exact"/>
        <w:rPr>
          <w:sz w:val="20"/>
          <w:szCs w:val="20"/>
          <w:color w:val="auto"/>
        </w:rPr>
      </w:pPr>
    </w:p>
    <w:p>
      <w:pPr>
        <w:ind w:firstLine="964"/>
        <w:spacing w:after="0" w:line="245"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Each</w:t>
      </w:r>
      <w:r>
        <w:rPr>
          <w:rFonts w:ascii="Times New Roman" w:cs="Times New Roman" w:eastAsia="Times New Roman" w:hAnsi="Times New Roman"/>
          <w:sz w:val="18"/>
          <w:szCs w:val="18"/>
          <w:color w:val="auto"/>
        </w:rPr>
        <w:t xml:space="preserv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as applicable, of the Credit Agreement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Administrative Agent or any other Lender, (v) if it is a Foreign Lender, attached to this Assignment and Assumption is any documentation required to be delivered by it pursuant to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of the Credit Agreement, duly completed and executed by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such</w:t>
      </w:r>
      <w:r>
        <w:rPr>
          <w:rFonts w:ascii="Times New Roman" w:cs="Times New Roman" w:eastAsia="Times New Roman" w:hAnsi="Times New Roman"/>
          <w:sz w:val="18"/>
          <w:szCs w:val="18"/>
          <w:color w:val="auto"/>
        </w:rPr>
        <w:t>] Assignee and (vi) it is sophisticated with respect to decisions to acquire assets of the type represented by the Assigned Interest and either it, or the Person exercising discretion in making its decision to acquire the Assigned Interest, is experienced in acquiring assets of such type, and (b) agrees that (i) it will, independently and without reliance on Administrative Agent,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each</w:t>
      </w:r>
      <w:r>
        <w:rPr>
          <w:rFonts w:ascii="Times New Roman" w:cs="Times New Roman" w:eastAsia="Times New Roman" w:hAnsi="Times New Roman"/>
          <w:sz w:val="18"/>
          <w:szCs w:val="18"/>
          <w:color w:val="auto"/>
        </w:rPr>
        <w:t>]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92" w:lineRule="exact"/>
        <w:rPr>
          <w:sz w:val="20"/>
          <w:szCs w:val="20"/>
          <w:color w:val="auto"/>
        </w:rPr>
      </w:pPr>
    </w:p>
    <w:p>
      <w:pPr>
        <w:jc w:val="both"/>
        <w:ind w:right="540" w:firstLine="972"/>
        <w:spacing w:after="0" w:line="255" w:lineRule="auto"/>
        <w:tabs>
          <w:tab w:leader="none" w:pos="1270" w:val="left"/>
        </w:tabs>
        <w:numPr>
          <w:ilvl w:val="0"/>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From and after the Effective Date, Administrative Agent shall make all payments in respect of the Assigned Interest (including payments of principal, interest, fees and other amounts) to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each</w:t>
      </w:r>
      <w:r>
        <w:rPr>
          <w:rFonts w:ascii="Times New Roman" w:cs="Times New Roman" w:eastAsia="Times New Roman" w:hAnsi="Times New Roman"/>
          <w:sz w:val="18"/>
          <w:szCs w:val="18"/>
          <w:color w:val="auto"/>
        </w:rPr>
        <w:t>] Assignor for amounts which have accrued to but excluding the Effective Date and to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each</w:t>
      </w:r>
      <w:r>
        <w:rPr>
          <w:rFonts w:ascii="Times New Roman" w:cs="Times New Roman" w:eastAsia="Times New Roman" w:hAnsi="Times New Roman"/>
          <w:sz w:val="18"/>
          <w:szCs w:val="18"/>
          <w:color w:val="auto"/>
        </w:rPr>
        <w:t>] Assignee for amounts which have accrued from and after the Effective Date.</w:t>
      </w:r>
    </w:p>
    <w:p>
      <w:pPr>
        <w:spacing w:after="0" w:line="180" w:lineRule="exact"/>
        <w:rPr>
          <w:rFonts w:ascii="Times New Roman" w:cs="Times New Roman" w:eastAsia="Times New Roman" w:hAnsi="Times New Roman"/>
          <w:sz w:val="18"/>
          <w:szCs w:val="18"/>
          <w:color w:val="auto"/>
        </w:rPr>
      </w:pPr>
    </w:p>
    <w:p>
      <w:pPr>
        <w:jc w:val="both"/>
        <w:ind w:right="260" w:firstLine="972"/>
        <w:spacing w:after="0" w:line="251" w:lineRule="auto"/>
        <w:tabs>
          <w:tab w:leader="none" w:pos="1270" w:val="left"/>
        </w:tabs>
        <w:numPr>
          <w:ilvl w:val="0"/>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xml:space="preserve">. This Assignment and Assumption shall be binding upon and inure to the benefit of the parties hereto and their respective successors and assigns. The provisions of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(“Counterparts; Effectiveness; Several Agreement”),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(“Severability”),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(“Governing Law; Jurisdiction; Consent to Service of Process”) and Section 7.10 (“</w:t>
      </w:r>
      <w:r>
        <w:rPr>
          <w:rFonts w:ascii="Times New Roman" w:cs="Times New Roman" w:eastAsia="Times New Roman" w:hAnsi="Times New Roman"/>
          <w:sz w:val="18"/>
          <w:szCs w:val="18"/>
          <w:i w:val="1"/>
          <w:iCs w:val="1"/>
          <w:u w:val="single" w:color="auto"/>
          <w:color w:val="auto"/>
        </w:rPr>
        <w:t>Waiver of Jury Trial</w:t>
      </w:r>
      <w:r>
        <w:rPr>
          <w:rFonts w:ascii="Times New Roman" w:cs="Times New Roman" w:eastAsia="Times New Roman" w:hAnsi="Times New Roman"/>
          <w:sz w:val="18"/>
          <w:szCs w:val="18"/>
          <w:color w:val="auto"/>
        </w:rPr>
        <w:t xml:space="preserve">”)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and the parties hereto agree to such terms.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00"/>
          </w:cols>
          <w:pgMar w:left="580" w:top="263" w:right="619" w:bottom="1440" w:gutter="0" w:footer="0" w:header="0"/>
        </w:sectPr>
      </w:pPr>
    </w:p>
    <w:bookmarkStart w:id="826" w:name="page827"/>
    <w:bookmarkEnd w:id="826"/>
    <w:p>
      <w:pPr>
        <w:jc w:val="cente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63" w:right="1440"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Exhibit A</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019"/>
          </w:cols>
          <w:pgMar w:left="1440" w:top="263" w:right="1440" w:bottom="1440" w:gutter="0" w:footer="0" w:header="0"/>
          <w:type w:val="continuous"/>
        </w:sectPr>
      </w:pPr>
    </w:p>
    <w:bookmarkStart w:id="827" w:name="page828"/>
    <w:bookmarkEnd w:id="82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178040" cy="36830"/>
                    </a:xfrm>
                    <a:prstGeom prst="rect">
                      <a:avLst/>
                    </a:prstGeom>
                    <a:noFill/>
                  </pic:spPr>
                </pic:pic>
              </a:graphicData>
            </a:graphic>
          </wp:anchor>
        </w:drawing>
        <w:t>EXHIBIT B</w:t>
      </w:r>
    </w:p>
    <w:p>
      <w:pPr>
        <w:spacing w:after="0" w:line="21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[Reserved]</w:t>
      </w:r>
    </w:p>
    <w:p>
      <w:pPr>
        <w:spacing w:after="0" w:line="14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Exhibit B</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860"/>
          </w:cols>
          <w:pgMar w:left="1440" w:top="263" w:right="599" w:bottom="1440" w:gutter="0" w:footer="0" w:header="0"/>
        </w:sectPr>
      </w:pPr>
    </w:p>
    <w:bookmarkStart w:id="828" w:name="page829"/>
    <w:bookmarkEnd w:id="82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C</w:t>
      </w:r>
    </w:p>
    <w:p>
      <w:pPr>
        <w:spacing w:after="0" w:line="21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[Reserved]</w:t>
      </w:r>
    </w:p>
    <w:p>
      <w:pPr>
        <w:spacing w:after="0" w:line="14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Exhibit C</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860"/>
          </w:cols>
          <w:pgMar w:left="1440" w:top="264" w:right="599" w:bottom="1440" w:gutter="0" w:footer="0" w:header="0"/>
        </w:sectPr>
      </w:pPr>
    </w:p>
    <w:bookmarkStart w:id="829" w:name="page830"/>
    <w:bookmarkEnd w:id="82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D</w:t>
      </w:r>
    </w:p>
    <w:p>
      <w:pPr>
        <w:spacing w:after="0" w:line="21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u w:val="single" w:color="auto"/>
          <w:color w:val="auto"/>
        </w:rPr>
        <w:t>Form of</w:t>
      </w:r>
    </w:p>
    <w:p>
      <w:pPr>
        <w:spacing w:after="0" w:line="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6"/>
          <w:szCs w:val="16"/>
          <w:u w:val="single" w:color="auto"/>
          <w:color w:val="auto"/>
        </w:rPr>
        <w:t>PERFECTION CERTIFICATE</w:t>
      </w:r>
    </w:p>
    <w:p>
      <w:pPr>
        <w:spacing w:after="0" w:line="21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See attached.</w:t>
      </w:r>
    </w:p>
    <w:p>
      <w:pPr>
        <w:spacing w:after="0" w:line="14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Exhibit D</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860"/>
          </w:cols>
          <w:pgMar w:left="1440" w:top="263" w:right="599" w:bottom="1440" w:gutter="0" w:footer="0" w:header="0"/>
        </w:sectPr>
      </w:pPr>
    </w:p>
    <w:bookmarkStart w:id="830" w:name="page831"/>
    <w:bookmarkEnd w:id="8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178040" cy="36830"/>
                    </a:xfrm>
                    <a:prstGeom prst="rect">
                      <a:avLst/>
                    </a:prstGeom>
                    <a:noFill/>
                  </pic:spPr>
                </pic:pic>
              </a:graphicData>
            </a:graphic>
          </wp:anchor>
        </w:drawing>
        <w:t>EXHIBIT 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BORROWING REQUEST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Ares Capital Corporation as Administrative Agent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Lenders referred to below</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245 Park Avenue, 44th Floor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10167</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Middle Office DL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agency@aresmgmt.com; middleofficedl@aresmgmt.com; aresagency@alterdomus.com</w:t>
      </w:r>
    </w:p>
    <w:p>
      <w:pPr>
        <w:spacing w:after="0" w:line="195"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7"/>
          <w:szCs w:val="17"/>
          <w:color w:val="auto"/>
        </w:rPr>
        <w:t>September [●], 2022</w:t>
      </w:r>
      <w:r>
        <w:rPr>
          <w:rFonts w:ascii="Times New Roman" w:cs="Times New Roman" w:eastAsia="Times New Roman" w:hAnsi="Times New Roman"/>
          <w:sz w:val="25"/>
          <w:szCs w:val="25"/>
          <w:color w:val="auto"/>
          <w:vertAlign w:val="superscript"/>
        </w:rPr>
        <w:t>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3" w:lineRule="exact"/>
        <w:rPr>
          <w:sz w:val="20"/>
          <w:szCs w:val="20"/>
          <w:color w:val="auto"/>
        </w:rPr>
      </w:pPr>
    </w:p>
    <w:p>
      <w:pPr>
        <w:ind w:right="80" w:firstLine="964"/>
        <w:spacing w:after="0" w:line="285" w:lineRule="auto"/>
        <w:rPr>
          <w:sz w:val="20"/>
          <w:szCs w:val="20"/>
          <w:color w:val="auto"/>
        </w:rPr>
      </w:pPr>
      <w:r>
        <w:rPr>
          <w:rFonts w:ascii="Times New Roman" w:cs="Times New Roman" w:eastAsia="Times New Roman" w:hAnsi="Times New Roman"/>
          <w:sz w:val="16"/>
          <w:szCs w:val="16"/>
          <w:color w:val="auto"/>
        </w:rPr>
        <w:t>The undersigned, TEMPUS LABS, INC., a Delaware corporation (the “</w:t>
      </w:r>
      <w:r>
        <w:rPr>
          <w:rFonts w:ascii="Times New Roman" w:cs="Times New Roman" w:eastAsia="Times New Roman" w:hAnsi="Times New Roman"/>
          <w:sz w:val="16"/>
          <w:szCs w:val="16"/>
          <w:u w:val="single" w:color="auto"/>
          <w:color w:val="auto"/>
        </w:rPr>
        <w:t>Borrower</w:t>
      </w:r>
      <w:r>
        <w:rPr>
          <w:rFonts w:ascii="Times New Roman" w:cs="Times New Roman" w:eastAsia="Times New Roman" w:hAnsi="Times New Roman"/>
          <w:sz w:val="16"/>
          <w:szCs w:val="16"/>
          <w:color w:val="auto"/>
        </w:rPr>
        <w:t>”), refers to the Credit Agreement dated as of September 22, 2022 (as amended, restated, amended and restated, supplemented or otherwise modified from time to time, the “</w:t>
      </w:r>
      <w:r>
        <w:rPr>
          <w:rFonts w:ascii="Times New Roman" w:cs="Times New Roman" w:eastAsia="Times New Roman" w:hAnsi="Times New Roman"/>
          <w:sz w:val="16"/>
          <w:szCs w:val="16"/>
          <w:u w:val="single" w:color="auto"/>
          <w:color w:val="auto"/>
        </w:rPr>
        <w:t>Credit Agreement</w:t>
      </w:r>
      <w:r>
        <w:rPr>
          <w:rFonts w:ascii="Times New Roman" w:cs="Times New Roman" w:eastAsia="Times New Roman" w:hAnsi="Times New Roman"/>
          <w:sz w:val="16"/>
          <w:szCs w:val="16"/>
          <w:color w:val="auto"/>
        </w:rPr>
        <w:t xml:space="preserve">”), by and among Borrower, the Lenders party thereto from time to time, Ares Capital Corporation, as Administrative Agent, and Ares Capital Management LLC, as Lead Arranger and Bookrunner. Capitalized terms used herein and not otherwise defined herein shall have the meanings assigned to such terms in the Credit Agreement. Borrower hereby gives you notice pursuant to </w:t>
      </w:r>
      <w:r>
        <w:rPr>
          <w:rFonts w:ascii="Times New Roman" w:cs="Times New Roman" w:eastAsia="Times New Roman" w:hAnsi="Times New Roman"/>
          <w:sz w:val="16"/>
          <w:szCs w:val="16"/>
          <w:u w:val="single" w:color="auto"/>
          <w:color w:val="auto"/>
        </w:rPr>
        <w:t>Section 2.03</w:t>
      </w:r>
      <w:r>
        <w:rPr>
          <w:rFonts w:ascii="Times New Roman" w:cs="Times New Roman" w:eastAsia="Times New Roman" w:hAnsi="Times New Roman"/>
          <w:sz w:val="16"/>
          <w:szCs w:val="16"/>
          <w:color w:val="auto"/>
        </w:rPr>
        <w:t xml:space="preserve"> of the Credit Agreement that it requests a Borrowing of Term Loans under the Credit Agreement, and in that connection sets forth below the terms on which such Borrowing is requested to be made:</w:t>
      </w:r>
    </w:p>
    <w:p>
      <w:pPr>
        <w:spacing w:after="0" w:line="186" w:lineRule="exact"/>
        <w:rPr>
          <w:sz w:val="20"/>
          <w:szCs w:val="20"/>
          <w:color w:val="auto"/>
        </w:rPr>
      </w:pPr>
    </w:p>
    <w:tbl>
      <w:tblPr>
        <w:tblLayout w:type="fixed"/>
        <w:tblInd w:w="1080" w:type="dxa"/>
        <w:tblCellMar>
          <w:top w:w="0" w:type="dxa"/>
          <w:left w:w="0" w:type="dxa"/>
          <w:bottom w:w="0" w:type="dxa"/>
          <w:right w:w="0" w:type="dxa"/>
        </w:tblCellMar>
      </w:tblPr>
      <w:tr>
        <w:trPr>
          <w:trHeight w:val="22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 of Borrowing (which is a Business Day)</w:t>
            </w:r>
          </w:p>
        </w:tc>
        <w:tc>
          <w:tcPr>
            <w:tcW w:w="16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w w:val="95"/>
              </w:rPr>
              <w:t>September [●], 2022</w:t>
            </w:r>
          </w:p>
        </w:tc>
      </w:tr>
      <w:tr>
        <w:trPr>
          <w:trHeight w:val="315"/>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Amount of Borrowing</w:t>
            </w:r>
          </w:p>
        </w:tc>
        <w:tc>
          <w:tcPr>
            <w:tcW w:w="16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$175,000,000</w:t>
            </w:r>
          </w:p>
        </w:tc>
      </w:tr>
      <w:tr>
        <w:trPr>
          <w:trHeight w:val="27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6100" w:type="dxa"/>
            <w:vAlign w:val="bottom"/>
          </w:tcPr>
          <w:p>
            <w:pPr>
              <w:ind w:left="140"/>
              <w:spacing w:after="0" w:line="276" w:lineRule="exact"/>
              <w:rPr>
                <w:sz w:val="20"/>
                <w:szCs w:val="20"/>
                <w:color w:val="auto"/>
              </w:rPr>
            </w:pPr>
            <w:r>
              <w:rPr>
                <w:rFonts w:ascii="Times New Roman" w:cs="Times New Roman" w:eastAsia="Times New Roman" w:hAnsi="Times New Roman"/>
                <w:sz w:val="18"/>
                <w:szCs w:val="18"/>
                <w:color w:val="auto"/>
              </w:rPr>
              <w:t>Type of Borrowing</w:t>
            </w:r>
            <w:r>
              <w:rPr>
                <w:rFonts w:ascii="Times New Roman" w:cs="Times New Roman" w:eastAsia="Times New Roman" w:hAnsi="Times New Roman"/>
                <w:sz w:val="26"/>
                <w:szCs w:val="26"/>
                <w:color w:val="auto"/>
                <w:vertAlign w:val="superscript"/>
              </w:rPr>
              <w:t>7</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95"/>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6100" w:type="dxa"/>
            <w:vAlign w:val="bottom"/>
          </w:tcPr>
          <w:p>
            <w:pPr>
              <w:ind w:left="140"/>
              <w:spacing w:after="0" w:line="294" w:lineRule="exact"/>
              <w:rPr>
                <w:sz w:val="20"/>
                <w:szCs w:val="20"/>
                <w:color w:val="auto"/>
              </w:rPr>
            </w:pPr>
            <w:r>
              <w:rPr>
                <w:rFonts w:ascii="Times New Roman" w:cs="Times New Roman" w:eastAsia="Times New Roman" w:hAnsi="Times New Roman"/>
                <w:sz w:val="18"/>
                <w:szCs w:val="18"/>
                <w:color w:val="auto"/>
              </w:rPr>
              <w:t>[Interest Period and the last day thereof</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r>
      <w:tr>
        <w:trPr>
          <w:trHeight w:val="295"/>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Funds are requested to be disbursed to Borrower’s account as follows (Account No. [</w:t>
            </w:r>
          </w:p>
        </w:tc>
        <w:tc>
          <w:tcPr>
            <w:tcW w:w="2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60" w:type="dxa"/>
            <w:vAlign w:val="bottom"/>
            <w:gridSpan w:val="2"/>
          </w:tcPr>
          <w:p>
            <w:pPr>
              <w:jc w:val="right"/>
              <w:ind w:right="580"/>
              <w:spacing w:after="0" w:line="29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9</w:t>
            </w:r>
          </w:p>
        </w:tc>
      </w:tr>
      <w:tr>
        <w:trPr>
          <w:trHeight w:val="20"/>
        </w:trPr>
        <w:tc>
          <w:tcPr>
            <w:tcW w:w="3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5057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420" w:right="300" w:hanging="412"/>
        <w:spacing w:after="0" w:line="207" w:lineRule="auto"/>
        <w:tabs>
          <w:tab w:leader="none" w:pos="420" w:val="left"/>
        </w:tabs>
        <w:numPr>
          <w:ilvl w:val="0"/>
          <w:numId w:val="84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Borrower shall notify Administrative Agent of its request for a Term Loan Borrowing on the Effective Date in writing not later than 1:00 p.m., New York City time, one Business Day before the date of the proposed Borrowing.</w:t>
      </w:r>
    </w:p>
    <w:p>
      <w:pPr>
        <w:ind w:left="420" w:hanging="412"/>
        <w:spacing w:after="0" w:line="184" w:lineRule="auto"/>
        <w:tabs>
          <w:tab w:leader="none" w:pos="420" w:val="left"/>
        </w:tabs>
        <w:numPr>
          <w:ilvl w:val="0"/>
          <w:numId w:val="8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Specify Base Rate Loans or SOFR Loans.</w:t>
      </w:r>
    </w:p>
    <w:p>
      <w:pPr>
        <w:ind w:left="420" w:hanging="412"/>
        <w:spacing w:after="0" w:line="182" w:lineRule="auto"/>
        <w:tabs>
          <w:tab w:leader="none" w:pos="420" w:val="left"/>
        </w:tabs>
        <w:numPr>
          <w:ilvl w:val="0"/>
          <w:numId w:val="8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 the case of a SOFR Borrowing, the “Interest Period” shall be three months.</w:t>
      </w:r>
    </w:p>
    <w:p>
      <w:pPr>
        <w:ind w:left="420" w:hanging="412"/>
        <w:spacing w:after="0" w:line="183" w:lineRule="auto"/>
        <w:tabs>
          <w:tab w:leader="none" w:pos="420" w:val="left"/>
        </w:tabs>
        <w:numPr>
          <w:ilvl w:val="0"/>
          <w:numId w:val="85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 xml:space="preserve">To comply with </w:t>
      </w:r>
      <w:r>
        <w:rPr>
          <w:rFonts w:ascii="Times New Roman" w:cs="Times New Roman" w:eastAsia="Times New Roman" w:hAnsi="Times New Roman"/>
          <w:sz w:val="16"/>
          <w:szCs w:val="16"/>
          <w:u w:val="single" w:color="auto"/>
          <w:color w:val="auto"/>
        </w:rPr>
        <w:t>Section 2.06</w:t>
      </w:r>
      <w:r>
        <w:rPr>
          <w:rFonts w:ascii="Times New Roman" w:cs="Times New Roman" w:eastAsia="Times New Roman" w:hAnsi="Times New Roman"/>
          <w:sz w:val="16"/>
          <w:szCs w:val="16"/>
          <w:color w:val="auto"/>
        </w:rPr>
        <w:t xml:space="preserve"> of the Credit Agreement.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263" w:right="599" w:bottom="1440" w:gutter="0" w:footer="0" w:header="0"/>
        </w:sectPr>
      </w:pPr>
    </w:p>
    <w:bookmarkStart w:id="831" w:name="page832"/>
    <w:bookmarkEnd w:id="831"/>
    <w:p>
      <w:pPr>
        <w:ind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Borrower hereby represents and warrants to Administrative Agent and the Lenders that, on the date of this Borrowing Request and on the date of the related Borrowing, the conditions to lending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of the Credit Agreement have been satisfied.</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TEMPUS LABS, INC.</w:t>
      </w:r>
      <w:r>
        <w:rPr>
          <w:rFonts w:ascii="Times New Roman" w:cs="Times New Roman" w:eastAsia="Times New Roman" w:hAnsi="Times New Roman"/>
          <w:sz w:val="18"/>
          <w:szCs w:val="18"/>
          <w:color w:val="auto"/>
        </w:rPr>
        <w:t>, a Delaware corporation</w:t>
      </w:r>
    </w:p>
    <w:p>
      <w:pPr>
        <w:spacing w:after="0" w:line="21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13335</wp:posOffset>
            </wp:positionV>
            <wp:extent cx="225107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Exhibit E</w:t>
      </w:r>
    </w:p>
    <w:p>
      <w:pPr>
        <w:spacing w:after="0" w:line="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580" w:top="265" w:right="739" w:bottom="1440" w:gutter="0" w:footer="0" w:header="0"/>
        </w:sectPr>
      </w:pPr>
    </w:p>
    <w:bookmarkStart w:id="832" w:name="page833"/>
    <w:bookmarkEnd w:id="8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F</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INTEREST ELECTION REQUEST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Ares Capital Corporation as Administrative Agent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Lenders referred to below</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245 Park Avenue, 44th Floor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10167</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Middle Office DL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agency@aresmgmt.com; middleofficedl@aresmgmt.com; aresagency@alterdomus.com</w:t>
      </w:r>
    </w:p>
    <w:p>
      <w:pPr>
        <w:spacing w:after="0" w:line="195" w:lineRule="exact"/>
        <w:rPr>
          <w:sz w:val="20"/>
          <w:szCs w:val="20"/>
          <w:color w:val="auto"/>
        </w:rPr>
      </w:pPr>
    </w:p>
    <w:p>
      <w:pPr>
        <w:ind w:left="10160"/>
        <w:spacing w:after="0"/>
        <w:tabs>
          <w:tab w:leader="none" w:pos="10560" w:val="left"/>
        </w:tabs>
        <w:rPr>
          <w:sz w:val="20"/>
          <w:szCs w:val="20"/>
          <w:color w:val="auto"/>
        </w:rPr>
      </w:pP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21"/>
          <w:szCs w:val="21"/>
          <w:color w:val="auto"/>
          <w:vertAlign w:val="superscript"/>
        </w:rPr>
        <w:t>10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3" w:lineRule="exact"/>
        <w:rPr>
          <w:sz w:val="20"/>
          <w:szCs w:val="20"/>
          <w:color w:val="auto"/>
        </w:rPr>
      </w:pPr>
    </w:p>
    <w:p>
      <w:pPr>
        <w:ind w:right="60" w:firstLine="964"/>
        <w:spacing w:after="0" w:line="247" w:lineRule="auto"/>
        <w:rPr>
          <w:sz w:val="20"/>
          <w:szCs w:val="20"/>
          <w:color w:val="auto"/>
        </w:rPr>
      </w:pPr>
      <w:r>
        <w:rPr>
          <w:rFonts w:ascii="Times New Roman" w:cs="Times New Roman" w:eastAsia="Times New Roman" w:hAnsi="Times New Roman"/>
          <w:sz w:val="18"/>
          <w:szCs w:val="18"/>
          <w:color w:val="auto"/>
        </w:rPr>
        <w:t>Reference is made to the Credit Agreement dated as of September 22, 2022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TEMPUS LABS,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party thereto from time to time, Ares Capital Corporation, as Administrative Agent, and Ares Capital Management LLC, as Lead Arranger and Bookrunner. Capitalized terms used herein and not otherwise defined herein shall have the meanings assigned to such terms in the Credit Agreement. This notice constitutes an Interest Election Request, and Borrower hereby requests the conversion or continuation of a Term Loan Borrowing under the Credit Agreement, and in that connection Borrower specifies the following information with respect to the Borrowing to be converted or continued as requested hereby:</w:t>
      </w:r>
    </w:p>
    <w:p>
      <w:pPr>
        <w:spacing w:after="0" w:line="216" w:lineRule="exact"/>
        <w:rPr>
          <w:sz w:val="20"/>
          <w:szCs w:val="20"/>
          <w:color w:val="auto"/>
        </w:rPr>
      </w:pPr>
    </w:p>
    <w:p>
      <w:pPr>
        <w:ind w:left="1680" w:hanging="596"/>
        <w:spacing w:after="0"/>
        <w:tabs>
          <w:tab w:leader="none" w:pos="1680" w:val="left"/>
        </w:tabs>
        <w:numPr>
          <w:ilvl w:val="0"/>
          <w:numId w:val="8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to which this request applies:</w:t>
      </w:r>
      <w:r>
        <w:rPr>
          <w:rFonts w:ascii="Times New Roman" w:cs="Times New Roman" w:eastAsia="Times New Roman" w:hAnsi="Times New Roman"/>
          <w:sz w:val="26"/>
          <w:szCs w:val="26"/>
          <w:color w:val="auto"/>
          <w:vertAlign w:val="superscript"/>
        </w:rPr>
        <w:t>11</w:t>
      </w:r>
    </w:p>
    <w:p>
      <w:pPr>
        <w:spacing w:after="0" w:line="36" w:lineRule="exact"/>
        <w:rPr>
          <w:rFonts w:ascii="Times New Roman" w:cs="Times New Roman" w:eastAsia="Times New Roman" w:hAnsi="Times New Roman"/>
          <w:sz w:val="18"/>
          <w:szCs w:val="18"/>
          <w:color w:val="auto"/>
        </w:rPr>
      </w:pPr>
    </w:p>
    <w:p>
      <w:pPr>
        <w:ind w:left="1680" w:hanging="596"/>
        <w:spacing w:after="0"/>
        <w:tabs>
          <w:tab w:leader="none" w:pos="1680" w:val="left"/>
        </w:tabs>
        <w:numPr>
          <w:ilvl w:val="0"/>
          <w:numId w:val="8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amount of the Borrowing to be converted/continued:</w:t>
      </w:r>
    </w:p>
    <w:p>
      <w:pPr>
        <w:spacing w:after="0" w:line="88" w:lineRule="exact"/>
        <w:rPr>
          <w:rFonts w:ascii="Times New Roman" w:cs="Times New Roman" w:eastAsia="Times New Roman" w:hAnsi="Times New Roman"/>
          <w:sz w:val="18"/>
          <w:szCs w:val="18"/>
          <w:color w:val="auto"/>
        </w:rPr>
      </w:pPr>
    </w:p>
    <w:p>
      <w:pPr>
        <w:ind w:left="1680" w:hanging="596"/>
        <w:spacing w:after="0"/>
        <w:tabs>
          <w:tab w:leader="none" w:pos="1680" w:val="left"/>
        </w:tabs>
        <w:numPr>
          <w:ilvl w:val="0"/>
          <w:numId w:val="8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of election (which is a Business Day):</w:t>
      </w:r>
    </w:p>
    <w:p>
      <w:pPr>
        <w:spacing w:after="0" w:line="108" w:lineRule="exact"/>
        <w:rPr>
          <w:rFonts w:ascii="Times New Roman" w:cs="Times New Roman" w:eastAsia="Times New Roman" w:hAnsi="Times New Roman"/>
          <w:sz w:val="18"/>
          <w:szCs w:val="18"/>
          <w:color w:val="auto"/>
        </w:rPr>
      </w:pPr>
    </w:p>
    <w:p>
      <w:pPr>
        <w:ind w:left="1680" w:hanging="596"/>
        <w:spacing w:after="0"/>
        <w:tabs>
          <w:tab w:leader="none" w:pos="1680" w:val="left"/>
        </w:tabs>
        <w:numPr>
          <w:ilvl w:val="0"/>
          <w:numId w:val="8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basis of resulting Borrowing:</w:t>
      </w:r>
      <w:r>
        <w:rPr>
          <w:rFonts w:ascii="Times New Roman" w:cs="Times New Roman" w:eastAsia="Times New Roman" w:hAnsi="Times New Roman"/>
          <w:sz w:val="26"/>
          <w:szCs w:val="26"/>
          <w:color w:val="auto"/>
          <w:vertAlign w:val="superscript"/>
        </w:rPr>
        <w:t>12</w:t>
      </w:r>
    </w:p>
    <w:p>
      <w:pPr>
        <w:spacing w:after="0" w:line="36" w:lineRule="exact"/>
        <w:rPr>
          <w:rFonts w:ascii="Times New Roman" w:cs="Times New Roman" w:eastAsia="Times New Roman" w:hAnsi="Times New Roman"/>
          <w:sz w:val="18"/>
          <w:szCs w:val="18"/>
          <w:color w:val="auto"/>
        </w:rPr>
      </w:pPr>
    </w:p>
    <w:p>
      <w:pPr>
        <w:ind w:left="1680" w:hanging="596"/>
        <w:spacing w:after="0"/>
        <w:tabs>
          <w:tab w:leader="none" w:pos="1680" w:val="left"/>
        </w:tabs>
        <w:numPr>
          <w:ilvl w:val="0"/>
          <w:numId w:val="8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Period of resulting Borrowing:</w:t>
      </w:r>
      <w:r>
        <w:rPr>
          <w:rFonts w:ascii="Times New Roman" w:cs="Times New Roman" w:eastAsia="Times New Roman" w:hAnsi="Times New Roman"/>
          <w:sz w:val="26"/>
          <w:szCs w:val="26"/>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-882015</wp:posOffset>
            </wp:positionV>
            <wp:extent cx="113855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138555" cy="8255"/>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-681990</wp:posOffset>
            </wp:positionV>
            <wp:extent cx="113855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138555" cy="8255"/>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-481965</wp:posOffset>
            </wp:positionV>
            <wp:extent cx="113855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138555" cy="8255"/>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-281940</wp:posOffset>
            </wp:positionV>
            <wp:extent cx="1138555"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138555" cy="8255"/>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-81915</wp:posOffset>
            </wp:positionV>
            <wp:extent cx="11385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5057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both"/>
        <w:ind w:left="420" w:right="260" w:hanging="412"/>
        <w:spacing w:after="0" w:line="218" w:lineRule="auto"/>
        <w:tabs>
          <w:tab w:leader="none" w:pos="420" w:val="left"/>
        </w:tabs>
        <w:numPr>
          <w:ilvl w:val="0"/>
          <w:numId w:val="85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Borrower shall notify Administrative Agent of election in writing (i) in the case of a SOFR Borrowing, not later than 1:00 p.m., New York City time, three Business Days before the date of the proposed election or (ii) in the case of a Base Rate Borrowing, not later than 12:00 noon, New York City time, one Business Day before the date of the proposed election.</w:t>
      </w:r>
    </w:p>
    <w:p>
      <w:pPr>
        <w:ind w:left="420" w:right="680" w:hanging="412"/>
        <w:spacing w:after="0" w:line="199" w:lineRule="auto"/>
        <w:tabs>
          <w:tab w:leader="none" w:pos="420" w:val="left"/>
        </w:tabs>
        <w:numPr>
          <w:ilvl w:val="0"/>
          <w:numId w:val="85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Specify existing Type and last day of current Interest Period. If different options are being elected with respect to different portions of the Borrowing, use separate form for each portion.</w:t>
      </w:r>
    </w:p>
    <w:p>
      <w:pPr>
        <w:ind w:left="420" w:hanging="412"/>
        <w:spacing w:after="0" w:line="182" w:lineRule="auto"/>
        <w:tabs>
          <w:tab w:leader="none" w:pos="420" w:val="left"/>
        </w:tabs>
        <w:numPr>
          <w:ilvl w:val="0"/>
          <w:numId w:val="85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Base Rate Borrowing or SOFR Borrowing.</w:t>
      </w:r>
    </w:p>
    <w:p>
      <w:pPr>
        <w:spacing w:after="0" w:line="2" w:lineRule="exact"/>
        <w:rPr>
          <w:rFonts w:ascii="Times New Roman" w:cs="Times New Roman" w:eastAsia="Times New Roman" w:hAnsi="Times New Roman"/>
          <w:sz w:val="24"/>
          <w:szCs w:val="24"/>
          <w:color w:val="auto"/>
          <w:vertAlign w:val="superscript"/>
        </w:rPr>
      </w:pPr>
    </w:p>
    <w:p>
      <w:pPr>
        <w:ind w:left="420" w:hanging="412"/>
        <w:spacing w:after="0" w:line="180" w:lineRule="auto"/>
        <w:tabs>
          <w:tab w:leader="none" w:pos="420" w:val="left"/>
        </w:tabs>
        <w:numPr>
          <w:ilvl w:val="0"/>
          <w:numId w:val="85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 the case of a SOFR Borrowing, the “Interest Period” shall be three months.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264" w:right="599" w:bottom="1440" w:gutter="0" w:footer="0" w:header="0"/>
        </w:sectPr>
      </w:pPr>
    </w:p>
    <w:bookmarkStart w:id="833" w:name="page834"/>
    <w:bookmarkEnd w:id="833"/>
    <w:p>
      <w:pPr>
        <w:ind w:left="55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Very truly yours,</w:t>
      </w:r>
    </w:p>
    <w:p>
      <w:pPr>
        <w:spacing w:after="0" w:line="2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b w:val="1"/>
          <w:bCs w:val="1"/>
          <w:color w:val="auto"/>
        </w:rPr>
        <w:t>TEMPUS LABS, INC.</w:t>
      </w:r>
      <w:r>
        <w:rPr>
          <w:rFonts w:ascii="Times New Roman" w:cs="Times New Roman" w:eastAsia="Times New Roman" w:hAnsi="Times New Roman"/>
          <w:sz w:val="16"/>
          <w:szCs w:val="16"/>
          <w:color w:val="auto"/>
        </w:rPr>
        <w:t>, a Delaware corporation</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4010660</wp:posOffset>
            </wp:positionH>
            <wp:positionV relativeFrom="paragraph">
              <wp:posOffset>13335</wp:posOffset>
            </wp:positionV>
            <wp:extent cx="225107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Exhibit F</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019"/>
          </w:cols>
          <w:pgMar w:left="1440" w:top="265" w:right="1440" w:bottom="1440" w:gutter="0" w:footer="0" w:header="0"/>
        </w:sectPr>
      </w:pPr>
    </w:p>
    <w:bookmarkStart w:id="834" w:name="page835"/>
    <w:bookmarkEnd w:id="83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683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178040" cy="36830"/>
                    </a:xfrm>
                    <a:prstGeom prst="rect">
                      <a:avLst/>
                    </a:prstGeom>
                    <a:noFill/>
                  </pic:spPr>
                </pic:pic>
              </a:graphicData>
            </a:graphic>
          </wp:anchor>
        </w:drawing>
        <w:t>EXHIBIT G</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TERM LOAN NOTE</w:t>
      </w:r>
    </w:p>
    <w:p>
      <w:pPr>
        <w:spacing w:after="0" w:line="193"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6"/>
          <w:szCs w:val="16"/>
          <w:b w:val="1"/>
          <w:bCs w:val="1"/>
          <w:color w:val="auto"/>
        </w:rPr>
        <w:t>THE FOLLOWING INFORMATION IS SUPPLIED SOLELY FOR U.S. FEDERAL INCOME TAX PURPOSES. THE NOTE(S) REPRESENTED BY THIS CERTIFICATE WERE ISSUED WITH “ORIGINAL ISSUE DISCOUNT” (“</w:t>
      </w:r>
      <w:r>
        <w:rPr>
          <w:rFonts w:ascii="Times New Roman" w:cs="Times New Roman" w:eastAsia="Times New Roman" w:hAnsi="Times New Roman"/>
          <w:sz w:val="16"/>
          <w:szCs w:val="16"/>
          <w:b w:val="1"/>
          <w:bCs w:val="1"/>
          <w:u w:val="single" w:color="auto"/>
          <w:color w:val="auto"/>
        </w:rPr>
        <w:t>OID</w:t>
      </w:r>
      <w:r>
        <w:rPr>
          <w:rFonts w:ascii="Times New Roman" w:cs="Times New Roman" w:eastAsia="Times New Roman" w:hAnsi="Times New Roman"/>
          <w:sz w:val="16"/>
          <w:szCs w:val="16"/>
          <w:b w:val="1"/>
          <w:bCs w:val="1"/>
          <w:color w:val="auto"/>
        </w:rPr>
        <w:t>”) WITHIN THE MEANING OF SECTION 1273 OF THE INTERNAL REVENUE CODE OF 1986, AS AMENDED (THE “CODE”), AND THIS LEGEND IS REQUIRED BY SECTION 1275(C) OF THE CODE. HOLDERS MAY OBTAIN INFORMATION REGARDING THE AMOUNT OF ANY OID, THE ISSUE PRICE, THE ISSUE DATE AND THE YIELD TO MATURITY RELATING TO THE NOTES BY CONTACTING TEMPUS LABS, INC., 600 WEST CHICAGO AVENUE, SUITE 510, CHICAGO, IL 60654, ATTENTION: CHIEF FINANCIAL OFFICER.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8"/>
          <w:szCs w:val="18"/>
          <w:color w:val="auto"/>
        </w:rPr>
        <w:t>, 20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95" w:lineRule="exact"/>
        <w:rPr>
          <w:sz w:val="20"/>
          <w:szCs w:val="20"/>
          <w:color w:val="auto"/>
        </w:rPr>
      </w:pPr>
    </w:p>
    <w:p>
      <w:pPr>
        <w:ind w:left="580" w:right="20" w:firstLine="396"/>
        <w:spacing w:after="0" w:line="285" w:lineRule="auto"/>
        <w:rPr>
          <w:sz w:val="20"/>
          <w:szCs w:val="20"/>
          <w:color w:val="auto"/>
        </w:rPr>
      </w:pPr>
      <w:r>
        <w:rPr>
          <w:rFonts w:ascii="Times New Roman" w:cs="Times New Roman" w:eastAsia="Times New Roman" w:hAnsi="Times New Roman"/>
          <w:sz w:val="16"/>
          <w:szCs w:val="16"/>
          <w:color w:val="auto"/>
        </w:rPr>
        <w:t>FOR VALUE RECEIVED, the undersigned, TEMPUS LABS, INC., a Delaware corporation (the “</w:t>
      </w:r>
      <w:r>
        <w:rPr>
          <w:rFonts w:ascii="Times New Roman" w:cs="Times New Roman" w:eastAsia="Times New Roman" w:hAnsi="Times New Roman"/>
          <w:sz w:val="16"/>
          <w:szCs w:val="16"/>
          <w:u w:val="single" w:color="auto"/>
          <w:color w:val="auto"/>
        </w:rPr>
        <w:t>Borrower</w:t>
      </w:r>
      <w:r>
        <w:rPr>
          <w:rFonts w:ascii="Times New Roman" w:cs="Times New Roman" w:eastAsia="Times New Roman" w:hAnsi="Times New Roman"/>
          <w:sz w:val="16"/>
          <w:szCs w:val="16"/>
          <w:color w:val="auto"/>
        </w:rPr>
        <w:t>”), hereby promises to pay to (the “</w:t>
      </w:r>
      <w:r>
        <w:rPr>
          <w:rFonts w:ascii="Times New Roman" w:cs="Times New Roman" w:eastAsia="Times New Roman" w:hAnsi="Times New Roman"/>
          <w:sz w:val="16"/>
          <w:szCs w:val="16"/>
          <w:u w:val="single" w:color="auto"/>
          <w:color w:val="auto"/>
        </w:rPr>
        <w:t>Lender</w:t>
      </w:r>
      <w:r>
        <w:rPr>
          <w:rFonts w:ascii="Times New Roman" w:cs="Times New Roman" w:eastAsia="Times New Roman" w:hAnsi="Times New Roman"/>
          <w:sz w:val="16"/>
          <w:szCs w:val="16"/>
          <w:color w:val="auto"/>
        </w:rPr>
        <w:t>”) on the Term Loan Maturity Date (as defined in the Credit Agreement referred to below) in lawful money of the United States and</w:t>
      </w:r>
    </w:p>
    <w:p>
      <w:pPr>
        <w:spacing w:after="0" w:line="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in immediately available funds, the principal amount of DOLLARS ($ ), or, if less, the aggregate unpaid principal amount of all Term Loans of the Lender outstanding under the Credit Agreement referred to below, which sum shall be due and payable in such amounts and on such dates as are set forth in the Credit Agreement. Borrower further agrees to pay interest in like money at such office specified in Section 2.18 of the Credit Agreement on the unpaid principal amount hereof from time to time from the date hereof at the rates, and on the dates, set forth in the Credit Agreement.</w:t>
      </w:r>
    </w:p>
    <w:p>
      <w:pPr>
        <w:spacing w:after="0" w:line="191" w:lineRule="exact"/>
        <w:rPr>
          <w:sz w:val="20"/>
          <w:szCs w:val="20"/>
          <w:color w:val="auto"/>
        </w:rPr>
      </w:pPr>
    </w:p>
    <w:p>
      <w:pPr>
        <w:ind w:right="100" w:firstLine="964"/>
        <w:spacing w:after="0" w:line="249" w:lineRule="auto"/>
        <w:rPr>
          <w:sz w:val="20"/>
          <w:szCs w:val="20"/>
          <w:color w:val="auto"/>
        </w:rPr>
      </w:pPr>
      <w:r>
        <w:rPr>
          <w:rFonts w:ascii="Times New Roman" w:cs="Times New Roman" w:eastAsia="Times New Roman" w:hAnsi="Times New Roman"/>
          <w:sz w:val="18"/>
          <w:szCs w:val="18"/>
          <w:color w:val="auto"/>
        </w:rPr>
        <w:t>The holder of this Term Loan Note (this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may endorse and attach a schedule to reflect the date, type and amount of each Term Loan of the Lender outstanding under the Credit Agreement, the date and amount of each payment or prepayment of principal hereof, and the date of each interest rate conversion or continuation pursuant to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of the Credit Agreement and the principal amount subject thereto; provided that the failure of the Lender to make any such recordation (or any error in such recordation) shall not affect the obligations of Borrower hereunder or under the Credit Agreement.</w:t>
      </w:r>
    </w:p>
    <w:p>
      <w:pPr>
        <w:spacing w:after="0" w:line="187" w:lineRule="exact"/>
        <w:rPr>
          <w:sz w:val="20"/>
          <w:szCs w:val="20"/>
          <w:color w:val="auto"/>
        </w:rPr>
      </w:pPr>
    </w:p>
    <w:p>
      <w:pPr>
        <w:ind w:right="20" w:firstLine="964"/>
        <w:spacing w:after="0" w:line="288" w:lineRule="auto"/>
        <w:rPr>
          <w:sz w:val="20"/>
          <w:szCs w:val="20"/>
          <w:color w:val="auto"/>
        </w:rPr>
      </w:pPr>
      <w:r>
        <w:rPr>
          <w:rFonts w:ascii="Times New Roman" w:cs="Times New Roman" w:eastAsia="Times New Roman" w:hAnsi="Times New Roman"/>
          <w:sz w:val="16"/>
          <w:szCs w:val="16"/>
          <w:color w:val="auto"/>
        </w:rPr>
        <w:t>For any Interest Period in which the Borrower exercises the PIK Election, all applicable PIK Interest shall be added to the principal balance of this Note on the respective Interest Payment Date (each, a “</w:t>
      </w:r>
      <w:r>
        <w:rPr>
          <w:rFonts w:ascii="Times New Roman" w:cs="Times New Roman" w:eastAsia="Times New Roman" w:hAnsi="Times New Roman"/>
          <w:sz w:val="16"/>
          <w:szCs w:val="16"/>
          <w:u w:val="single" w:color="auto"/>
          <w:color w:val="auto"/>
        </w:rPr>
        <w:t>PIK Date</w:t>
      </w:r>
      <w:r>
        <w:rPr>
          <w:rFonts w:ascii="Times New Roman" w:cs="Times New Roman" w:eastAsia="Times New Roman" w:hAnsi="Times New Roman"/>
          <w:sz w:val="16"/>
          <w:szCs w:val="16"/>
          <w:color w:val="auto"/>
        </w:rPr>
        <w:t>”), and itself shall bear interest from and after the related PIK Date at the Applicable Rate (which interest at the Applicable Rate shall be paid in accordance with the terms of the Credit Agreement) and shall be payable to the holder of this Note in cash on the same terms applicable to the other principal of this Note. Anything contained in this Note to the contrary notwithstanding, the Administrative Agent and the Lender shall have the right to capitalize and add PIK Interest to the principal evidenced by this Note.</w:t>
      </w:r>
    </w:p>
    <w:p>
      <w:pPr>
        <w:spacing w:after="0" w:line="156" w:lineRule="exact"/>
        <w:rPr>
          <w:sz w:val="20"/>
          <w:szCs w:val="20"/>
          <w:color w:val="auto"/>
        </w:rPr>
      </w:pPr>
    </w:p>
    <w:p>
      <w:pPr>
        <w:ind w:firstLine="964"/>
        <w:spacing w:after="0" w:line="249" w:lineRule="auto"/>
        <w:rPr>
          <w:sz w:val="20"/>
          <w:szCs w:val="20"/>
          <w:color w:val="auto"/>
        </w:rPr>
      </w:pPr>
      <w:r>
        <w:rPr>
          <w:rFonts w:ascii="Times New Roman" w:cs="Times New Roman" w:eastAsia="Times New Roman" w:hAnsi="Times New Roman"/>
          <w:sz w:val="18"/>
          <w:szCs w:val="18"/>
          <w:color w:val="auto"/>
        </w:rPr>
        <w:t>This Note is one of the Notes referred to in the Credit Agreement dated as of September 22, 2022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Borrower, the Lenders party thereto from time to time, Ares Capital Corporation, as Administrative Agent, and Ares Capital Management LLC, as Lead Arranger and Bookrunner, and is subject to the provisions thereof and is subject to optional and mandatory prepayment in whole or in part as provided therein. Terms used herein which are defined in the Credit Agreement shall have such defined meanings unless otherwise defined herein or unless the context otherwise requires.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G</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264" w:right="599" w:bottom="1440" w:gutter="0" w:footer="0" w:header="0"/>
        </w:sectPr>
      </w:pPr>
    </w:p>
    <w:bookmarkStart w:id="835" w:name="page836"/>
    <w:bookmarkEnd w:id="835"/>
    <w:p>
      <w:pPr>
        <w:ind w:firstLine="96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This Note is secured and guaranteed as provided in the Credit Agreement and the Security Documents. Reference is hereby made to the Credit Agreement and the Security Documents for a description of the properties and assets in which a security interest has been granted, the nature and extent of the security and guarantees, the terms and conditions upon which the security interest and each guarantee was granted and the rights of the holder of this Note in respect thereof.</w:t>
      </w:r>
    </w:p>
    <w:p>
      <w:pPr>
        <w:spacing w:after="0" w:line="184" w:lineRule="exact"/>
        <w:rPr>
          <w:sz w:val="20"/>
          <w:szCs w:val="20"/>
          <w:color w:val="auto"/>
        </w:rPr>
      </w:pPr>
    </w:p>
    <w:p>
      <w:pPr>
        <w:ind w:right="460" w:firstLine="964"/>
        <w:spacing w:after="0" w:line="331" w:lineRule="auto"/>
        <w:rPr>
          <w:sz w:val="20"/>
          <w:szCs w:val="20"/>
          <w:color w:val="auto"/>
        </w:rPr>
      </w:pPr>
      <w:r>
        <w:rPr>
          <w:rFonts w:ascii="Times New Roman" w:cs="Times New Roman" w:eastAsia="Times New Roman" w:hAnsi="Times New Roman"/>
          <w:sz w:val="16"/>
          <w:szCs w:val="16"/>
          <w:color w:val="auto"/>
        </w:rPr>
        <w:t>Upon the occurrence and during the continuation of any one or more of the Events of Default specified in the Credit Agreement, all amounts then remaining unpaid on this Note shall become, or may be declared to be, immediately due and payable all as provided therein.</w:t>
      </w:r>
    </w:p>
    <w:p>
      <w:pPr>
        <w:spacing w:after="0" w:line="123" w:lineRule="exact"/>
        <w:rPr>
          <w:sz w:val="20"/>
          <w:szCs w:val="20"/>
          <w:color w:val="auto"/>
        </w:rPr>
      </w:pPr>
    </w:p>
    <w:p>
      <w:pPr>
        <w:ind w:right="180" w:firstLine="964"/>
        <w:spacing w:after="0" w:line="267" w:lineRule="auto"/>
        <w:rPr>
          <w:sz w:val="20"/>
          <w:szCs w:val="20"/>
          <w:color w:val="auto"/>
        </w:rPr>
      </w:pPr>
      <w:r>
        <w:rPr>
          <w:rFonts w:ascii="Times New Roman" w:cs="Times New Roman" w:eastAsia="Times New Roman" w:hAnsi="Times New Roman"/>
          <w:sz w:val="18"/>
          <w:szCs w:val="18"/>
          <w:color w:val="auto"/>
        </w:rPr>
        <w:t>All parties now and hereafter liable with respect to this Note, whether maker, principal, surety, guarantor, endorser or otherwise, hereby waive presentment, demand, protest and all other notices of any kind.</w:t>
      </w:r>
    </w:p>
    <w:p>
      <w:pPr>
        <w:spacing w:after="0" w:line="168" w:lineRule="exact"/>
        <w:rPr>
          <w:sz w:val="20"/>
          <w:szCs w:val="20"/>
          <w:color w:val="auto"/>
        </w:rPr>
      </w:pPr>
    </w:p>
    <w:p>
      <w:pPr>
        <w:ind w:right="52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THIS NOTE MAY NOT BE TRANSFERRED EXCEPT IN COMPLIANCE WITH THE TERMS OF THE CREDIT AGREEMENT. TRANSFERS OF THIS NOTE MUST BE RECORDED IN THE REGISTER MAINTAINED BY ADMINISTRATIVE AGENT PURSUANT TO THE TERMS OF THE CREDIT AGREEMENT.</w:t>
      </w:r>
    </w:p>
    <w:p>
      <w:pPr>
        <w:spacing w:after="0" w:line="178" w:lineRule="exact"/>
        <w:rPr>
          <w:sz w:val="20"/>
          <w:szCs w:val="20"/>
          <w:color w:val="auto"/>
        </w:rPr>
      </w:pPr>
    </w:p>
    <w:p>
      <w:pPr>
        <w:ind w:right="28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THIS NOTE SHALL BE CONSTRUED IN ACCORDANCE WITH AND GOVERNED BY THE LAWS OF THE STATE OF NEW YORK.</w:t>
      </w:r>
    </w:p>
    <w:p>
      <w:pPr>
        <w:spacing w:after="0" w:line="16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Exhibit G</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40"/>
          </w:cols>
          <w:pgMar w:left="580" w:top="265" w:right="679" w:bottom="1440" w:gutter="0" w:footer="0" w:header="0"/>
        </w:sectPr>
      </w:pPr>
    </w:p>
    <w:bookmarkStart w:id="836" w:name="page837"/>
    <w:bookmarkEnd w:id="836"/>
    <w:p>
      <w:pPr>
        <w:ind w:left="558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TEMPUS LABS, INC.</w:t>
      </w:r>
      <w:r>
        <w:rPr>
          <w:rFonts w:ascii="Times New Roman" w:cs="Times New Roman" w:eastAsia="Times New Roman" w:hAnsi="Times New Roman"/>
          <w:sz w:val="16"/>
          <w:szCs w:val="16"/>
          <w:color w:val="auto"/>
        </w:rPr>
        <w:t>, a Delaware corporation, as</w:t>
      </w:r>
    </w:p>
    <w:p>
      <w:pPr>
        <w:spacing w:after="0" w:line="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Borrower</w:t>
      </w:r>
    </w:p>
    <w:p>
      <w:pPr>
        <w:spacing w:after="0" w:line="1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13335</wp:posOffset>
            </wp:positionV>
            <wp:extent cx="235902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w:t>
      </w:r>
    </w:p>
    <w:p>
      <w:pPr>
        <w:spacing w:after="0" w:line="13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Exhibit G</w:t>
      </w:r>
    </w:p>
    <w:p>
      <w:pPr>
        <w:spacing w:after="0" w:line="4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220"/>
          </w:cols>
          <w:pgMar w:left="1440" w:top="263" w:right="1239" w:bottom="1440" w:gutter="0" w:footer="0" w:header="0"/>
        </w:sectPr>
      </w:pPr>
    </w:p>
    <w:bookmarkStart w:id="837" w:name="page838"/>
    <w:bookmarkEnd w:id="8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H</w:t>
      </w:r>
    </w:p>
    <w:p>
      <w:pPr>
        <w:spacing w:after="0" w:line="21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[Reserved]</w:t>
      </w:r>
    </w:p>
    <w:p>
      <w:pPr>
        <w:spacing w:after="0" w:line="14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Exhibit H</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860"/>
          </w:cols>
          <w:pgMar w:left="1440" w:top="263" w:right="599" w:bottom="1440" w:gutter="0" w:footer="0" w:header="0"/>
        </w:sectPr>
      </w:pPr>
    </w:p>
    <w:bookmarkStart w:id="838" w:name="page839"/>
    <w:bookmarkEnd w:id="83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I-1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U.S. TAX COMPLIANCE CERTIFICATE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Non-U S. Lenders that are not Partnerships or Pass-Through Entities for U.S. Federal Income Tax Purposes)</w:t>
      </w:r>
    </w:p>
    <w:p>
      <w:pPr>
        <w:spacing w:after="0" w:line="195" w:lineRule="exact"/>
        <w:rPr>
          <w:sz w:val="20"/>
          <w:szCs w:val="20"/>
          <w:color w:val="auto"/>
        </w:rPr>
      </w:pPr>
    </w:p>
    <w:p>
      <w:pPr>
        <w:ind w:right="240" w:firstLine="964"/>
        <w:spacing w:after="0" w:line="251" w:lineRule="auto"/>
        <w:rPr>
          <w:sz w:val="20"/>
          <w:szCs w:val="20"/>
          <w:color w:val="auto"/>
        </w:rPr>
      </w:pPr>
      <w:r>
        <w:rPr>
          <w:rFonts w:ascii="Times New Roman" w:cs="Times New Roman" w:eastAsia="Times New Roman" w:hAnsi="Times New Roman"/>
          <w:sz w:val="18"/>
          <w:szCs w:val="18"/>
          <w:color w:val="auto"/>
        </w:rPr>
        <w:t>Reference is hereby made to the Credit Agreement dated as of September 22, 2022 (as amended, restated, amended and restated, supplemented or otherwise modified from time to time, the “Credit Agreement”), by and among TEMPUS LABS, INC., a Delaware corporation (the “Borrower”), the Lenders party thereto from time to time, Ares Capital Corporation, as Administrative Agent, and Ares Capital Management LLC, as Lead Arranger and Bookrunner.</w:t>
      </w:r>
    </w:p>
    <w:p>
      <w:pPr>
        <w:spacing w:after="0" w:line="184" w:lineRule="exact"/>
        <w:rPr>
          <w:sz w:val="20"/>
          <w:szCs w:val="20"/>
          <w:color w:val="auto"/>
        </w:rPr>
      </w:pPr>
    </w:p>
    <w:p>
      <w:pPr>
        <w:ind w:right="80" w:firstLine="964"/>
        <w:spacing w:after="0" w:line="247"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Borrower within the meaning of Section 871(h)(3)(B) of the Code, (iv) it is not a controlled foreign corporation related to Borrower as described in Section 881(c)(3)(C) of the Code and (v) if it is a “disregarded entity” for U.S. tax purposes, as such term is used in U.S. Treasury Regulation section 301.7701-2(a), then (A) it is providing this form on behalf of its beneficial owner as determined for U.S. federal income tax purposes (the “Beneficial Owner”) and (B) on behalf of the Beneficial Owner, each of the foregoing clauses (ii), (iii), and (iv) are correct as applied to the Beneficial Owner.</w:t>
      </w:r>
    </w:p>
    <w:p>
      <w:pPr>
        <w:spacing w:after="0" w:line="189" w:lineRule="exact"/>
        <w:rPr>
          <w:sz w:val="20"/>
          <w:szCs w:val="20"/>
          <w:color w:val="auto"/>
        </w:rPr>
      </w:pPr>
    </w:p>
    <w:p>
      <w:pPr>
        <w:ind w:right="20" w:firstLine="964"/>
        <w:spacing w:after="0" w:line="249" w:lineRule="auto"/>
        <w:rPr>
          <w:sz w:val="20"/>
          <w:szCs w:val="20"/>
          <w:color w:val="auto"/>
        </w:rPr>
      </w:pPr>
      <w:r>
        <w:rPr>
          <w:rFonts w:ascii="Times New Roman" w:cs="Times New Roman" w:eastAsia="Times New Roman" w:hAnsi="Times New Roman"/>
          <w:sz w:val="18"/>
          <w:szCs w:val="18"/>
          <w:color w:val="auto"/>
        </w:rPr>
        <w:t>The undersigned has furnished Administrative Agent and Borrower with a certificate of its non-U.S. Person status on IRS Form W-8BEN or W-8BEN-E. By executing this certificate, the undersigned agrees that (1) if the information provided on this certificate changes, the undersigned shall promptly so inform Borrower and Administrative Agent, and (2) the undersigned shall have at all times furnished Borrower and Administrative Agent with a properly completed and currently effective certificate in either the calendar year in which each payment is to be made to the undersigned, or in either of the two calendar years preceding such payments.</w:t>
      </w:r>
    </w:p>
    <w:p>
      <w:pPr>
        <w:spacing w:after="0" w:line="187" w:lineRule="exact"/>
        <w:rPr>
          <w:sz w:val="20"/>
          <w:szCs w:val="20"/>
          <w:color w:val="auto"/>
        </w:rPr>
      </w:pPr>
    </w:p>
    <w:p>
      <w:pPr>
        <w:ind w:right="400" w:firstLine="964"/>
        <w:spacing w:after="0" w:line="267"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6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Exhibit 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263" w:right="599" w:bottom="1440" w:gutter="0" w:footer="0" w:header="0"/>
        </w:sectPr>
      </w:pPr>
    </w:p>
    <w:bookmarkStart w:id="839" w:name="page840"/>
    <w:bookmarkEnd w:id="8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[NAME OF LENDER]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13335</wp:posOffset>
            </wp:positionV>
            <wp:extent cx="2492375"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9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w:t>
      </w:r>
    </w:p>
    <w:p>
      <w:pPr>
        <w:spacing w:after="0" w:line="14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6"/>
          <w:szCs w:val="16"/>
          <w:color w:val="auto"/>
        </w:rPr>
        <w:t>Exhibit I-1</w:t>
      </w:r>
    </w:p>
    <w:p>
      <w:pPr>
        <w:spacing w:after="0" w:line="4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879"/>
          </w:cols>
          <w:pgMar w:left="580" w:top="264" w:right="1440" w:bottom="1440" w:gutter="0" w:footer="0" w:header="0"/>
        </w:sectPr>
      </w:pPr>
    </w:p>
    <w:bookmarkStart w:id="840" w:name="page841"/>
    <w:bookmarkEnd w:id="8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178040" cy="36830"/>
                    </a:xfrm>
                    <a:prstGeom prst="rect">
                      <a:avLst/>
                    </a:prstGeom>
                    <a:noFill/>
                  </pic:spPr>
                </pic:pic>
              </a:graphicData>
            </a:graphic>
          </wp:anchor>
        </w:drawing>
        <w:t>EXHIBIT I-2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U.S. TAX COMPLIANCE CERTIFICATE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Non-U S. Participants that are not Partnerships or Pass-Through Entities for U.S. Federal Income Tax Purposes)</w:t>
      </w:r>
    </w:p>
    <w:p>
      <w:pPr>
        <w:spacing w:after="0" w:line="195" w:lineRule="exact"/>
        <w:rPr>
          <w:sz w:val="20"/>
          <w:szCs w:val="20"/>
          <w:color w:val="auto"/>
        </w:rPr>
      </w:pPr>
    </w:p>
    <w:p>
      <w:pPr>
        <w:ind w:right="240" w:firstLine="964"/>
        <w:spacing w:after="0" w:line="251" w:lineRule="auto"/>
        <w:rPr>
          <w:sz w:val="20"/>
          <w:szCs w:val="20"/>
          <w:color w:val="auto"/>
        </w:rPr>
      </w:pPr>
      <w:r>
        <w:rPr>
          <w:rFonts w:ascii="Times New Roman" w:cs="Times New Roman" w:eastAsia="Times New Roman" w:hAnsi="Times New Roman"/>
          <w:sz w:val="18"/>
          <w:szCs w:val="18"/>
          <w:color w:val="auto"/>
        </w:rPr>
        <w:t>Reference is hereby made to the Credit Agreement dated as of September 22, 2022 (as amended, restated, amended and restated, supplemented or otherwise modified from time to time, the “Credit Agreement”), by and among TEMPUS LABS, INC., a Delaware corporation (the “Borrower”), the Lenders party thereto from time to time, Ares Capital Corporation, as Administrative Agent, and Ares Capital Management LLC, as Lead Arranger and Bookrunner.</w:t>
      </w:r>
    </w:p>
    <w:p>
      <w:pPr>
        <w:spacing w:after="0" w:line="184" w:lineRule="exact"/>
        <w:rPr>
          <w:sz w:val="20"/>
          <w:szCs w:val="20"/>
          <w:color w:val="auto"/>
        </w:rPr>
      </w:pPr>
    </w:p>
    <w:p>
      <w:pPr>
        <w:ind w:right="60" w:firstLine="964"/>
        <w:spacing w:after="0" w:line="247"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Borrower within the meaning of Section 871(h)(3)(B) of the Code, (iv) it is not a controlled foreign corporation related to Borrower as described in Section 881(c)(3)(C) of the Code and (v) if it is a “disregarded entity” for U.S. tax purposes, as such term is used in U.S. Treasury Regulation section 301.7701-2(a), then (A) it is providing this form on behalf of its beneficial owner as determined for U.S. federal income tax purposes (the “Beneficial Owner”) and (B) on behalf of the Beneficial Owner, each of the foregoing clauses (ii), (iii), and (iv) are correct as applied to the Beneficial Owner.</w:t>
      </w:r>
    </w:p>
    <w:p>
      <w:pPr>
        <w:spacing w:after="0" w:line="189" w:lineRule="exact"/>
        <w:rPr>
          <w:sz w:val="20"/>
          <w:szCs w:val="20"/>
          <w:color w:val="auto"/>
        </w:rPr>
      </w:pPr>
    </w:p>
    <w:p>
      <w:pPr>
        <w:ind w:right="200" w:firstLine="964"/>
        <w:spacing w:after="0" w:line="249"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 or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7" w:lineRule="exact"/>
        <w:rPr>
          <w:sz w:val="20"/>
          <w:szCs w:val="20"/>
          <w:color w:val="auto"/>
        </w:rPr>
      </w:pPr>
    </w:p>
    <w:p>
      <w:pPr>
        <w:ind w:right="400" w:firstLine="964"/>
        <w:spacing w:after="0" w:line="267"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6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Exhibit I-2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262" w:right="599" w:bottom="1440" w:gutter="0" w:footer="0" w:header="0"/>
        </w:sectPr>
      </w:pPr>
    </w:p>
    <w:bookmarkStart w:id="841" w:name="page842"/>
    <w:bookmarkEnd w:id="84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[NAME OF PARTICIPANT]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13335</wp:posOffset>
            </wp:positionV>
            <wp:extent cx="249237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9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w:t>
      </w:r>
    </w:p>
    <w:p>
      <w:pPr>
        <w:spacing w:after="0" w:line="14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6"/>
          <w:szCs w:val="16"/>
          <w:color w:val="auto"/>
        </w:rPr>
        <w:t>Exhibit I-2</w:t>
      </w:r>
    </w:p>
    <w:p>
      <w:pPr>
        <w:spacing w:after="0" w:line="4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879"/>
          </w:cols>
          <w:pgMar w:left="580" w:top="263" w:right="1440" w:bottom="1440" w:gutter="0" w:footer="0" w:header="0"/>
        </w:sectPr>
      </w:pPr>
    </w:p>
    <w:bookmarkStart w:id="842" w:name="page843"/>
    <w:bookmarkEnd w:id="84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I-3</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U.S. TAX COMPLIANCE CERTIFICATE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Non-U.S. Participants that are Partnerships or Pass-Through Entities for U.S. Federal Income Tax Purposes)</w:t>
      </w:r>
    </w:p>
    <w:p>
      <w:pPr>
        <w:spacing w:after="0" w:line="195" w:lineRule="exact"/>
        <w:rPr>
          <w:sz w:val="20"/>
          <w:szCs w:val="20"/>
          <w:color w:val="auto"/>
        </w:rPr>
      </w:pPr>
    </w:p>
    <w:p>
      <w:pPr>
        <w:ind w:right="240" w:firstLine="964"/>
        <w:spacing w:after="0" w:line="251" w:lineRule="auto"/>
        <w:rPr>
          <w:sz w:val="20"/>
          <w:szCs w:val="20"/>
          <w:color w:val="auto"/>
        </w:rPr>
      </w:pPr>
      <w:r>
        <w:rPr>
          <w:rFonts w:ascii="Times New Roman" w:cs="Times New Roman" w:eastAsia="Times New Roman" w:hAnsi="Times New Roman"/>
          <w:sz w:val="18"/>
          <w:szCs w:val="18"/>
          <w:color w:val="auto"/>
        </w:rPr>
        <w:t>Reference is hereby made to the Credit Agreement dated as of September 22, 2022 (as amended, restated, amended and restated, supplemented or otherwise modified from time to time, the “Credit Agreement”), by and among TEMPUS LABS, INC., a Delaware corporation (the “Borrower”), the Lenders party thereto from time to time, Ares Capital Corporation, as Administrative Agent, and Ares Capital Management LLC, as Lead Arranger and Bookrunner.</w:t>
      </w:r>
    </w:p>
    <w:p>
      <w:pPr>
        <w:spacing w:after="0" w:line="184" w:lineRule="exact"/>
        <w:rPr>
          <w:sz w:val="20"/>
          <w:szCs w:val="20"/>
          <w:color w:val="auto"/>
        </w:rPr>
      </w:pPr>
    </w:p>
    <w:p>
      <w:pPr>
        <w:ind w:right="20" w:firstLine="964"/>
        <w:spacing w:after="0" w:line="245"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(with respect to its direct or indirect partners/members (or owner for U.S. federal income tax purposes, as applicable) that are claiming the portfolio interest exemption) that (i) it is the sole record owner of the participation in respect of which it is providing this certificate, (ii) its direct or indirect partners/members (or owner for U.S. federal income tax purposes, as applicable) are the sole beneficial owners of such participation, (iii) with respect such participation, neither the undersigned nor any of its direct or indirect partners/members (or owner for U.S. federal income tax purposes, as applicable) is a bank extending credit pursuant to a loan agreement entered into in the ordinary course of its trade or business within the meaning of Section 881(c)(3)(A) of the Code, (iv) none of its direct or indirect partners/members (or owner for U.S. federal income tax purposes, as applicable) is a ten percent shareholder of Borrower within the meaning of Section 871(h)(3)(B) of the Code, (v) none of its direct or indirect partners/members (or owner for U.S. federal income tax purposes, as applicable) is a controlled foreign corporation related to Borrower as described in Section 881(c)(3)(C) of the Code and (vi) if it is a “disregarded entity” for U.S. tax purposes, as such term is used in U.S. Treasury Regulation section 301.7701-2(a), then (A) it is providing this form on behalf of its beneficial owner as determined for U.S. federal income tax purposes (the “Beneficial Owner”) and (B) on behalf of the Beneficial Owner, each of the foregoing clauses (ii), (iii), (iv), and (v) are correct as applied to the Beneficial Owner.</w:t>
      </w:r>
    </w:p>
    <w:p>
      <w:pPr>
        <w:spacing w:after="0" w:line="195" w:lineRule="exact"/>
        <w:rPr>
          <w:sz w:val="20"/>
          <w:szCs w:val="20"/>
          <w:color w:val="auto"/>
        </w:rPr>
      </w:pPr>
    </w:p>
    <w:p>
      <w:pPr>
        <w:ind w:right="20" w:firstLine="964"/>
        <w:spacing w:after="0" w:line="247"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 partners/members (or owner for U.S. federal income tax purposes, as applicable)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ind w:right="400" w:firstLine="964"/>
        <w:spacing w:after="0" w:line="267"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6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Exhibit I-3</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263" w:right="599" w:bottom="1440" w:gutter="0" w:footer="0" w:header="0"/>
        </w:sectPr>
      </w:pPr>
    </w:p>
    <w:bookmarkStart w:id="843" w:name="page844"/>
    <w:bookmarkEnd w:id="84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[NAME OF PARTICIPANT]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13335</wp:posOffset>
            </wp:positionV>
            <wp:extent cx="249237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9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w:t>
      </w:r>
    </w:p>
    <w:p>
      <w:pPr>
        <w:spacing w:after="0" w:line="14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6"/>
          <w:szCs w:val="16"/>
          <w:color w:val="auto"/>
        </w:rPr>
        <w:t>Exhibit I-3</w:t>
      </w:r>
    </w:p>
    <w:p>
      <w:pPr>
        <w:spacing w:after="0" w:line="4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879"/>
          </w:cols>
          <w:pgMar w:left="580" w:top="264" w:right="1440" w:bottom="1440" w:gutter="0" w:footer="0" w:header="0"/>
        </w:sectPr>
      </w:pPr>
    </w:p>
    <w:bookmarkStart w:id="844" w:name="page845"/>
    <w:bookmarkEnd w:id="84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I-4</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U.S. TAX COMPLIANCE CERTIFICATE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Non-U S. Lenders that are Partnerships or Pass-Through Entities for U.S. Federal Income Tax Purposes)</w:t>
      </w:r>
    </w:p>
    <w:p>
      <w:pPr>
        <w:spacing w:after="0" w:line="195" w:lineRule="exact"/>
        <w:rPr>
          <w:sz w:val="20"/>
          <w:szCs w:val="20"/>
          <w:color w:val="auto"/>
        </w:rPr>
      </w:pPr>
    </w:p>
    <w:p>
      <w:pPr>
        <w:ind w:right="420" w:firstLine="1928"/>
        <w:spacing w:after="0" w:line="251" w:lineRule="auto"/>
        <w:rPr>
          <w:sz w:val="20"/>
          <w:szCs w:val="20"/>
          <w:color w:val="auto"/>
        </w:rPr>
      </w:pPr>
      <w:r>
        <w:rPr>
          <w:rFonts w:ascii="Times New Roman" w:cs="Times New Roman" w:eastAsia="Times New Roman" w:hAnsi="Times New Roman"/>
          <w:sz w:val="18"/>
          <w:szCs w:val="18"/>
          <w:color w:val="auto"/>
        </w:rPr>
        <w:t>Reference is hereby made to the Credit Agreement dated as of September 22, 2022 (as amended, restated, amended and restated, supplemented or otherwise modified from time to time, the “Credit Agreement”), by and among TEMPUS LABS, INC., a Delaware corporation (the “Borrower”), the Lenders party thereto from time to time, Ares Capital Corporation, as Administrative Agent, and Ares Capital Management LLC, as Lead Arranger and Bookrunner.</w:t>
      </w:r>
    </w:p>
    <w:p>
      <w:pPr>
        <w:spacing w:after="0" w:line="184" w:lineRule="exact"/>
        <w:rPr>
          <w:sz w:val="20"/>
          <w:szCs w:val="20"/>
          <w:color w:val="auto"/>
        </w:rPr>
      </w:pPr>
    </w:p>
    <w:p>
      <w:pPr>
        <w:ind w:right="120" w:firstLine="964"/>
        <w:spacing w:after="0" w:line="277" w:lineRule="auto"/>
        <w:rPr>
          <w:sz w:val="20"/>
          <w:szCs w:val="20"/>
          <w:color w:val="auto"/>
        </w:rPr>
      </w:pPr>
      <w:r>
        <w:rPr>
          <w:rFonts w:ascii="Times New Roman" w:cs="Times New Roman" w:eastAsia="Times New Roman" w:hAnsi="Times New Roman"/>
          <w:sz w:val="16"/>
          <w:szCs w:val="16"/>
          <w:color w:val="auto"/>
        </w:rPr>
        <w:t>Pursuant to the provisions of Section 2.17 of the Credit Agreement, the undersigned hereby certifies (with respect to its direct or indirect partners/members (or owner for U.S. federal income tax purposes, as applicable) that are claiming the portfolio interest exemption) that (i) it is the sole record owner of the Loan(s) (as well as any Note(s) evidencing such Loan(s)) in respect of which it is providing this certificate, (ii) its direct or indirect partners/members (or owner for U.S. federal income tax purposes, as applicable) are the sole beneficial owners of such Loan(s) (as well as any Note(s) evidencing such Loan(s)), (iii) with respect to the extension of credit pursuant to this Credit Agreement or any other Loan Document, neither the undersigned nor any of its direct or indirect partners/members (or owner for U.S. federal income tax purposes, as applicable) is a bank extending credit pursuant to a loan agreement entered into in the ordinary course of its trade or business within the meaning of Section 881(c)(3)(A) of the Code,</w:t>
      </w:r>
    </w:p>
    <w:p>
      <w:pPr>
        <w:spacing w:after="0" w:line="2" w:lineRule="exact"/>
        <w:rPr>
          <w:sz w:val="20"/>
          <w:szCs w:val="20"/>
          <w:color w:val="auto"/>
        </w:rPr>
      </w:pPr>
    </w:p>
    <w:p>
      <w:pPr>
        <w:ind w:right="80" w:firstLine="8"/>
        <w:spacing w:after="0" w:line="244" w:lineRule="auto"/>
        <w:tabs>
          <w:tab w:leader="none" w:pos="296" w:val="left"/>
        </w:tabs>
        <w:numPr>
          <w:ilvl w:val="0"/>
          <w:numId w:val="8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its direct or indirect partners/members (or owner for U.S. federal income tax purposes, as applicable) is a ten percent shareholder of Borrower within the meaning of Section 871(h)(3)(B) of the Code, (v) none of its direct or indirect partners/members (or owner for U.S. federal income tax purposes, as applicable) is a controlled foreign corporation related to Borrower as described in Section 881(c)(3)(C) of the Code and (vi) if it is a “disregarded entity” for U.S. tax purposes, as such term is used in U.S. Treasury Regulation section 301.7701-2(a), then (A) it is providing this form on behalf of its beneficial owner as determined for U.S. federal income tax purposes (the “Beneficial Owner”) and (B) on behalf of the Beneficial Owner, each of the foregoing clauses (ii), (iii), (iv) and (v) are correct as applied to the Beneficial Owner.</w:t>
      </w:r>
    </w:p>
    <w:p>
      <w:pPr>
        <w:spacing w:after="0" w:line="190" w:lineRule="exact"/>
        <w:rPr>
          <w:sz w:val="20"/>
          <w:szCs w:val="20"/>
          <w:color w:val="auto"/>
        </w:rPr>
      </w:pPr>
    </w:p>
    <w:p>
      <w:pPr>
        <w:ind w:right="80" w:firstLine="964"/>
        <w:spacing w:after="0" w:line="283" w:lineRule="auto"/>
        <w:rPr>
          <w:sz w:val="20"/>
          <w:szCs w:val="20"/>
          <w:color w:val="auto"/>
        </w:rPr>
      </w:pPr>
      <w:r>
        <w:rPr>
          <w:rFonts w:ascii="Times New Roman" w:cs="Times New Roman" w:eastAsia="Times New Roman" w:hAnsi="Times New Roman"/>
          <w:sz w:val="16"/>
          <w:szCs w:val="16"/>
          <w:color w:val="auto"/>
        </w:rPr>
        <w:t>The undersigned has furnished Administrative Agent and Borrower with IRS Form W-8IMY accompanied by one of the following forms from each of its partners/members (or owner for U.S. federal income tax purposes, as applicable)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Borrower and Administrative Agent, and (2) the undersigned shall have at all times furnished Borrower and Administrative Agent with a properly completed and currently effective certificate in either the calendar year in which each payment is to be made to the undersigned, or in either of the two calendar years preceding such payments.</w:t>
      </w:r>
    </w:p>
    <w:p>
      <w:pPr>
        <w:spacing w:after="0" w:line="162" w:lineRule="exact"/>
        <w:rPr>
          <w:sz w:val="20"/>
          <w:szCs w:val="20"/>
          <w:color w:val="auto"/>
        </w:rPr>
      </w:pPr>
    </w:p>
    <w:p>
      <w:pPr>
        <w:ind w:right="400" w:firstLine="964"/>
        <w:spacing w:after="0" w:line="267"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6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Exhibit I-4</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263" w:right="599" w:bottom="1440" w:gutter="0" w:footer="0" w:header="0"/>
        </w:sectPr>
      </w:pPr>
    </w:p>
    <w:bookmarkStart w:id="845" w:name="page846"/>
    <w:bookmarkEnd w:id="84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[NAME OF LENDER]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13335</wp:posOffset>
            </wp:positionV>
            <wp:extent cx="2492375"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9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w:t>
      </w:r>
    </w:p>
    <w:p>
      <w:pPr>
        <w:spacing w:after="0" w:line="14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6"/>
          <w:szCs w:val="16"/>
          <w:color w:val="auto"/>
        </w:rPr>
        <w:t>Exhibit I-4</w:t>
      </w:r>
    </w:p>
    <w:p>
      <w:pPr>
        <w:spacing w:after="0" w:line="4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879"/>
          </w:cols>
          <w:pgMar w:left="580" w:top="264" w:right="1440" w:bottom="1440" w:gutter="0" w:footer="0" w:header="0"/>
        </w:sectPr>
      </w:pPr>
    </w:p>
    <w:bookmarkStart w:id="846" w:name="page847"/>
    <w:bookmarkEnd w:id="84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J</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SOLVENCY CERTIFICATE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 2022</w:t>
      </w:r>
    </w:p>
    <w:p>
      <w:pPr>
        <w:spacing w:after="0" w:line="213" w:lineRule="exact"/>
        <w:rPr>
          <w:sz w:val="20"/>
          <w:szCs w:val="20"/>
          <w:color w:val="auto"/>
        </w:rPr>
      </w:pPr>
    </w:p>
    <w:p>
      <w:pPr>
        <w:ind w:right="140" w:firstLine="428"/>
        <w:spacing w:after="0" w:line="249" w:lineRule="auto"/>
        <w:rPr>
          <w:sz w:val="20"/>
          <w:szCs w:val="20"/>
          <w:color w:val="auto"/>
        </w:rPr>
      </w:pPr>
      <w:r>
        <w:rPr>
          <w:rFonts w:ascii="Times New Roman" w:cs="Times New Roman" w:eastAsia="Times New Roman" w:hAnsi="Times New Roman"/>
          <w:sz w:val="18"/>
          <w:szCs w:val="18"/>
          <w:color w:val="auto"/>
        </w:rPr>
        <w:t>This Solvency Certificate (this “Certificate”) is being delivered pursuant to Section 4.01(i) of the Credit Agreement dated as of September 22, 2022 (as amended, restated, amended and restated, supplemented or otherwise modified from time to time, the “Credit Agreement”), by and among TEMPUS LABS, INC., a Delaware corporation (the “Borrower”), the Lenders party thereto from time to time, Ares Capital Corporation, as Administrative Agent, and Ares Capital Management LLC, as Lead Arranger and Bookrunner. Capitalized terms used but not otherwise defined herein shall have the meanings assigned to them in the Credit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undersigned hereby certifies, solely in such undersigned’s capacity as chief financial officer of Borrower, and not individually, as follows:</w:t>
      </w:r>
    </w:p>
    <w:p>
      <w:pPr>
        <w:spacing w:after="0" w:line="236" w:lineRule="exact"/>
        <w:rPr>
          <w:sz w:val="20"/>
          <w:szCs w:val="20"/>
          <w:color w:val="auto"/>
        </w:rPr>
      </w:pPr>
    </w:p>
    <w:p>
      <w:pPr>
        <w:ind w:right="60" w:firstLine="428"/>
        <w:spacing w:after="0" w:line="246" w:lineRule="auto"/>
        <w:rPr>
          <w:sz w:val="20"/>
          <w:szCs w:val="20"/>
          <w:color w:val="auto"/>
        </w:rPr>
      </w:pPr>
      <w:r>
        <w:rPr>
          <w:rFonts w:ascii="Times New Roman" w:cs="Times New Roman" w:eastAsia="Times New Roman" w:hAnsi="Times New Roman"/>
          <w:sz w:val="18"/>
          <w:szCs w:val="18"/>
          <w:color w:val="auto"/>
        </w:rPr>
        <w:t>I am familiar with the finances, properties, businesses and assets of Borrower and its subsidiaries. I have reviewed the Credit Agreement and such other documentation and information and have made such investigation and inquiries, including, but not limited to, consultation with other officers of Borrower responsible for financial and accounting functions concerning contingent liabilities, as I have deemed necessary and prudent to enable me to express an informed opinion as to the matters referred to herein. I have also reviewed the unaudited consolidated balance sheets and related statements of income and cash flows of Borrower and its subsidiaries for the fiscal quarter ended June 30, 2022 referred to in Section 4.01(b) of the Credit Agreement and the projections of Borrower referred to in Section 4.01(c) of the Credit Agreement relating to income and cash flow statements of Borrower and its subsidiaries. I confirm and acknowledge that Administrative Agent and the Lenders are relying on the truth and accuracy of this Certificate in connection with the Commitments and Loans under the Credit Agreement. After giving effect to the consummation of the Transactions, including the making of the Loans under the Credit Agreement on the date hereof, and after giving effect to the application of the proceeds of such Loans:</w:t>
      </w:r>
    </w:p>
    <w:p>
      <w:pPr>
        <w:spacing w:after="0" w:line="189" w:lineRule="exact"/>
        <w:rPr>
          <w:sz w:val="20"/>
          <w:szCs w:val="20"/>
          <w:color w:val="auto"/>
        </w:rPr>
      </w:pPr>
    </w:p>
    <w:p>
      <w:pPr>
        <w:ind w:right="20" w:firstLine="972"/>
        <w:spacing w:after="0" w:line="267" w:lineRule="auto"/>
        <w:tabs>
          <w:tab w:leader="none" w:pos="1257" w:val="left"/>
        </w:tabs>
        <w:numPr>
          <w:ilvl w:val="0"/>
          <w:numId w:val="8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assets of Borrower, and its subsidiaries on a consolidated basis, at fair valuation, exceeds, on a consolidated basis, their debts and liabilities, subordinated, contingent or otherwise;</w:t>
      </w:r>
    </w:p>
    <w:p>
      <w:pPr>
        <w:spacing w:after="0" w:line="169" w:lineRule="exact"/>
        <w:rPr>
          <w:rFonts w:ascii="Times New Roman" w:cs="Times New Roman" w:eastAsia="Times New Roman" w:hAnsi="Times New Roman"/>
          <w:sz w:val="18"/>
          <w:szCs w:val="18"/>
          <w:color w:val="auto"/>
        </w:rPr>
      </w:pPr>
    </w:p>
    <w:p>
      <w:pPr>
        <w:ind w:right="20" w:firstLine="972"/>
        <w:spacing w:after="0" w:line="255" w:lineRule="auto"/>
        <w:tabs>
          <w:tab w:leader="none" w:pos="1267" w:val="left"/>
        </w:tabs>
        <w:numPr>
          <w:ilvl w:val="0"/>
          <w:numId w:val="8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the property of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w:t>
      </w:r>
    </w:p>
    <w:p>
      <w:pPr>
        <w:spacing w:after="0" w:line="180" w:lineRule="exact"/>
        <w:rPr>
          <w:rFonts w:ascii="Times New Roman" w:cs="Times New Roman" w:eastAsia="Times New Roman" w:hAnsi="Times New Roman"/>
          <w:sz w:val="18"/>
          <w:szCs w:val="18"/>
          <w:color w:val="auto"/>
        </w:rPr>
      </w:pPr>
    </w:p>
    <w:p>
      <w:pPr>
        <w:ind w:right="40" w:firstLine="972"/>
        <w:spacing w:after="0" w:line="267" w:lineRule="auto"/>
        <w:tabs>
          <w:tab w:leader="none" w:pos="1261" w:val="left"/>
        </w:tabs>
        <w:numPr>
          <w:ilvl w:val="0"/>
          <w:numId w:val="8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subsidiaries, on a consolidated basis, are able to pay their debts and liabilities, subordinated, contingent or otherwise, as such liabilities become absolute and matured; and</w:t>
      </w:r>
    </w:p>
    <w:p>
      <w:pPr>
        <w:spacing w:after="0" w:line="169" w:lineRule="exact"/>
        <w:rPr>
          <w:rFonts w:ascii="Times New Roman" w:cs="Times New Roman" w:eastAsia="Times New Roman" w:hAnsi="Times New Roman"/>
          <w:sz w:val="18"/>
          <w:szCs w:val="18"/>
          <w:color w:val="auto"/>
        </w:rPr>
      </w:pPr>
    </w:p>
    <w:p>
      <w:pPr>
        <w:ind w:right="200" w:firstLine="972"/>
        <w:spacing w:after="0" w:line="267" w:lineRule="auto"/>
        <w:tabs>
          <w:tab w:leader="none" w:pos="1270" w:val="left"/>
        </w:tabs>
        <w:numPr>
          <w:ilvl w:val="0"/>
          <w:numId w:val="8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subsidiaries, on a consolidated basis, do not have unreasonably small capital with which to conduct the business in which they are engaged as such business is now conducted and is proposed to be conducted following the date hereof.</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J</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263" w:right="599" w:bottom="1440" w:gutter="0" w:footer="0" w:header="0"/>
        </w:sectPr>
      </w:pPr>
    </w:p>
    <w:bookmarkStart w:id="847" w:name="page848"/>
    <w:bookmarkEnd w:id="847"/>
    <w:p>
      <w:pPr>
        <w:ind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For purposes of this Certificate, the amount of any contingent liability at any time shall be computed as the amount that would reasonably be expected to become an actual and matured liability.</w:t>
      </w:r>
    </w:p>
    <w:p>
      <w:pPr>
        <w:spacing w:after="0" w:line="16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Exhibit J</w:t>
      </w:r>
    </w:p>
    <w:p>
      <w:pPr>
        <w:spacing w:after="0" w:line="2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300"/>
          </w:cols>
          <w:pgMar w:left="580" w:top="265" w:right="1019" w:bottom="1440" w:gutter="0" w:footer="0" w:header="0"/>
        </w:sectPr>
      </w:pPr>
    </w:p>
    <w:bookmarkStart w:id="848" w:name="page849"/>
    <w:bookmarkEnd w:id="848"/>
    <w:p>
      <w:pPr>
        <w:ind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undersigned has executed this Certificate in such undersigned’s capacity as chief financial officer of Borrower, on behalf of Borrower, and not individually, as of the date first stated above.</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TEMPUS LABS, INC.</w:t>
      </w:r>
      <w:r>
        <w:rPr>
          <w:rFonts w:ascii="Times New Roman" w:cs="Times New Roman" w:eastAsia="Times New Roman" w:hAnsi="Times New Roman"/>
          <w:sz w:val="18"/>
          <w:szCs w:val="18"/>
          <w:color w:val="auto"/>
        </w:rPr>
        <w:t>, a Delaware corporation</w:t>
      </w:r>
    </w:p>
    <w:p>
      <w:pPr>
        <w:spacing w:after="0" w:line="21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Exhibit J</w:t>
      </w:r>
    </w:p>
    <w:p>
      <w:pPr>
        <w:spacing w:after="0" w:line="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620"/>
      </w:cols>
      <w:pgMar w:left="580" w:top="266"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05B331"/>
    <w:multiLevelType w:val="hybridMultilevel"/>
    <w:lvl w:ilvl="0">
      <w:lvlJc w:val="left"/>
      <w:lvlText w:val="•"/>
      <w:numFmt w:val="bullet"/>
      <w:start w:val="1"/>
    </w:lvl>
  </w:abstractNum>
  <w:abstractNum w:abstractNumId="1">
    <w:nsid w:val="60A1463"/>
    <w:multiLevelType w:val="hybridMultilevel"/>
    <w:lvl w:ilvl="0">
      <w:lvlJc w:val="left"/>
      <w:lvlText w:val="•"/>
      <w:numFmt w:val="bullet"/>
      <w:start w:val="1"/>
    </w:lvl>
  </w:abstractNum>
  <w:abstractNum w:abstractNumId="2">
    <w:nsid w:val="43773132"/>
    <w:multiLevelType w:val="hybridMultilevel"/>
    <w:lvl w:ilvl="0">
      <w:lvlJc w:val="left"/>
      <w:lvlText w:val="•"/>
      <w:numFmt w:val="bullet"/>
      <w:start w:val="1"/>
    </w:lvl>
  </w:abstractNum>
  <w:abstractNum w:abstractNumId="3">
    <w:nsid w:val="16AC4B23"/>
    <w:multiLevelType w:val="hybridMultilevel"/>
    <w:lvl w:ilvl="0">
      <w:lvlJc w:val="left"/>
      <w:lvlText w:val="•"/>
      <w:numFmt w:val="bullet"/>
      <w:start w:val="1"/>
    </w:lvl>
  </w:abstractNum>
  <w:abstractNum w:abstractNumId="4">
    <w:nsid w:val="76C44E4E"/>
    <w:multiLevelType w:val="hybridMultilevel"/>
    <w:lvl w:ilvl="0">
      <w:lvlJc w:val="left"/>
      <w:lvlText w:val="•"/>
      <w:numFmt w:val="bullet"/>
      <w:start w:val="1"/>
    </w:lvl>
  </w:abstractNum>
  <w:abstractNum w:abstractNumId="5">
    <w:nsid w:val="E04E6CE"/>
    <w:multiLevelType w:val="hybridMultilevel"/>
    <w:lvl w:ilvl="0">
      <w:lvlJc w:val="left"/>
      <w:lvlText w:val="•"/>
      <w:numFmt w:val="bullet"/>
      <w:start w:val="1"/>
    </w:lvl>
  </w:abstractNum>
  <w:abstractNum w:abstractNumId="6">
    <w:nsid w:val="31A9DB76"/>
    <w:multiLevelType w:val="hybridMultilevel"/>
    <w:lvl w:ilvl="0">
      <w:lvlJc w:val="left"/>
      <w:lvlText w:val="•"/>
      <w:numFmt w:val="bullet"/>
      <w:start w:val="1"/>
    </w:lvl>
  </w:abstractNum>
  <w:abstractNum w:abstractNumId="7">
    <w:nsid w:val="4C4FFF5B"/>
    <w:multiLevelType w:val="hybridMultilevel"/>
    <w:lvl w:ilvl="0">
      <w:lvlJc w:val="left"/>
      <w:lvlText w:val="•"/>
      <w:numFmt w:val="bullet"/>
      <w:start w:val="1"/>
    </w:lvl>
    <w:lvl w:ilvl="1">
      <w:lvlJc w:val="left"/>
      <w:lvlText w:val=","/>
      <w:numFmt w:val="bullet"/>
      <w:start w:val="1"/>
    </w:lvl>
  </w:abstractNum>
  <w:abstractNum w:abstractNumId="8">
    <w:nsid w:val="51B76675"/>
    <w:multiLevelType w:val="hybridMultilevel"/>
    <w:lvl w:ilvl="0">
      <w:lvlJc w:val="left"/>
      <w:lvlText w:val="•"/>
      <w:numFmt w:val="bullet"/>
      <w:start w:val="1"/>
    </w:lvl>
  </w:abstractNum>
  <w:abstractNum w:abstractNumId="9">
    <w:nsid w:val="59A4BA71"/>
    <w:multiLevelType w:val="hybridMultilevel"/>
    <w:lvl w:ilvl="0">
      <w:lvlJc w:val="left"/>
      <w:lvlText w:val="•"/>
      <w:numFmt w:val="bullet"/>
      <w:start w:val="1"/>
    </w:lvl>
  </w:abstractNum>
  <w:abstractNum w:abstractNumId="10">
    <w:nsid w:val="450B7FB6"/>
    <w:multiLevelType w:val="hybridMultilevel"/>
    <w:lvl w:ilvl="0">
      <w:lvlJc w:val="left"/>
      <w:lvlText w:val="•"/>
      <w:numFmt w:val="bullet"/>
      <w:start w:val="1"/>
    </w:lvl>
  </w:abstractNum>
  <w:abstractNum w:abstractNumId="11">
    <w:nsid w:val="340BF64D"/>
    <w:multiLevelType w:val="hybridMultilevel"/>
    <w:lvl w:ilvl="0">
      <w:lvlJc w:val="left"/>
      <w:lvlText w:val="•"/>
      <w:numFmt w:val="bullet"/>
      <w:start w:val="1"/>
    </w:lvl>
  </w:abstractNum>
  <w:abstractNum w:abstractNumId="12">
    <w:nsid w:val="69454021"/>
    <w:multiLevelType w:val="hybridMultilevel"/>
    <w:lvl w:ilvl="0">
      <w:lvlJc w:val="left"/>
      <w:lvlText w:val="•"/>
      <w:numFmt w:val="bullet"/>
      <w:start w:val="1"/>
    </w:lvl>
  </w:abstractNum>
  <w:abstractNum w:abstractNumId="13">
    <w:nsid w:val="49F15C6B"/>
    <w:multiLevelType w:val="hybridMultilevel"/>
    <w:lvl w:ilvl="0">
      <w:lvlJc w:val="left"/>
      <w:lvlText w:val="(%1)"/>
      <w:numFmt w:val="decimal"/>
      <w:start w:val="1"/>
    </w:lvl>
  </w:abstractNum>
  <w:abstractNum w:abstractNumId="14">
    <w:nsid w:val="75F56228"/>
    <w:multiLevelType w:val="hybridMultilevel"/>
    <w:lvl w:ilvl="0">
      <w:lvlJc w:val="left"/>
      <w:lvlText w:val="(%1)"/>
      <w:numFmt w:val="decimal"/>
      <w:start w:val="2"/>
    </w:lvl>
  </w:abstractNum>
  <w:abstractNum w:abstractNumId="15">
    <w:nsid w:val="1C618271"/>
    <w:multiLevelType w:val="hybridMultilevel"/>
    <w:lvl w:ilvl="0">
      <w:lvlJc w:val="left"/>
      <w:lvlText w:val="(%1)"/>
      <w:numFmt w:val="decimal"/>
      <w:start w:val="1"/>
    </w:lvl>
  </w:abstractNum>
  <w:abstractNum w:abstractNumId="16">
    <w:nsid w:val="6505F02E"/>
    <w:multiLevelType w:val="hybridMultilevel"/>
    <w:lvl w:ilvl="0">
      <w:lvlJc w:val="left"/>
      <w:lvlText w:val="(%1)"/>
      <w:numFmt w:val="decimal"/>
      <w:start w:val="2"/>
    </w:lvl>
  </w:abstractNum>
  <w:abstractNum w:abstractNumId="17">
    <w:nsid w:val="2FE5D025"/>
    <w:multiLevelType w:val="hybridMultilevel"/>
    <w:lvl w:ilvl="0">
      <w:lvlJc w:val="left"/>
      <w:lvlText w:val="$"/>
      <w:numFmt w:val="bullet"/>
      <w:start w:val="1"/>
    </w:lvl>
  </w:abstractNum>
  <w:abstractNum w:abstractNumId="18">
    <w:nsid w:val="30E1B1CF"/>
    <w:multiLevelType w:val="hybridMultilevel"/>
    <w:lvl w:ilvl="0">
      <w:lvlJc w:val="left"/>
      <w:lvlText w:val="$"/>
      <w:numFmt w:val="bullet"/>
      <w:start w:val="1"/>
    </w:lvl>
  </w:abstractNum>
  <w:abstractNum w:abstractNumId="19">
    <w:nsid w:val="C7A9237"/>
    <w:multiLevelType w:val="hybridMultilevel"/>
    <w:lvl w:ilvl="0">
      <w:lvlJc w:val="left"/>
      <w:lvlText w:val="(%1)"/>
      <w:numFmt w:val="decimal"/>
      <w:start w:val="4"/>
    </w:lvl>
  </w:abstractNum>
  <w:abstractNum w:abstractNumId="20">
    <w:nsid w:val="676B3580"/>
    <w:multiLevelType w:val="hybridMultilevel"/>
    <w:lvl w:ilvl="0">
      <w:lvlJc w:val="left"/>
      <w:lvlText w:val="•"/>
      <w:numFmt w:val="bullet"/>
      <w:start w:val="1"/>
    </w:lvl>
  </w:abstractNum>
  <w:abstractNum w:abstractNumId="21">
    <w:nsid w:val="3193C8F9"/>
    <w:multiLevelType w:val="hybridMultilevel"/>
    <w:lvl w:ilvl="0">
      <w:lvlJc w:val="left"/>
      <w:lvlText w:val="•"/>
      <w:numFmt w:val="bullet"/>
      <w:start w:val="1"/>
    </w:lvl>
  </w:abstractNum>
  <w:abstractNum w:abstractNumId="22">
    <w:nsid w:val="5FA6C6DC"/>
    <w:multiLevelType w:val="hybridMultilevel"/>
    <w:lvl w:ilvl="0">
      <w:lvlJc w:val="left"/>
      <w:lvlText w:val="•"/>
      <w:numFmt w:val="bullet"/>
      <w:start w:val="1"/>
    </w:lvl>
  </w:abstractNum>
  <w:abstractNum w:abstractNumId="23">
    <w:nsid w:val="77933F62"/>
    <w:multiLevelType w:val="hybridMultilevel"/>
    <w:lvl w:ilvl="0">
      <w:lvlJc w:val="left"/>
      <w:lvlText w:val="•"/>
      <w:numFmt w:val="bullet"/>
      <w:start w:val="1"/>
    </w:lvl>
  </w:abstractNum>
  <w:abstractNum w:abstractNumId="24">
    <w:nsid w:val="6CB4EE9C"/>
    <w:multiLevelType w:val="hybridMultilevel"/>
    <w:lvl w:ilvl="0">
      <w:lvlJc w:val="left"/>
      <w:lvlText w:val="•"/>
      <w:numFmt w:val="bullet"/>
      <w:start w:val="1"/>
    </w:lvl>
  </w:abstractNum>
  <w:abstractNum w:abstractNumId="25">
    <w:nsid w:val="6A6D56D7"/>
    <w:multiLevelType w:val="hybridMultilevel"/>
    <w:lvl w:ilvl="0">
      <w:lvlJc w:val="left"/>
      <w:lvlText w:val="•"/>
      <w:numFmt w:val="bullet"/>
      <w:start w:val="1"/>
    </w:lvl>
  </w:abstractNum>
  <w:abstractNum w:abstractNumId="26">
    <w:nsid w:val="5B727F19"/>
    <w:multiLevelType w:val="hybridMultilevel"/>
    <w:lvl w:ilvl="0">
      <w:lvlJc w:val="left"/>
      <w:lvlText w:val="•"/>
      <w:numFmt w:val="bullet"/>
      <w:start w:val="1"/>
    </w:lvl>
  </w:abstractNum>
  <w:abstractNum w:abstractNumId="27">
    <w:nsid w:val="514E5CB0"/>
    <w:multiLevelType w:val="hybridMultilevel"/>
    <w:lvl w:ilvl="0">
      <w:lvlJc w:val="left"/>
      <w:lvlText w:val="•"/>
      <w:numFmt w:val="bullet"/>
      <w:start w:val="1"/>
    </w:lvl>
  </w:abstractNum>
  <w:abstractNum w:abstractNumId="28">
    <w:nsid w:val="4210D41E"/>
    <w:multiLevelType w:val="hybridMultilevel"/>
    <w:lvl w:ilvl="0">
      <w:lvlJc w:val="left"/>
      <w:lvlText w:val="•"/>
      <w:numFmt w:val="bullet"/>
      <w:start w:val="1"/>
    </w:lvl>
  </w:abstractNum>
  <w:abstractNum w:abstractNumId="29">
    <w:nsid w:val="4FF4CC6D"/>
    <w:multiLevelType w:val="hybridMultilevel"/>
    <w:lvl w:ilvl="0">
      <w:lvlJc w:val="left"/>
      <w:lvlText w:val="•"/>
      <w:numFmt w:val="bullet"/>
      <w:start w:val="1"/>
    </w:lvl>
  </w:abstractNum>
  <w:abstractNum w:abstractNumId="30">
    <w:nsid w:val="404EAF4A"/>
    <w:multiLevelType w:val="hybridMultilevel"/>
    <w:lvl w:ilvl="0">
      <w:lvlJc w:val="left"/>
      <w:lvlText w:val="•"/>
      <w:numFmt w:val="bullet"/>
      <w:start w:val="1"/>
    </w:lvl>
  </w:abstractNum>
  <w:abstractNum w:abstractNumId="31">
    <w:nsid w:val="4A16874F"/>
    <w:multiLevelType w:val="hybridMultilevel"/>
    <w:lvl w:ilvl="0">
      <w:lvlJc w:val="left"/>
      <w:lvlText w:val="•"/>
      <w:numFmt w:val="bullet"/>
      <w:start w:val="1"/>
    </w:lvl>
  </w:abstractNum>
  <w:abstractNum w:abstractNumId="32">
    <w:nsid w:val="55FEE0D1"/>
    <w:multiLevelType w:val="hybridMultilevel"/>
    <w:lvl w:ilvl="0">
      <w:lvlJc w:val="left"/>
      <w:lvlText w:val="•"/>
      <w:numFmt w:val="bullet"/>
      <w:start w:val="1"/>
    </w:lvl>
  </w:abstractNum>
  <w:abstractNum w:abstractNumId="33">
    <w:nsid w:val="3C5E07C"/>
    <w:multiLevelType w:val="hybridMultilevel"/>
    <w:lvl w:ilvl="0">
      <w:lvlJc w:val="left"/>
      <w:lvlText w:val="•"/>
      <w:numFmt w:val="bullet"/>
      <w:start w:val="1"/>
    </w:lvl>
  </w:abstractNum>
  <w:abstractNum w:abstractNumId="34">
    <w:nsid w:val="60C2D273"/>
    <w:multiLevelType w:val="hybridMultilevel"/>
    <w:lvl w:ilvl="0">
      <w:lvlJc w:val="left"/>
      <w:lvlText w:val="•"/>
      <w:numFmt w:val="bullet"/>
      <w:start w:val="1"/>
    </w:lvl>
  </w:abstractNum>
  <w:abstractNum w:abstractNumId="35">
    <w:nsid w:val="4CC32F1F"/>
    <w:multiLevelType w:val="hybridMultilevel"/>
    <w:lvl w:ilvl="0">
      <w:lvlJc w:val="left"/>
      <w:lvlText w:val="•"/>
      <w:numFmt w:val="bullet"/>
      <w:start w:val="1"/>
    </w:lvl>
  </w:abstractNum>
  <w:abstractNum w:abstractNumId="36">
    <w:nsid w:val="11CAC74A"/>
    <w:multiLevelType w:val="hybridMultilevel"/>
    <w:lvl w:ilvl="0">
      <w:lvlJc w:val="left"/>
      <w:lvlText w:val="•"/>
      <w:numFmt w:val="bullet"/>
      <w:start w:val="1"/>
    </w:lvl>
  </w:abstractNum>
  <w:abstractNum w:abstractNumId="37">
    <w:nsid w:val="126CADE9"/>
    <w:multiLevelType w:val="hybridMultilevel"/>
    <w:lvl w:ilvl="0">
      <w:lvlJc w:val="left"/>
      <w:lvlText w:val="•"/>
      <w:numFmt w:val="bullet"/>
      <w:start w:val="1"/>
    </w:lvl>
  </w:abstractNum>
  <w:abstractNum w:abstractNumId="38">
    <w:nsid w:val="19132E7B"/>
    <w:multiLevelType w:val="hybridMultilevel"/>
    <w:lvl w:ilvl="0">
      <w:lvlJc w:val="left"/>
      <w:lvlText w:val="•"/>
      <w:numFmt w:val="bullet"/>
      <w:start w:val="1"/>
    </w:lvl>
  </w:abstractNum>
  <w:abstractNum w:abstractNumId="39">
    <w:nsid w:val="63822DC0"/>
    <w:multiLevelType w:val="hybridMultilevel"/>
    <w:lvl w:ilvl="0">
      <w:lvlJc w:val="left"/>
      <w:lvlText w:val="•"/>
      <w:numFmt w:val="bullet"/>
      <w:start w:val="1"/>
    </w:lvl>
  </w:abstractNum>
  <w:abstractNum w:abstractNumId="40">
    <w:nsid w:val="6C11685A"/>
    <w:multiLevelType w:val="hybridMultilevel"/>
    <w:lvl w:ilvl="0">
      <w:lvlJc w:val="left"/>
      <w:lvlText w:val="•"/>
      <w:numFmt w:val="bullet"/>
      <w:start w:val="1"/>
    </w:lvl>
  </w:abstractNum>
  <w:abstractNum w:abstractNumId="41">
    <w:nsid w:val="5E1EAE31"/>
    <w:multiLevelType w:val="hybridMultilevel"/>
    <w:lvl w:ilvl="0">
      <w:lvlJc w:val="left"/>
      <w:lvlText w:val="•"/>
      <w:numFmt w:val="bullet"/>
      <w:start w:val="1"/>
    </w:lvl>
  </w:abstractNum>
  <w:abstractNum w:abstractNumId="42">
    <w:nsid w:val="178E240D"/>
    <w:multiLevelType w:val="hybridMultilevel"/>
    <w:lvl w:ilvl="0">
      <w:lvlJc w:val="left"/>
      <w:lvlText w:val="•"/>
      <w:numFmt w:val="bullet"/>
      <w:start w:val="1"/>
    </w:lvl>
  </w:abstractNum>
  <w:abstractNum w:abstractNumId="43">
    <w:nsid w:val="5556A87B"/>
    <w:multiLevelType w:val="hybridMultilevel"/>
    <w:lvl w:ilvl="0">
      <w:lvlJc w:val="left"/>
      <w:lvlText w:val="•"/>
      <w:numFmt w:val="bullet"/>
      <w:start w:val="1"/>
    </w:lvl>
  </w:abstractNum>
  <w:abstractNum w:abstractNumId="44">
    <w:nsid w:val="28100A9C"/>
    <w:multiLevelType w:val="hybridMultilevel"/>
    <w:lvl w:ilvl="0">
      <w:lvlJc w:val="left"/>
      <w:lvlText w:val="•"/>
      <w:numFmt w:val="bullet"/>
      <w:start w:val="1"/>
    </w:lvl>
  </w:abstractNum>
  <w:abstractNum w:abstractNumId="45">
    <w:nsid w:val="D838636"/>
    <w:multiLevelType w:val="hybridMultilevel"/>
    <w:lvl w:ilvl="0">
      <w:lvlJc w:val="left"/>
      <w:lvlText w:val="•"/>
      <w:numFmt w:val="bullet"/>
      <w:start w:val="1"/>
    </w:lvl>
  </w:abstractNum>
  <w:abstractNum w:abstractNumId="46">
    <w:nsid w:val="71B82AED"/>
    <w:multiLevelType w:val="hybridMultilevel"/>
    <w:lvl w:ilvl="0">
      <w:lvlJc w:val="left"/>
      <w:lvlText w:val="•"/>
      <w:numFmt w:val="bullet"/>
      <w:start w:val="1"/>
    </w:lvl>
  </w:abstractNum>
  <w:abstractNum w:abstractNumId="47">
    <w:nsid w:val="D15FACA"/>
    <w:multiLevelType w:val="hybridMultilevel"/>
    <w:lvl w:ilvl="0">
      <w:lvlJc w:val="left"/>
      <w:lvlText w:val="•"/>
      <w:numFmt w:val="bullet"/>
      <w:start w:val="1"/>
    </w:lvl>
  </w:abstractNum>
  <w:abstractNum w:abstractNumId="48">
    <w:nsid w:val="3D69565B"/>
    <w:multiLevelType w:val="hybridMultilevel"/>
    <w:lvl w:ilvl="0">
      <w:lvlJc w:val="left"/>
      <w:lvlText w:val="•"/>
      <w:numFmt w:val="bullet"/>
      <w:start w:val="1"/>
    </w:lvl>
  </w:abstractNum>
  <w:abstractNum w:abstractNumId="49">
    <w:nsid w:val="2299DCBC"/>
    <w:multiLevelType w:val="hybridMultilevel"/>
    <w:lvl w:ilvl="0">
      <w:lvlJc w:val="left"/>
      <w:lvlText w:val="$"/>
      <w:numFmt w:val="bullet"/>
      <w:start w:val="1"/>
    </w:lvl>
  </w:abstractNum>
  <w:abstractNum w:abstractNumId="50">
    <w:nsid w:val="19908D02"/>
    <w:multiLevelType w:val="hybridMultilevel"/>
    <w:lvl w:ilvl="0">
      <w:lvlJc w:val="left"/>
      <w:lvlText w:val="$"/>
      <w:numFmt w:val="bullet"/>
      <w:start w:val="1"/>
    </w:lvl>
  </w:abstractNum>
  <w:abstractNum w:abstractNumId="51">
    <w:nsid w:val="24D48BDB"/>
    <w:multiLevelType w:val="hybridMultilevel"/>
    <w:lvl w:ilvl="0">
      <w:lvlJc w:val="left"/>
      <w:lvlText w:val="•"/>
      <w:numFmt w:val="bullet"/>
      <w:start w:val="1"/>
    </w:lvl>
  </w:abstractNum>
  <w:abstractNum w:abstractNumId="52">
    <w:nsid w:val="542DA5B5"/>
    <w:multiLevelType w:val="hybridMultilevel"/>
    <w:lvl w:ilvl="0">
      <w:lvlJc w:val="left"/>
      <w:lvlText w:val="•"/>
      <w:numFmt w:val="bullet"/>
      <w:start w:val="1"/>
    </w:lvl>
  </w:abstractNum>
  <w:abstractNum w:abstractNumId="53">
    <w:nsid w:val="793753DE"/>
    <w:multiLevelType w:val="hybridMultilevel"/>
    <w:lvl w:ilvl="0">
      <w:lvlJc w:val="left"/>
      <w:lvlText w:val="•"/>
      <w:numFmt w:val="bullet"/>
      <w:start w:val="1"/>
    </w:lvl>
  </w:abstractNum>
  <w:abstractNum w:abstractNumId="54">
    <w:nsid w:val="1C67CB3D"/>
    <w:multiLevelType w:val="hybridMultilevel"/>
    <w:lvl w:ilvl="0">
      <w:lvlJc w:val="left"/>
      <w:lvlText w:val="•"/>
      <w:numFmt w:val="bullet"/>
      <w:start w:val="1"/>
    </w:lvl>
  </w:abstractNum>
  <w:abstractNum w:abstractNumId="55">
    <w:nsid w:val="40E29452"/>
    <w:multiLevelType w:val="hybridMultilevel"/>
    <w:lvl w:ilvl="0">
      <w:lvlJc w:val="left"/>
      <w:lvlText w:val="•"/>
      <w:numFmt w:val="bullet"/>
      <w:start w:val="1"/>
    </w:lvl>
  </w:abstractNum>
  <w:abstractNum w:abstractNumId="56">
    <w:nsid w:val="63A4AAB6"/>
    <w:multiLevelType w:val="hybridMultilevel"/>
    <w:lvl w:ilvl="0">
      <w:lvlJc w:val="left"/>
      <w:lvlText w:val="$"/>
      <w:numFmt w:val="bullet"/>
      <w:start w:val="1"/>
    </w:lvl>
  </w:abstractNum>
  <w:abstractNum w:abstractNumId="57">
    <w:nsid w:val="77DA4A57"/>
    <w:multiLevelType w:val="hybridMultilevel"/>
    <w:lvl w:ilvl="0">
      <w:lvlJc w:val="left"/>
      <w:lvlText w:val="$"/>
      <w:numFmt w:val="bullet"/>
      <w:start w:val="1"/>
    </w:lvl>
  </w:abstractNum>
  <w:abstractNum w:abstractNumId="58">
    <w:nsid w:val="1230F102"/>
    <w:multiLevelType w:val="hybridMultilevel"/>
    <w:lvl w:ilvl="0">
      <w:lvlJc w:val="left"/>
      <w:lvlText w:val="•"/>
      <w:numFmt w:val="bullet"/>
      <w:start w:val="1"/>
    </w:lvl>
  </w:abstractNum>
  <w:abstractNum w:abstractNumId="59">
    <w:nsid w:val="25B57ED4"/>
    <w:multiLevelType w:val="hybridMultilevel"/>
    <w:lvl w:ilvl="0">
      <w:lvlJc w:val="left"/>
      <w:lvlText w:val="•"/>
      <w:numFmt w:val="bullet"/>
      <w:start w:val="1"/>
    </w:lvl>
  </w:abstractNum>
  <w:abstractNum w:abstractNumId="60">
    <w:nsid w:val="47CF16C4"/>
    <w:multiLevelType w:val="hybridMultilevel"/>
    <w:lvl w:ilvl="0">
      <w:lvlJc w:val="left"/>
      <w:lvlText w:val="•"/>
      <w:numFmt w:val="bullet"/>
      <w:start w:val="1"/>
    </w:lvl>
  </w:abstractNum>
  <w:abstractNum w:abstractNumId="61">
    <w:nsid w:val="527FA04C"/>
    <w:multiLevelType w:val="hybridMultilevel"/>
    <w:lvl w:ilvl="0">
      <w:lvlJc w:val="left"/>
      <w:lvlText w:val="•"/>
      <w:numFmt w:val="bullet"/>
      <w:start w:val="1"/>
    </w:lvl>
  </w:abstractNum>
  <w:abstractNum w:abstractNumId="62">
    <w:nsid w:val="6FCC0624"/>
    <w:multiLevelType w:val="hybridMultilevel"/>
    <w:lvl w:ilvl="0">
      <w:lvlJc w:val="left"/>
      <w:lvlText w:val="•"/>
      <w:numFmt w:val="bullet"/>
      <w:start w:val="1"/>
    </w:lvl>
  </w:abstractNum>
  <w:abstractNum w:abstractNumId="63">
    <w:nsid w:val="1DCDF795"/>
    <w:multiLevelType w:val="hybridMultilevel"/>
    <w:lvl w:ilvl="0">
      <w:lvlJc w:val="left"/>
      <w:lvlText w:val="(%1)"/>
      <w:numFmt w:val="decimal"/>
      <w:start w:val="1"/>
    </w:lvl>
  </w:abstractNum>
  <w:abstractNum w:abstractNumId="64">
    <w:nsid w:val="564580C8"/>
    <w:multiLevelType w:val="hybridMultilevel"/>
    <w:lvl w:ilvl="0">
      <w:lvlJc w:val="left"/>
      <w:lvlText w:val="•"/>
      <w:numFmt w:val="bullet"/>
      <w:start w:val="1"/>
    </w:lvl>
  </w:abstractNum>
  <w:abstractNum w:abstractNumId="65">
    <w:nsid w:val="508ED897"/>
    <w:multiLevelType w:val="hybridMultilevel"/>
    <w:lvl w:ilvl="0">
      <w:lvlJc w:val="left"/>
      <w:lvlText w:val="$"/>
      <w:numFmt w:val="bullet"/>
      <w:start w:val="1"/>
    </w:lvl>
  </w:abstractNum>
  <w:abstractNum w:abstractNumId="66">
    <w:nsid w:val="6A9126B5"/>
    <w:multiLevelType w:val="hybridMultilevel"/>
    <w:lvl w:ilvl="0">
      <w:lvlJc w:val="left"/>
      <w:lvlText w:val="(%1)"/>
      <w:numFmt w:val="lowerRoman"/>
      <w:start w:val="2"/>
    </w:lvl>
  </w:abstractNum>
  <w:abstractNum w:abstractNumId="67">
    <w:nsid w:val="68104812"/>
    <w:multiLevelType w:val="hybridMultilevel"/>
    <w:lvl w:ilvl="0">
      <w:lvlJc w:val="left"/>
      <w:lvlText w:val="(%1)"/>
      <w:numFmt w:val="lowerRoman"/>
      <w:start w:val="5"/>
    </w:lvl>
  </w:abstractNum>
  <w:abstractNum w:abstractNumId="68">
    <w:nsid w:val="62FB8680"/>
    <w:multiLevelType w:val="hybridMultilevel"/>
    <w:lvl w:ilvl="0">
      <w:lvlJc w:val="left"/>
      <w:lvlText w:val="(%1)"/>
      <w:numFmt w:val="lowerRoman"/>
      <w:start w:val="2"/>
    </w:lvl>
  </w:abstractNum>
  <w:abstractNum w:abstractNumId="69">
    <w:nsid w:val="3A45530"/>
    <w:multiLevelType w:val="hybridMultilevel"/>
    <w:lvl w:ilvl="0">
      <w:lvlJc w:val="left"/>
      <w:lvlText w:val="(%1)"/>
      <w:numFmt w:val="lowerRoman"/>
      <w:start w:val="1"/>
    </w:lvl>
  </w:abstractNum>
  <w:abstractNum w:abstractNumId="70">
    <w:nsid w:val="4B9275D2"/>
    <w:multiLevelType w:val="hybridMultilevel"/>
    <w:lvl w:ilvl="0">
      <w:lvlJc w:val="left"/>
      <w:lvlText w:val="*"/>
      <w:numFmt w:val="bullet"/>
      <w:start w:val="1"/>
    </w:lvl>
  </w:abstractNum>
  <w:abstractNum w:abstractNumId="71">
    <w:nsid w:val="4F0CEEDB"/>
    <w:multiLevelType w:val="hybridMultilevel"/>
    <w:lvl w:ilvl="0">
      <w:lvlJc w:val="left"/>
      <w:lvlText w:val="(%1)"/>
      <w:numFmt w:val="lowerRoman"/>
      <w:start w:val="4"/>
    </w:lvl>
  </w:abstractNum>
  <w:abstractNum w:abstractNumId="72">
    <w:nsid w:val="61C30361"/>
    <w:multiLevelType w:val="hybridMultilevel"/>
    <w:lvl w:ilvl="0">
      <w:lvlJc w:val="left"/>
      <w:lvlText w:val="•"/>
      <w:numFmt w:val="bullet"/>
      <w:start w:val="1"/>
    </w:lvl>
  </w:abstractNum>
  <w:abstractNum w:abstractNumId="73">
    <w:nsid w:val="632099E0"/>
    <w:multiLevelType w:val="hybridMultilevel"/>
    <w:lvl w:ilvl="0">
      <w:lvlJc w:val="left"/>
      <w:lvlText w:val="•"/>
      <w:numFmt w:val="bullet"/>
      <w:start w:val="1"/>
    </w:lvl>
  </w:abstractNum>
  <w:abstractNum w:abstractNumId="74">
    <w:nsid w:val="24639756"/>
    <w:multiLevelType w:val="hybridMultilevel"/>
    <w:lvl w:ilvl="0">
      <w:lvlJc w:val="left"/>
      <w:lvlText w:val="•"/>
      <w:numFmt w:val="bullet"/>
      <w:start w:val="1"/>
    </w:lvl>
  </w:abstractNum>
  <w:abstractNum w:abstractNumId="75">
    <w:nsid w:val="9D30DFD"/>
    <w:multiLevelType w:val="hybridMultilevel"/>
    <w:lvl w:ilvl="0">
      <w:lvlJc w:val="left"/>
      <w:lvlText w:val="•"/>
      <w:numFmt w:val="bullet"/>
      <w:start w:val="1"/>
    </w:lvl>
  </w:abstractNum>
  <w:abstractNum w:abstractNumId="76">
    <w:nsid w:val="70A42016"/>
    <w:multiLevelType w:val="hybridMultilevel"/>
    <w:lvl w:ilvl="0">
      <w:lvlJc w:val="left"/>
      <w:lvlText w:val="•"/>
      <w:numFmt w:val="bullet"/>
      <w:start w:val="1"/>
    </w:lvl>
  </w:abstractNum>
  <w:abstractNum w:abstractNumId="77">
    <w:nsid w:val="161BC243"/>
    <w:multiLevelType w:val="hybridMultilevel"/>
    <w:lvl w:ilvl="0">
      <w:lvlJc w:val="left"/>
      <w:lvlText w:val="•"/>
      <w:numFmt w:val="bullet"/>
      <w:start w:val="1"/>
    </w:lvl>
  </w:abstractNum>
  <w:abstractNum w:abstractNumId="78">
    <w:nsid w:val="16E908C8"/>
    <w:multiLevelType w:val="hybridMultilevel"/>
    <w:lvl w:ilvl="0">
      <w:lvlJc w:val="left"/>
      <w:lvlText w:val="•"/>
      <w:numFmt w:val="bullet"/>
      <w:start w:val="1"/>
    </w:lvl>
  </w:abstractNum>
  <w:abstractNum w:abstractNumId="79">
    <w:nsid w:val="2E0D7671"/>
    <w:multiLevelType w:val="hybridMultilevel"/>
    <w:lvl w:ilvl="0">
      <w:lvlJc w:val="left"/>
      <w:lvlText w:val="•"/>
      <w:numFmt w:val="bullet"/>
      <w:start w:val="1"/>
    </w:lvl>
  </w:abstractNum>
  <w:abstractNum w:abstractNumId="80">
    <w:nsid w:val="38B59EFF"/>
    <w:multiLevelType w:val="hybridMultilevel"/>
    <w:lvl w:ilvl="0">
      <w:lvlJc w:val="left"/>
      <w:lvlText w:val="•"/>
      <w:numFmt w:val="bullet"/>
      <w:start w:val="1"/>
    </w:lvl>
  </w:abstractNum>
  <w:abstractNum w:abstractNumId="81">
    <w:nsid w:val="307995CA"/>
    <w:multiLevelType w:val="hybridMultilevel"/>
    <w:lvl w:ilvl="0">
      <w:lvlJc w:val="left"/>
      <w:lvlText w:val="•"/>
      <w:numFmt w:val="bullet"/>
      <w:start w:val="1"/>
    </w:lvl>
  </w:abstractNum>
  <w:abstractNum w:abstractNumId="82">
    <w:nsid w:val="52E2024D"/>
    <w:multiLevelType w:val="hybridMultilevel"/>
    <w:lvl w:ilvl="0">
      <w:lvlJc w:val="left"/>
      <w:lvlText w:val="•"/>
      <w:numFmt w:val="bullet"/>
      <w:start w:val="1"/>
    </w:lvl>
  </w:abstractNum>
  <w:abstractNum w:abstractNumId="83">
    <w:nsid w:val="CE344B5"/>
    <w:multiLevelType w:val="hybridMultilevel"/>
    <w:lvl w:ilvl="0">
      <w:lvlJc w:val="left"/>
      <w:lvlText w:val="•"/>
      <w:numFmt w:val="bullet"/>
      <w:start w:val="1"/>
    </w:lvl>
  </w:abstractNum>
  <w:abstractNum w:abstractNumId="84">
    <w:nsid w:val="29B0E9A8"/>
    <w:multiLevelType w:val="hybridMultilevel"/>
    <w:lvl w:ilvl="0">
      <w:lvlJc w:val="left"/>
      <w:lvlText w:val="(%1)"/>
      <w:numFmt w:val="decimal"/>
      <w:start w:val="1"/>
    </w:lvl>
  </w:abstractNum>
  <w:abstractNum w:abstractNumId="85">
    <w:nsid w:val="6F49CD8A"/>
    <w:multiLevelType w:val="hybridMultilevel"/>
    <w:lvl w:ilvl="0">
      <w:lvlJc w:val="left"/>
      <w:lvlText w:val="(%1)"/>
      <w:numFmt w:val="lowerLetter"/>
      <w:start w:val="1"/>
    </w:lvl>
  </w:abstractNum>
  <w:abstractNum w:abstractNumId="86">
    <w:nsid w:val="4DC5D907"/>
    <w:multiLevelType w:val="hybridMultilevel"/>
    <w:lvl w:ilvl="0">
      <w:lvlJc w:val="left"/>
      <w:lvlText w:val="(%1)"/>
      <w:numFmt w:val="decimal"/>
      <w:start w:val="3"/>
    </w:lvl>
  </w:abstractNum>
  <w:abstractNum w:abstractNumId="87">
    <w:nsid w:val="D55945E"/>
    <w:multiLevelType w:val="hybridMultilevel"/>
    <w:lvl w:ilvl="0">
      <w:lvlJc w:val="left"/>
      <w:lvlText w:val="(%1)"/>
      <w:numFmt w:val="decimal"/>
      <w:start w:val="4"/>
    </w:lvl>
  </w:abstractNum>
  <w:abstractNum w:abstractNumId="88">
    <w:nsid w:val="672417E1"/>
    <w:multiLevelType w:val="hybridMultilevel"/>
    <w:lvl w:ilvl="0">
      <w:lvlJc w:val="left"/>
      <w:lvlText w:val="•"/>
      <w:numFmt w:val="bullet"/>
      <w:start w:val="1"/>
    </w:lvl>
  </w:abstractNum>
  <w:abstractNum w:abstractNumId="89">
    <w:nsid w:val="5FF6CA09"/>
    <w:multiLevelType w:val="hybridMultilevel"/>
    <w:lvl w:ilvl="0">
      <w:lvlJc w:val="left"/>
      <w:lvlText w:val="(%1)"/>
      <w:numFmt w:val="decimal"/>
      <w:start w:val="1"/>
    </w:lvl>
  </w:abstractNum>
  <w:abstractNum w:abstractNumId="90">
    <w:nsid w:val="330B1333"/>
    <w:multiLevelType w:val="hybridMultilevel"/>
    <w:lvl w:ilvl="0">
      <w:lvlJc w:val="left"/>
      <w:lvlText w:val="(%1)"/>
      <w:numFmt w:val="decimal"/>
      <w:start w:val="1"/>
    </w:lvl>
  </w:abstractNum>
  <w:abstractNum w:abstractNumId="91">
    <w:nsid w:val="2EF32EA6"/>
    <w:multiLevelType w:val="hybridMultilevel"/>
    <w:lvl w:ilvl="0">
      <w:lvlJc w:val="left"/>
      <w:lvlText w:val="(%1)"/>
      <w:numFmt w:val="decimal"/>
      <w:start w:val="2"/>
    </w:lvl>
  </w:abstractNum>
  <w:abstractNum w:abstractNumId="92">
    <w:nsid w:val="32766A55"/>
    <w:multiLevelType w:val="hybridMultilevel"/>
    <w:lvl w:ilvl="0">
      <w:lvlJc w:val="left"/>
      <w:lvlText w:val="•"/>
      <w:numFmt w:val="bullet"/>
      <w:start w:val="1"/>
    </w:lvl>
  </w:abstractNum>
  <w:abstractNum w:abstractNumId="93">
    <w:nsid w:val="22D71957"/>
    <w:multiLevelType w:val="hybridMultilevel"/>
    <w:lvl w:ilvl="0">
      <w:lvlJc w:val="left"/>
      <w:lvlText w:val="•"/>
      <w:numFmt w:val="bullet"/>
      <w:start w:val="1"/>
    </w:lvl>
  </w:abstractNum>
  <w:abstractNum w:abstractNumId="94">
    <w:nsid w:val="4CC1263B"/>
    <w:multiLevelType w:val="hybridMultilevel"/>
    <w:lvl w:ilvl="0">
      <w:lvlJc w:val="left"/>
      <w:lvlText w:val="•"/>
      <w:numFmt w:val="bullet"/>
      <w:start w:val="1"/>
    </w:lvl>
  </w:abstractNum>
  <w:abstractNum w:abstractNumId="95">
    <w:nsid w:val="8BBEB1D"/>
    <w:multiLevelType w:val="hybridMultilevel"/>
    <w:lvl w:ilvl="0">
      <w:lvlJc w:val="left"/>
      <w:lvlText w:val="•"/>
      <w:numFmt w:val="bullet"/>
      <w:start w:val="1"/>
    </w:lvl>
  </w:abstractNum>
  <w:abstractNum w:abstractNumId="96">
    <w:nsid w:val="7365F1EE"/>
    <w:multiLevelType w:val="hybridMultilevel"/>
    <w:lvl w:ilvl="0">
      <w:lvlJc w:val="left"/>
      <w:lvlText w:val="(%1)"/>
      <w:numFmt w:val="decimal"/>
      <w:start w:val="1"/>
    </w:lvl>
  </w:abstractNum>
  <w:abstractNum w:abstractNumId="97">
    <w:nsid w:val="37524CF0"/>
    <w:multiLevelType w:val="hybridMultilevel"/>
    <w:lvl w:ilvl="0">
      <w:lvlJc w:val="left"/>
      <w:lvlText w:val="(%1)"/>
      <w:numFmt w:val="decimal"/>
      <w:start w:val="1"/>
    </w:lvl>
  </w:abstractNum>
  <w:abstractNum w:abstractNumId="98">
    <w:nsid w:val="70CC332F"/>
    <w:multiLevelType w:val="hybridMultilevel"/>
    <w:lvl w:ilvl="0">
      <w:lvlJc w:val="left"/>
      <w:lvlText w:val="(%1)"/>
      <w:numFmt w:val="decimal"/>
      <w:start w:val="1"/>
    </w:lvl>
  </w:abstractNum>
  <w:abstractNum w:abstractNumId="99">
    <w:nsid w:val="5661786E"/>
    <w:multiLevelType w:val="hybridMultilevel"/>
    <w:lvl w:ilvl="0">
      <w:lvlJc w:val="left"/>
      <w:lvlText w:val="(%1)"/>
      <w:numFmt w:val="decimal"/>
      <w:start w:val="3"/>
    </w:lvl>
  </w:abstractNum>
  <w:abstractNum w:abstractNumId="100">
    <w:nsid w:val="3AF6A220"/>
    <w:multiLevelType w:val="hybridMultilevel"/>
    <w:lvl w:ilvl="0">
      <w:lvlJc w:val="left"/>
      <w:lvlText w:val="(%1)"/>
      <w:numFmt w:val="decimal"/>
      <w:start w:val="1"/>
    </w:lvl>
  </w:abstractNum>
  <w:abstractNum w:abstractNumId="101">
    <w:nsid w:val="3C5EA902"/>
    <w:multiLevelType w:val="hybridMultilevel"/>
    <w:lvl w:ilvl="0">
      <w:lvlJc w:val="left"/>
      <w:lvlText w:val="(%1)"/>
      <w:numFmt w:val="decimal"/>
      <w:start w:val="1"/>
    </w:lvl>
  </w:abstractNum>
  <w:abstractNum w:abstractNumId="102">
    <w:nsid w:val="256E6749"/>
    <w:multiLevelType w:val="hybridMultilevel"/>
    <w:lvl w:ilvl="0">
      <w:lvlJc w:val="left"/>
      <w:lvlText w:val="•"/>
      <w:numFmt w:val="bullet"/>
      <w:start w:val="1"/>
    </w:lvl>
  </w:abstractNum>
  <w:abstractNum w:abstractNumId="103">
    <w:nsid w:val="1CB9A581"/>
    <w:multiLevelType w:val="hybridMultilevel"/>
    <w:lvl w:ilvl="0">
      <w:lvlJc w:val="left"/>
      <w:lvlText w:val="*"/>
      <w:numFmt w:val="bullet"/>
      <w:start w:val="1"/>
    </w:lvl>
  </w:abstractNum>
  <w:abstractNum w:abstractNumId="104">
    <w:nsid w:val="1F7F42E2"/>
    <w:multiLevelType w:val="hybridMultilevel"/>
    <w:lvl w:ilvl="0">
      <w:lvlJc w:val="left"/>
      <w:lvlText w:val="†"/>
      <w:numFmt w:val="bullet"/>
      <w:start w:val="1"/>
    </w:lvl>
  </w:abstractNum>
  <w:abstractNum w:abstractNumId="105">
    <w:nsid w:val="49D1FEA0"/>
    <w:multiLevelType w:val="hybridMultilevel"/>
    <w:lvl w:ilvl="0">
      <w:lvlJc w:val="left"/>
      <w:lvlText w:val="•"/>
      <w:numFmt w:val="bullet"/>
      <w:start w:val="1"/>
    </w:lvl>
  </w:abstractNum>
  <w:abstractNum w:abstractNumId="106">
    <w:nsid w:val="268CB37F"/>
    <w:multiLevelType w:val="hybridMultilevel"/>
    <w:lvl w:ilvl="0">
      <w:lvlJc w:val="left"/>
      <w:lvlText w:val="•"/>
      <w:numFmt w:val="bullet"/>
      <w:start w:val="1"/>
    </w:lvl>
  </w:abstractNum>
  <w:abstractNum w:abstractNumId="107">
    <w:nsid w:val="102362F8"/>
    <w:multiLevelType w:val="hybridMultilevel"/>
    <w:lvl w:ilvl="0">
      <w:lvlJc w:val="left"/>
      <w:lvlText w:val="&amp;"/>
      <w:numFmt w:val="bullet"/>
      <w:start w:val="1"/>
    </w:lvl>
  </w:abstractNum>
  <w:abstractNum w:abstractNumId="108">
    <w:nsid w:val="5FEDC0E3"/>
    <w:multiLevelType w:val="hybridMultilevel"/>
    <w:lvl w:ilvl="0">
      <w:lvlJc w:val="left"/>
      <w:lvlText w:val="•"/>
      <w:numFmt w:val="bullet"/>
      <w:start w:val="1"/>
    </w:lvl>
  </w:abstractNum>
  <w:abstractNum w:abstractNumId="109">
    <w:nsid w:val="3D75BC47"/>
    <w:multiLevelType w:val="hybridMultilevel"/>
    <w:lvl w:ilvl="0">
      <w:lvlJc w:val="left"/>
      <w:lvlText w:val="•"/>
      <w:numFmt w:val="bullet"/>
      <w:start w:val="1"/>
    </w:lvl>
  </w:abstractNum>
  <w:abstractNum w:abstractNumId="110">
    <w:nsid w:val="3E30D969"/>
    <w:multiLevelType w:val="hybridMultilevel"/>
    <w:lvl w:ilvl="0">
      <w:lvlJc w:val="left"/>
      <w:lvlText w:val="•"/>
      <w:numFmt w:val="bullet"/>
      <w:start w:val="1"/>
    </w:lvl>
  </w:abstractNum>
  <w:abstractNum w:abstractNumId="111">
    <w:nsid w:val="18A35FE3"/>
    <w:multiLevelType w:val="hybridMultilevel"/>
    <w:lvl w:ilvl="0">
      <w:lvlJc w:val="left"/>
      <w:lvlText w:val="•"/>
      <w:numFmt w:val="bullet"/>
      <w:start w:val="1"/>
    </w:lvl>
  </w:abstractNum>
  <w:abstractNum w:abstractNumId="112">
    <w:nsid w:val="6DEF5211"/>
    <w:multiLevelType w:val="hybridMultilevel"/>
    <w:lvl w:ilvl="0">
      <w:lvlJc w:val="left"/>
      <w:lvlText w:val="•"/>
      <w:numFmt w:val="bullet"/>
      <w:start w:val="1"/>
    </w:lvl>
  </w:abstractNum>
  <w:abstractNum w:abstractNumId="113">
    <w:nsid w:val="1112DBB6"/>
    <w:multiLevelType w:val="hybridMultilevel"/>
    <w:lvl w:ilvl="0">
      <w:lvlJc w:val="left"/>
      <w:lvlText w:val="•"/>
      <w:numFmt w:val="bullet"/>
      <w:start w:val="1"/>
    </w:lvl>
  </w:abstractNum>
  <w:abstractNum w:abstractNumId="114">
    <w:nsid w:val="2586A498"/>
    <w:multiLevelType w:val="hybridMultilevel"/>
    <w:lvl w:ilvl="0">
      <w:lvlJc w:val="left"/>
      <w:lvlText w:val="(%1)"/>
      <w:numFmt w:val="lowerLetter"/>
      <w:start w:val="1"/>
    </w:lvl>
  </w:abstractNum>
  <w:abstractNum w:abstractNumId="115">
    <w:nsid w:val="17A03BB9"/>
    <w:multiLevelType w:val="hybridMultilevel"/>
    <w:lvl w:ilvl="0">
      <w:lvlJc w:val="left"/>
      <w:lvlText w:val="(%1)"/>
      <w:numFmt w:val="lowerLetter"/>
      <w:start w:val="1"/>
    </w:lvl>
  </w:abstractNum>
  <w:abstractNum w:abstractNumId="116">
    <w:nsid w:val="5CA941"/>
    <w:multiLevelType w:val="hybridMultilevel"/>
    <w:lvl w:ilvl="0">
      <w:lvlJc w:val="left"/>
      <w:lvlText w:val="(%1)"/>
      <w:numFmt w:val="lowerLetter"/>
      <w:start w:val="1"/>
    </w:lvl>
  </w:abstractNum>
  <w:abstractNum w:abstractNumId="117">
    <w:nsid w:val="734C7D9F"/>
    <w:multiLevelType w:val="hybridMultilevel"/>
    <w:lvl w:ilvl="0">
      <w:lvlJc w:val="left"/>
      <w:lvlText w:val="(%1)"/>
      <w:numFmt w:val="lowerRoman"/>
      <w:start w:val="3"/>
    </w:lvl>
  </w:abstractNum>
  <w:abstractNum w:abstractNumId="118">
    <w:nsid w:val="24F5D018"/>
    <w:multiLevelType w:val="hybridMultilevel"/>
    <w:lvl w:ilvl="0">
      <w:lvlJc w:val="left"/>
      <w:lvlText w:val="%1."/>
      <w:numFmt w:val="decimal"/>
      <w:start w:val="1"/>
    </w:lvl>
  </w:abstractNum>
  <w:abstractNum w:abstractNumId="119">
    <w:nsid w:val="6780C122"/>
    <w:multiLevelType w:val="hybridMultilevel"/>
    <w:lvl w:ilvl="0">
      <w:lvlJc w:val="left"/>
      <w:lvlText w:val="%1."/>
      <w:numFmt w:val="decimal"/>
      <w:start w:val="2"/>
    </w:lvl>
  </w:abstractNum>
  <w:abstractNum w:abstractNumId="120">
    <w:nsid w:val="534347A8"/>
    <w:multiLevelType w:val="hybridMultilevel"/>
    <w:lvl w:ilvl="0">
      <w:lvlJc w:val="left"/>
      <w:lvlText w:val="(%1)"/>
      <w:numFmt w:val="lowerRoman"/>
      <w:start w:val="1"/>
    </w:lvl>
  </w:abstractNum>
  <w:abstractNum w:abstractNumId="121">
    <w:nsid w:val="5800E34B"/>
    <w:multiLevelType w:val="hybridMultilevel"/>
    <w:lvl w:ilvl="0">
      <w:lvlJc w:val="left"/>
      <w:lvlText w:val="%1."/>
      <w:numFmt w:val="decimal"/>
      <w:start w:val="3"/>
    </w:lvl>
  </w:abstractNum>
  <w:abstractNum w:abstractNumId="122">
    <w:nsid w:val="1673EFC8"/>
    <w:multiLevelType w:val="hybridMultilevel"/>
    <w:lvl w:ilvl="0">
      <w:lvlJc w:val="left"/>
      <w:lvlText w:val="%1."/>
      <w:numFmt w:val="decimal"/>
      <w:start w:val="4"/>
    </w:lvl>
  </w:abstractNum>
  <w:abstractNum w:abstractNumId="123">
    <w:nsid w:val="5B9B1FD"/>
    <w:multiLevelType w:val="hybridMultilevel"/>
    <w:lvl w:ilvl="0">
      <w:lvlJc w:val="left"/>
      <w:lvlText w:val="%1."/>
      <w:numFmt w:val="decimal"/>
      <w:start w:val="5"/>
    </w:lvl>
  </w:abstractNum>
  <w:abstractNum w:abstractNumId="124">
    <w:nsid w:val="7AD7FCA2"/>
    <w:multiLevelType w:val="hybridMultilevel"/>
    <w:lvl w:ilvl="0">
      <w:lvlJc w:val="left"/>
      <w:lvlText w:val="%1."/>
      <w:numFmt w:val="decimal"/>
      <w:start w:val="6"/>
    </w:lvl>
  </w:abstractNum>
  <w:abstractNum w:abstractNumId="125">
    <w:nsid w:val="63351604"/>
    <w:multiLevelType w:val="hybridMultilevel"/>
    <w:lvl w:ilvl="0">
      <w:lvlJc w:val="left"/>
      <w:lvlText w:val="%1."/>
      <w:numFmt w:val="decimal"/>
      <w:start w:val="7"/>
    </w:lvl>
  </w:abstractNum>
  <w:abstractNum w:abstractNumId="126">
    <w:nsid w:val="E759D1A"/>
    <w:multiLevelType w:val="hybridMultilevel"/>
    <w:lvl w:ilvl="0">
      <w:lvlJc w:val="left"/>
      <w:lvlText w:val="%1."/>
      <w:numFmt w:val="decimal"/>
      <w:start w:val="8"/>
    </w:lvl>
  </w:abstractNum>
  <w:abstractNum w:abstractNumId="127">
    <w:nsid w:val="6E3DEE90"/>
    <w:multiLevelType w:val="hybridMultilevel"/>
    <w:lvl w:ilvl="0">
      <w:lvlJc w:val="left"/>
      <w:lvlText w:val="%1."/>
      <w:numFmt w:val="decimal"/>
      <w:start w:val="9"/>
    </w:lvl>
  </w:abstractNum>
  <w:abstractNum w:abstractNumId="128">
    <w:nsid w:val="1A8762F4"/>
    <w:multiLevelType w:val="hybridMultilevel"/>
    <w:lvl w:ilvl="0">
      <w:lvlJc w:val="left"/>
      <w:lvlText w:val="%1."/>
      <w:numFmt w:val="decimal"/>
      <w:start w:val="10"/>
    </w:lvl>
  </w:abstractNum>
  <w:abstractNum w:abstractNumId="129">
    <w:nsid w:val="7F41D049"/>
    <w:multiLevelType w:val="hybridMultilevel"/>
    <w:lvl w:ilvl="0">
      <w:lvlJc w:val="left"/>
      <w:lvlText w:val="%1."/>
      <w:numFmt w:val="decimal"/>
      <w:start w:val="11"/>
    </w:lvl>
  </w:abstractNum>
  <w:abstractNum w:abstractNumId="130">
    <w:nsid w:val="449F66FE"/>
    <w:multiLevelType w:val="hybridMultilevel"/>
    <w:lvl w:ilvl="0">
      <w:lvlJc w:val="left"/>
      <w:lvlText w:val="%1."/>
      <w:numFmt w:val="decimal"/>
      <w:start w:val="13"/>
    </w:lvl>
  </w:abstractNum>
  <w:abstractNum w:abstractNumId="131">
    <w:nsid w:val="557E0515"/>
    <w:multiLevelType w:val="hybridMultilevel"/>
    <w:lvl w:ilvl="0">
      <w:lvlJc w:val="left"/>
      <w:lvlText w:val="%1."/>
      <w:numFmt w:val="decimal"/>
      <w:start w:val="14"/>
    </w:lvl>
  </w:abstractNum>
  <w:abstractNum w:abstractNumId="132">
    <w:nsid w:val="3BA0794B"/>
    <w:multiLevelType w:val="hybridMultilevel"/>
    <w:lvl w:ilvl="0">
      <w:lvlJc w:val="left"/>
      <w:lvlText w:val="%1."/>
      <w:numFmt w:val="decimal"/>
      <w:start w:val="15"/>
    </w:lvl>
  </w:abstractNum>
  <w:abstractNum w:abstractNumId="133">
    <w:nsid w:val="6A0DCE48"/>
    <w:multiLevelType w:val="hybridMultilevel"/>
    <w:lvl w:ilvl="0">
      <w:lvlJc w:val="left"/>
      <w:lvlText w:val="%1."/>
      <w:numFmt w:val="decimal"/>
      <w:start w:val="16"/>
    </w:lvl>
  </w:abstractNum>
  <w:abstractNum w:abstractNumId="134">
    <w:nsid w:val="7237AA96"/>
    <w:multiLevelType w:val="hybridMultilevel"/>
    <w:lvl w:ilvl="0">
      <w:lvlJc w:val="left"/>
      <w:lvlText w:val="$"/>
      <w:numFmt w:val="bullet"/>
      <w:start w:val="1"/>
    </w:lvl>
  </w:abstractNum>
  <w:abstractNum w:abstractNumId="135">
    <w:nsid w:val="5B1FBC2D"/>
    <w:multiLevelType w:val="hybridMultilevel"/>
    <w:lvl w:ilvl="0">
      <w:lvlJc w:val="left"/>
      <w:lvlText w:val="$"/>
      <w:numFmt w:val="bullet"/>
      <w:start w:val="1"/>
    </w:lvl>
  </w:abstractNum>
  <w:abstractNum w:abstractNumId="136">
    <w:nsid w:val="33DFCCE8"/>
    <w:multiLevelType w:val="hybridMultilevel"/>
    <w:lvl w:ilvl="0">
      <w:lvlJc w:val="left"/>
      <w:lvlText w:val="(%1)"/>
      <w:numFmt w:val="decimal"/>
      <w:start w:val="1"/>
    </w:lvl>
  </w:abstractNum>
  <w:abstractNum w:abstractNumId="137">
    <w:nsid w:val="18C45E15"/>
    <w:multiLevelType w:val="hybridMultilevel"/>
    <w:lvl w:ilvl="0">
      <w:lvlJc w:val="left"/>
      <w:lvlText w:val="(%1)"/>
      <w:numFmt w:val="decimal"/>
      <w:start w:val="11"/>
    </w:lvl>
  </w:abstractNum>
  <w:abstractNum w:abstractNumId="138">
    <w:nsid w:val="6B431F25"/>
    <w:multiLevelType w:val="hybridMultilevel"/>
    <w:lvl w:ilvl="0">
      <w:lvlJc w:val="left"/>
      <w:lvlText w:val="(%1)"/>
      <w:numFmt w:val="lowerLetter"/>
      <w:start w:val="1"/>
    </w:lvl>
  </w:abstractNum>
  <w:abstractNum w:abstractNumId="139">
    <w:nsid w:val="13CD8DCB"/>
    <w:multiLevelType w:val="hybridMultilevel"/>
    <w:lvl w:ilvl="0">
      <w:lvlJc w:val="left"/>
      <w:lvlText w:val="(%1)"/>
      <w:numFmt w:val="lowerLetter"/>
      <w:start w:val="2"/>
    </w:lvl>
  </w:abstractNum>
  <w:abstractNum w:abstractNumId="140">
    <w:nsid w:val="563A1A5C"/>
    <w:multiLevelType w:val="hybridMultilevel"/>
    <w:lvl w:ilvl="0">
      <w:lvlJc w:val="left"/>
      <w:lvlText w:val="(%1)"/>
      <w:numFmt w:val="decimal"/>
      <w:start w:val="1"/>
    </w:lvl>
  </w:abstractNum>
  <w:abstractNum w:abstractNumId="141">
    <w:nsid w:val="2973F88F"/>
    <w:multiLevelType w:val="hybridMultilevel"/>
    <w:lvl w:ilvl="0">
      <w:lvlJc w:val="left"/>
      <w:lvlText w:val="*"/>
      <w:numFmt w:val="bullet"/>
      <w:start w:val="1"/>
    </w:lvl>
  </w:abstractNum>
  <w:abstractNum w:abstractNumId="142">
    <w:nsid w:val="2C70EDAE"/>
    <w:multiLevelType w:val="hybridMultilevel"/>
    <w:lvl w:ilvl="0">
      <w:lvlJc w:val="left"/>
      <w:lvlText w:val="%1."/>
      <w:numFmt w:val="decimal"/>
      <w:start w:val="1"/>
    </w:lvl>
  </w:abstractNum>
  <w:abstractNum w:abstractNumId="143">
    <w:nsid w:val="44296C6D"/>
    <w:multiLevelType w:val="hybridMultilevel"/>
    <w:lvl w:ilvl="0">
      <w:lvlJc w:val="left"/>
      <w:lvlText w:val="%1."/>
      <w:numFmt w:val="decimal"/>
      <w:start w:val="2"/>
    </w:lvl>
  </w:abstractNum>
  <w:abstractNum w:abstractNumId="144">
    <w:nsid w:val="3A86D445"/>
    <w:multiLevelType w:val="hybridMultilevel"/>
    <w:lvl w:ilvl="0">
      <w:lvlJc w:val="left"/>
      <w:lvlText w:val="%1."/>
      <w:numFmt w:val="decimal"/>
      <w:start w:val="3"/>
    </w:lvl>
  </w:abstractNum>
  <w:abstractNum w:abstractNumId="145">
    <w:nsid w:val="51F79246"/>
    <w:multiLevelType w:val="hybridMultilevel"/>
    <w:lvl w:ilvl="0">
      <w:lvlJc w:val="left"/>
      <w:lvlText w:val="%1"/>
      <w:numFmt w:val="upperLetter"/>
      <w:start w:val="1"/>
    </w:lvl>
    <w:lvl w:ilvl="1">
      <w:lvlJc w:val="left"/>
      <w:lvlText w:val="%2."/>
      <w:numFmt w:val="decimal"/>
      <w:start w:val="4"/>
    </w:lvl>
  </w:abstractNum>
  <w:abstractNum w:abstractNumId="146">
    <w:nsid w:val="5BC9A827"/>
    <w:multiLevelType w:val="hybridMultilevel"/>
    <w:lvl w:ilvl="0">
      <w:lvlJc w:val="left"/>
      <w:lvlText w:val="%1."/>
      <w:numFmt w:val="upperLetter"/>
      <w:start w:val="2"/>
    </w:lvl>
    <w:lvl w:ilvl="1">
      <w:lvlJc w:val="left"/>
      <w:lvlText w:val="%2"/>
      <w:numFmt w:val="decimal"/>
      <w:start w:val="1"/>
    </w:lvl>
  </w:abstractNum>
  <w:abstractNum w:abstractNumId="147">
    <w:nsid w:val="3AE37D86"/>
    <w:multiLevelType w:val="hybridMultilevel"/>
    <w:lvl w:ilvl="0">
      <w:lvlJc w:val="left"/>
      <w:lvlText w:val="%1."/>
      <w:numFmt w:val="decimal"/>
      <w:start w:val="1"/>
    </w:lvl>
  </w:abstractNum>
  <w:abstractNum w:abstractNumId="148">
    <w:nsid w:val="45440FE5"/>
    <w:multiLevelType w:val="hybridMultilevel"/>
    <w:lvl w:ilvl="0">
      <w:lvlJc w:val="left"/>
      <w:lvlText w:val="%1."/>
      <w:numFmt w:val="decimal"/>
      <w:start w:val="2"/>
    </w:lvl>
  </w:abstractNum>
  <w:abstractNum w:abstractNumId="149">
    <w:nsid w:val="BF783F"/>
    <w:multiLevelType w:val="hybridMultilevel"/>
    <w:lvl w:ilvl="0">
      <w:lvlJc w:val="left"/>
      <w:lvlText w:val="(%1)"/>
      <w:numFmt w:val="lowerLetter"/>
      <w:start w:val="1"/>
    </w:lvl>
  </w:abstractNum>
  <w:abstractNum w:abstractNumId="150">
    <w:nsid w:val="22643EA9"/>
    <w:multiLevelType w:val="hybridMultilevel"/>
    <w:lvl w:ilvl="0">
      <w:lvlJc w:val="left"/>
      <w:lvlText w:val="(%1)"/>
      <w:numFmt w:val="lowerLetter"/>
      <w:start w:val="3"/>
    </w:lvl>
  </w:abstractNum>
  <w:abstractNum w:abstractNumId="151">
    <w:nsid w:val="1887578D"/>
    <w:multiLevelType w:val="hybridMultilevel"/>
    <w:lvl w:ilvl="0">
      <w:lvlJc w:val="left"/>
      <w:lvlText w:val="(%1)"/>
      <w:numFmt w:val="lowerLetter"/>
      <w:start w:val="1"/>
    </w:lvl>
  </w:abstractNum>
  <w:abstractNum w:abstractNumId="152">
    <w:nsid w:val="58C05B8A"/>
    <w:multiLevelType w:val="hybridMultilevel"/>
    <w:lvl w:ilvl="0">
      <w:lvlJc w:val="left"/>
      <w:lvlText w:val="%1"/>
      <w:numFmt w:val="upperLetter"/>
      <w:start w:val="1"/>
    </w:lvl>
    <w:lvl w:ilvl="1">
      <w:lvlJc w:val="left"/>
      <w:lvlText w:val="(%2)"/>
      <w:numFmt w:val="lowerLetter"/>
      <w:start w:val="2"/>
    </w:lvl>
  </w:abstractNum>
  <w:abstractNum w:abstractNumId="153">
    <w:nsid w:val="38D82E71"/>
    <w:multiLevelType w:val="hybridMultilevel"/>
    <w:lvl w:ilvl="0">
      <w:lvlJc w:val="left"/>
      <w:lvlText w:val="(%1)"/>
      <w:numFmt w:val="upperLetter"/>
      <w:start w:val="4"/>
    </w:lvl>
    <w:lvl w:ilvl="1">
      <w:lvlJc w:val="left"/>
      <w:lvlText w:val="%2"/>
      <w:numFmt w:val="lowerLetter"/>
      <w:start w:val="1"/>
    </w:lvl>
  </w:abstractNum>
  <w:abstractNum w:abstractNumId="154">
    <w:nsid w:val="1E41098A"/>
    <w:multiLevelType w:val="hybridMultilevel"/>
    <w:lvl w:ilvl="0">
      <w:lvlJc w:val="left"/>
      <w:lvlText w:val="(%1)"/>
      <w:numFmt w:val="lowerLetter"/>
      <w:start w:val="3"/>
    </w:lvl>
    <w:lvl w:ilvl="1">
      <w:lvlJc w:val="left"/>
      <w:lvlText w:val="(%2)"/>
      <w:numFmt w:val="lowerRoman"/>
      <w:start w:val="1"/>
    </w:lvl>
  </w:abstractNum>
  <w:abstractNum w:abstractNumId="155">
    <w:nsid w:val="5398582C"/>
    <w:multiLevelType w:val="hybridMultilevel"/>
    <w:lvl w:ilvl="0">
      <w:lvlJc w:val="left"/>
      <w:lvlText w:val="(%1)"/>
      <w:numFmt w:val="lowerLetter"/>
      <w:start w:val="4"/>
    </w:lvl>
  </w:abstractNum>
  <w:abstractNum w:abstractNumId="156">
    <w:nsid w:val="1C0D4475"/>
    <w:multiLevelType w:val="hybridMultilevel"/>
    <w:lvl w:ilvl="0">
      <w:lvlJc w:val="left"/>
      <w:lvlText w:val="(%1)"/>
      <w:numFmt w:val="lowerLetter"/>
      <w:start w:val="5"/>
    </w:lvl>
  </w:abstractNum>
  <w:abstractNum w:abstractNumId="157">
    <w:nsid w:val="2CB6A6A4"/>
    <w:multiLevelType w:val="hybridMultilevel"/>
    <w:lvl w:ilvl="0">
      <w:lvlJc w:val="left"/>
      <w:lvlText w:val="(%1)"/>
      <w:numFmt w:val="lowerLetter"/>
      <w:start w:val="1"/>
    </w:lvl>
    <w:lvl w:ilvl="1">
      <w:lvlJc w:val="left"/>
      <w:lvlText w:val="(%2)"/>
      <w:numFmt w:val="lowerRoman"/>
      <w:start w:val="1"/>
    </w:lvl>
  </w:abstractNum>
  <w:abstractNum w:abstractNumId="158">
    <w:nsid w:val="41D646BC"/>
    <w:multiLevelType w:val="hybridMultilevel"/>
    <w:lvl w:ilvl="0">
      <w:lvlJc w:val="left"/>
      <w:lvlText w:val="%1."/>
      <w:numFmt w:val="decimal"/>
      <w:start w:val="3"/>
    </w:lvl>
  </w:abstractNum>
  <w:abstractNum w:abstractNumId="159">
    <w:nsid w:val="3694A76A"/>
    <w:multiLevelType w:val="hybridMultilevel"/>
    <w:lvl w:ilvl="0">
      <w:lvlJc w:val="left"/>
      <w:lvlText w:val="(%1)"/>
      <w:numFmt w:val="decimal"/>
      <w:start w:val="1"/>
    </w:lvl>
  </w:abstractNum>
  <w:abstractNum w:abstractNumId="160">
    <w:nsid w:val="2BF876EE"/>
    <w:multiLevelType w:val="hybridMultilevel"/>
    <w:lvl w:ilvl="0">
      <w:lvlJc w:val="left"/>
      <w:lvlText w:val="%1."/>
      <w:numFmt w:val="decimal"/>
      <w:start w:val="4"/>
    </w:lvl>
  </w:abstractNum>
  <w:abstractNum w:abstractNumId="161">
    <w:nsid w:val="675ADBA"/>
    <w:multiLevelType w:val="hybridMultilevel"/>
    <w:lvl w:ilvl="0">
      <w:lvlJc w:val="left"/>
      <w:lvlText w:val="(%1)"/>
      <w:numFmt w:val="lowerLetter"/>
      <w:start w:val="3"/>
    </w:lvl>
    <w:lvl w:ilvl="1">
      <w:lvlJc w:val="left"/>
      <w:lvlText w:val="(%2)"/>
      <w:numFmt w:val="lowerRoman"/>
      <w:start w:val="1"/>
    </w:lvl>
  </w:abstractNum>
  <w:abstractNum w:abstractNumId="162">
    <w:nsid w:val="C12AC7F"/>
    <w:multiLevelType w:val="hybridMultilevel"/>
    <w:lvl w:ilvl="0">
      <w:lvlJc w:val="left"/>
      <w:lvlText w:val="(%1)"/>
      <w:numFmt w:val="lowerRoman"/>
      <w:start w:val="6"/>
    </w:lvl>
  </w:abstractNum>
  <w:abstractNum w:abstractNumId="163">
    <w:nsid w:val="6798F039"/>
    <w:multiLevelType w:val="hybridMultilevel"/>
    <w:lvl w:ilvl="0">
      <w:lvlJc w:val="left"/>
      <w:lvlText w:val="(%1)"/>
      <w:numFmt w:val="lowerLetter"/>
      <w:start w:val="1"/>
    </w:lvl>
  </w:abstractNum>
  <w:abstractNum w:abstractNumId="164">
    <w:nsid w:val="70837C02"/>
    <w:multiLevelType w:val="hybridMultilevel"/>
    <w:lvl w:ilvl="0">
      <w:lvlJc w:val="left"/>
      <w:lvlText w:val="(%1)"/>
      <w:numFmt w:val="lowerLetter"/>
      <w:start w:val="4"/>
    </w:lvl>
  </w:abstractNum>
  <w:abstractNum w:abstractNumId="165">
    <w:nsid w:val="7E4A5715"/>
    <w:multiLevelType w:val="hybridMultilevel"/>
    <w:lvl w:ilvl="0">
      <w:lvlJc w:val="left"/>
      <w:lvlText w:val="(%1)"/>
      <w:numFmt w:val="lowerLetter"/>
      <w:start w:val="3"/>
    </w:lvl>
  </w:abstractNum>
  <w:abstractNum w:abstractNumId="166">
    <w:nsid w:val="42B8AC67"/>
    <w:multiLevelType w:val="hybridMultilevel"/>
    <w:lvl w:ilvl="0">
      <w:lvlJc w:val="left"/>
      <w:lvlText w:val="(%1)"/>
      <w:numFmt w:val="lowerLetter"/>
      <w:start w:val="1"/>
    </w:lvl>
    <w:lvl w:ilvl="1">
      <w:lvlJc w:val="left"/>
      <w:lvlText w:val="(%2)"/>
      <w:numFmt w:val="lowerRoman"/>
      <w:start w:val="1"/>
    </w:lvl>
  </w:abstractNum>
  <w:abstractNum w:abstractNumId="167">
    <w:nsid w:val="246348EA"/>
    <w:multiLevelType w:val="hybridMultilevel"/>
    <w:lvl w:ilvl="0">
      <w:lvlJc w:val="left"/>
      <w:lvlText w:val="(%1)"/>
      <w:numFmt w:val="lowerRoman"/>
      <w:start w:val="1"/>
    </w:lvl>
  </w:abstractNum>
  <w:abstractNum w:abstractNumId="168">
    <w:nsid w:val="170EB52B"/>
    <w:multiLevelType w:val="hybridMultilevel"/>
    <w:lvl w:ilvl="0">
      <w:lvlJc w:val="left"/>
      <w:lvlText w:val="(%1)"/>
      <w:numFmt w:val="decimal"/>
      <w:start w:val="1"/>
    </w:lvl>
  </w:abstractNum>
  <w:abstractNum w:abstractNumId="169">
    <w:nsid w:val="2DFBCB8C"/>
    <w:multiLevelType w:val="hybridMultilevel"/>
    <w:lvl w:ilvl="0">
      <w:lvlJc w:val="left"/>
      <w:lvlText w:val="(%1)"/>
      <w:numFmt w:val="lowerLetter"/>
      <w:start w:val="2"/>
    </w:lvl>
  </w:abstractNum>
  <w:abstractNum w:abstractNumId="170">
    <w:nsid w:val="3830D6B6"/>
    <w:multiLevelType w:val="hybridMultilevel"/>
    <w:lvl w:ilvl="0">
      <w:lvlJc w:val="left"/>
      <w:lvlText w:val="(%1)"/>
      <w:numFmt w:val="lowerRoman"/>
      <w:start w:val="1"/>
    </w:lvl>
  </w:abstractNum>
  <w:abstractNum w:abstractNumId="171">
    <w:nsid w:val="6D48CF87"/>
    <w:multiLevelType w:val="hybridMultilevel"/>
    <w:lvl w:ilvl="0">
      <w:lvlJc w:val="left"/>
      <w:lvlText w:val="(%1)"/>
      <w:numFmt w:val="lowerRoman"/>
      <w:start w:val="1"/>
    </w:lvl>
  </w:abstractNum>
  <w:abstractNum w:abstractNumId="172">
    <w:nsid w:val="576FC41B"/>
    <w:multiLevelType w:val="hybridMultilevel"/>
    <w:lvl w:ilvl="0">
      <w:lvlJc w:val="left"/>
      <w:lvlText w:val="(%1)"/>
      <w:numFmt w:val="lowerLetter"/>
      <w:start w:val="1"/>
    </w:lvl>
  </w:abstractNum>
  <w:abstractNum w:abstractNumId="173">
    <w:nsid w:val="64A1C464"/>
    <w:multiLevelType w:val="hybridMultilevel"/>
    <w:lvl w:ilvl="0">
      <w:lvlJc w:val="left"/>
      <w:lvlText w:val="(%1)"/>
      <w:numFmt w:val="lowerRoman"/>
      <w:start w:val="1"/>
    </w:lvl>
    <w:lvl w:ilvl="1">
      <w:lvlJc w:val="left"/>
      <w:lvlText w:val="%2."/>
      <w:numFmt w:val="decimal"/>
      <w:start w:val="5"/>
    </w:lvl>
  </w:abstractNum>
  <w:abstractNum w:abstractNumId="174">
    <w:nsid w:val="31723BF5"/>
    <w:multiLevelType w:val="hybridMultilevel"/>
    <w:lvl w:ilvl="0">
      <w:lvlJc w:val="left"/>
      <w:lvlText w:val="(%1)"/>
      <w:numFmt w:val="lowerLetter"/>
      <w:start w:val="1"/>
    </w:lvl>
  </w:abstractNum>
  <w:abstractNum w:abstractNumId="175">
    <w:nsid w:val="11F69861"/>
    <w:multiLevelType w:val="hybridMultilevel"/>
    <w:lvl w:ilvl="0">
      <w:lvlJc w:val="left"/>
      <w:lvlText w:val="(%1)"/>
      <w:numFmt w:val="lowerLetter"/>
      <w:start w:val="2"/>
    </w:lvl>
  </w:abstractNum>
  <w:abstractNum w:abstractNumId="176">
    <w:nsid w:val="369956AB"/>
    <w:multiLevelType w:val="hybridMultilevel"/>
    <w:lvl w:ilvl="0">
      <w:lvlJc w:val="left"/>
      <w:lvlText w:val="(%1)"/>
      <w:numFmt w:val="lowerLetter"/>
      <w:start w:val="6"/>
    </w:lvl>
  </w:abstractNum>
  <w:abstractNum w:abstractNumId="177">
    <w:nsid w:val="D3BE41C"/>
    <w:multiLevelType w:val="hybridMultilevel"/>
    <w:lvl w:ilvl="0">
      <w:lvlJc w:val="left"/>
      <w:lvlText w:val="%1."/>
      <w:numFmt w:val="decimal"/>
      <w:start w:val="6"/>
    </w:lvl>
  </w:abstractNum>
  <w:abstractNum w:abstractNumId="178">
    <w:nsid w:val="4CDA15E7"/>
    <w:multiLevelType w:val="hybridMultilevel"/>
    <w:lvl w:ilvl="0">
      <w:lvlJc w:val="left"/>
      <w:lvlText w:val="(%1)"/>
      <w:numFmt w:val="lowerRoman"/>
      <w:start w:val="4"/>
    </w:lvl>
  </w:abstractNum>
  <w:abstractNum w:abstractNumId="179">
    <w:nsid w:val="7BDD6690"/>
    <w:multiLevelType w:val="hybridMultilevel"/>
    <w:lvl w:ilvl="0">
      <w:lvlJc w:val="left"/>
      <w:lvlText w:val="(%1)"/>
      <w:numFmt w:val="lowerRoman"/>
      <w:start w:val="4"/>
    </w:lvl>
  </w:abstractNum>
  <w:abstractNum w:abstractNumId="180">
    <w:nsid w:val="DFB5C5B"/>
    <w:multiLevelType w:val="hybridMultilevel"/>
    <w:lvl w:ilvl="0">
      <w:lvlJc w:val="left"/>
      <w:lvlText w:val="(%1)"/>
      <w:numFmt w:val="lowerRoman"/>
      <w:start w:val="6"/>
    </w:lvl>
  </w:abstractNum>
  <w:abstractNum w:abstractNumId="181">
    <w:nsid w:val="6F3E5490"/>
    <w:multiLevelType w:val="hybridMultilevel"/>
    <w:lvl w:ilvl="0">
      <w:lvlJc w:val="left"/>
      <w:lvlText w:val="(%1)"/>
      <w:numFmt w:val="lowerRoman"/>
      <w:start w:val="6"/>
    </w:lvl>
    <w:lvl w:ilvl="1">
      <w:lvlJc w:val="left"/>
      <w:lvlText w:val="(%2)"/>
      <w:numFmt w:val="lowerLetter"/>
      <w:start w:val="1"/>
    </w:lvl>
  </w:abstractNum>
  <w:abstractNum w:abstractNumId="182">
    <w:nsid w:val="1464BE1E"/>
    <w:multiLevelType w:val="hybridMultilevel"/>
    <w:lvl w:ilvl="0">
      <w:lvlJc w:val="left"/>
      <w:lvlText w:val="(%1)"/>
      <w:numFmt w:val="lowerRoman"/>
      <w:start w:val="1"/>
    </w:lvl>
    <w:lvl w:ilvl="1">
      <w:lvlJc w:val="left"/>
      <w:lvlText w:val="%2."/>
      <w:numFmt w:val="decimal"/>
      <w:start w:val="7"/>
    </w:lvl>
    <w:lvl w:ilvl="2">
      <w:lvlJc w:val="left"/>
      <w:lvlText w:val="%3."/>
      <w:numFmt w:val="decimal"/>
      <w:start w:val="9"/>
    </w:lvl>
  </w:abstractNum>
  <w:abstractNum w:abstractNumId="183">
    <w:nsid w:val="66BBB7E5"/>
    <w:multiLevelType w:val="hybridMultilevel"/>
    <w:lvl w:ilvl="0">
      <w:lvlJc w:val="left"/>
      <w:lvlText w:val="%1."/>
      <w:numFmt w:val="decimal"/>
      <w:start w:val="1"/>
    </w:lvl>
  </w:abstractNum>
  <w:abstractNum w:abstractNumId="184">
    <w:nsid w:val="28168302"/>
    <w:multiLevelType w:val="hybridMultilevel"/>
    <w:lvl w:ilvl="0">
      <w:lvlJc w:val="left"/>
      <w:lvlText w:val="%1"/>
      <w:numFmt w:val="lowerLetter"/>
      <w:start w:val="1"/>
    </w:lvl>
    <w:lvl w:ilvl="1">
      <w:lvlJc w:val="left"/>
      <w:lvlText w:val="%2."/>
      <w:numFmt w:val="decimal"/>
      <w:start w:val="4"/>
    </w:lvl>
  </w:abstractNum>
  <w:abstractNum w:abstractNumId="185">
    <w:nsid w:val="32A5C7A8"/>
    <w:multiLevelType w:val="hybridMultilevel"/>
    <w:lvl w:ilvl="0">
      <w:lvlJc w:val="left"/>
      <w:lvlText w:val="(%1)"/>
      <w:numFmt w:val="lowerLetter"/>
      <w:start w:val="1"/>
    </w:lvl>
    <w:lvl w:ilvl="1">
      <w:lvlJc w:val="left"/>
      <w:lvlText w:val="%2"/>
      <w:numFmt w:val="decimal"/>
      <w:start w:val="1"/>
    </w:lvl>
  </w:abstractNum>
  <w:abstractNum w:abstractNumId="186">
    <w:nsid w:val="3A541011"/>
    <w:multiLevelType w:val="hybridMultilevel"/>
    <w:lvl w:ilvl="0">
      <w:lvlJc w:val="left"/>
      <w:lvlText w:val="%1."/>
      <w:numFmt w:val="decimal"/>
      <w:start w:val="9"/>
    </w:lvl>
  </w:abstractNum>
  <w:abstractNum w:abstractNumId="187">
    <w:nsid w:val="4423C777"/>
    <w:multiLevelType w:val="hybridMultilevel"/>
    <w:lvl w:ilvl="0">
      <w:lvlJc w:val="left"/>
      <w:lvlText w:val="(%1)"/>
      <w:numFmt w:val="lowerRoman"/>
      <w:start w:val="1"/>
    </w:lvl>
    <w:lvl w:ilvl="1">
      <w:lvlJc w:val="left"/>
      <w:lvlText w:val="%2."/>
      <w:numFmt w:val="decimal"/>
      <w:start w:val="4"/>
    </w:lvl>
    <w:lvl w:ilvl="2">
      <w:lvlJc w:val="left"/>
      <w:lvlText w:val="*"/>
      <w:numFmt w:val="bullet"/>
      <w:start w:val="1"/>
    </w:lvl>
  </w:abstractNum>
  <w:abstractNum w:abstractNumId="188">
    <w:nsid w:val="5F5C6E4D"/>
    <w:multiLevelType w:val="hybridMultilevel"/>
    <w:lvl w:ilvl="0">
      <w:lvlJc w:val="left"/>
      <w:lvlText w:val="%1."/>
      <w:numFmt w:val="decimal"/>
      <w:start w:val="1"/>
    </w:lvl>
    <w:lvl w:ilvl="1">
      <w:lvlJc w:val="left"/>
      <w:lvlText w:val="(%2)"/>
      <w:numFmt w:val="lowerLetter"/>
      <w:start w:val="1"/>
    </w:lvl>
  </w:abstractNum>
  <w:abstractNum w:abstractNumId="189">
    <w:nsid w:val="7C2A56CD"/>
    <w:multiLevelType w:val="hybridMultilevel"/>
    <w:lvl w:ilvl="0">
      <w:lvlJc w:val="left"/>
      <w:lvlText w:val="(%1)"/>
      <w:numFmt w:val="lowerLetter"/>
      <w:start w:val="4"/>
    </w:lvl>
    <w:lvl w:ilvl="1">
      <w:lvlJc w:val="left"/>
      <w:lvlText w:val="(%2)"/>
      <w:numFmt w:val="lowerLetter"/>
      <w:start w:val="9"/>
    </w:lvl>
  </w:abstractNum>
  <w:abstractNum w:abstractNumId="190">
    <w:nsid w:val="7AB86EE1"/>
    <w:multiLevelType w:val="hybridMultilevel"/>
    <w:lvl w:ilvl="0">
      <w:lvlJc w:val="left"/>
      <w:lvlText w:val="%1"/>
      <w:numFmt w:val="decimal"/>
      <w:start w:val="1"/>
    </w:lvl>
    <w:lvl w:ilvl="1">
      <w:lvlJc w:val="left"/>
      <w:lvlText w:val="(%2)"/>
      <w:numFmt w:val="lowerRoman"/>
      <w:start w:val="2"/>
    </w:lvl>
  </w:abstractNum>
  <w:abstractNum w:abstractNumId="191">
    <w:nsid w:val="B54E53B"/>
    <w:multiLevelType w:val="hybridMultilevel"/>
    <w:lvl w:ilvl="0">
      <w:lvlJc w:val="left"/>
      <w:lvlText w:val="(%1)"/>
      <w:numFmt w:val="decimal"/>
      <w:start w:val="4"/>
    </w:lvl>
    <w:lvl w:ilvl="1">
      <w:lvlJc w:val="left"/>
      <w:lvlText w:val="%2"/>
      <w:numFmt w:val="lowerRoman"/>
      <w:start w:val="1"/>
    </w:lvl>
  </w:abstractNum>
  <w:abstractNum w:abstractNumId="192">
    <w:nsid w:val="2A00487"/>
    <w:multiLevelType w:val="hybridMultilevel"/>
    <w:lvl w:ilvl="0">
      <w:lvlJc w:val="left"/>
      <w:lvlText w:val="(%1)"/>
      <w:numFmt w:val="decimal"/>
      <w:start w:val="1"/>
    </w:lvl>
    <w:lvl w:ilvl="1">
      <w:lvlJc w:val="left"/>
      <w:lvlText w:val="%2"/>
      <w:numFmt w:val="lowerRoman"/>
      <w:start w:val="1"/>
    </w:lvl>
  </w:abstractNum>
  <w:abstractNum w:abstractNumId="193">
    <w:nsid w:val="6CB1B60"/>
    <w:multiLevelType w:val="hybridMultilevel"/>
    <w:lvl w:ilvl="0">
      <w:lvlJc w:val="left"/>
      <w:lvlText w:val="(%1)"/>
      <w:numFmt w:val="decimal"/>
      <w:start w:val="60"/>
    </w:lvl>
    <w:lvl w:ilvl="1">
      <w:lvlJc w:val="left"/>
      <w:lvlText w:val="(%2)"/>
      <w:numFmt w:val="lowerRoman"/>
      <w:start w:val="4"/>
    </w:lvl>
  </w:abstractNum>
  <w:abstractNum w:abstractNumId="194">
    <w:nsid w:val="72EDD574"/>
    <w:multiLevelType w:val="hybridMultilevel"/>
    <w:lvl w:ilvl="0">
      <w:lvlJc w:val="left"/>
      <w:lvlText w:val="(%1)"/>
      <w:numFmt w:val="lowerRoman"/>
      <w:start w:val="7"/>
    </w:lvl>
  </w:abstractNum>
  <w:abstractNum w:abstractNumId="195">
    <w:nsid w:val="7323808A"/>
    <w:multiLevelType w:val="hybridMultilevel"/>
    <w:lvl w:ilvl="0">
      <w:lvlJc w:val="left"/>
      <w:lvlText w:val="(%1)"/>
      <w:numFmt w:val="lowerLetter"/>
      <w:start w:val="15"/>
    </w:lvl>
    <w:lvl w:ilvl="1">
      <w:lvlJc w:val="left"/>
      <w:lvlText w:val="(%2)"/>
      <w:numFmt w:val="lowerRoman"/>
      <w:start w:val="1"/>
    </w:lvl>
  </w:abstractNum>
  <w:abstractNum w:abstractNumId="196">
    <w:nsid w:val="5157276"/>
    <w:multiLevelType w:val="hybridMultilevel"/>
    <w:lvl w:ilvl="0">
      <w:lvlJc w:val="left"/>
      <w:lvlText w:val="(%1)"/>
      <w:numFmt w:val="lowerLetter"/>
      <w:start w:val="16"/>
    </w:lvl>
  </w:abstractNum>
  <w:abstractNum w:abstractNumId="197">
    <w:nsid w:val="35A681DB"/>
    <w:multiLevelType w:val="hybridMultilevel"/>
    <w:lvl w:ilvl="0">
      <w:lvlJc w:val="left"/>
      <w:lvlText w:val="%1"/>
      <w:numFmt w:val="upperLetter"/>
      <w:start w:val="1"/>
    </w:lvl>
    <w:lvl w:ilvl="1">
      <w:lvlJc w:val="left"/>
      <w:lvlText w:val="(%2)"/>
      <w:numFmt w:val="lowerLetter"/>
      <w:start w:val="17"/>
    </w:lvl>
    <w:lvl w:ilvl="2">
      <w:lvlJc w:val="left"/>
      <w:lvlText w:val="(%3)"/>
      <w:numFmt w:val="lowerRoman"/>
      <w:start w:val="1"/>
    </w:lvl>
  </w:abstractNum>
  <w:abstractNum w:abstractNumId="198">
    <w:nsid w:val="1786C974"/>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4"/>
    </w:lvl>
  </w:abstractNum>
  <w:abstractNum w:abstractNumId="199">
    <w:nsid w:val="1C2427A1"/>
    <w:multiLevelType w:val="hybridMultilevel"/>
    <w:lvl w:ilvl="0">
      <w:lvlJc w:val="left"/>
      <w:lvlText w:val="%1"/>
      <w:numFmt w:val="decimal"/>
      <w:start w:val="1"/>
    </w:lvl>
    <w:lvl w:ilvl="1">
      <w:lvlJc w:val="left"/>
      <w:lvlText w:val="(%2)"/>
      <w:numFmt w:val="lowerLetter"/>
      <w:start w:val="20"/>
    </w:lvl>
  </w:abstractNum>
  <w:abstractNum w:abstractNumId="200">
    <w:nsid w:val="63A24D68"/>
    <w:multiLevelType w:val="hybridMultilevel"/>
    <w:lvl w:ilvl="0">
      <w:lvlJc w:val="left"/>
      <w:lvlText w:val="%1."/>
      <w:numFmt w:val="decimal"/>
      <w:start w:val="2"/>
    </w:lvl>
    <w:lvl w:ilvl="1">
      <w:lvlJc w:val="left"/>
      <w:lvlText w:val="(%2)"/>
      <w:numFmt w:val="lowerLetter"/>
      <w:start w:val="1"/>
    </w:lvl>
  </w:abstractNum>
  <w:abstractNum w:abstractNumId="201">
    <w:nsid w:val="4FB7A02A"/>
    <w:multiLevelType w:val="hybridMultilevel"/>
    <w:lvl w:ilvl="0">
      <w:lvlJc w:val="left"/>
      <w:lvlText w:val="%1"/>
      <w:numFmt w:val="decimal"/>
      <w:start w:val="1"/>
    </w:lvl>
    <w:lvl w:ilvl="1">
      <w:lvlJc w:val="left"/>
      <w:lvlText w:val="(%2)"/>
      <w:numFmt w:val="lowerLetter"/>
      <w:start w:val="3"/>
    </w:lvl>
  </w:abstractNum>
  <w:abstractNum w:abstractNumId="202">
    <w:nsid w:val="96CF728"/>
    <w:multiLevelType w:val="hybridMultilevel"/>
    <w:lvl w:ilvl="0">
      <w:lvlJc w:val="left"/>
      <w:lvlText w:val="%1."/>
      <w:numFmt w:val="decimal"/>
      <w:start w:val="3"/>
    </w:lvl>
    <w:lvl w:ilvl="1">
      <w:lvlJc w:val="left"/>
      <w:lvlText w:val="%2"/>
      <w:numFmt w:val="lowerLetter"/>
      <w:start w:val="1"/>
    </w:lvl>
  </w:abstractNum>
  <w:abstractNum w:abstractNumId="203">
    <w:nsid w:val="3B121183"/>
    <w:multiLevelType w:val="hybridMultilevel"/>
    <w:lvl w:ilvl="0">
      <w:lvlJc w:val="left"/>
      <w:lvlText w:val="%1."/>
      <w:numFmt w:val="decimal"/>
      <w:start w:val="4"/>
    </w:lvl>
    <w:lvl w:ilvl="1">
      <w:lvlJc w:val="left"/>
      <w:lvlText w:val="(%2)"/>
      <w:numFmt w:val="lowerLetter"/>
      <w:start w:val="1"/>
    </w:lvl>
  </w:abstractNum>
  <w:abstractNum w:abstractNumId="204">
    <w:nsid w:val="3459648F"/>
    <w:multiLevelType w:val="hybridMultilevel"/>
    <w:lvl w:ilvl="0">
      <w:lvlJc w:val="left"/>
      <w:lvlText w:val="(%1)"/>
      <w:numFmt w:val="lowerLetter"/>
      <w:start w:val="2"/>
    </w:lvl>
  </w:abstractNum>
  <w:abstractNum w:abstractNumId="205">
    <w:nsid w:val="3ADF331D"/>
    <w:multiLevelType w:val="hybridMultilevel"/>
    <w:lvl w:ilvl="0">
      <w:lvlJc w:val="left"/>
      <w:lvlText w:val="(%1)"/>
      <w:numFmt w:val="lowerLetter"/>
      <w:start w:val="3"/>
    </w:lvl>
  </w:abstractNum>
  <w:abstractNum w:abstractNumId="206">
    <w:nsid w:val="4D08A9E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7">
    <w:nsid w:val="6AF2BB3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08">
    <w:nsid w:val="481B173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09">
    <w:nsid w:val="19E2BFC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210">
    <w:nsid w:val="66D021CA"/>
    <w:multiLevelType w:val="hybridMultilevel"/>
    <w:lvl w:ilvl="0">
      <w:lvlJc w:val="left"/>
      <w:lvlText w:val="%1"/>
      <w:numFmt w:val="decimal"/>
      <w:start w:val="1"/>
    </w:lvl>
    <w:lvl w:ilvl="1">
      <w:lvlJc w:val="left"/>
      <w:lvlText w:val="(%2)"/>
      <w:numFmt w:val="lowerLetter"/>
      <w:start w:val="4"/>
    </w:lvl>
  </w:abstractNum>
  <w:abstractNum w:abstractNumId="211">
    <w:nsid w:val="56167394"/>
    <w:multiLevelType w:val="hybridMultilevel"/>
    <w:lvl w:ilvl="0">
      <w:lvlJc w:val="left"/>
      <w:lvlText w:val="%1."/>
      <w:numFmt w:val="decimal"/>
      <w:start w:val="7"/>
    </w:lvl>
    <w:lvl w:ilvl="1">
      <w:lvlJc w:val="left"/>
      <w:lvlText w:val="%2"/>
      <w:numFmt w:val="lowerLetter"/>
      <w:start w:val="1"/>
    </w:lvl>
  </w:abstractNum>
  <w:abstractNum w:abstractNumId="212">
    <w:nsid w:val="921145C"/>
    <w:multiLevelType w:val="hybridMultilevel"/>
    <w:lvl w:ilvl="0">
      <w:lvlJc w:val="left"/>
      <w:lvlText w:val="%1."/>
      <w:numFmt w:val="decimal"/>
      <w:start w:val="1"/>
    </w:lvl>
    <w:lvl w:ilvl="1">
      <w:lvlJc w:val="left"/>
      <w:lvlText w:val="(%2)"/>
      <w:numFmt w:val="lowerLetter"/>
      <w:start w:val="1"/>
    </w:lvl>
  </w:abstractNum>
  <w:abstractNum w:abstractNumId="213">
    <w:nsid w:val="7B34DFE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214">
    <w:nsid w:val="3CD22B79"/>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215">
    <w:nsid w:val="3137975E"/>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216">
    <w:nsid w:val="2DDAA791"/>
    <w:multiLevelType w:val="hybridMultilevel"/>
    <w:lvl w:ilvl="0">
      <w:lvlJc w:val="left"/>
      <w:lvlText w:val="(%1)"/>
      <w:numFmt w:val="lowerLetter"/>
      <w:start w:val="1"/>
    </w:lvl>
  </w:abstractNum>
  <w:abstractNum w:abstractNumId="217">
    <w:nsid w:val="77263B8A"/>
    <w:multiLevelType w:val="hybridMultilevel"/>
    <w:lvl w:ilvl="0">
      <w:lvlJc w:val="left"/>
      <w:lvlText w:val="(%1)"/>
      <w:numFmt w:val="lowerLetter"/>
      <w:start w:val="2"/>
    </w:lvl>
    <w:lvl w:ilvl="1">
      <w:lvlJc w:val="left"/>
      <w:lvlText w:val="(%2)"/>
      <w:numFmt w:val="lowerRoman"/>
      <w:start w:val="1"/>
    </w:lvl>
  </w:abstractNum>
  <w:abstractNum w:abstractNumId="218">
    <w:nsid w:val="755B5ED6"/>
    <w:multiLevelType w:val="hybridMultilevel"/>
    <w:lvl w:ilvl="0">
      <w:lvlJc w:val="left"/>
      <w:lvlText w:val="%1"/>
      <w:numFmt w:val="lowerLetter"/>
      <w:start w:val="1"/>
    </w:lvl>
    <w:lvl w:ilvl="1">
      <w:lvlJc w:val="left"/>
      <w:lvlText w:val="(%2)"/>
      <w:numFmt w:val="lowerRoman"/>
      <w:start w:val="4"/>
    </w:lvl>
  </w:abstractNum>
  <w:abstractNum w:abstractNumId="219">
    <w:nsid w:val="D3715DE"/>
    <w:multiLevelType w:val="hybridMultilevel"/>
    <w:lvl w:ilvl="0">
      <w:lvlJc w:val="left"/>
      <w:lvlText w:val="(%1)"/>
      <w:numFmt w:val="lowerLetter"/>
      <w:start w:val="3"/>
    </w:lvl>
    <w:lvl w:ilvl="1">
      <w:lvlJc w:val="left"/>
      <w:lvlText w:val="%2"/>
      <w:numFmt w:val="lowerRoman"/>
      <w:start w:val="1"/>
    </w:lvl>
  </w:abstractNum>
  <w:abstractNum w:abstractNumId="220">
    <w:nsid w:val="73509257"/>
    <w:multiLevelType w:val="hybridMultilevel"/>
    <w:lvl w:ilvl="0">
      <w:lvlJc w:val="left"/>
      <w:lvlText w:val="(%1)"/>
      <w:numFmt w:val="lowerLetter"/>
      <w:start w:val="5"/>
    </w:lvl>
    <w:lvl w:ilvl="1">
      <w:lvlJc w:val="left"/>
      <w:lvlText w:val="(%2)"/>
      <w:numFmt w:val="lowerRoman"/>
      <w:start w:val="1"/>
    </w:lvl>
  </w:abstractNum>
  <w:abstractNum w:abstractNumId="221">
    <w:nsid w:val="7013CDB7"/>
    <w:multiLevelType w:val="hybridMultilevel"/>
    <w:lvl w:ilvl="0">
      <w:lvlJc w:val="left"/>
      <w:lvlText w:val="(%1)"/>
      <w:numFmt w:val="upperLetter"/>
      <w:start w:val="1"/>
    </w:lvl>
  </w:abstractNum>
  <w:abstractNum w:abstractNumId="222">
    <w:nsid w:val="188BFB19"/>
    <w:multiLevelType w:val="hybridMultilevel"/>
    <w:lvl w:ilvl="0">
      <w:lvlJc w:val="left"/>
      <w:lvlText w:val="(%1)"/>
      <w:numFmt w:val="upperLetter"/>
      <w:start w:val="4"/>
    </w:lvl>
  </w:abstractNum>
  <w:abstractNum w:abstractNumId="223">
    <w:nsid w:val="75F096DF"/>
    <w:multiLevelType w:val="hybridMultilevel"/>
    <w:lvl w:ilvl="0">
      <w:lvlJc w:val="left"/>
      <w:lvlText w:val="(%1)"/>
      <w:numFmt w:val="lowerRoman"/>
      <w:start w:val="5"/>
    </w:lvl>
  </w:abstractNum>
  <w:abstractNum w:abstractNumId="224">
    <w:nsid w:val="76DEE918"/>
    <w:multiLevelType w:val="hybridMultilevel"/>
    <w:lvl w:ilvl="0">
      <w:lvlJc w:val="left"/>
      <w:lvlText w:val="(%1)"/>
      <w:numFmt w:val="lowerLetter"/>
      <w:start w:val="1"/>
    </w:lvl>
  </w:abstractNum>
  <w:abstractNum w:abstractNumId="225">
    <w:nsid w:val="B79D08D"/>
    <w:multiLevelType w:val="hybridMultilevel"/>
    <w:lvl w:ilvl="0">
      <w:lvlJc w:val="left"/>
      <w:lvlText w:val="(%1)"/>
      <w:numFmt w:val="lowerLetter"/>
      <w:start w:val="4"/>
    </w:lvl>
  </w:abstractNum>
  <w:abstractNum w:abstractNumId="226">
    <w:nsid w:val="69141769"/>
    <w:multiLevelType w:val="hybridMultilevel"/>
    <w:lvl w:ilvl="0">
      <w:lvlJc w:val="left"/>
      <w:lvlText w:val="(%1)"/>
      <w:numFmt w:val="lowerLetter"/>
      <w:start w:val="1"/>
    </w:lvl>
  </w:abstractNum>
  <w:abstractNum w:abstractNumId="227">
    <w:nsid w:val="7BF45B8E"/>
    <w:multiLevelType w:val="hybridMultilevel"/>
    <w:lvl w:ilvl="0">
      <w:lvlJc w:val="left"/>
      <w:lvlText w:val="(%1)"/>
      <w:numFmt w:val="lowerLetter"/>
      <w:start w:val="1"/>
    </w:lvl>
  </w:abstractNum>
  <w:abstractNum w:abstractNumId="228">
    <w:nsid w:val="41205269"/>
    <w:multiLevelType w:val="hybridMultilevel"/>
    <w:lvl w:ilvl="0">
      <w:lvlJc w:val="left"/>
      <w:lvlText w:val="(%1)"/>
      <w:numFmt w:val="lowerLetter"/>
      <w:start w:val="1"/>
    </w:lvl>
  </w:abstractNum>
  <w:abstractNum w:abstractNumId="229">
    <w:nsid w:val="9AE0DD"/>
    <w:multiLevelType w:val="hybridMultilevel"/>
    <w:lvl w:ilvl="0">
      <w:lvlJc w:val="left"/>
      <w:lvlText w:val="(%1)"/>
      <w:numFmt w:val="lowerLetter"/>
      <w:start w:val="1"/>
    </w:lvl>
  </w:abstractNum>
  <w:abstractNum w:abstractNumId="230">
    <w:nsid w:val="1818832F"/>
    <w:multiLevelType w:val="hybridMultilevel"/>
    <w:lvl w:ilvl="0">
      <w:lvlJc w:val="left"/>
      <w:lvlText w:val="(%1)"/>
      <w:numFmt w:val="lowerLetter"/>
      <w:start w:val="5"/>
    </w:lvl>
  </w:abstractNum>
  <w:abstractNum w:abstractNumId="231">
    <w:nsid w:val="24C29FD1"/>
    <w:multiLevelType w:val="hybridMultilevel"/>
    <w:lvl w:ilvl="0">
      <w:lvlJc w:val="left"/>
      <w:lvlText w:val="(%1)"/>
      <w:numFmt w:val="lowerLetter"/>
      <w:start w:val="1"/>
    </w:lvl>
  </w:abstractNum>
  <w:abstractNum w:abstractNumId="232">
    <w:nsid w:val="50528108"/>
    <w:multiLevelType w:val="hybridMultilevel"/>
    <w:lvl w:ilvl="0">
      <w:lvlJc w:val="left"/>
      <w:lvlText w:val="(%1)"/>
      <w:numFmt w:val="lowerLetter"/>
      <w:start w:val="1"/>
    </w:lvl>
  </w:abstractNum>
  <w:abstractNum w:abstractNumId="233">
    <w:nsid w:val="21857A57"/>
    <w:multiLevelType w:val="hybridMultilevel"/>
    <w:lvl w:ilvl="0">
      <w:lvlJc w:val="left"/>
      <w:lvlText w:val="%1"/>
      <w:numFmt w:val="lowerLetter"/>
      <w:start w:val="1"/>
    </w:lvl>
    <w:lvl w:ilvl="1">
      <w:lvlJc w:val="left"/>
      <w:lvlText w:val="(%2)"/>
      <w:numFmt w:val="lowerLetter"/>
      <w:start w:val="1"/>
    </w:lvl>
  </w:abstractNum>
  <w:abstractNum w:abstractNumId="234">
    <w:nsid w:val="5FD4B154"/>
    <w:multiLevelType w:val="hybridMultilevel"/>
    <w:lvl w:ilvl="0">
      <w:lvlJc w:val="left"/>
      <w:lvlText w:val="(%1)"/>
      <w:numFmt w:val="lowerLetter"/>
      <w:start w:val="9"/>
    </w:lvl>
    <w:lvl w:ilvl="1">
      <w:lvlJc w:val="left"/>
      <w:lvlText w:val="%2"/>
      <w:numFmt w:val="lowerLetter"/>
      <w:start w:val="1"/>
    </w:lvl>
  </w:abstractNum>
  <w:abstractNum w:abstractNumId="235">
    <w:nsid w:val="4ABE597"/>
    <w:multiLevelType w:val="hybridMultilevel"/>
    <w:lvl w:ilvl="0">
      <w:lvlJc w:val="left"/>
      <w:lvlText w:val="(%1)"/>
      <w:numFmt w:val="lowerLetter"/>
      <w:start w:val="2"/>
    </w:lvl>
  </w:abstractNum>
  <w:abstractNum w:abstractNumId="236">
    <w:nsid w:val="5C64AD75"/>
    <w:multiLevelType w:val="hybridMultilevel"/>
    <w:lvl w:ilvl="0">
      <w:lvlJc w:val="left"/>
      <w:lvlText w:val="(%1)"/>
      <w:numFmt w:val="lowerLetter"/>
      <w:start w:val="1"/>
    </w:lvl>
  </w:abstractNum>
  <w:abstractNum w:abstractNumId="237">
    <w:nsid w:val="2CDD5B39"/>
    <w:multiLevelType w:val="hybridMultilevel"/>
    <w:lvl w:ilvl="0">
      <w:lvlJc w:val="left"/>
      <w:lvlText w:val="(%1)"/>
      <w:numFmt w:val="lowerLetter"/>
      <w:start w:val="4"/>
    </w:lvl>
  </w:abstractNum>
  <w:abstractNum w:abstractNumId="238">
    <w:nsid w:val="6F9EA0D1"/>
    <w:multiLevelType w:val="hybridMultilevel"/>
    <w:lvl w:ilvl="0">
      <w:lvlJc w:val="left"/>
      <w:lvlText w:val="(%1)"/>
      <w:numFmt w:val="lowerLetter"/>
      <w:start w:val="1"/>
    </w:lvl>
  </w:abstractNum>
  <w:abstractNum w:abstractNumId="239">
    <w:nsid w:val="247FC4AE"/>
    <w:multiLevelType w:val="hybridMultilevel"/>
    <w:lvl w:ilvl="0">
      <w:lvlJc w:val="left"/>
      <w:lvlText w:val="(%1)"/>
      <w:numFmt w:val="lowerLetter"/>
      <w:start w:val="1"/>
    </w:lvl>
  </w:abstractNum>
  <w:abstractNum w:abstractNumId="240">
    <w:nsid w:val="46C01B05"/>
    <w:multiLevelType w:val="hybridMultilevel"/>
    <w:lvl w:ilvl="0">
      <w:lvlJc w:val="left"/>
      <w:lvlText w:val="(%1)"/>
      <w:numFmt w:val="lowerLetter"/>
      <w:start w:val="1"/>
    </w:lvl>
  </w:abstractNum>
  <w:abstractNum w:abstractNumId="241">
    <w:nsid w:val="566EC29B"/>
    <w:multiLevelType w:val="hybridMultilevel"/>
    <w:lvl w:ilvl="0">
      <w:lvlJc w:val="left"/>
      <w:lvlText w:val="(%1)"/>
      <w:numFmt w:val="lowerLetter"/>
      <w:start w:val="1"/>
    </w:lvl>
  </w:abstractNum>
  <w:abstractNum w:abstractNumId="242">
    <w:nsid w:val="7A963843"/>
    <w:multiLevelType w:val="hybridMultilevel"/>
    <w:lvl w:ilvl="0">
      <w:lvlJc w:val="left"/>
      <w:lvlText w:val="(%1)"/>
      <w:numFmt w:val="lowerLetter"/>
      <w:start w:val="4"/>
    </w:lvl>
  </w:abstractNum>
  <w:abstractNum w:abstractNumId="243">
    <w:nsid w:val="4FE12F61"/>
    <w:multiLevelType w:val="hybridMultilevel"/>
    <w:lvl w:ilvl="0">
      <w:lvlJc w:val="left"/>
      <w:lvlText w:val="(%1)"/>
      <w:numFmt w:val="lowerLetter"/>
      <w:start w:val="7"/>
    </w:lvl>
    <w:lvl w:ilvl="1">
      <w:lvlJc w:val="left"/>
      <w:lvlText w:val="(%2)"/>
      <w:numFmt w:val="lowerRoman"/>
      <w:start w:val="1"/>
    </w:lvl>
  </w:abstractNum>
  <w:abstractNum w:abstractNumId="244">
    <w:nsid w:val="51A3A284"/>
    <w:multiLevelType w:val="hybridMultilevel"/>
    <w:lvl w:ilvl="0">
      <w:lvlJc w:val="left"/>
      <w:lvlText w:val="(%1)"/>
      <w:numFmt w:val="lowerLetter"/>
      <w:start w:val="1"/>
    </w:lvl>
  </w:abstractNum>
  <w:abstractNum w:abstractNumId="245">
    <w:nsid w:val="376863BC"/>
    <w:multiLevelType w:val="hybridMultilevel"/>
    <w:lvl w:ilvl="0">
      <w:lvlJc w:val="left"/>
      <w:lvlText w:val="(%1)"/>
      <w:numFmt w:val="lowerRoman"/>
      <w:start w:val="2"/>
    </w:lvl>
  </w:abstractNum>
  <w:abstractNum w:abstractNumId="246">
    <w:nsid w:val="118C6C0"/>
    <w:multiLevelType w:val="hybridMultilevel"/>
    <w:lvl w:ilvl="0">
      <w:lvlJc w:val="left"/>
      <w:lvlText w:val="%1."/>
      <w:numFmt w:val="decimal"/>
      <w:start w:val="2"/>
    </w:lvl>
    <w:lvl w:ilvl="1">
      <w:lvlJc w:val="left"/>
      <w:lvlText w:val="(%2)"/>
      <w:numFmt w:val="lowerLetter"/>
      <w:start w:val="1"/>
    </w:lvl>
  </w:abstractNum>
  <w:abstractNum w:abstractNumId="247">
    <w:nsid w:val="7F7E4A15"/>
    <w:multiLevelType w:val="hybridMultilevel"/>
    <w:lvl w:ilvl="0">
      <w:lvlJc w:val="left"/>
      <w:lvlText w:val="(%1)"/>
      <w:numFmt w:val="lowerLetter"/>
      <w:start w:val="3"/>
    </w:lvl>
  </w:abstractNum>
  <w:abstractNum w:abstractNumId="248">
    <w:nsid w:val="2E8E9F47"/>
    <w:multiLevelType w:val="hybridMultilevel"/>
    <w:lvl w:ilvl="0">
      <w:lvlJc w:val="left"/>
      <w:lvlText w:val="(%1)"/>
      <w:numFmt w:val="lowerLetter"/>
      <w:start w:val="1"/>
    </w:lvl>
  </w:abstractNum>
  <w:abstractNum w:abstractNumId="249">
    <w:nsid w:val="76742596"/>
    <w:multiLevelType w:val="hybridMultilevel"/>
    <w:lvl w:ilvl="0">
      <w:lvlJc w:val="left"/>
      <w:lvlText w:val="(%1)"/>
      <w:numFmt w:val="lowerLetter"/>
      <w:start w:val="3"/>
    </w:lvl>
  </w:abstractNum>
  <w:abstractNum w:abstractNumId="250">
    <w:nsid w:val="CB55FF3"/>
    <w:multiLevelType w:val="hybridMultilevel"/>
    <w:lvl w:ilvl="0">
      <w:lvlJc w:val="left"/>
      <w:lvlText w:val="(%1)"/>
      <w:numFmt w:val="lowerLetter"/>
      <w:start w:val="1"/>
    </w:lvl>
  </w:abstractNum>
  <w:abstractNum w:abstractNumId="251">
    <w:nsid w:val="21DF319E"/>
    <w:multiLevelType w:val="hybridMultilevel"/>
    <w:lvl w:ilvl="0">
      <w:lvlJc w:val="left"/>
      <w:lvlText w:val="(%1)"/>
      <w:numFmt w:val="lowerLetter"/>
      <w:start w:val="2"/>
    </w:lvl>
  </w:abstractNum>
  <w:abstractNum w:abstractNumId="252">
    <w:nsid w:val="6687F34D"/>
    <w:multiLevelType w:val="hybridMultilevel"/>
    <w:lvl w:ilvl="0">
      <w:lvlJc w:val="left"/>
      <w:lvlText w:val="(%1)"/>
      <w:numFmt w:val="lowerLetter"/>
      <w:start w:val="10"/>
    </w:lvl>
  </w:abstractNum>
  <w:abstractNum w:abstractNumId="253">
    <w:nsid w:val="25415B0C"/>
    <w:multiLevelType w:val="hybridMultilevel"/>
    <w:lvl w:ilvl="0">
      <w:lvlJc w:val="left"/>
      <w:lvlText w:val="(%1)"/>
      <w:numFmt w:val="lowerLetter"/>
      <w:start w:val="1"/>
    </w:lvl>
  </w:abstractNum>
  <w:abstractNum w:abstractNumId="254">
    <w:nsid w:val="17CFC87D"/>
    <w:multiLevelType w:val="hybridMultilevel"/>
    <w:lvl w:ilvl="0">
      <w:lvlJc w:val="left"/>
      <w:lvlText w:val="(%1)"/>
      <w:numFmt w:val="lowerLetter"/>
      <w:start w:val="2"/>
    </w:lvl>
  </w:abstractNum>
  <w:abstractNum w:abstractNumId="255">
    <w:nsid w:val="5D66DC65"/>
    <w:multiLevelType w:val="hybridMultilevel"/>
    <w:lvl w:ilvl="0">
      <w:lvlJc w:val="left"/>
      <w:lvlText w:val="%1"/>
      <w:numFmt w:val="lowerLetter"/>
      <w:start w:val="1"/>
    </w:lvl>
    <w:lvl w:ilvl="1">
      <w:lvlJc w:val="left"/>
      <w:lvlText w:val="(%2)"/>
      <w:numFmt w:val="lowerLetter"/>
      <w:start w:val="4"/>
    </w:lvl>
  </w:abstractNum>
  <w:abstractNum w:abstractNumId="256">
    <w:nsid w:val="30BB2B99"/>
    <w:multiLevelType w:val="hybridMultilevel"/>
    <w:lvl w:ilvl="0">
      <w:lvlJc w:val="left"/>
      <w:lvlText w:val="(%1)"/>
      <w:numFmt w:val="lowerLetter"/>
      <w:start w:val="35"/>
    </w:lvl>
    <w:lvl w:ilvl="1">
      <w:lvlJc w:val="left"/>
      <w:lvlText w:val="(%2)"/>
      <w:numFmt w:val="lowerLetter"/>
      <w:start w:val="5"/>
    </w:lvl>
  </w:abstractNum>
  <w:abstractNum w:abstractNumId="257">
    <w:nsid w:val="E3DFE6"/>
    <w:multiLevelType w:val="hybridMultilevel"/>
    <w:lvl w:ilvl="0">
      <w:lvlJc w:val="left"/>
      <w:lvlText w:val="(%1)"/>
      <w:numFmt w:val="lowerLetter"/>
      <w:start w:val="1"/>
    </w:lvl>
  </w:abstractNum>
  <w:abstractNum w:abstractNumId="258">
    <w:nsid w:val="595B37F3"/>
    <w:multiLevelType w:val="hybridMultilevel"/>
    <w:lvl w:ilvl="0">
      <w:lvlJc w:val="left"/>
      <w:lvlText w:val="(%1)"/>
      <w:numFmt w:val="lowerRoman"/>
      <w:start w:val="2"/>
    </w:lvl>
  </w:abstractNum>
  <w:abstractNum w:abstractNumId="259">
    <w:nsid w:val="71DB7E02"/>
    <w:multiLevelType w:val="hybridMultilevel"/>
    <w:lvl w:ilvl="0">
      <w:lvlJc w:val="left"/>
      <w:lvlText w:val="(%1)"/>
      <w:numFmt w:val="lowerLetter"/>
      <w:start w:val="1"/>
    </w:lvl>
  </w:abstractNum>
  <w:abstractNum w:abstractNumId="260">
    <w:nsid w:val="17EC0C4"/>
    <w:multiLevelType w:val="hybridMultilevel"/>
    <w:lvl w:ilvl="0">
      <w:lvlJc w:val="left"/>
      <w:lvlText w:val="(%1)"/>
      <w:numFmt w:val="lowerLetter"/>
      <w:start w:val="3"/>
    </w:lvl>
  </w:abstractNum>
  <w:abstractNum w:abstractNumId="261">
    <w:nsid w:val="7173BB22"/>
    <w:multiLevelType w:val="hybridMultilevel"/>
    <w:lvl w:ilvl="0">
      <w:lvlJc w:val="left"/>
      <w:lvlText w:val="%1."/>
      <w:numFmt w:val="decimal"/>
      <w:start w:val="3"/>
    </w:lvl>
  </w:abstractNum>
  <w:abstractNum w:abstractNumId="262">
    <w:nsid w:val="169E1DD3"/>
    <w:multiLevelType w:val="hybridMultilevel"/>
    <w:lvl w:ilvl="0">
      <w:lvlJc w:val="left"/>
      <w:lvlText w:val="%1"/>
      <w:numFmt w:val="lowerLetter"/>
      <w:start w:val="1"/>
    </w:lvl>
    <w:lvl w:ilvl="1">
      <w:lvlJc w:val="left"/>
      <w:lvlText w:val="(%2)"/>
      <w:numFmt w:val="lowerLetter"/>
      <w:start w:val="1"/>
    </w:lvl>
  </w:abstractNum>
  <w:abstractNum w:abstractNumId="263">
    <w:nsid w:val="51D141CC"/>
    <w:multiLevelType w:val="hybridMultilevel"/>
    <w:lvl w:ilvl="0">
      <w:lvlJc w:val="left"/>
      <w:lvlText w:val="(%1)"/>
      <w:numFmt w:val="lowerLetter"/>
      <w:start w:val="9"/>
    </w:lvl>
    <w:lvl w:ilvl="1">
      <w:lvlJc w:val="left"/>
      <w:lvlText w:val="%2"/>
      <w:numFmt w:val="lowerLetter"/>
      <w:start w:val="1"/>
    </w:lvl>
  </w:abstractNum>
  <w:abstractNum w:abstractNumId="264">
    <w:nsid w:val="12F9357A"/>
    <w:multiLevelType w:val="hybridMultilevel"/>
    <w:lvl w:ilvl="0">
      <w:lvlJc w:val="left"/>
      <w:lvlText w:val="§"/>
      <w:numFmt w:val="bullet"/>
      <w:start w:val="1"/>
    </w:lvl>
  </w:abstractNum>
  <w:abstractNum w:abstractNumId="265">
    <w:nsid w:val="7672CF28"/>
    <w:multiLevelType w:val="hybridMultilevel"/>
    <w:lvl w:ilvl="0">
      <w:lvlJc w:val="left"/>
      <w:lvlText w:val="(%1)"/>
      <w:numFmt w:val="lowerLetter"/>
      <w:start w:val="1"/>
    </w:lvl>
  </w:abstractNum>
  <w:abstractNum w:abstractNumId="266">
    <w:nsid w:val="567D2763"/>
    <w:multiLevelType w:val="hybridMultilevel"/>
    <w:lvl w:ilvl="0">
      <w:lvlJc w:val="left"/>
      <w:lvlText w:val="(%1)"/>
      <w:numFmt w:val="lowerLetter"/>
      <w:start w:val="2"/>
    </w:lvl>
  </w:abstractNum>
  <w:abstractNum w:abstractNumId="267">
    <w:nsid w:val="6F5DE2EF"/>
    <w:multiLevelType w:val="hybridMultilevel"/>
    <w:lvl w:ilvl="0">
      <w:lvlJc w:val="left"/>
      <w:lvlText w:val="%1."/>
      <w:numFmt w:val="decimal"/>
      <w:start w:val="4"/>
    </w:lvl>
  </w:abstractNum>
  <w:abstractNum w:abstractNumId="268">
    <w:nsid w:val="23502A61"/>
    <w:multiLevelType w:val="hybridMultilevel"/>
    <w:lvl w:ilvl="0">
      <w:lvlJc w:val="left"/>
      <w:lvlText w:val="(%1)"/>
      <w:numFmt w:val="lowerLetter"/>
      <w:start w:val="1"/>
    </w:lvl>
  </w:abstractNum>
  <w:abstractNum w:abstractNumId="269">
    <w:nsid w:val="461BC834"/>
    <w:multiLevelType w:val="hybridMultilevel"/>
    <w:lvl w:ilvl="0">
      <w:lvlJc w:val="left"/>
      <w:lvlText w:val="(%1)"/>
      <w:numFmt w:val="lowerLetter"/>
      <w:start w:val="3"/>
    </w:lvl>
  </w:abstractNum>
  <w:abstractNum w:abstractNumId="270">
    <w:nsid w:val="13DDA79D"/>
    <w:multiLevelType w:val="hybridMultilevel"/>
    <w:lvl w:ilvl="0">
      <w:lvlJc w:val="left"/>
      <w:lvlText w:val="%1."/>
      <w:numFmt w:val="decimal"/>
      <w:start w:val="5"/>
    </w:lvl>
  </w:abstractNum>
  <w:abstractNum w:abstractNumId="271">
    <w:nsid w:val="6A104566"/>
    <w:multiLevelType w:val="hybridMultilevel"/>
    <w:lvl w:ilvl="0">
      <w:lvlJc w:val="left"/>
      <w:lvlText w:val="(%1)"/>
      <w:numFmt w:val="lowerRoman"/>
      <w:start w:val="2"/>
    </w:lvl>
  </w:abstractNum>
  <w:abstractNum w:abstractNumId="272">
    <w:nsid w:val="1C8A8ACF"/>
    <w:multiLevelType w:val="hybridMultilevel"/>
    <w:lvl w:ilvl="0">
      <w:lvlJc w:val="left"/>
      <w:lvlText w:val="%1."/>
      <w:numFmt w:val="decimal"/>
      <w:start w:val="6"/>
    </w:lvl>
  </w:abstractNum>
  <w:abstractNum w:abstractNumId="273">
    <w:nsid w:val="E73DFE0"/>
    <w:multiLevelType w:val="hybridMultilevel"/>
    <w:lvl w:ilvl="0">
      <w:lvlJc w:val="left"/>
      <w:lvlText w:val="(%1)"/>
      <w:numFmt w:val="lowerLetter"/>
      <w:start w:val="25"/>
    </w:lvl>
  </w:abstractNum>
  <w:abstractNum w:abstractNumId="274">
    <w:nsid w:val="39F174C7"/>
    <w:multiLevelType w:val="hybridMultilevel"/>
    <w:lvl w:ilvl="0">
      <w:lvlJc w:val="left"/>
      <w:lvlText w:val="(%1)"/>
      <w:numFmt w:val="lowerLetter"/>
      <w:start w:val="1"/>
    </w:lvl>
  </w:abstractNum>
  <w:abstractNum w:abstractNumId="275">
    <w:nsid w:val="6E2E2D53"/>
    <w:multiLevelType w:val="hybridMultilevel"/>
    <w:lvl w:ilvl="0">
      <w:lvlJc w:val="left"/>
      <w:lvlText w:val="(%1)"/>
      <w:numFmt w:val="lowerLetter"/>
      <w:start w:val="1"/>
    </w:lvl>
  </w:abstractNum>
  <w:abstractNum w:abstractNumId="276">
    <w:nsid w:val="45DC439D"/>
    <w:multiLevelType w:val="hybridMultilevel"/>
    <w:lvl w:ilvl="0">
      <w:lvlJc w:val="left"/>
      <w:lvlText w:val="(%1)"/>
      <w:numFmt w:val="lowerLetter"/>
      <w:start w:val="2"/>
    </w:lvl>
  </w:abstractNum>
  <w:abstractNum w:abstractNumId="277">
    <w:nsid w:val="3B0A3B87"/>
    <w:multiLevelType w:val="hybridMultilevel"/>
    <w:lvl w:ilvl="0">
      <w:lvlJc w:val="left"/>
      <w:lvlText w:val="%1."/>
      <w:numFmt w:val="decimal"/>
      <w:start w:val="1"/>
    </w:lvl>
  </w:abstractNum>
  <w:abstractNum w:abstractNumId="278">
    <w:nsid w:val="6DAC7768"/>
    <w:multiLevelType w:val="hybridMultilevel"/>
    <w:lvl w:ilvl="0">
      <w:lvlJc w:val="left"/>
      <w:lvlText w:val="%1."/>
      <w:numFmt w:val="decimal"/>
      <w:start w:val="2"/>
    </w:lvl>
  </w:abstractNum>
  <w:abstractNum w:abstractNumId="279">
    <w:nsid w:val="746AE2E4"/>
    <w:multiLevelType w:val="hybridMultilevel"/>
    <w:lvl w:ilvl="0">
      <w:lvlJc w:val="left"/>
      <w:lvlText w:val="(%1)"/>
      <w:numFmt w:val="lowerLetter"/>
      <w:start w:val="2"/>
    </w:lvl>
  </w:abstractNum>
  <w:abstractNum w:abstractNumId="280">
    <w:nsid w:val="317E611D"/>
    <w:multiLevelType w:val="hybridMultilevel"/>
    <w:lvl w:ilvl="0">
      <w:lvlJc w:val="left"/>
      <w:lvlText w:val="(%1)"/>
      <w:numFmt w:val="lowerLetter"/>
      <w:start w:val="5"/>
    </w:lvl>
    <w:lvl w:ilvl="1">
      <w:lvlJc w:val="left"/>
      <w:lvlText w:val="(%2)"/>
      <w:numFmt w:val="lowerRoman"/>
      <w:start w:val="1"/>
    </w:lvl>
  </w:abstractNum>
  <w:abstractNum w:abstractNumId="281">
    <w:nsid w:val="7A61D75B"/>
    <w:multiLevelType w:val="hybridMultilevel"/>
    <w:lvl w:ilvl="0">
      <w:lvlJc w:val="left"/>
      <w:lvlText w:val="(%1)"/>
      <w:numFmt w:val="lowerLetter"/>
      <w:start w:val="6"/>
    </w:lvl>
  </w:abstractNum>
  <w:abstractNum w:abstractNumId="282">
    <w:nsid w:val="164A1482"/>
    <w:multiLevelType w:val="hybridMultilevel"/>
    <w:lvl w:ilvl="0">
      <w:lvlJc w:val="left"/>
      <w:lvlText w:val="(%1)"/>
      <w:numFmt w:val="lowerLetter"/>
      <w:start w:val="8"/>
    </w:lvl>
  </w:abstractNum>
  <w:abstractNum w:abstractNumId="283">
    <w:nsid w:val="1806546B"/>
    <w:multiLevelType w:val="hybridMultilevel"/>
    <w:lvl w:ilvl="0">
      <w:lvlJc w:val="left"/>
      <w:lvlText w:val="%1"/>
      <w:numFmt w:val="lowerLetter"/>
      <w:start w:val="1"/>
    </w:lvl>
    <w:lvl w:ilvl="1">
      <w:lvlJc w:val="left"/>
      <w:lvlText w:val="(%2)"/>
      <w:numFmt w:val="lowerRoman"/>
      <w:start w:val="1"/>
    </w:lvl>
  </w:abstractNum>
  <w:abstractNum w:abstractNumId="284">
    <w:nsid w:val="1FA33267"/>
    <w:multiLevelType w:val="hybridMultilevel"/>
    <w:lvl w:ilvl="0">
      <w:lvlJc w:val="left"/>
      <w:lvlText w:val="(%1)"/>
      <w:numFmt w:val="lowerLetter"/>
      <w:start w:val="16"/>
    </w:lvl>
    <w:lvl w:ilvl="1">
      <w:lvlJc w:val="left"/>
      <w:lvlText w:val="%2"/>
      <w:numFmt w:val="lowerRoman"/>
      <w:start w:val="1"/>
    </w:lvl>
  </w:abstractNum>
  <w:abstractNum w:abstractNumId="285">
    <w:nsid w:val="2E19DD00"/>
    <w:multiLevelType w:val="hybridMultilevel"/>
    <w:lvl w:ilvl="0">
      <w:lvlJc w:val="left"/>
      <w:lvlText w:val="(%1)"/>
      <w:numFmt w:val="lowerLetter"/>
      <w:start w:val="24"/>
    </w:lvl>
  </w:abstractNum>
  <w:abstractNum w:abstractNumId="286">
    <w:nsid w:val="756D30D0"/>
    <w:multiLevelType w:val="hybridMultilevel"/>
    <w:lvl w:ilvl="0">
      <w:lvlJc w:val="left"/>
      <w:lvlText w:val="(%1)"/>
      <w:numFmt w:val="lowerLetter"/>
      <w:start w:val="30"/>
    </w:lvl>
  </w:abstractNum>
  <w:abstractNum w:abstractNumId="287">
    <w:nsid w:val="505E5E01"/>
    <w:multiLevelType w:val="hybridMultilevel"/>
    <w:lvl w:ilvl="0">
      <w:lvlJc w:val="left"/>
      <w:lvlText w:val="(%1)"/>
      <w:numFmt w:val="lowerLetter"/>
      <w:start w:val="35"/>
    </w:lvl>
  </w:abstractNum>
  <w:abstractNum w:abstractNumId="288">
    <w:nsid w:val="2EFDBCE6"/>
    <w:multiLevelType w:val="hybridMultilevel"/>
    <w:lvl w:ilvl="0">
      <w:lvlJc w:val="left"/>
      <w:lvlText w:val="(%1)"/>
      <w:numFmt w:val="lowerLetter"/>
      <w:start w:val="37"/>
    </w:lvl>
  </w:abstractNum>
  <w:abstractNum w:abstractNumId="289">
    <w:nsid w:val="4EC868C4"/>
    <w:multiLevelType w:val="hybridMultilevel"/>
    <w:lvl w:ilvl="0">
      <w:lvlJc w:val="left"/>
      <w:lvlText w:val="%1."/>
      <w:numFmt w:val="decimal"/>
      <w:start w:val="3"/>
    </w:lvl>
  </w:abstractNum>
  <w:abstractNum w:abstractNumId="290">
    <w:nsid w:val="4239DC03"/>
    <w:multiLevelType w:val="hybridMultilevel"/>
    <w:lvl w:ilvl="0">
      <w:lvlJc w:val="left"/>
      <w:lvlText w:val="(%1)"/>
      <w:numFmt w:val="lowerLetter"/>
      <w:start w:val="1"/>
    </w:lvl>
  </w:abstractNum>
  <w:abstractNum w:abstractNumId="291">
    <w:nsid w:val="307C7DAA"/>
    <w:multiLevelType w:val="hybridMultilevel"/>
    <w:lvl w:ilvl="0">
      <w:lvlJc w:val="left"/>
      <w:lvlText w:val="(%1)"/>
      <w:numFmt w:val="lowerLetter"/>
      <w:start w:val="11"/>
    </w:lvl>
  </w:abstractNum>
  <w:abstractNum w:abstractNumId="292">
    <w:nsid w:val="403C23E6"/>
    <w:multiLevelType w:val="hybridMultilevel"/>
    <w:lvl w:ilvl="0">
      <w:lvlJc w:val="left"/>
      <w:lvlText w:val="%1."/>
      <w:numFmt w:val="decimal"/>
      <w:start w:val="4"/>
    </w:lvl>
  </w:abstractNum>
  <w:abstractNum w:abstractNumId="293">
    <w:nsid w:val="58D7F9D7"/>
    <w:multiLevelType w:val="hybridMultilevel"/>
    <w:lvl w:ilvl="0">
      <w:lvlJc w:val="left"/>
      <w:lvlText w:val="%1."/>
      <w:numFmt w:val="decimal"/>
      <w:start w:val="5"/>
    </w:lvl>
  </w:abstractNum>
  <w:abstractNum w:abstractNumId="294">
    <w:nsid w:val="24DBF76"/>
    <w:multiLevelType w:val="hybridMultilevel"/>
    <w:lvl w:ilvl="0">
      <w:lvlJc w:val="left"/>
      <w:lvlText w:val="%1"/>
      <w:numFmt w:val="decimal"/>
      <w:start w:val="1"/>
    </w:lvl>
    <w:lvl w:ilvl="1">
      <w:lvlJc w:val="left"/>
      <w:lvlText w:val="(%2)"/>
      <w:numFmt w:val="lowerLetter"/>
      <w:start w:val="1"/>
    </w:lvl>
  </w:abstractNum>
  <w:abstractNum w:abstractNumId="295">
    <w:nsid w:val="53355960"/>
    <w:multiLevelType w:val="hybridMultilevel"/>
    <w:lvl w:ilvl="0">
      <w:lvlJc w:val="left"/>
      <w:lvlText w:val="%1."/>
      <w:numFmt w:val="decimal"/>
      <w:start w:val="6"/>
    </w:lvl>
    <w:lvl w:ilvl="1">
      <w:lvlJc w:val="left"/>
      <w:lvlText w:val="%2"/>
      <w:numFmt w:val="lowerLetter"/>
      <w:start w:val="1"/>
    </w:lvl>
  </w:abstractNum>
  <w:abstractNum w:abstractNumId="296">
    <w:nsid w:val="4F4AC8FF"/>
    <w:multiLevelType w:val="hybridMultilevel"/>
    <w:lvl w:ilvl="0">
      <w:lvlJc w:val="left"/>
      <w:lvlText w:val="(%1)"/>
      <w:numFmt w:val="lowerLetter"/>
      <w:start w:val="2"/>
    </w:lvl>
  </w:abstractNum>
  <w:abstractNum w:abstractNumId="297">
    <w:nsid w:val="58CAE6D9"/>
    <w:multiLevelType w:val="hybridMultilevel"/>
    <w:lvl w:ilvl="0">
      <w:lvlJc w:val="left"/>
      <w:lvlText w:val="(%1)"/>
      <w:numFmt w:val="lowerLetter"/>
      <w:start w:val="2"/>
    </w:lvl>
  </w:abstractNum>
  <w:abstractNum w:abstractNumId="298">
    <w:nsid w:val="42933C4F"/>
    <w:multiLevelType w:val="hybridMultilevel"/>
    <w:lvl w:ilvl="0">
      <w:lvlJc w:val="left"/>
      <w:lvlText w:val="(%1)"/>
      <w:numFmt w:val="lowerLetter"/>
      <w:start w:val="1"/>
    </w:lvl>
    <w:lvl w:ilvl="1">
      <w:lvlJc w:val="left"/>
      <w:lvlText w:val="(%2)"/>
      <w:numFmt w:val="lowerRoman"/>
      <w:start w:val="1"/>
    </w:lvl>
  </w:abstractNum>
  <w:abstractNum w:abstractNumId="299">
    <w:nsid w:val="729AF360"/>
    <w:multiLevelType w:val="hybridMultilevel"/>
    <w:lvl w:ilvl="0">
      <w:lvlJc w:val="left"/>
      <w:lvlText w:val="(%1)"/>
      <w:numFmt w:val="lowerRoman"/>
      <w:start w:val="3"/>
    </w:lvl>
  </w:abstractNum>
  <w:abstractNum w:abstractNumId="300">
    <w:nsid w:val="1EE6AF0D"/>
    <w:multiLevelType w:val="hybridMultilevel"/>
    <w:lvl w:ilvl="0">
      <w:lvlJc w:val="left"/>
      <w:lvlText w:val="(%1)"/>
      <w:numFmt w:val="lowerLetter"/>
      <w:start w:val="1"/>
    </w:lvl>
    <w:lvl w:ilvl="1">
      <w:lvlJc w:val="left"/>
      <w:lvlText w:val="(%2)"/>
      <w:numFmt w:val="lowerRoman"/>
      <w:start w:val="1"/>
    </w:lvl>
  </w:abstractNum>
  <w:abstractNum w:abstractNumId="301">
    <w:nsid w:val="5670E3ED"/>
    <w:multiLevelType w:val="hybridMultilevel"/>
    <w:lvl w:ilvl="0">
      <w:lvlJc w:val="left"/>
      <w:lvlText w:val="%1"/>
      <w:numFmt w:val="lowerLetter"/>
      <w:start w:val="1"/>
    </w:lvl>
    <w:lvl w:ilvl="1">
      <w:lvlJc w:val="left"/>
      <w:lvlText w:val="(%2)"/>
      <w:numFmt w:val="lowerRoman"/>
      <w:start w:val="3"/>
    </w:lvl>
  </w:abstractNum>
  <w:abstractNum w:abstractNumId="302">
    <w:nsid w:val="5CAB38C6"/>
    <w:multiLevelType w:val="hybridMultilevel"/>
    <w:lvl w:ilvl="0">
      <w:lvlJc w:val="left"/>
      <w:lvlText w:val="(%1)"/>
      <w:numFmt w:val="lowerLetter"/>
      <w:start w:val="2"/>
    </w:lvl>
    <w:lvl w:ilvl="1">
      <w:lvlJc w:val="left"/>
      <w:lvlText w:val="%2"/>
      <w:numFmt w:val="lowerRoman"/>
      <w:start w:val="1"/>
    </w:lvl>
  </w:abstractNum>
  <w:abstractNum w:abstractNumId="303">
    <w:nsid w:val="3B7139DD"/>
    <w:multiLevelType w:val="hybridMultilevel"/>
    <w:lvl w:ilvl="0">
      <w:lvlJc w:val="left"/>
      <w:lvlText w:val="%1."/>
      <w:numFmt w:val="decimal"/>
      <w:start w:val="7"/>
    </w:lvl>
  </w:abstractNum>
  <w:abstractNum w:abstractNumId="304">
    <w:nsid w:val="64E4C3CD"/>
    <w:multiLevelType w:val="hybridMultilevel"/>
    <w:lvl w:ilvl="0">
      <w:lvlJc w:val="left"/>
      <w:lvlText w:val="%1."/>
      <w:numFmt w:val="decimal"/>
      <w:start w:val="8"/>
    </w:lvl>
  </w:abstractNum>
  <w:abstractNum w:abstractNumId="305">
    <w:nsid w:val="169CAD8D"/>
    <w:multiLevelType w:val="hybridMultilevel"/>
    <w:lvl w:ilvl="0">
      <w:lvlJc w:val="left"/>
      <w:lvlText w:val="(%1)"/>
      <w:numFmt w:val="lowerLetter"/>
      <w:start w:val="1"/>
    </w:lvl>
  </w:abstractNum>
  <w:abstractNum w:abstractNumId="306">
    <w:nsid w:val="299F6730"/>
    <w:multiLevelType w:val="hybridMultilevel"/>
    <w:lvl w:ilvl="0">
      <w:lvlJc w:val="left"/>
      <w:lvlText w:val="%1."/>
      <w:numFmt w:val="decimal"/>
      <w:start w:val="9"/>
    </w:lvl>
  </w:abstractNum>
  <w:abstractNum w:abstractNumId="307">
    <w:nsid w:val="2AC1076A"/>
    <w:multiLevelType w:val="hybridMultilevel"/>
    <w:lvl w:ilvl="0">
      <w:lvlJc w:val="left"/>
      <w:lvlText w:val="%1."/>
      <w:numFmt w:val="decimal"/>
      <w:start w:val="10"/>
    </w:lvl>
  </w:abstractNum>
  <w:abstractNum w:abstractNumId="308">
    <w:nsid w:val="51A6E915"/>
    <w:multiLevelType w:val="hybridMultilevel"/>
    <w:lvl w:ilvl="0">
      <w:lvlJc w:val="left"/>
      <w:lvlText w:val="(%1)"/>
      <w:numFmt w:val="lowerLetter"/>
      <w:start w:val="1"/>
    </w:lvl>
  </w:abstractNum>
  <w:abstractNum w:abstractNumId="309">
    <w:nsid w:val="174BDE99"/>
    <w:multiLevelType w:val="hybridMultilevel"/>
    <w:lvl w:ilvl="0">
      <w:lvlJc w:val="left"/>
      <w:lvlText w:val="(%1)"/>
      <w:numFmt w:val="lowerLetter"/>
      <w:start w:val="3"/>
    </w:lvl>
  </w:abstractNum>
  <w:abstractNum w:abstractNumId="310">
    <w:nsid w:val="1F2BEA4E"/>
    <w:multiLevelType w:val="hybridMultilevel"/>
    <w:lvl w:ilvl="0">
      <w:lvlJc w:val="left"/>
      <w:lvlText w:val="(%1)"/>
      <w:numFmt w:val="lowerLetter"/>
      <w:start w:val="1"/>
    </w:lvl>
  </w:abstractNum>
  <w:abstractNum w:abstractNumId="311">
    <w:nsid w:val="3254A32"/>
    <w:multiLevelType w:val="hybridMultilevel"/>
    <w:lvl w:ilvl="0">
      <w:lvlJc w:val="left"/>
      <w:lvlText w:val="%1."/>
      <w:numFmt w:val="decimal"/>
      <w:start w:val="11"/>
    </w:lvl>
  </w:abstractNum>
  <w:abstractNum w:abstractNumId="312">
    <w:nsid w:val="11ADB5F4"/>
    <w:multiLevelType w:val="hybridMultilevel"/>
    <w:lvl w:ilvl="0">
      <w:lvlJc w:val="left"/>
      <w:lvlText w:val="%1."/>
      <w:numFmt w:val="decimal"/>
      <w:start w:val="12"/>
    </w:lvl>
  </w:abstractNum>
  <w:abstractNum w:abstractNumId="313">
    <w:nsid w:val="3575FED1"/>
    <w:multiLevelType w:val="hybridMultilevel"/>
    <w:lvl w:ilvl="0">
      <w:lvlJc w:val="left"/>
      <w:lvlText w:val="%1"/>
      <w:numFmt w:val="decimal"/>
      <w:start w:val="1"/>
    </w:lvl>
    <w:lvl w:ilvl="1">
      <w:lvlJc w:val="left"/>
      <w:lvlText w:val="(%2)"/>
      <w:numFmt w:val="lowerLetter"/>
      <w:start w:val="1"/>
    </w:lvl>
  </w:abstractNum>
  <w:abstractNum w:abstractNumId="314">
    <w:nsid w:val="1B2B9E9D"/>
    <w:multiLevelType w:val="hybridMultilevel"/>
    <w:lvl w:ilvl="0">
      <w:lvlJc w:val="left"/>
      <w:lvlText w:val="%1."/>
      <w:numFmt w:val="decimal"/>
      <w:start w:val="13"/>
    </w:lvl>
    <w:lvl w:ilvl="1">
      <w:lvlJc w:val="left"/>
      <w:lvlText w:val="%2"/>
      <w:numFmt w:val="lowerLetter"/>
      <w:start w:val="1"/>
    </w:lvl>
  </w:abstractNum>
  <w:abstractNum w:abstractNumId="315">
    <w:nsid w:val="3150E85C"/>
    <w:multiLevelType w:val="hybridMultilevel"/>
    <w:lvl w:ilvl="0">
      <w:lvlJc w:val="left"/>
      <w:lvlText w:val="%1."/>
      <w:numFmt w:val="decimal"/>
      <w:start w:val="14"/>
    </w:lvl>
  </w:abstractNum>
  <w:abstractNum w:abstractNumId="316">
    <w:nsid w:val="638FDBD1"/>
    <w:multiLevelType w:val="hybridMultilevel"/>
    <w:lvl w:ilvl="0">
      <w:lvlJc w:val="left"/>
      <w:lvlText w:val="%1."/>
      <w:numFmt w:val="decimal"/>
      <w:start w:val="15"/>
    </w:lvl>
  </w:abstractNum>
  <w:abstractNum w:abstractNumId="317">
    <w:nsid w:val="1098CF6E"/>
    <w:multiLevelType w:val="hybridMultilevel"/>
    <w:lvl w:ilvl="0">
      <w:lvlJc w:val="left"/>
      <w:lvlText w:val="(%1)"/>
      <w:numFmt w:val="lowerLetter"/>
      <w:start w:val="1"/>
    </w:lvl>
  </w:abstractNum>
  <w:abstractNum w:abstractNumId="318">
    <w:nsid w:val="1AF465D"/>
    <w:multiLevelType w:val="hybridMultilevel"/>
    <w:lvl w:ilvl="0">
      <w:lvlJc w:val="left"/>
      <w:lvlText w:val="%1"/>
      <w:numFmt w:val="lowerRoman"/>
      <w:start w:val="1"/>
    </w:lvl>
    <w:lvl w:ilvl="1">
      <w:lvlJc w:val="left"/>
      <w:lvlText w:val="(%2)"/>
      <w:numFmt w:val="lowerLetter"/>
      <w:start w:val="2"/>
    </w:lvl>
  </w:abstractNum>
  <w:abstractNum w:abstractNumId="319">
    <w:nsid w:val="128D98B7"/>
    <w:multiLevelType w:val="hybridMultilevel"/>
    <w:lvl w:ilvl="0">
      <w:lvlJc w:val="left"/>
      <w:lvlText w:val="(%1)"/>
      <w:numFmt w:val="lowerRoman"/>
      <w:start w:val="4"/>
    </w:lvl>
    <w:lvl w:ilvl="1">
      <w:lvlJc w:val="left"/>
      <w:lvlText w:val="%2"/>
      <w:numFmt w:val="lowerLetter"/>
      <w:start w:val="1"/>
    </w:lvl>
  </w:abstractNum>
  <w:abstractNum w:abstractNumId="320">
    <w:nsid w:val="5F61383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21">
    <w:nsid w:val="43E92260"/>
    <w:multiLevelType w:val="hybridMultilevel"/>
    <w:lvl w:ilvl="0">
      <w:lvlJc w:val="left"/>
      <w:lvlText w:val="%1."/>
      <w:numFmt w:val="decimal"/>
      <w:start w:val="4"/>
    </w:lvl>
  </w:abstractNum>
  <w:abstractNum w:abstractNumId="322">
    <w:nsid w:val="430A1662"/>
    <w:multiLevelType w:val="hybridMultilevel"/>
    <w:lvl w:ilvl="0">
      <w:lvlJc w:val="left"/>
      <w:lvlText w:val="%1."/>
      <w:numFmt w:val="decimal"/>
      <w:start w:val="1"/>
    </w:lvl>
  </w:abstractNum>
  <w:abstractNum w:abstractNumId="323">
    <w:nsid w:val="1F9D5C18"/>
    <w:multiLevelType w:val="hybridMultilevel"/>
    <w:lvl w:ilvl="0">
      <w:lvlJc w:val="left"/>
      <w:lvlText w:val="%1."/>
      <w:numFmt w:val="decimal"/>
      <w:start w:val="1"/>
    </w:lvl>
  </w:abstractNum>
  <w:abstractNum w:abstractNumId="324">
    <w:nsid w:val="1CC11C37"/>
    <w:multiLevelType w:val="hybridMultilevel"/>
    <w:lvl w:ilvl="0">
      <w:lvlJc w:val="left"/>
      <w:lvlText w:val="%1."/>
      <w:numFmt w:val="decimal"/>
      <w:start w:val="1"/>
    </w:lvl>
  </w:abstractNum>
  <w:abstractNum w:abstractNumId="325">
    <w:nsid w:val="4557D5D8"/>
    <w:multiLevelType w:val="hybridMultilevel"/>
    <w:lvl w:ilvl="0">
      <w:lvlJc w:val="left"/>
      <w:lvlText w:val="%1."/>
      <w:numFmt w:val="decimal"/>
      <w:start w:val="1"/>
    </w:lvl>
  </w:abstractNum>
  <w:abstractNum w:abstractNumId="326">
    <w:nsid w:val="72D2B579"/>
    <w:multiLevelType w:val="hybridMultilevel"/>
    <w:lvl w:ilvl="0">
      <w:lvlJc w:val="left"/>
      <w:lvlText w:val="%1."/>
      <w:numFmt w:val="decimal"/>
      <w:start w:val="1"/>
    </w:lvl>
    <w:lvl w:ilvl="1">
      <w:lvlJc w:val="left"/>
      <w:lvlText w:val="(%2)"/>
      <w:numFmt w:val="lowerLetter"/>
      <w:start w:val="1"/>
    </w:lvl>
  </w:abstractNum>
  <w:abstractNum w:abstractNumId="327">
    <w:nsid w:val="6C0BE536"/>
    <w:multiLevelType w:val="hybridMultilevel"/>
    <w:lvl w:ilvl="0">
      <w:lvlJc w:val="left"/>
      <w:lvlText w:val="(%1)"/>
      <w:numFmt w:val="lowerLetter"/>
      <w:start w:val="61"/>
    </w:lvl>
    <w:lvl w:ilvl="1">
      <w:lvlJc w:val="left"/>
      <w:lvlText w:val="(%2)"/>
      <w:numFmt w:val="lowerLetter"/>
      <w:start w:val="4"/>
    </w:lvl>
  </w:abstractNum>
  <w:abstractNum w:abstractNumId="328">
    <w:nsid w:val="1E22BCB2"/>
    <w:multiLevelType w:val="hybridMultilevel"/>
    <w:lvl w:ilvl="0">
      <w:lvlJc w:val="left"/>
      <w:lvlText w:val="%1."/>
      <w:numFmt w:val="decimal"/>
      <w:start w:val="2"/>
    </w:lvl>
    <w:lvl w:ilvl="1">
      <w:lvlJc w:val="left"/>
      <w:lvlText w:val="(%2)"/>
      <w:numFmt w:val="lowerLetter"/>
      <w:start w:val="1"/>
    </w:lvl>
  </w:abstractNum>
  <w:abstractNum w:abstractNumId="329">
    <w:nsid w:val="3565F1C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30">
    <w:nsid w:val="5EA6D89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31">
    <w:nsid w:val="3D096BB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32">
    <w:nsid w:val="BD6D5B5"/>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4"/>
    </w:lvl>
  </w:abstractNum>
  <w:abstractNum w:abstractNumId="333">
    <w:nsid w:val="3B52115C"/>
    <w:multiLevelType w:val="hybridMultilevel"/>
    <w:lvl w:ilvl="0">
      <w:lvlJc w:val="left"/>
      <w:lvlText w:val="%1."/>
      <w:numFmt w:val="decimal"/>
      <w:start w:val="4"/>
    </w:lvl>
  </w:abstractNum>
  <w:abstractNum w:abstractNumId="334">
    <w:nsid w:val="787AA59C"/>
    <w:multiLevelType w:val="hybridMultilevel"/>
    <w:lvl w:ilvl="0">
      <w:lvlJc w:val="left"/>
      <w:lvlText w:val="(%1)"/>
      <w:numFmt w:val="lowerLetter"/>
      <w:start w:val="1"/>
    </w:lvl>
  </w:abstractNum>
  <w:abstractNum w:abstractNumId="335">
    <w:nsid w:val="70BB9983"/>
    <w:multiLevelType w:val="hybridMultilevel"/>
    <w:lvl w:ilvl="0">
      <w:lvlJc w:val="left"/>
      <w:lvlText w:val="(%1)"/>
      <w:numFmt w:val="lowerLetter"/>
      <w:start w:val="2"/>
    </w:lvl>
    <w:lvl w:ilvl="1">
      <w:lvlJc w:val="left"/>
      <w:lvlText w:val="(%2)"/>
      <w:numFmt w:val="lowerRoman"/>
      <w:start w:val="1"/>
    </w:lvl>
  </w:abstractNum>
  <w:abstractNum w:abstractNumId="336">
    <w:nsid w:val="51EEBEEA"/>
    <w:multiLevelType w:val="hybridMultilevel"/>
    <w:lvl w:ilvl="0">
      <w:lvlJc w:val="left"/>
      <w:lvlText w:val="(%1)"/>
      <w:numFmt w:val="lowerLetter"/>
      <w:start w:val="4"/>
    </w:lvl>
    <w:lvl w:ilvl="1">
      <w:lvlJc w:val="left"/>
      <w:lvlText w:val="(%2)"/>
      <w:numFmt w:val="lowerRoman"/>
      <w:start w:val="1"/>
    </w:lvl>
  </w:abstractNum>
  <w:abstractNum w:abstractNumId="337">
    <w:nsid w:val="221A0CCD"/>
    <w:multiLevelType w:val="hybridMultilevel"/>
    <w:lvl w:ilvl="0">
      <w:lvlJc w:val="left"/>
      <w:lvlText w:val="(%1)"/>
      <w:numFmt w:val="lowerLetter"/>
      <w:start w:val="8"/>
    </w:lvl>
    <w:lvl w:ilvl="1">
      <w:lvlJc w:val="left"/>
      <w:lvlText w:val="(%2)"/>
      <w:numFmt w:val="lowerRoman"/>
      <w:start w:val="1"/>
    </w:lvl>
  </w:abstractNum>
  <w:abstractNum w:abstractNumId="338">
    <w:nsid w:val="1B7CA0ED"/>
    <w:multiLevelType w:val="hybridMultilevel"/>
    <w:lvl w:ilvl="0">
      <w:lvlJc w:val="left"/>
      <w:lvlText w:val="(%1)"/>
      <w:numFmt w:val="lowerRoman"/>
      <w:start w:val="1"/>
    </w:lvl>
  </w:abstractNum>
  <w:abstractNum w:abstractNumId="339">
    <w:nsid w:val="2395A7FF"/>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340">
    <w:nsid w:val="3965EB6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41">
    <w:nsid w:val="3AA88B3C"/>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342">
    <w:nsid w:val="26BAF231"/>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43">
    <w:nsid w:val="4B13A15A"/>
    <w:multiLevelType w:val="hybridMultilevel"/>
    <w:lvl w:ilvl="0">
      <w:lvlJc w:val="left"/>
      <w:lvlText w:val="%1"/>
      <w:numFmt w:val="decimal"/>
      <w:start w:val="1"/>
    </w:lvl>
    <w:lvl w:ilvl="1">
      <w:lvlJc w:val="left"/>
      <w:lvlText w:val="(%2)"/>
      <w:numFmt w:val="lowerLetter"/>
      <w:start w:val="3"/>
    </w:lvl>
  </w:abstractNum>
  <w:abstractNum w:abstractNumId="344">
    <w:nsid w:val="701E8A0D"/>
    <w:multiLevelType w:val="hybridMultilevel"/>
    <w:lvl w:ilvl="0">
      <w:lvlJc w:val="left"/>
      <w:lvlText w:val="%1."/>
      <w:numFmt w:val="decimal"/>
      <w:start w:val="6"/>
    </w:lvl>
    <w:lvl w:ilvl="1">
      <w:lvlJc w:val="left"/>
      <w:lvlText w:val="(%2)"/>
      <w:numFmt w:val="lowerLetter"/>
      <w:start w:val="1"/>
    </w:lvl>
  </w:abstractNum>
  <w:abstractNum w:abstractNumId="345">
    <w:nsid w:val="41E690CF"/>
    <w:multiLevelType w:val="hybridMultilevel"/>
    <w:lvl w:ilvl="0">
      <w:lvlJc w:val="left"/>
      <w:lvlText w:val="(%1)"/>
      <w:numFmt w:val="lowerRoman"/>
      <w:start w:val="1"/>
    </w:lvl>
  </w:abstractNum>
  <w:abstractNum w:abstractNumId="346">
    <w:nsid w:val="7C6489B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47">
    <w:nsid w:val="53AE65D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48">
    <w:nsid w:val="527F603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49">
    <w:nsid w:val="7E13D013"/>
    <w:multiLevelType w:val="hybridMultilevel"/>
    <w:lvl w:ilvl="0">
      <w:lvlJc w:val="left"/>
      <w:lvlText w:val="%1"/>
      <w:numFmt w:val="decimal"/>
      <w:start w:val="1"/>
    </w:lvl>
    <w:lvl w:ilvl="1">
      <w:lvlJc w:val="left"/>
      <w:lvlText w:val="(%2)"/>
      <w:numFmt w:val="lowerRoman"/>
      <w:start w:val="2"/>
    </w:lvl>
  </w:abstractNum>
  <w:abstractNum w:abstractNumId="350">
    <w:nsid w:val="663BFE95"/>
    <w:multiLevelType w:val="hybridMultilevel"/>
    <w:lvl w:ilvl="0">
      <w:lvlJc w:val="left"/>
      <w:lvlText w:val="(%1)"/>
      <w:numFmt w:val="decimal"/>
      <w:start w:val="2"/>
    </w:lvl>
    <w:lvl w:ilvl="1">
      <w:lvlJc w:val="left"/>
      <w:lvlText w:val="(%2)"/>
      <w:numFmt w:val="lowerRoman"/>
      <w:start w:val="8"/>
    </w:lvl>
  </w:abstractNum>
  <w:abstractNum w:abstractNumId="351">
    <w:nsid w:val="31E0986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2"/>
    </w:lvl>
  </w:abstractNum>
  <w:abstractNum w:abstractNumId="352">
    <w:nsid w:val="41FCF274"/>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353">
    <w:nsid w:val="294614F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54">
    <w:nsid w:val="517DF487"/>
    <w:multiLevelType w:val="hybridMultilevel"/>
    <w:lvl w:ilvl="0">
      <w:lvlJc w:val="left"/>
      <w:lvlText w:val="%1."/>
      <w:numFmt w:val="decimal"/>
      <w:start w:val="8"/>
    </w:lvl>
    <w:lvl w:ilvl="1">
      <w:lvlJc w:val="left"/>
      <w:lvlText w:val="(%2)"/>
      <w:numFmt w:val="lowerLetter"/>
      <w:start w:val="1"/>
    </w:lvl>
  </w:abstractNum>
  <w:abstractNum w:abstractNumId="355">
    <w:nsid w:val="5EBE0EAB"/>
    <w:multiLevelType w:val="hybridMultilevel"/>
    <w:lvl w:ilvl="0">
      <w:lvlJc w:val="left"/>
      <w:lvlText w:val="%1"/>
      <w:numFmt w:val="decimal"/>
      <w:start w:val="1"/>
    </w:lvl>
    <w:lvl w:ilvl="1">
      <w:lvlJc w:val="left"/>
      <w:lvlText w:val="(%2)"/>
      <w:numFmt w:val="lowerLetter"/>
      <w:start w:val="4"/>
    </w:lvl>
  </w:abstractNum>
  <w:abstractNum w:abstractNumId="356">
    <w:nsid w:val="6E9DEAD0"/>
    <w:multiLevelType w:val="hybridMultilevel"/>
    <w:lvl w:ilvl="0">
      <w:lvlJc w:val="left"/>
      <w:lvlText w:val="%1."/>
      <w:numFmt w:val="decimal"/>
      <w:start w:val="9"/>
    </w:lvl>
    <w:lvl w:ilvl="1">
      <w:lvlJc w:val="left"/>
      <w:lvlText w:val="(%2)"/>
      <w:numFmt w:val="lowerLetter"/>
      <w:start w:val="1"/>
    </w:lvl>
  </w:abstractNum>
  <w:abstractNum w:abstractNumId="357">
    <w:nsid w:val="4450AA00"/>
    <w:multiLevelType w:val="hybridMultilevel"/>
    <w:lvl w:ilvl="0">
      <w:lvlJc w:val="left"/>
      <w:lvlText w:val="(%1)"/>
      <w:numFmt w:val="lowerLetter"/>
      <w:start w:val="6"/>
    </w:lvl>
  </w:abstractNum>
  <w:abstractNum w:abstractNumId="358">
    <w:nsid w:val="4AC9F3E2"/>
    <w:multiLevelType w:val="hybridMultilevel"/>
    <w:lvl w:ilvl="0">
      <w:lvlJc w:val="left"/>
      <w:lvlText w:val="(%1)"/>
      <w:numFmt w:val="lowerLetter"/>
      <w:start w:val="10"/>
    </w:lvl>
  </w:abstractNum>
  <w:abstractNum w:abstractNumId="359">
    <w:nsid w:val="CC0A782"/>
    <w:multiLevelType w:val="hybridMultilevel"/>
    <w:lvl w:ilvl="0">
      <w:lvlJc w:val="left"/>
      <w:lvlText w:val="%1"/>
      <w:numFmt w:val="decimal"/>
      <w:start w:val="1"/>
    </w:lvl>
    <w:lvl w:ilvl="1">
      <w:lvlJc w:val="left"/>
      <w:lvlText w:val="(%2)"/>
      <w:numFmt w:val="lowerLetter"/>
      <w:start w:val="15"/>
    </w:lvl>
  </w:abstractNum>
  <w:abstractNum w:abstractNumId="360">
    <w:nsid w:val="79B69BC9"/>
    <w:multiLevelType w:val="hybridMultilevel"/>
    <w:lvl w:ilvl="0">
      <w:lvlJc w:val="left"/>
      <w:lvlText w:val="%1."/>
      <w:numFmt w:val="decimal"/>
      <w:start w:val="10"/>
    </w:lvl>
    <w:lvl w:ilvl="1">
      <w:lvlJc w:val="left"/>
      <w:lvlText w:val="%2"/>
      <w:numFmt w:val="lowerLetter"/>
      <w:start w:val="1"/>
    </w:lvl>
  </w:abstractNum>
  <w:abstractNum w:abstractNumId="361">
    <w:nsid w:val="2970CC78"/>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62">
    <w:nsid w:val="49CA134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decimal"/>
      <w:start w:val="1"/>
    </w:lvl>
  </w:abstractNum>
  <w:abstractNum w:abstractNumId="363">
    <w:nsid w:val="58D717E"/>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decimal"/>
      <w:start w:val="1"/>
    </w:lvl>
  </w:abstractNum>
  <w:abstractNum w:abstractNumId="364">
    <w:nsid w:val="64C2DDD5"/>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lvl w:ilvl="3">
      <w:lvlJc w:val="left"/>
      <w:lvlText w:val="(%4)"/>
      <w:numFmt w:val="decimal"/>
      <w:start w:val="1"/>
    </w:lvl>
  </w:abstractNum>
  <w:abstractNum w:abstractNumId="365">
    <w:nsid w:val="4244B8DE"/>
    <w:multiLevelType w:val="hybridMultilevel"/>
    <w:lvl w:ilvl="0">
      <w:lvlJc w:val="left"/>
      <w:lvlText w:val="(%1)"/>
      <w:numFmt w:val="lowerRoman"/>
      <w:start w:val="2"/>
    </w:lvl>
  </w:abstractNum>
  <w:abstractNum w:abstractNumId="366">
    <w:nsid w:val="76490B0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67">
    <w:nsid w:val="36B19CBF"/>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368">
    <w:nsid w:val="645EC5AB"/>
    <w:multiLevelType w:val="hybridMultilevel"/>
    <w:lvl w:ilvl="0">
      <w:lvlJc w:val="left"/>
      <w:lvlText w:val="%1"/>
      <w:numFmt w:val="lowerLetter"/>
      <w:start w:val="1"/>
    </w:lvl>
    <w:lvl w:ilvl="1">
      <w:lvlJc w:val="left"/>
      <w:lvlText w:val="(%2)"/>
      <w:numFmt w:val="lowerLetter"/>
      <w:start w:val="35"/>
    </w:lvl>
  </w:abstractNum>
  <w:abstractNum w:abstractNumId="369">
    <w:nsid w:val="11C5ABEF"/>
    <w:multiLevelType w:val="hybridMultilevel"/>
    <w:lvl w:ilvl="0">
      <w:lvlJc w:val="left"/>
      <w:lvlText w:val="(%1)"/>
      <w:numFmt w:val="lowerLetter"/>
      <w:start w:val="5"/>
    </w:lvl>
    <w:lvl w:ilvl="1">
      <w:lvlJc w:val="left"/>
      <w:lvlText w:val="(%2)"/>
      <w:numFmt w:val="lowerLetter"/>
      <w:start w:val="9"/>
    </w:lvl>
  </w:abstractNum>
  <w:abstractNum w:abstractNumId="370">
    <w:nsid w:val="5A4744BE"/>
    <w:multiLevelType w:val="hybridMultilevel"/>
    <w:lvl w:ilvl="0">
      <w:lvlJc w:val="left"/>
      <w:lvlText w:val="(%1)"/>
      <w:numFmt w:val="lowerRoman"/>
      <w:start w:val="2"/>
    </w:lvl>
  </w:abstractNum>
  <w:abstractNum w:abstractNumId="371">
    <w:nsid w:val="1DC4B111"/>
    <w:multiLevelType w:val="hybridMultilevel"/>
    <w:lvl w:ilvl="0">
      <w:lvlJc w:val="left"/>
      <w:lvlText w:val="%1."/>
      <w:numFmt w:val="decimal"/>
      <w:start w:val="12"/>
    </w:lvl>
  </w:abstractNum>
  <w:abstractNum w:abstractNumId="372">
    <w:nsid w:val="4C6E372B"/>
    <w:multiLevelType w:val="hybridMultilevel"/>
    <w:lvl w:ilvl="0">
      <w:lvlJc w:val="left"/>
      <w:lvlText w:val="%1."/>
      <w:numFmt w:val="decimal"/>
      <w:start w:val="13"/>
    </w:lvl>
  </w:abstractNum>
  <w:abstractNum w:abstractNumId="373">
    <w:nsid w:val="10236EF"/>
    <w:multiLevelType w:val="hybridMultilevel"/>
    <w:lvl w:ilvl="0">
      <w:lvlJc w:val="left"/>
      <w:lvlText w:val="(%1)"/>
      <w:numFmt w:val="lowerRoman"/>
      <w:start w:val="1"/>
    </w:lvl>
  </w:abstractNum>
  <w:abstractNum w:abstractNumId="374">
    <w:nsid w:val="68D8526B"/>
    <w:multiLevelType w:val="hybridMultilevel"/>
    <w:lvl w:ilvl="0">
      <w:lvlJc w:val="left"/>
      <w:lvlText w:val="%1."/>
      <w:numFmt w:val="decimal"/>
      <w:start w:val="14"/>
    </w:lvl>
  </w:abstractNum>
  <w:abstractNum w:abstractNumId="375">
    <w:nsid w:val="3C8CC138"/>
    <w:multiLevelType w:val="hybridMultilevel"/>
    <w:lvl w:ilvl="0">
      <w:lvlJc w:val="left"/>
      <w:lvlText w:val="(%1)"/>
      <w:numFmt w:val="lowerLetter"/>
      <w:start w:val="1"/>
    </w:lvl>
  </w:abstractNum>
  <w:abstractNum w:abstractNumId="376">
    <w:nsid w:val="42E8C7BE"/>
    <w:multiLevelType w:val="hybridMultilevel"/>
    <w:lvl w:ilvl="0">
      <w:lvlJc w:val="left"/>
      <w:lvlText w:val="(%1)"/>
      <w:numFmt w:val="lowerLetter"/>
      <w:start w:val="9"/>
    </w:lvl>
    <w:lvl w:ilvl="1">
      <w:lvlJc w:val="left"/>
      <w:lvlText w:val="(%2)"/>
      <w:numFmt w:val="lowerLetter"/>
      <w:start w:val="9"/>
    </w:lvl>
  </w:abstractNum>
  <w:abstractNum w:abstractNumId="377">
    <w:nsid w:val="653CDC22"/>
    <w:multiLevelType w:val="hybridMultilevel"/>
    <w:lvl w:ilvl="0">
      <w:lvlJc w:val="left"/>
      <w:lvlText w:val="(%1)"/>
      <w:numFmt w:val="lowerRoman"/>
      <w:start w:val="2"/>
    </w:lvl>
  </w:abstractNum>
  <w:abstractNum w:abstractNumId="378">
    <w:nsid w:val="103B2716"/>
    <w:multiLevelType w:val="hybridMultilevel"/>
    <w:lvl w:ilvl="0">
      <w:lvlJc w:val="left"/>
      <w:lvlText w:val="(%1)"/>
      <w:numFmt w:val="lowerLetter"/>
      <w:start w:val="11"/>
    </w:lvl>
  </w:abstractNum>
  <w:abstractNum w:abstractNumId="379">
    <w:nsid w:val="156827FB"/>
    <w:multiLevelType w:val="hybridMultilevel"/>
    <w:lvl w:ilvl="0">
      <w:lvlJc w:val="left"/>
      <w:lvlText w:val="(%1)"/>
      <w:numFmt w:val="lowerLetter"/>
      <w:start w:val="14"/>
    </w:lvl>
    <w:lvl w:ilvl="1">
      <w:lvlJc w:val="left"/>
      <w:lvlText w:val="(%2)"/>
      <w:numFmt w:val="lowerRoman"/>
      <w:start w:val="1"/>
    </w:lvl>
  </w:abstractNum>
  <w:abstractNum w:abstractNumId="380">
    <w:nsid w:val="6350AC35"/>
    <w:multiLevelType w:val="hybridMultilevel"/>
    <w:lvl w:ilvl="0">
      <w:lvlJc w:val="left"/>
      <w:lvlText w:val="(%1)"/>
      <w:numFmt w:val="lowerRoman"/>
      <w:start w:val="3"/>
    </w:lvl>
  </w:abstractNum>
  <w:abstractNum w:abstractNumId="381">
    <w:nsid w:val="767725AB"/>
    <w:multiLevelType w:val="hybridMultilevel"/>
    <w:lvl w:ilvl="0">
      <w:lvlJc w:val="left"/>
      <w:lvlText w:val="(%1)"/>
      <w:numFmt w:val="lowerLetter"/>
      <w:start w:val="20"/>
    </w:lvl>
  </w:abstractNum>
  <w:abstractNum w:abstractNumId="382">
    <w:nsid w:val="4748C06A"/>
    <w:multiLevelType w:val="hybridMultilevel"/>
    <w:lvl w:ilvl="0">
      <w:lvlJc w:val="left"/>
      <w:lvlText w:val="(%1)"/>
      <w:numFmt w:val="lowerLetter"/>
      <w:start w:val="27"/>
    </w:lvl>
  </w:abstractNum>
  <w:abstractNum w:abstractNumId="383">
    <w:nsid w:val="254D9EA9"/>
    <w:multiLevelType w:val="hybridMultilevel"/>
    <w:lvl w:ilvl="0">
      <w:lvlJc w:val="left"/>
      <w:lvlText w:val="(%1)"/>
      <w:numFmt w:val="lowerLetter"/>
      <w:start w:val="28"/>
    </w:lvl>
    <w:lvl w:ilvl="1">
      <w:lvlJc w:val="left"/>
      <w:lvlText w:val="(%2)"/>
      <w:numFmt w:val="lowerRoman"/>
      <w:start w:val="1"/>
    </w:lvl>
  </w:abstractNum>
  <w:abstractNum w:abstractNumId="384">
    <w:nsid w:val="1FBD3AA3"/>
    <w:multiLevelType w:val="hybridMultilevel"/>
    <w:lvl w:ilvl="0">
      <w:lvlJc w:val="left"/>
      <w:lvlText w:val="%1"/>
      <w:numFmt w:val="lowerLetter"/>
      <w:start w:val="1"/>
    </w:lvl>
    <w:lvl w:ilvl="1">
      <w:lvlJc w:val="left"/>
      <w:lvlText w:val="(%2)"/>
      <w:numFmt w:val="lowerLetter"/>
      <w:start w:val="32"/>
    </w:lvl>
  </w:abstractNum>
  <w:abstractNum w:abstractNumId="385">
    <w:nsid w:val="18C6B4F2"/>
    <w:multiLevelType w:val="hybridMultilevel"/>
    <w:lvl w:ilvl="0">
      <w:lvlJc w:val="left"/>
      <w:lvlText w:val="(%1)"/>
      <w:numFmt w:val="lowerLetter"/>
      <w:start w:val="35"/>
    </w:lvl>
    <w:lvl w:ilvl="1">
      <w:lvlJc w:val="left"/>
      <w:lvlText w:val="(%2)"/>
      <w:numFmt w:val="lowerLetter"/>
      <w:start w:val="36"/>
    </w:lvl>
  </w:abstractNum>
  <w:abstractNum w:abstractNumId="386">
    <w:nsid w:val="40BAD55"/>
    <w:multiLevelType w:val="hybridMultilevel"/>
    <w:lvl w:ilvl="0">
      <w:lvlJc w:val="left"/>
      <w:lvlText w:val="(%1)"/>
      <w:numFmt w:val="lowerLetter"/>
      <w:start w:val="39"/>
    </w:lvl>
  </w:abstractNum>
  <w:abstractNum w:abstractNumId="387">
    <w:nsid w:val="E5B2573"/>
    <w:multiLevelType w:val="hybridMultilevel"/>
    <w:lvl w:ilvl="0">
      <w:lvlJc w:val="left"/>
      <w:lvlText w:val="%1"/>
      <w:numFmt w:val="decimal"/>
      <w:start w:val="1"/>
    </w:lvl>
    <w:lvl w:ilvl="1">
      <w:lvlJc w:val="left"/>
      <w:lvlText w:val="(%2)"/>
      <w:numFmt w:val="lowerLetter"/>
      <w:start w:val="49"/>
    </w:lvl>
  </w:abstractNum>
  <w:abstractNum w:abstractNumId="388">
    <w:nsid w:val="5D175EF2"/>
    <w:multiLevelType w:val="hybridMultilevel"/>
    <w:lvl w:ilvl="0">
      <w:lvlJc w:val="left"/>
      <w:lvlText w:val="(%1)"/>
      <w:numFmt w:val="decimal"/>
      <w:start w:val="8"/>
    </w:lvl>
    <w:lvl w:ilvl="1">
      <w:lvlJc w:val="left"/>
      <w:lvlText w:val="%2"/>
      <w:numFmt w:val="lowerLetter"/>
      <w:start w:val="1"/>
    </w:lvl>
  </w:abstractNum>
  <w:abstractNum w:abstractNumId="389">
    <w:nsid w:val="4ED5A137"/>
    <w:multiLevelType w:val="hybridMultilevel"/>
    <w:lvl w:ilvl="0">
      <w:lvlJc w:val="left"/>
      <w:lvlText w:val="(%1)"/>
      <w:numFmt w:val="decimal"/>
      <w:start w:val="9"/>
    </w:lvl>
    <w:lvl w:ilvl="1">
      <w:lvlJc w:val="left"/>
      <w:lvlText w:val="(%2)"/>
      <w:numFmt w:val="lowerLetter"/>
      <w:start w:val="51"/>
    </w:lvl>
  </w:abstractNum>
  <w:abstractNum w:abstractNumId="390">
    <w:nsid w:val="1B1BCCF5"/>
    <w:multiLevelType w:val="hybridMultilevel"/>
    <w:lvl w:ilvl="0">
      <w:lvlJc w:val="left"/>
      <w:lvlText w:val="(%1)"/>
      <w:numFmt w:val="lowerLetter"/>
      <w:start w:val="53"/>
    </w:lvl>
  </w:abstractNum>
  <w:abstractNum w:abstractNumId="391">
    <w:nsid w:val="56CDFABB"/>
    <w:multiLevelType w:val="hybridMultilevel"/>
    <w:lvl w:ilvl="0">
      <w:lvlJc w:val="left"/>
      <w:lvlText w:val="(%1)"/>
      <w:numFmt w:val="lowerLetter"/>
      <w:start w:val="58"/>
    </w:lvl>
  </w:abstractNum>
  <w:abstractNum w:abstractNumId="392">
    <w:nsid w:val="78466DAF"/>
    <w:multiLevelType w:val="hybridMultilevel"/>
    <w:lvl w:ilvl="0">
      <w:lvlJc w:val="left"/>
      <w:lvlText w:val="(%1)"/>
      <w:numFmt w:val="lowerLetter"/>
      <w:start w:val="59"/>
    </w:lvl>
  </w:abstractNum>
  <w:abstractNum w:abstractNumId="393">
    <w:nsid w:val="64E5E036"/>
    <w:multiLevelType w:val="hybridMultilevel"/>
    <w:lvl w:ilvl="0">
      <w:lvlJc w:val="left"/>
      <w:lvlText w:val="(%1)"/>
      <w:numFmt w:val="lowerLetter"/>
      <w:start w:val="69"/>
    </w:lvl>
  </w:abstractNum>
  <w:abstractNum w:abstractNumId="394">
    <w:nsid w:val="5C5B6C3A"/>
    <w:multiLevelType w:val="hybridMultilevel"/>
    <w:lvl w:ilvl="0">
      <w:lvlJc w:val="left"/>
      <w:lvlText w:val="•"/>
      <w:numFmt w:val="bullet"/>
      <w:start w:val="1"/>
    </w:lvl>
  </w:abstractNum>
  <w:abstractNum w:abstractNumId="395">
    <w:nsid w:val="5D094B84"/>
    <w:multiLevelType w:val="hybridMultilevel"/>
    <w:lvl w:ilvl="0">
      <w:lvlJc w:val="left"/>
      <w:lvlText w:val="1"/>
      <w:numFmt w:val="bullet"/>
      <w:start w:val="1"/>
    </w:lvl>
  </w:abstractNum>
  <w:abstractNum w:abstractNumId="396">
    <w:nsid w:val="272A9914"/>
    <w:multiLevelType w:val="hybridMultilevel"/>
    <w:lvl w:ilvl="0">
      <w:lvlJc w:val="left"/>
      <w:lvlText w:val="•"/>
      <w:numFmt w:val="bullet"/>
      <w:start w:val="1"/>
    </w:lvl>
  </w:abstractNum>
  <w:abstractNum w:abstractNumId="397">
    <w:nsid w:val="52A4773B"/>
    <w:multiLevelType w:val="hybridMultilevel"/>
    <w:lvl w:ilvl="0">
      <w:lvlJc w:val="left"/>
      <w:lvlText w:val="%1."/>
      <w:numFmt w:val="decimal"/>
      <w:start w:val="1"/>
    </w:lvl>
    <w:lvl w:ilvl="1">
      <w:lvlJc w:val="left"/>
      <w:lvlText w:val="(%2)"/>
      <w:numFmt w:val="lowerLetter"/>
      <w:start w:val="1"/>
    </w:lvl>
  </w:abstractNum>
  <w:abstractNum w:abstractNumId="398">
    <w:nsid w:val="13BAE843"/>
    <w:multiLevelType w:val="hybridMultilevel"/>
    <w:lvl w:ilvl="0">
      <w:lvlJc w:val="left"/>
      <w:lvlText w:val="(%1)"/>
      <w:numFmt w:val="lowerLetter"/>
      <w:start w:val="3"/>
    </w:lvl>
  </w:abstractNum>
  <w:abstractNum w:abstractNumId="399">
    <w:nsid w:val="B895EBF"/>
    <w:multiLevelType w:val="hybridMultilevel"/>
    <w:lvl w:ilvl="0">
      <w:lvlJc w:val="left"/>
      <w:lvlText w:val="%1."/>
      <w:numFmt w:val="decimal"/>
      <w:start w:val="2"/>
    </w:lvl>
    <w:lvl w:ilvl="1">
      <w:lvlJc w:val="left"/>
      <w:lvlText w:val="(%2)"/>
      <w:numFmt w:val="lowerLetter"/>
      <w:start w:val="1"/>
    </w:lvl>
  </w:abstractNum>
  <w:abstractNum w:abstractNumId="400">
    <w:nsid w:val="646A232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01">
    <w:nsid w:val="6E022D0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02">
    <w:nsid w:val="294E0FD0"/>
    <w:multiLevelType w:val="hybridMultilevel"/>
    <w:lvl w:ilvl="0">
      <w:lvlJc w:val="left"/>
      <w:lvlText w:val="(%1)"/>
      <w:numFmt w:val="lowerLetter"/>
      <w:start w:val="6"/>
    </w:lvl>
  </w:abstractNum>
  <w:abstractNum w:abstractNumId="403">
    <w:nsid w:val="30D85A55"/>
    <w:multiLevelType w:val="hybridMultilevel"/>
    <w:lvl w:ilvl="0">
      <w:lvlJc w:val="left"/>
      <w:lvlText w:val="%1."/>
      <w:numFmt w:val="decimal"/>
      <w:start w:val="5"/>
    </w:lvl>
  </w:abstractNum>
  <w:abstractNum w:abstractNumId="404">
    <w:nsid w:val="6F0463F1"/>
    <w:multiLevelType w:val="hybridMultilevel"/>
    <w:lvl w:ilvl="0">
      <w:lvlJc w:val="left"/>
      <w:lvlText w:val="%1."/>
      <w:numFmt w:val="decimal"/>
      <w:start w:val="8"/>
    </w:lvl>
    <w:lvl w:ilvl="1">
      <w:lvlJc w:val="left"/>
      <w:lvlText w:val="*"/>
      <w:numFmt w:val="bullet"/>
      <w:start w:val="1"/>
    </w:lvl>
  </w:abstractNum>
  <w:abstractNum w:abstractNumId="405">
    <w:nsid w:val="1226623C"/>
    <w:multiLevelType w:val="hybridMultilevel"/>
    <w:lvl w:ilvl="0">
      <w:lvlJc w:val="left"/>
      <w:lvlText w:val="•"/>
      <w:numFmt w:val="bullet"/>
      <w:start w:val="1"/>
    </w:lvl>
  </w:abstractNum>
  <w:abstractNum w:abstractNumId="406">
    <w:nsid w:val="6D651B8D"/>
    <w:multiLevelType w:val="hybridMultilevel"/>
    <w:lvl w:ilvl="0">
      <w:lvlJc w:val="left"/>
      <w:lvlText w:val="%1."/>
      <w:numFmt w:val="decimal"/>
      <w:start w:val="1"/>
    </w:lvl>
    <w:lvl w:ilvl="1">
      <w:lvlJc w:val="left"/>
      <w:lvlText w:val="(%2)"/>
      <w:numFmt w:val="lowerLetter"/>
      <w:start w:val="1"/>
    </w:lvl>
  </w:abstractNum>
  <w:abstractNum w:abstractNumId="407">
    <w:nsid w:val="31ED2BAF"/>
    <w:multiLevelType w:val="hybridMultilevel"/>
    <w:lvl w:ilvl="0">
      <w:lvlJc w:val="left"/>
      <w:lvlText w:val="%1."/>
      <w:numFmt w:val="decimal"/>
      <w:start w:val="2"/>
    </w:lvl>
  </w:abstractNum>
  <w:abstractNum w:abstractNumId="408">
    <w:nsid w:val="77633E5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09">
    <w:nsid w:val="7DA042A3"/>
    <w:multiLevelType w:val="hybridMultilevel"/>
    <w:lvl w:ilvl="0">
      <w:lvlJc w:val="left"/>
      <w:lvlText w:val="(%1)"/>
      <w:numFmt w:val="lowerRoman"/>
      <w:start w:val="2"/>
    </w:lvl>
  </w:abstractNum>
  <w:abstractNum w:abstractNumId="410">
    <w:nsid w:val="475553AB"/>
    <w:multiLevelType w:val="hybridMultilevel"/>
    <w:lvl w:ilvl="0">
      <w:lvlJc w:val="left"/>
      <w:lvlText w:val="%1"/>
      <w:numFmt w:val="decimal"/>
      <w:start w:val="1"/>
    </w:lvl>
    <w:lvl w:ilvl="1">
      <w:lvlJc w:val="left"/>
      <w:lvlText w:val="(%2)"/>
      <w:numFmt w:val="lowerLetter"/>
      <w:start w:val="3"/>
    </w:lvl>
  </w:abstractNum>
  <w:abstractNum w:abstractNumId="411">
    <w:nsid w:val="5AB3EA93"/>
    <w:multiLevelType w:val="hybridMultilevel"/>
    <w:lvl w:ilvl="0">
      <w:lvlJc w:val="left"/>
      <w:lvlText w:val="%1."/>
      <w:numFmt w:val="decimal"/>
      <w:start w:val="7"/>
    </w:lvl>
    <w:lvl w:ilvl="1">
      <w:lvlJc w:val="left"/>
      <w:lvlText w:val="%2"/>
      <w:numFmt w:val="lowerLetter"/>
      <w:start w:val="1"/>
    </w:lvl>
  </w:abstractNum>
  <w:abstractNum w:abstractNumId="412">
    <w:nsid w:val="7417684F"/>
    <w:multiLevelType w:val="hybridMultilevel"/>
    <w:lvl w:ilvl="0">
      <w:lvlJc w:val="left"/>
      <w:lvlText w:val="%1"/>
      <w:numFmt w:val="lowerLetter"/>
      <w:start w:val="1"/>
    </w:lvl>
    <w:lvl w:ilvl="1">
      <w:lvlJc w:val="left"/>
      <w:lvlText w:val="%2."/>
      <w:numFmt w:val="decimal"/>
      <w:start w:val="8"/>
    </w:lvl>
  </w:abstractNum>
  <w:abstractNum w:abstractNumId="413">
    <w:nsid w:val="E9E1415"/>
    <w:multiLevelType w:val="hybridMultilevel"/>
    <w:lvl w:ilvl="0">
      <w:lvlJc w:val="left"/>
      <w:lvlText w:val="(%1)"/>
      <w:numFmt w:val="lowerLetter"/>
      <w:start w:val="2"/>
    </w:lvl>
    <w:lvl w:ilvl="1">
      <w:lvlJc w:val="left"/>
      <w:lvlText w:val="%2."/>
      <w:numFmt w:val="decimal"/>
      <w:start w:val="11"/>
    </w:lvl>
  </w:abstractNum>
  <w:abstractNum w:abstractNumId="414">
    <w:nsid w:val="1893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15">
    <w:nsid w:val="13D4A2F2"/>
    <w:multiLevelType w:val="hybridMultilevel"/>
    <w:lvl w:ilvl="0">
      <w:lvlJc w:val="left"/>
      <w:lvlText w:val="%1"/>
      <w:numFmt w:val="lowerLetter"/>
      <w:start w:val="1"/>
    </w:lvl>
    <w:lvl w:ilvl="1">
      <w:lvlJc w:val="left"/>
      <w:lvlText w:val="(%2)"/>
      <w:numFmt w:val="lowerRoman"/>
      <w:start w:val="2"/>
    </w:lvl>
  </w:abstractNum>
  <w:abstractNum w:abstractNumId="416">
    <w:nsid w:val="2764C907"/>
    <w:multiLevelType w:val="hybridMultilevel"/>
    <w:lvl w:ilvl="0">
      <w:lvlJc w:val="left"/>
      <w:lvlText w:val="(%1)"/>
      <w:numFmt w:val="lowerLetter"/>
      <w:start w:val="3"/>
    </w:lvl>
    <w:lvl w:ilvl="1">
      <w:lvlJc w:val="left"/>
      <w:lvlText w:val="%2"/>
      <w:numFmt w:val="lowerRoman"/>
      <w:start w:val="1"/>
    </w:lvl>
  </w:abstractNum>
  <w:abstractNum w:abstractNumId="417">
    <w:nsid w:val="40D3692"/>
    <w:multiLevelType w:val="hybridMultilevel"/>
    <w:lvl w:ilvl="0">
      <w:lvlJc w:val="left"/>
      <w:lvlText w:val="(%1)"/>
      <w:numFmt w:val="lowerLetter"/>
      <w:start w:val="8"/>
    </w:lvl>
  </w:abstractNum>
  <w:abstractNum w:abstractNumId="418">
    <w:nsid w:val="222FC865"/>
    <w:multiLevelType w:val="hybridMultilevel"/>
    <w:lvl w:ilvl="0">
      <w:lvlJc w:val="left"/>
      <w:lvlText w:val="%1."/>
      <w:numFmt w:val="decimal"/>
      <w:start w:val="2"/>
    </w:lvl>
    <w:lvl w:ilvl="1">
      <w:lvlJc w:val="left"/>
      <w:lvlText w:val="(%2)"/>
      <w:numFmt w:val="lowerLetter"/>
      <w:start w:val="1"/>
    </w:lvl>
  </w:abstractNum>
  <w:abstractNum w:abstractNumId="419">
    <w:nsid w:val="47C27FA"/>
    <w:multiLevelType w:val="hybridMultilevel"/>
    <w:lvl w:ilvl="0">
      <w:lvlJc w:val="left"/>
      <w:lvlText w:val="%1"/>
      <w:numFmt w:val="decimal"/>
      <w:start w:val="1"/>
    </w:lvl>
    <w:lvl w:ilvl="1">
      <w:lvlJc w:val="left"/>
      <w:lvlText w:val="(%2)"/>
      <w:numFmt w:val="lowerLetter"/>
      <w:start w:val="4"/>
    </w:lvl>
  </w:abstractNum>
  <w:abstractNum w:abstractNumId="420">
    <w:nsid w:val="52E2D7C9"/>
    <w:multiLevelType w:val="hybridMultilevel"/>
    <w:lvl w:ilvl="0">
      <w:lvlJc w:val="left"/>
      <w:lvlText w:val="%1."/>
      <w:numFmt w:val="decimal"/>
      <w:start w:val="6"/>
    </w:lvl>
    <w:lvl w:ilvl="1">
      <w:lvlJc w:val="left"/>
      <w:lvlText w:val="(%2)"/>
      <w:numFmt w:val="lowerLetter"/>
      <w:start w:val="1"/>
    </w:lvl>
  </w:abstractNum>
  <w:abstractNum w:abstractNumId="421">
    <w:nsid w:val="3D4B955A"/>
    <w:multiLevelType w:val="hybridMultilevel"/>
    <w:lvl w:ilvl="0">
      <w:lvlJc w:val="left"/>
      <w:lvlText w:val="%1"/>
      <w:numFmt w:val="decimal"/>
      <w:start w:val="1"/>
    </w:lvl>
    <w:lvl w:ilvl="1">
      <w:lvlJc w:val="left"/>
      <w:lvlText w:val="(%2)"/>
      <w:numFmt w:val="lowerLetter"/>
      <w:start w:val="3"/>
    </w:lvl>
  </w:abstractNum>
  <w:abstractNum w:abstractNumId="422">
    <w:nsid w:val="5B4A22B5"/>
    <w:multiLevelType w:val="hybridMultilevel"/>
    <w:lvl w:ilvl="0">
      <w:lvlJc w:val="left"/>
      <w:lvlText w:val="%1."/>
      <w:numFmt w:val="decimal"/>
      <w:start w:val="8"/>
    </w:lvl>
    <w:lvl w:ilvl="1">
      <w:lvlJc w:val="left"/>
      <w:lvlText w:val="(%2)"/>
      <w:numFmt w:val="lowerLetter"/>
      <w:start w:val="1"/>
    </w:lvl>
  </w:abstractNum>
  <w:abstractNum w:abstractNumId="423">
    <w:nsid w:val="4B294578"/>
    <w:multiLevelType w:val="hybridMultilevel"/>
    <w:lvl w:ilvl="0">
      <w:lvlJc w:val="left"/>
      <w:lvlText w:val="%1"/>
      <w:numFmt w:val="decimal"/>
      <w:start w:val="1"/>
    </w:lvl>
    <w:lvl w:ilvl="1">
      <w:lvlJc w:val="left"/>
      <w:lvlText w:val="(%2)"/>
      <w:numFmt w:val="lowerLetter"/>
      <w:start w:val="3"/>
    </w:lvl>
  </w:abstractNum>
  <w:abstractNum w:abstractNumId="424">
    <w:nsid w:val="22317590"/>
    <w:multiLevelType w:val="hybridMultilevel"/>
    <w:lvl w:ilvl="0">
      <w:lvlJc w:val="left"/>
      <w:lvlText w:val="%1."/>
      <w:numFmt w:val="decimal"/>
      <w:start w:val="9"/>
    </w:lvl>
    <w:lvl w:ilvl="1">
      <w:lvlJc w:val="left"/>
      <w:lvlText w:val="(%2)"/>
      <w:numFmt w:val="lowerLetter"/>
      <w:start w:val="1"/>
    </w:lvl>
  </w:abstractNum>
  <w:abstractNum w:abstractNumId="425">
    <w:nsid w:val="37A58EEF"/>
    <w:multiLevelType w:val="hybridMultilevel"/>
    <w:lvl w:ilvl="0">
      <w:lvlJc w:val="left"/>
      <w:lvlText w:val="%1"/>
      <w:numFmt w:val="decimal"/>
      <w:start w:val="1"/>
    </w:lvl>
    <w:lvl w:ilvl="1">
      <w:lvlJc w:val="left"/>
      <w:lvlText w:val="(%2)"/>
      <w:numFmt w:val="lowerLetter"/>
      <w:start w:val="3"/>
    </w:lvl>
  </w:abstractNum>
  <w:abstractNum w:abstractNumId="426">
    <w:nsid w:val="283290FD"/>
    <w:multiLevelType w:val="hybridMultilevel"/>
    <w:lvl w:ilvl="0">
      <w:lvlJc w:val="left"/>
      <w:lvlText w:val="%1."/>
      <w:numFmt w:val="decimal"/>
      <w:start w:val="10"/>
    </w:lvl>
    <w:lvl w:ilvl="1">
      <w:lvlJc w:val="left"/>
      <w:lvlText w:val="(%2)"/>
      <w:numFmt w:val="lowerLetter"/>
      <w:start w:val="1"/>
    </w:lvl>
  </w:abstractNum>
  <w:abstractNum w:abstractNumId="427">
    <w:nsid w:val="495C0EA5"/>
    <w:multiLevelType w:val="hybridMultilevel"/>
    <w:lvl w:ilvl="0">
      <w:lvlJc w:val="left"/>
      <w:lvlText w:val="%1"/>
      <w:numFmt w:val="decimal"/>
      <w:start w:val="1"/>
    </w:lvl>
    <w:lvl w:ilvl="1">
      <w:lvlJc w:val="left"/>
      <w:lvlText w:val="(%2)"/>
      <w:numFmt w:val="lowerLetter"/>
      <w:start w:val="3"/>
    </w:lvl>
  </w:abstractNum>
  <w:abstractNum w:abstractNumId="428">
    <w:nsid w:val="A4A062B"/>
    <w:multiLevelType w:val="hybridMultilevel"/>
    <w:lvl w:ilvl="0">
      <w:lvlJc w:val="left"/>
      <w:lvlText w:val="%1."/>
      <w:numFmt w:val="decimal"/>
      <w:start w:val="11"/>
    </w:lvl>
    <w:lvl w:ilvl="1">
      <w:lvlJc w:val="left"/>
      <w:lvlText w:val="%2"/>
      <w:numFmt w:val="lowerLetter"/>
      <w:start w:val="1"/>
    </w:lvl>
  </w:abstractNum>
  <w:abstractNum w:abstractNumId="429">
    <w:nsid w:val="3BED7940"/>
    <w:multiLevelType w:val="hybridMultilevel"/>
    <w:lvl w:ilvl="0">
      <w:lvlJc w:val="left"/>
      <w:lvlText w:val="%1."/>
      <w:numFmt w:val="decimal"/>
      <w:start w:val="13"/>
    </w:lvl>
  </w:abstractNum>
  <w:abstractNum w:abstractNumId="430">
    <w:nsid w:val="54E56D64"/>
    <w:multiLevelType w:val="hybridMultilevel"/>
    <w:lvl w:ilvl="0">
      <w:lvlJc w:val="left"/>
      <w:lvlText w:val="%1."/>
      <w:numFmt w:val="decimal"/>
      <w:start w:val="18"/>
    </w:lvl>
  </w:abstractNum>
  <w:abstractNum w:abstractNumId="431">
    <w:nsid w:val="6EB42955"/>
    <w:multiLevelType w:val="hybridMultilevel"/>
    <w:lvl w:ilvl="0">
      <w:lvlJc w:val="left"/>
      <w:lvlText w:val="%1."/>
      <w:numFmt w:val="decimal"/>
      <w:start w:val="24"/>
    </w:lvl>
    <w:lvl w:ilvl="1">
      <w:lvlJc w:val="left"/>
      <w:lvlText w:val="(%2)"/>
      <w:numFmt w:val="lowerLetter"/>
      <w:start w:val="1"/>
    </w:lvl>
  </w:abstractNum>
  <w:abstractNum w:abstractNumId="432">
    <w:nsid w:val="29EFA642"/>
    <w:multiLevelType w:val="hybridMultilevel"/>
    <w:lvl w:ilvl="0">
      <w:lvlJc w:val="left"/>
      <w:lvlText w:val="%1."/>
      <w:numFmt w:val="decimal"/>
      <w:start w:val="25"/>
    </w:lvl>
  </w:abstractNum>
  <w:abstractNum w:abstractNumId="433">
    <w:nsid w:val="7E337D35"/>
    <w:multiLevelType w:val="hybridMultilevel"/>
    <w:lvl w:ilvl="0">
      <w:lvlJc w:val="left"/>
      <w:lvlText w:val="%1."/>
      <w:numFmt w:val="decimal"/>
      <w:start w:val="27"/>
    </w:lvl>
  </w:abstractNum>
  <w:abstractNum w:abstractNumId="434">
    <w:nsid w:val="1F8C83AB"/>
    <w:multiLevelType w:val="hybridMultilevel"/>
    <w:lvl w:ilvl="0">
      <w:lvlJc w:val="left"/>
      <w:lvlText w:val="%1."/>
      <w:numFmt w:val="decimal"/>
      <w:start w:val="3"/>
    </w:lvl>
  </w:abstractNum>
  <w:abstractNum w:abstractNumId="435">
    <w:nsid w:val="18F40A33"/>
    <w:multiLevelType w:val="hybridMultilevel"/>
    <w:lvl w:ilvl="0">
      <w:lvlJc w:val="left"/>
      <w:lvlText w:val="%1."/>
      <w:numFmt w:val="decimal"/>
      <w:start w:val="6"/>
    </w:lvl>
  </w:abstractNum>
  <w:abstractNum w:abstractNumId="436">
    <w:nsid w:val="1059DF71"/>
    <w:multiLevelType w:val="hybridMultilevel"/>
    <w:lvl w:ilvl="0">
      <w:lvlJc w:val="left"/>
      <w:lvlText w:val="%1"/>
      <w:numFmt w:val="decimal"/>
      <w:start w:val="1"/>
    </w:lvl>
    <w:lvl w:ilvl="1">
      <w:lvlJc w:val="left"/>
      <w:lvlText w:val="(%2)"/>
      <w:numFmt w:val="lowerLetter"/>
      <w:start w:val="1"/>
    </w:lvl>
  </w:abstractNum>
  <w:abstractNum w:abstractNumId="437">
    <w:nsid w:val="CF19F38"/>
    <w:multiLevelType w:val="hybridMultilevel"/>
    <w:lvl w:ilvl="0">
      <w:lvlJc w:val="left"/>
      <w:lvlText w:val="(%1)"/>
      <w:numFmt w:val="decimal"/>
      <w:start w:val="1"/>
    </w:lvl>
    <w:lvl w:ilvl="1">
      <w:lvlJc w:val="left"/>
      <w:lvlText w:val="%2"/>
      <w:numFmt w:val="lowerLetter"/>
      <w:start w:val="1"/>
    </w:lvl>
  </w:abstractNum>
  <w:abstractNum w:abstractNumId="438">
    <w:nsid w:val="4AE135E2"/>
    <w:multiLevelType w:val="hybridMultilevel"/>
    <w:lvl w:ilvl="0">
      <w:lvlJc w:val="left"/>
      <w:lvlText w:val="(%1)"/>
      <w:numFmt w:val="lowerLetter"/>
      <w:start w:val="1"/>
    </w:lvl>
    <w:lvl w:ilvl="1">
      <w:lvlJc w:val="left"/>
      <w:lvlText w:val="(%2)"/>
      <w:numFmt w:val="lowerLetter"/>
      <w:start w:val="9"/>
    </w:lvl>
  </w:abstractNum>
  <w:abstractNum w:abstractNumId="439">
    <w:nsid w:val="7BD1DCF"/>
    <w:multiLevelType w:val="hybridMultilevel"/>
    <w:lvl w:ilvl="0">
      <w:lvlJc w:val="left"/>
      <w:lvlText w:val="(%1)"/>
      <w:numFmt w:val="lowerLetter"/>
      <w:start w:val="1"/>
    </w:lvl>
  </w:abstractNum>
  <w:abstractNum w:abstractNumId="440">
    <w:nsid w:val="A91E1DC"/>
    <w:multiLevelType w:val="hybridMultilevel"/>
    <w:lvl w:ilvl="0">
      <w:lvlJc w:val="left"/>
      <w:lvlText w:val="(%1)"/>
      <w:numFmt w:val="lowerLetter"/>
      <w:start w:val="1"/>
    </w:lvl>
  </w:abstractNum>
  <w:abstractNum w:abstractNumId="441">
    <w:nsid w:val="1236898D"/>
    <w:multiLevelType w:val="hybridMultilevel"/>
    <w:lvl w:ilvl="0">
      <w:lvlJc w:val="left"/>
      <w:lvlText w:val="(%1)"/>
      <w:numFmt w:val="lowerLetter"/>
      <w:start w:val="1"/>
    </w:lvl>
  </w:abstractNum>
  <w:abstractNum w:abstractNumId="442">
    <w:nsid w:val="62710862"/>
    <w:multiLevelType w:val="hybridMultilevel"/>
    <w:lvl w:ilvl="0">
      <w:lvlJc w:val="left"/>
      <w:lvlText w:val="(%1)"/>
      <w:numFmt w:val="lowerLetter"/>
      <w:start w:val="1"/>
    </w:lvl>
    <w:lvl w:ilvl="1">
      <w:lvlJc w:val="left"/>
      <w:lvlText w:val="(%2)"/>
      <w:numFmt w:val="lowerRoman"/>
      <w:start w:val="1"/>
    </w:lvl>
  </w:abstractNum>
  <w:abstractNum w:abstractNumId="443">
    <w:nsid w:val="7EA94A2B"/>
    <w:multiLevelType w:val="hybridMultilevel"/>
    <w:lvl w:ilvl="0">
      <w:lvlJc w:val="left"/>
      <w:lvlText w:val="%1"/>
      <w:numFmt w:val="lowerLetter"/>
      <w:start w:val="1"/>
    </w:lvl>
    <w:lvl w:ilvl="1">
      <w:lvlJc w:val="left"/>
      <w:lvlText w:val="(%2)"/>
      <w:numFmt w:val="lowerLetter"/>
      <w:start w:val="22"/>
    </w:lvl>
  </w:abstractNum>
  <w:abstractNum w:abstractNumId="444">
    <w:nsid w:val="20D49DA3"/>
    <w:multiLevelType w:val="hybridMultilevel"/>
    <w:lvl w:ilvl="0">
      <w:lvlJc w:val="left"/>
      <w:lvlText w:val="(%1)"/>
      <w:numFmt w:val="lowerLetter"/>
      <w:start w:val="2"/>
    </w:lvl>
    <w:lvl w:ilvl="1">
      <w:lvlJc w:val="left"/>
      <w:lvlText w:val="%2"/>
      <w:numFmt w:val="lowerLetter"/>
      <w:start w:val="1"/>
    </w:lvl>
  </w:abstractNum>
  <w:abstractNum w:abstractNumId="445">
    <w:nsid w:val="6272919F"/>
    <w:multiLevelType w:val="hybridMultilevel"/>
    <w:lvl w:ilvl="0">
      <w:lvlJc w:val="left"/>
      <w:lvlText w:val="(%1)"/>
      <w:numFmt w:val="lowerRoman"/>
      <w:start w:val="2"/>
    </w:lvl>
  </w:abstractNum>
  <w:abstractNum w:abstractNumId="446">
    <w:nsid w:val="127DED1D"/>
    <w:multiLevelType w:val="hybridMultilevel"/>
    <w:lvl w:ilvl="0">
      <w:lvlJc w:val="left"/>
      <w:lvlText w:val="(%1)"/>
      <w:numFmt w:val="decimal"/>
      <w:start w:val="2"/>
    </w:lvl>
    <w:lvl w:ilvl="1">
      <w:lvlJc w:val="left"/>
      <w:lvlText w:val="%2"/>
      <w:numFmt w:val="decimal"/>
      <w:start w:val="1"/>
    </w:lvl>
  </w:abstractNum>
  <w:abstractNum w:abstractNumId="447">
    <w:nsid w:val="483966AA"/>
    <w:multiLevelType w:val="hybridMultilevel"/>
    <w:lvl w:ilvl="0">
      <w:lvlJc w:val="left"/>
      <w:lvlText w:val="(%1)"/>
      <w:numFmt w:val="decimal"/>
      <w:start w:val="5"/>
    </w:lvl>
    <w:lvl w:ilvl="1">
      <w:lvlJc w:val="left"/>
      <w:lvlText w:val="%2."/>
      <w:numFmt w:val="decimal"/>
      <w:start w:val="7"/>
    </w:lvl>
  </w:abstractNum>
  <w:abstractNum w:abstractNumId="448">
    <w:nsid w:val="667FC831"/>
    <w:multiLevelType w:val="hybridMultilevel"/>
    <w:lvl w:ilvl="0">
      <w:lvlJc w:val="left"/>
      <w:lvlText w:val="%1."/>
      <w:numFmt w:val="decimal"/>
      <w:start w:val="3"/>
    </w:lvl>
  </w:abstractNum>
  <w:abstractNum w:abstractNumId="449">
    <w:nsid w:val="34ADB582"/>
    <w:multiLevelType w:val="hybridMultilevel"/>
    <w:lvl w:ilvl="0">
      <w:lvlJc w:val="left"/>
      <w:lvlText w:val="%1."/>
      <w:numFmt w:val="decimal"/>
      <w:start w:val="5"/>
    </w:lvl>
  </w:abstractNum>
  <w:abstractNum w:abstractNumId="450">
    <w:nsid w:val="4CB58EA4"/>
    <w:multiLevelType w:val="hybridMultilevel"/>
    <w:lvl w:ilvl="0">
      <w:lvlJc w:val="left"/>
      <w:lvlText w:val="(%1)"/>
      <w:numFmt w:val="lowerLetter"/>
      <w:start w:val="1"/>
    </w:lvl>
    <w:lvl w:ilvl="1">
      <w:lvlJc w:val="left"/>
      <w:lvlText w:val="(%2)"/>
      <w:numFmt w:val="lowerLetter"/>
      <w:start w:val="9"/>
    </w:lvl>
  </w:abstractNum>
  <w:abstractNum w:abstractNumId="451">
    <w:nsid w:val="39629FFA"/>
    <w:multiLevelType w:val="hybridMultilevel"/>
    <w:lvl w:ilvl="0">
      <w:lvlJc w:val="left"/>
      <w:lvlText w:val="(%1)"/>
      <w:numFmt w:val="lowerLetter"/>
      <w:start w:val="22"/>
    </w:lvl>
    <w:lvl w:ilvl="1">
      <w:lvlJc w:val="left"/>
      <w:lvlText w:val="(%2)"/>
      <w:numFmt w:val="lowerLetter"/>
      <w:start w:val="4"/>
    </w:lvl>
  </w:abstractNum>
  <w:abstractNum w:abstractNumId="452">
    <w:nsid w:val="71F94ADC"/>
    <w:multiLevelType w:val="hybridMultilevel"/>
    <w:lvl w:ilvl="0">
      <w:lvlJc w:val="left"/>
      <w:lvlText w:val="%1"/>
      <w:numFmt w:val="decimal"/>
      <w:start w:val="1"/>
    </w:lvl>
    <w:lvl w:ilvl="1">
      <w:lvlJc w:val="left"/>
      <w:lvlText w:val="(%2)"/>
      <w:numFmt w:val="lowerLetter"/>
      <w:start w:val="7"/>
    </w:lvl>
  </w:abstractNum>
  <w:abstractNum w:abstractNumId="453">
    <w:nsid w:val="27FFB15A"/>
    <w:multiLevelType w:val="hybridMultilevel"/>
    <w:lvl w:ilvl="0">
      <w:lvlJc w:val="left"/>
      <w:lvlText w:val="(%1)"/>
      <w:numFmt w:val="decimal"/>
      <w:start w:val="1"/>
    </w:lvl>
    <w:lvl w:ilvl="1">
      <w:lvlJc w:val="left"/>
      <w:lvlText w:val="%2"/>
      <w:numFmt w:val="lowerLetter"/>
      <w:start w:val="1"/>
    </w:lvl>
  </w:abstractNum>
  <w:abstractNum w:abstractNumId="454">
    <w:nsid w:val="48BE573"/>
    <w:multiLevelType w:val="hybridMultilevel"/>
    <w:lvl w:ilvl="0">
      <w:lvlJc w:val="left"/>
      <w:lvlText w:val="(%1)"/>
      <w:numFmt w:val="lowerLetter"/>
      <w:start w:val="1"/>
    </w:lvl>
    <w:lvl w:ilvl="1">
      <w:lvlJc w:val="left"/>
      <w:lvlText w:val="(%2)"/>
      <w:numFmt w:val="lowerLetter"/>
      <w:start w:val="9"/>
    </w:lvl>
  </w:abstractNum>
  <w:abstractNum w:abstractNumId="455">
    <w:nsid w:val="142AC06C"/>
    <w:multiLevelType w:val="hybridMultilevel"/>
    <w:lvl w:ilvl="0">
      <w:lvlJc w:val="left"/>
      <w:lvlText w:val="%1"/>
      <w:numFmt w:val="lowerRoman"/>
      <w:start w:val="1"/>
    </w:lvl>
    <w:lvl w:ilvl="1">
      <w:lvlJc w:val="left"/>
      <w:lvlText w:val="(%2)"/>
      <w:numFmt w:val="lowerLetter"/>
      <w:start w:val="1"/>
    </w:lvl>
  </w:abstractNum>
  <w:abstractNum w:abstractNumId="456">
    <w:nsid w:val="5FA54049"/>
    <w:multiLevelType w:val="hybridMultilevel"/>
    <w:lvl w:ilvl="0">
      <w:lvlJc w:val="left"/>
      <w:lvlText w:val="(%1)"/>
      <w:numFmt w:val="lowerRoman"/>
      <w:start w:val="8"/>
    </w:lvl>
    <w:lvl w:ilvl="1">
      <w:lvlJc w:val="left"/>
      <w:lvlText w:val="%2"/>
      <w:numFmt w:val="lowerLetter"/>
      <w:start w:val="1"/>
    </w:lvl>
  </w:abstractNum>
  <w:abstractNum w:abstractNumId="457">
    <w:nsid w:val="2CBE7670"/>
    <w:multiLevelType w:val="hybridMultilevel"/>
    <w:lvl w:ilvl="0">
      <w:lvlJc w:val="left"/>
      <w:lvlText w:val="(%1)"/>
      <w:numFmt w:val="lowerLetter"/>
      <w:start w:val="1"/>
    </w:lvl>
  </w:abstractNum>
  <w:abstractNum w:abstractNumId="458">
    <w:nsid w:val="5D86CF11"/>
    <w:multiLevelType w:val="hybridMultilevel"/>
    <w:lvl w:ilvl="0">
      <w:lvlJc w:val="left"/>
      <w:lvlText w:val="(%1)"/>
      <w:numFmt w:val="lowerLetter"/>
      <w:start w:val="1"/>
    </w:lvl>
  </w:abstractNum>
  <w:abstractNum w:abstractNumId="459">
    <w:nsid w:val="69EF4674"/>
    <w:multiLevelType w:val="hybridMultilevel"/>
    <w:lvl w:ilvl="0">
      <w:lvlJc w:val="left"/>
      <w:lvlText w:val="(%1)"/>
      <w:numFmt w:val="lowerLetter"/>
      <w:start w:val="1"/>
    </w:lvl>
    <w:lvl w:ilvl="1">
      <w:lvlJc w:val="left"/>
      <w:lvlText w:val="(%2)"/>
      <w:numFmt w:val="lowerRoman"/>
      <w:start w:val="1"/>
    </w:lvl>
  </w:abstractNum>
  <w:abstractNum w:abstractNumId="460">
    <w:nsid w:val="68ABEFB0"/>
    <w:multiLevelType w:val="hybridMultilevel"/>
    <w:lvl w:ilvl="0">
      <w:lvlJc w:val="left"/>
      <w:lvlText w:val="(%1)"/>
      <w:numFmt w:val="lowerRoman"/>
      <w:start w:val="1"/>
    </w:lvl>
  </w:abstractNum>
  <w:abstractNum w:abstractNumId="461">
    <w:nsid w:val="326C3C76"/>
    <w:multiLevelType w:val="hybridMultilevel"/>
    <w:lvl w:ilvl="0">
      <w:lvlJc w:val="left"/>
      <w:lvlText w:val="(%1)"/>
      <w:numFmt w:val="lowerRoman"/>
      <w:start w:val="4"/>
    </w:lvl>
    <w:lvl w:ilvl="1">
      <w:lvlJc w:val="left"/>
      <w:lvlText w:val="%2."/>
      <w:numFmt w:val="decimal"/>
      <w:start w:val="7"/>
    </w:lvl>
  </w:abstractNum>
  <w:abstractNum w:abstractNumId="462">
    <w:nsid w:val="58A36FCA"/>
    <w:multiLevelType w:val="hybridMultilevel"/>
    <w:lvl w:ilvl="0">
      <w:lvlJc w:val="left"/>
      <w:lvlText w:val="%1."/>
      <w:numFmt w:val="decimal"/>
      <w:start w:val="3"/>
    </w:lvl>
  </w:abstractNum>
  <w:abstractNum w:abstractNumId="463">
    <w:nsid w:val="129B95F2"/>
    <w:multiLevelType w:val="hybridMultilevel"/>
    <w:lvl w:ilvl="0">
      <w:lvlJc w:val="left"/>
      <w:lvlText w:val="(%1)"/>
      <w:numFmt w:val="lowerRoman"/>
      <w:start w:val="1"/>
    </w:lvl>
  </w:abstractNum>
  <w:abstractNum w:abstractNumId="464">
    <w:nsid w:val="309FB9AB"/>
    <w:multiLevelType w:val="hybridMultilevel"/>
    <w:lvl w:ilvl="0">
      <w:lvlJc w:val="left"/>
      <w:lvlText w:val="%1."/>
      <w:numFmt w:val="decimal"/>
      <w:start w:val="5"/>
    </w:lvl>
  </w:abstractNum>
  <w:abstractNum w:abstractNumId="465">
    <w:nsid w:val="782FF375"/>
    <w:multiLevelType w:val="hybridMultilevel"/>
    <w:lvl w:ilvl="0">
      <w:lvlJc w:val="left"/>
      <w:lvlText w:val="(%1)"/>
      <w:numFmt w:val="lowerLetter"/>
      <w:start w:val="1"/>
    </w:lvl>
    <w:lvl w:ilvl="1">
      <w:lvlJc w:val="left"/>
      <w:lvlText w:val="(%2)"/>
      <w:numFmt w:val="lowerLetter"/>
      <w:start w:val="9"/>
    </w:lvl>
  </w:abstractNum>
  <w:abstractNum w:abstractNumId="466">
    <w:nsid w:val="2B8FA025"/>
    <w:multiLevelType w:val="hybridMultilevel"/>
    <w:lvl w:ilvl="0">
      <w:lvlJc w:val="left"/>
      <w:lvlText w:val="(%1)"/>
      <w:numFmt w:val="lowerLetter"/>
      <w:start w:val="3"/>
    </w:lvl>
  </w:abstractNum>
  <w:abstractNum w:abstractNumId="467">
    <w:nsid w:val="40F9991C"/>
    <w:multiLevelType w:val="hybridMultilevel"/>
    <w:lvl w:ilvl="0">
      <w:lvlJc w:val="left"/>
      <w:lvlText w:val="%1"/>
      <w:numFmt w:val="decimal"/>
      <w:start w:val="1"/>
    </w:lvl>
    <w:lvl w:ilvl="1">
      <w:lvlJc w:val="left"/>
      <w:lvlText w:val="(%2)"/>
      <w:numFmt w:val="lowerLetter"/>
      <w:start w:val="7"/>
    </w:lvl>
  </w:abstractNum>
  <w:abstractNum w:abstractNumId="468">
    <w:nsid w:val="52192AD"/>
    <w:multiLevelType w:val="hybridMultilevel"/>
    <w:lvl w:ilvl="0">
      <w:lvlJc w:val="left"/>
      <w:lvlText w:val="(%1)"/>
      <w:numFmt w:val="decimal"/>
      <w:start w:val="1"/>
    </w:lvl>
    <w:lvl w:ilvl="1">
      <w:lvlJc w:val="left"/>
      <w:lvlText w:val="%2"/>
      <w:numFmt w:val="lowerLetter"/>
      <w:start w:val="1"/>
    </w:lvl>
  </w:abstractNum>
  <w:abstractNum w:abstractNumId="469">
    <w:nsid w:val="7670D608"/>
    <w:multiLevelType w:val="hybridMultilevel"/>
    <w:lvl w:ilvl="0">
      <w:lvlJc w:val="left"/>
      <w:lvlText w:val="(%1)"/>
      <w:numFmt w:val="lowerLetter"/>
      <w:start w:val="1"/>
    </w:lvl>
    <w:lvl w:ilvl="1">
      <w:lvlJc w:val="left"/>
      <w:lvlText w:val="(%2)"/>
      <w:numFmt w:val="lowerLetter"/>
      <w:start w:val="9"/>
    </w:lvl>
  </w:abstractNum>
  <w:abstractNum w:abstractNumId="470">
    <w:nsid w:val="48B6B6EB"/>
    <w:multiLevelType w:val="hybridMultilevel"/>
    <w:lvl w:ilvl="0">
      <w:lvlJc w:val="left"/>
      <w:lvlText w:val="%1"/>
      <w:numFmt w:val="lowerRoman"/>
      <w:start w:val="1"/>
    </w:lvl>
    <w:lvl w:ilvl="1">
      <w:lvlJc w:val="left"/>
      <w:lvlText w:val="(%2)"/>
      <w:numFmt w:val="lowerLetter"/>
      <w:start w:val="1"/>
    </w:lvl>
  </w:abstractNum>
  <w:abstractNum w:abstractNumId="471">
    <w:nsid w:val="FB37489"/>
    <w:multiLevelType w:val="hybridMultilevel"/>
    <w:lvl w:ilvl="0">
      <w:lvlJc w:val="left"/>
      <w:lvlText w:val="(%1)"/>
      <w:numFmt w:val="lowerRoman"/>
      <w:start w:val="8"/>
    </w:lvl>
    <w:lvl w:ilvl="1">
      <w:lvlJc w:val="left"/>
      <w:lvlText w:val="%2"/>
      <w:numFmt w:val="lowerLetter"/>
      <w:start w:val="1"/>
    </w:lvl>
  </w:abstractNum>
  <w:abstractNum w:abstractNumId="472">
    <w:nsid w:val="8A75F95"/>
    <w:multiLevelType w:val="hybridMultilevel"/>
    <w:lvl w:ilvl="0">
      <w:lvlJc w:val="left"/>
      <w:lvlText w:val="(%1)"/>
      <w:numFmt w:val="lowerLetter"/>
      <w:start w:val="1"/>
    </w:lvl>
  </w:abstractNum>
  <w:abstractNum w:abstractNumId="473">
    <w:nsid w:val="2B27BF4D"/>
    <w:multiLevelType w:val="hybridMultilevel"/>
    <w:lvl w:ilvl="0">
      <w:lvlJc w:val="left"/>
      <w:lvlText w:val="(%1)"/>
      <w:numFmt w:val="lowerLetter"/>
      <w:start w:val="1"/>
    </w:lvl>
  </w:abstractNum>
  <w:abstractNum w:abstractNumId="474">
    <w:nsid w:val="E5CBEB4"/>
    <w:multiLevelType w:val="hybridMultilevel"/>
    <w:lvl w:ilvl="0">
      <w:lvlJc w:val="left"/>
      <w:lvlText w:val="(%1)"/>
      <w:numFmt w:val="lowerLetter"/>
      <w:start w:val="1"/>
    </w:lvl>
    <w:lvl w:ilvl="1">
      <w:lvlJc w:val="left"/>
      <w:lvlText w:val="(%2)"/>
      <w:numFmt w:val="lowerRoman"/>
      <w:start w:val="1"/>
    </w:lvl>
  </w:abstractNum>
  <w:abstractNum w:abstractNumId="475">
    <w:nsid w:val="297BFD38"/>
    <w:multiLevelType w:val="hybridMultilevel"/>
    <w:lvl w:ilvl="0">
      <w:lvlJc w:val="left"/>
      <w:lvlText w:val="(%1)"/>
      <w:numFmt w:val="lowerRoman"/>
      <w:start w:val="1"/>
    </w:lvl>
  </w:abstractNum>
  <w:abstractNum w:abstractNumId="476">
    <w:nsid w:val="D9A50ED"/>
    <w:multiLevelType w:val="hybridMultilevel"/>
    <w:lvl w:ilvl="0">
      <w:lvlJc w:val="left"/>
      <w:lvlText w:val="(%1)"/>
      <w:numFmt w:val="lowerRoman"/>
      <w:start w:val="4"/>
    </w:lvl>
    <w:lvl w:ilvl="1">
      <w:lvlJc w:val="left"/>
      <w:lvlText w:val="%2."/>
      <w:numFmt w:val="decimal"/>
      <w:start w:val="7"/>
    </w:lvl>
  </w:abstractNum>
  <w:abstractNum w:abstractNumId="477">
    <w:nsid w:val="20DAABD1"/>
    <w:multiLevelType w:val="hybridMultilevel"/>
    <w:lvl w:ilvl="0">
      <w:lvlJc w:val="left"/>
      <w:lvlText w:val="%1."/>
      <w:numFmt w:val="decimal"/>
      <w:start w:val="3"/>
    </w:lvl>
  </w:abstractNum>
  <w:abstractNum w:abstractNumId="478">
    <w:nsid w:val="71B563E3"/>
    <w:multiLevelType w:val="hybridMultilevel"/>
    <w:lvl w:ilvl="0">
      <w:lvlJc w:val="left"/>
      <w:lvlText w:val="%1."/>
      <w:numFmt w:val="decimal"/>
      <w:start w:val="5"/>
    </w:lvl>
  </w:abstractNum>
  <w:abstractNum w:abstractNumId="479">
    <w:nsid w:val="741A191E"/>
    <w:multiLevelType w:val="hybridMultilevel"/>
    <w:lvl w:ilvl="0">
      <w:lvlJc w:val="left"/>
      <w:lvlText w:val="(%1)"/>
      <w:numFmt w:val="lowerLetter"/>
      <w:start w:val="1"/>
    </w:lvl>
    <w:lvl w:ilvl="1">
      <w:lvlJc w:val="left"/>
      <w:lvlText w:val="(%2)"/>
      <w:numFmt w:val="lowerLetter"/>
      <w:start w:val="9"/>
    </w:lvl>
  </w:abstractNum>
  <w:abstractNum w:abstractNumId="480">
    <w:nsid w:val="55886153"/>
    <w:multiLevelType w:val="hybridMultilevel"/>
    <w:lvl w:ilvl="0">
      <w:lvlJc w:val="left"/>
      <w:lvlText w:val="(%1)"/>
      <w:numFmt w:val="lowerLetter"/>
      <w:start w:val="3"/>
    </w:lvl>
  </w:abstractNum>
  <w:abstractNum w:abstractNumId="481">
    <w:nsid w:val="3E6AF287"/>
    <w:multiLevelType w:val="hybridMultilevel"/>
    <w:lvl w:ilvl="0">
      <w:lvlJc w:val="left"/>
      <w:lvlText w:val="%1"/>
      <w:numFmt w:val="decimal"/>
      <w:start w:val="1"/>
    </w:lvl>
    <w:lvl w:ilvl="1">
      <w:lvlJc w:val="left"/>
      <w:lvlText w:val="(%2)"/>
      <w:numFmt w:val="lowerLetter"/>
      <w:start w:val="6"/>
    </w:lvl>
  </w:abstractNum>
  <w:abstractNum w:abstractNumId="482">
    <w:nsid w:val="2D7CB919"/>
    <w:multiLevelType w:val="hybridMultilevel"/>
    <w:lvl w:ilvl="0">
      <w:lvlJc w:val="left"/>
      <w:lvlText w:val="(%1)"/>
      <w:numFmt w:val="decimal"/>
      <w:start w:val="1"/>
    </w:lvl>
    <w:lvl w:ilvl="1">
      <w:lvlJc w:val="left"/>
      <w:lvlText w:val="%2"/>
      <w:numFmt w:val="lowerLetter"/>
      <w:start w:val="1"/>
    </w:lvl>
  </w:abstractNum>
  <w:abstractNum w:abstractNumId="483">
    <w:nsid w:val="4781AC2F"/>
    <w:multiLevelType w:val="hybridMultilevel"/>
    <w:lvl w:ilvl="0">
      <w:lvlJc w:val="left"/>
      <w:lvlText w:val="(%1)"/>
      <w:numFmt w:val="lowerLetter"/>
      <w:start w:val="1"/>
    </w:lvl>
    <w:lvl w:ilvl="1">
      <w:lvlJc w:val="left"/>
      <w:lvlText w:val="(%2)"/>
      <w:numFmt w:val="lowerLetter"/>
      <w:start w:val="9"/>
    </w:lvl>
  </w:abstractNum>
  <w:abstractNum w:abstractNumId="484">
    <w:nsid w:val="666AA3E1"/>
    <w:multiLevelType w:val="hybridMultilevel"/>
    <w:lvl w:ilvl="0">
      <w:lvlJc w:val="left"/>
      <w:lvlText w:val="%1"/>
      <w:numFmt w:val="lowerRoman"/>
      <w:start w:val="1"/>
    </w:lvl>
    <w:lvl w:ilvl="1">
      <w:lvlJc w:val="left"/>
      <w:lvlText w:val="(%2)"/>
      <w:numFmt w:val="lowerLetter"/>
      <w:start w:val="1"/>
    </w:lvl>
  </w:abstractNum>
  <w:abstractNum w:abstractNumId="485">
    <w:nsid w:val="32089E8C"/>
    <w:multiLevelType w:val="hybridMultilevel"/>
    <w:lvl w:ilvl="0">
      <w:lvlJc w:val="left"/>
      <w:lvlText w:val="(%1)"/>
      <w:numFmt w:val="lowerRoman"/>
      <w:start w:val="8"/>
    </w:lvl>
    <w:lvl w:ilvl="1">
      <w:lvlJc w:val="left"/>
      <w:lvlText w:val="%2"/>
      <w:numFmt w:val="lowerLetter"/>
      <w:start w:val="1"/>
    </w:lvl>
  </w:abstractNum>
  <w:abstractNum w:abstractNumId="486">
    <w:nsid w:val="5BAC6C9C"/>
    <w:multiLevelType w:val="hybridMultilevel"/>
    <w:lvl w:ilvl="0">
      <w:lvlJc w:val="left"/>
      <w:lvlText w:val="(%1)"/>
      <w:numFmt w:val="lowerLetter"/>
      <w:start w:val="1"/>
    </w:lvl>
  </w:abstractNum>
  <w:abstractNum w:abstractNumId="487">
    <w:nsid w:val="460FE42B"/>
    <w:multiLevelType w:val="hybridMultilevel"/>
    <w:lvl w:ilvl="0">
      <w:lvlJc w:val="left"/>
      <w:lvlText w:val="(%1)"/>
      <w:numFmt w:val="lowerLetter"/>
      <w:start w:val="1"/>
    </w:lvl>
  </w:abstractNum>
  <w:abstractNum w:abstractNumId="488">
    <w:nsid w:val="5EC714FC"/>
    <w:multiLevelType w:val="hybridMultilevel"/>
    <w:lvl w:ilvl="0">
      <w:lvlJc w:val="left"/>
      <w:lvlText w:val="(%1)"/>
      <w:numFmt w:val="lowerLetter"/>
      <w:start w:val="1"/>
    </w:lvl>
    <w:lvl w:ilvl="1">
      <w:lvlJc w:val="left"/>
      <w:lvlText w:val="(%2)"/>
      <w:numFmt w:val="lowerRoman"/>
      <w:start w:val="1"/>
    </w:lvl>
  </w:abstractNum>
  <w:abstractNum w:abstractNumId="489">
    <w:nsid w:val="39333BAD"/>
    <w:multiLevelType w:val="hybridMultilevel"/>
    <w:lvl w:ilvl="0">
      <w:lvlJc w:val="left"/>
      <w:lvlText w:val="(%1)"/>
      <w:numFmt w:val="lowerRoman"/>
      <w:start w:val="1"/>
    </w:lvl>
  </w:abstractNum>
  <w:abstractNum w:abstractNumId="490">
    <w:nsid w:val="2FFF2A9F"/>
    <w:multiLevelType w:val="hybridMultilevel"/>
    <w:lvl w:ilvl="0">
      <w:lvlJc w:val="left"/>
      <w:lvlText w:val="(%1)"/>
      <w:numFmt w:val="lowerRoman"/>
      <w:start w:val="4"/>
    </w:lvl>
    <w:lvl w:ilvl="1">
      <w:lvlJc w:val="left"/>
      <w:lvlText w:val="%2."/>
      <w:numFmt w:val="decimal"/>
      <w:start w:val="7"/>
    </w:lvl>
  </w:abstractNum>
  <w:abstractNum w:abstractNumId="491">
    <w:nsid w:val="477304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92">
    <w:nsid w:val="6B9F78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93">
    <w:nsid w:val="8A29A6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94">
    <w:nsid w:val="5A0E9A9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95">
    <w:nsid w:val="1C3F31CE"/>
    <w:multiLevelType w:val="hybridMultilevel"/>
    <w:lvl w:ilvl="0">
      <w:lvlJc w:val="left"/>
      <w:lvlText w:val="%1"/>
      <w:numFmt w:val="decimal"/>
      <w:start w:val="1"/>
    </w:lvl>
    <w:lvl w:ilvl="1">
      <w:lvlJc w:val="left"/>
      <w:lvlText w:val="(%2)"/>
      <w:numFmt w:val="lowerLetter"/>
      <w:start w:val="2"/>
    </w:lvl>
  </w:abstractNum>
  <w:abstractNum w:abstractNumId="496">
    <w:nsid w:val="D28DDE"/>
    <w:multiLevelType w:val="hybridMultilevel"/>
    <w:lvl w:ilvl="0">
      <w:lvlJc w:val="left"/>
      <w:lvlText w:val="%1."/>
      <w:numFmt w:val="decimal"/>
      <w:start w:val="4"/>
    </w:lvl>
    <w:lvl w:ilvl="1">
      <w:lvlJc w:val="left"/>
      <w:lvlText w:val="(%2)"/>
      <w:numFmt w:val="lowerLetter"/>
      <w:start w:val="1"/>
    </w:lvl>
  </w:abstractNum>
  <w:abstractNum w:abstractNumId="497">
    <w:nsid w:val="59E3AC4"/>
    <w:multiLevelType w:val="hybridMultilevel"/>
    <w:lvl w:ilvl="0">
      <w:lvlJc w:val="left"/>
      <w:lvlText w:val="(%1)"/>
      <w:numFmt w:val="lowerLetter"/>
      <w:start w:val="2"/>
    </w:lvl>
    <w:lvl w:ilvl="1">
      <w:lvlJc w:val="left"/>
      <w:lvlText w:val="(%2)"/>
      <w:numFmt w:val="lowerRoman"/>
      <w:start w:val="1"/>
    </w:lvl>
  </w:abstractNum>
  <w:abstractNum w:abstractNumId="498">
    <w:nsid w:val="5D38CAEA"/>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499">
    <w:nsid w:val="5F4208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00">
    <w:nsid w:val="7C0F10CC"/>
    <w:multiLevelType w:val="hybridMultilevel"/>
    <w:lvl w:ilvl="0">
      <w:lvlJc w:val="left"/>
      <w:lvlText w:val="%1"/>
      <w:numFmt w:val="decimal"/>
      <w:start w:val="1"/>
    </w:lvl>
    <w:lvl w:ilvl="1">
      <w:lvlJc w:val="left"/>
      <w:lvlText w:val="(%2)"/>
      <w:numFmt w:val="lowerLetter"/>
      <w:start w:val="2"/>
    </w:lvl>
  </w:abstractNum>
  <w:abstractNum w:abstractNumId="501">
    <w:nsid w:val="25EF81D5"/>
    <w:multiLevelType w:val="hybridMultilevel"/>
    <w:lvl w:ilvl="0">
      <w:lvlJc w:val="left"/>
      <w:lvlText w:val="%1"/>
      <w:numFmt w:val="decimal"/>
      <w:start w:val="423"/>
    </w:lvl>
    <w:lvl w:ilvl="1">
      <w:lvlJc w:val="left"/>
      <w:lvlText w:val="(%2)"/>
      <w:numFmt w:val="lowerLetter"/>
      <w:start w:val="5"/>
    </w:lvl>
  </w:abstractNum>
  <w:abstractNum w:abstractNumId="502">
    <w:nsid w:val="15A79515"/>
    <w:multiLevelType w:val="hybridMultilevel"/>
    <w:lvl w:ilvl="0">
      <w:lvlJc w:val="left"/>
      <w:lvlText w:val="%1."/>
      <w:numFmt w:val="decimal"/>
      <w:start w:val="8"/>
    </w:lvl>
    <w:lvl w:ilvl="1">
      <w:lvlJc w:val="left"/>
      <w:lvlText w:val="(%2)"/>
      <w:numFmt w:val="lowerLetter"/>
      <w:start w:val="1"/>
    </w:lvl>
  </w:abstractNum>
  <w:abstractNum w:abstractNumId="503">
    <w:nsid w:val="4B67062"/>
    <w:multiLevelType w:val="hybridMultilevel"/>
    <w:lvl w:ilvl="0">
      <w:lvlJc w:val="left"/>
      <w:lvlText w:val="%1"/>
      <w:numFmt w:val="decimal"/>
      <w:start w:val="1"/>
    </w:lvl>
    <w:lvl w:ilvl="1">
      <w:lvlJc w:val="left"/>
      <w:lvlText w:val="(%2)"/>
      <w:numFmt w:val="lowerLetter"/>
      <w:start w:val="3"/>
    </w:lvl>
  </w:abstractNum>
  <w:abstractNum w:abstractNumId="504">
    <w:nsid w:val="51174123"/>
    <w:multiLevelType w:val="hybridMultilevel"/>
    <w:lvl w:ilvl="0">
      <w:lvlJc w:val="left"/>
      <w:lvlText w:val="%1."/>
      <w:numFmt w:val="decimal"/>
      <w:start w:val="9"/>
    </w:lvl>
    <w:lvl w:ilvl="1">
      <w:lvlJc w:val="left"/>
      <w:lvlText w:val="%2"/>
      <w:numFmt w:val="lowerLetter"/>
      <w:start w:val="1"/>
    </w:lvl>
  </w:abstractNum>
  <w:abstractNum w:abstractNumId="505">
    <w:nsid w:val="240453CA"/>
    <w:multiLevelType w:val="hybridMultilevel"/>
    <w:lvl w:ilvl="0">
      <w:lvlJc w:val="left"/>
      <w:lvlText w:val="%1."/>
      <w:numFmt w:val="decimal"/>
      <w:start w:val="10"/>
    </w:lvl>
    <w:lvl w:ilvl="1">
      <w:lvlJc w:val="left"/>
      <w:lvlText w:val="(%2)"/>
      <w:numFmt w:val="lowerLetter"/>
      <w:start w:val="1"/>
    </w:lvl>
  </w:abstractNum>
  <w:abstractNum w:abstractNumId="506">
    <w:nsid w:val="2E326D9A"/>
    <w:multiLevelType w:val="hybridMultilevel"/>
    <w:lvl w:ilvl="0">
      <w:lvlJc w:val="left"/>
      <w:lvlText w:val="%1."/>
      <w:numFmt w:val="decimal"/>
      <w:start w:val="11"/>
    </w:lvl>
    <w:lvl w:ilvl="1">
      <w:lvlJc w:val="left"/>
      <w:lvlText w:val="(%2)"/>
      <w:numFmt w:val="lowerLetter"/>
      <w:start w:val="1"/>
    </w:lvl>
  </w:abstractNum>
  <w:abstractNum w:abstractNumId="507">
    <w:nsid w:val="5EB19210"/>
    <w:multiLevelType w:val="hybridMultilevel"/>
    <w:lvl w:ilvl="0">
      <w:lvlJc w:val="left"/>
      <w:lvlText w:val="(%1)"/>
      <w:numFmt w:val="lowerLetter"/>
      <w:start w:val="2"/>
    </w:lvl>
  </w:abstractNum>
  <w:abstractNum w:abstractNumId="508">
    <w:nsid w:val="44DEFF9B"/>
    <w:multiLevelType w:val="hybridMultilevel"/>
    <w:lvl w:ilvl="0">
      <w:lvlJc w:val="left"/>
      <w:lvlText w:val="%1."/>
      <w:numFmt w:val="decimal"/>
      <w:start w:val="13"/>
    </w:lvl>
    <w:lvl w:ilvl="1">
      <w:lvlJc w:val="left"/>
      <w:lvlText w:val="(%2)"/>
      <w:numFmt w:val="lowerLetter"/>
      <w:start w:val="1"/>
    </w:lvl>
  </w:abstractNum>
  <w:abstractNum w:abstractNumId="509">
    <w:nsid w:val="1FE7D17D"/>
    <w:multiLevelType w:val="hybridMultilevel"/>
    <w:lvl w:ilvl="0">
      <w:lvlJc w:val="left"/>
      <w:lvlText w:val="%1."/>
      <w:numFmt w:val="decimal"/>
      <w:start w:val="15"/>
    </w:lvl>
    <w:lvl w:ilvl="1">
      <w:lvlJc w:val="left"/>
      <w:lvlText w:val="(%2)"/>
      <w:numFmt w:val="lowerLetter"/>
      <w:start w:val="1"/>
    </w:lvl>
  </w:abstractNum>
  <w:abstractNum w:abstractNumId="510">
    <w:nsid w:val="52CBAB2E"/>
    <w:multiLevelType w:val="hybridMultilevel"/>
    <w:lvl w:ilvl="0">
      <w:lvlJc w:val="left"/>
      <w:lvlText w:val="(%1)"/>
      <w:numFmt w:val="lowerLetter"/>
      <w:start w:val="2"/>
    </w:lvl>
  </w:abstractNum>
  <w:abstractNum w:abstractNumId="511">
    <w:nsid w:val="1A6760EF"/>
    <w:multiLevelType w:val="hybridMultilevel"/>
    <w:lvl w:ilvl="0">
      <w:lvlJc w:val="left"/>
      <w:lvlText w:val="%1."/>
      <w:numFmt w:val="decimal"/>
      <w:start w:val="16"/>
    </w:lvl>
  </w:abstractNum>
  <w:abstractNum w:abstractNumId="512">
    <w:nsid w:val="5E52C405"/>
    <w:multiLevelType w:val="hybridMultilevel"/>
    <w:lvl w:ilvl="0">
      <w:lvlJc w:val="left"/>
      <w:lvlText w:val="(%1)"/>
      <w:numFmt w:val="lowerLetter"/>
      <w:start w:val="1"/>
    </w:lvl>
  </w:abstractNum>
  <w:abstractNum w:abstractNumId="513">
    <w:nsid w:val="486447"/>
    <w:multiLevelType w:val="hybridMultilevel"/>
    <w:lvl w:ilvl="0">
      <w:lvlJc w:val="left"/>
      <w:lvlText w:val="(%1)"/>
      <w:numFmt w:val="lowerLetter"/>
      <w:start w:val="6"/>
    </w:lvl>
    <w:lvl w:ilvl="1">
      <w:lvlJc w:val="left"/>
      <w:lvlText w:val="(%2)"/>
      <w:numFmt w:val="lowerRoman"/>
      <w:start w:val="1"/>
    </w:lvl>
  </w:abstractNum>
  <w:abstractNum w:abstractNumId="514">
    <w:nsid w:val="61E90D1E"/>
    <w:multiLevelType w:val="hybridMultilevel"/>
    <w:lvl w:ilvl="0">
      <w:lvlJc w:val="left"/>
      <w:lvlText w:val="(%1)"/>
      <w:numFmt w:val="lowerLetter"/>
      <w:start w:val="17"/>
    </w:lvl>
    <w:lvl w:ilvl="1">
      <w:lvlJc w:val="left"/>
      <w:lvlText w:val="(%2)"/>
      <w:numFmt w:val="lowerRoman"/>
      <w:start w:val="1"/>
    </w:lvl>
  </w:abstractNum>
  <w:abstractNum w:abstractNumId="515">
    <w:nsid w:val="44BD67E6"/>
    <w:multiLevelType w:val="hybridMultilevel"/>
    <w:lvl w:ilvl="0">
      <w:lvlJc w:val="left"/>
      <w:lvlText w:val="(%1)"/>
      <w:numFmt w:val="lowerLetter"/>
      <w:start w:val="24"/>
    </w:lvl>
  </w:abstractNum>
  <w:abstractNum w:abstractNumId="516">
    <w:nsid w:val="325102D3"/>
    <w:multiLevelType w:val="hybridMultilevel"/>
    <w:lvl w:ilvl="0">
      <w:lvlJc w:val="left"/>
      <w:lvlText w:val="(%1)"/>
      <w:numFmt w:val="lowerLetter"/>
      <w:start w:val="27"/>
    </w:lvl>
  </w:abstractNum>
  <w:abstractNum w:abstractNumId="517">
    <w:nsid w:val="3D9579BA"/>
    <w:multiLevelType w:val="hybridMultilevel"/>
    <w:lvl w:ilvl="0">
      <w:lvlJc w:val="left"/>
      <w:lvlText w:val="(%1)"/>
      <w:numFmt w:val="decimal"/>
      <w:start w:val="1"/>
    </w:lvl>
  </w:abstractNum>
  <w:abstractNum w:abstractNumId="518">
    <w:nsid w:val="ACD4C11"/>
    <w:multiLevelType w:val="hybridMultilevel"/>
    <w:lvl w:ilvl="0">
      <w:lvlJc w:val="left"/>
      <w:lvlText w:val="(%1)"/>
      <w:numFmt w:val="lowerLetter"/>
      <w:start w:val="3"/>
    </w:lvl>
  </w:abstractNum>
  <w:abstractNum w:abstractNumId="519">
    <w:nsid w:val="111817CF"/>
    <w:multiLevelType w:val="hybridMultilevel"/>
    <w:lvl w:ilvl="0">
      <w:lvlJc w:val="left"/>
      <w:lvlText w:val="%1)"/>
      <w:numFmt w:val="lowerRoman"/>
      <w:start w:val="1"/>
    </w:lvl>
  </w:abstractNum>
  <w:abstractNum w:abstractNumId="520">
    <w:nsid w:val="76C8B568"/>
    <w:multiLevelType w:val="hybridMultilevel"/>
    <w:lvl w:ilvl="0">
      <w:lvlJc w:val="left"/>
      <w:lvlText w:val="%1)"/>
      <w:numFmt w:val="lowerRoman"/>
      <w:start w:val="1"/>
    </w:lvl>
  </w:abstractNum>
  <w:abstractNum w:abstractNumId="521">
    <w:nsid w:val="3ACC76B1"/>
    <w:multiLevelType w:val="hybridMultilevel"/>
    <w:lvl w:ilvl="0">
      <w:lvlJc w:val="left"/>
      <w:lvlText w:val="%1)"/>
      <w:numFmt w:val="lowerRoman"/>
      <w:start w:val="1"/>
    </w:lvl>
  </w:abstractNum>
  <w:abstractNum w:abstractNumId="522">
    <w:nsid w:val="588B1C7C"/>
    <w:multiLevelType w:val="hybridMultilevel"/>
    <w:lvl w:ilvl="0">
      <w:lvlJc w:val="left"/>
      <w:lvlText w:val="%1)"/>
      <w:numFmt w:val="lowerRoman"/>
      <w:start w:val="2"/>
    </w:lvl>
  </w:abstractNum>
  <w:abstractNum w:abstractNumId="523">
    <w:nsid w:val="62682D8B"/>
    <w:multiLevelType w:val="hybridMultilevel"/>
    <w:lvl w:ilvl="0">
      <w:lvlJc w:val="left"/>
      <w:lvlText w:val="(%1)"/>
      <w:numFmt w:val="decimal"/>
      <w:start w:val="1"/>
    </w:lvl>
  </w:abstractNum>
  <w:abstractNum w:abstractNumId="524">
    <w:nsid w:val="436F111A"/>
    <w:multiLevelType w:val="hybridMultilevel"/>
    <w:lvl w:ilvl="0">
      <w:lvlJc w:val="left"/>
      <w:lvlText w:val="%1)"/>
      <w:numFmt w:val="lowerRoman"/>
      <w:start w:val="1"/>
    </w:lvl>
  </w:abstractNum>
  <w:abstractNum w:abstractNumId="525">
    <w:nsid w:val="3299B71B"/>
    <w:multiLevelType w:val="hybridMultilevel"/>
    <w:lvl w:ilvl="0">
      <w:lvlJc w:val="left"/>
      <w:lvlText w:val="%1)"/>
      <w:numFmt w:val="lowerRoman"/>
      <w:start w:val="2"/>
    </w:lvl>
  </w:abstractNum>
  <w:abstractNum w:abstractNumId="526">
    <w:nsid w:val="7EA75F5A"/>
    <w:multiLevelType w:val="hybridMultilevel"/>
    <w:lvl w:ilvl="0">
      <w:lvlJc w:val="left"/>
      <w:lvlText w:val="%1)"/>
      <w:numFmt w:val="lowerRoman"/>
      <w:start w:val="1"/>
    </w:lvl>
  </w:abstractNum>
  <w:abstractNum w:abstractNumId="527">
    <w:nsid w:val="44419EF9"/>
    <w:multiLevelType w:val="hybridMultilevel"/>
    <w:lvl w:ilvl="0">
      <w:lvlJc w:val="left"/>
      <w:lvlText w:val="(%1)"/>
      <w:numFmt w:val="lowerLetter"/>
      <w:start w:val="1"/>
    </w:lvl>
  </w:abstractNum>
  <w:abstractNum w:abstractNumId="528">
    <w:nsid w:val="3837F1DF"/>
    <w:multiLevelType w:val="hybridMultilevel"/>
    <w:lvl w:ilvl="0">
      <w:lvlJc w:val="left"/>
      <w:lvlText w:val="(%1)"/>
      <w:numFmt w:val="lowerLetter"/>
      <w:start w:val="22"/>
    </w:lvl>
  </w:abstractNum>
  <w:abstractNum w:abstractNumId="529">
    <w:nsid w:val="5BE02A44"/>
    <w:multiLevelType w:val="hybridMultilevel"/>
    <w:lvl w:ilvl="0">
      <w:lvlJc w:val="left"/>
      <w:lvlText w:val="%1."/>
      <w:numFmt w:val="decimal"/>
      <w:start w:val="2"/>
    </w:lvl>
    <w:lvl w:ilvl="1">
      <w:lvlJc w:val="left"/>
      <w:lvlText w:val="%2)"/>
      <w:numFmt w:val="lowerRoman"/>
      <w:start w:val="1"/>
    </w:lvl>
  </w:abstractNum>
  <w:abstractNum w:abstractNumId="530">
    <w:nsid w:val="4A35BF85"/>
    <w:multiLevelType w:val="hybridMultilevel"/>
    <w:lvl w:ilvl="0">
      <w:lvlJc w:val="left"/>
      <w:lvlText w:val="%1"/>
      <w:numFmt w:val="decimal"/>
      <w:start w:val="1"/>
    </w:lvl>
    <w:lvl w:ilvl="1">
      <w:lvlJc w:val="left"/>
      <w:lvlText w:val="%2)"/>
      <w:numFmt w:val="lowerRoman"/>
      <w:start w:val="7"/>
    </w:lvl>
    <w:lvl w:ilvl="2">
      <w:lvlJc w:val="left"/>
      <w:lvlText w:val="%3."/>
      <w:numFmt w:val="lowerLetter"/>
      <w:start w:val="1"/>
    </w:lvl>
  </w:abstractNum>
  <w:abstractNum w:abstractNumId="531">
    <w:nsid w:val="344702AC"/>
    <w:multiLevelType w:val="hybridMultilevel"/>
    <w:lvl w:ilvl="0">
      <w:lvlJc w:val="left"/>
      <w:lvlText w:val="%1."/>
      <w:numFmt w:val="decimal"/>
      <w:start w:val="3"/>
    </w:lvl>
    <w:lvl w:ilvl="1">
      <w:lvlJc w:val="left"/>
      <w:lvlText w:val="%2)"/>
      <w:numFmt w:val="lowerRoman"/>
      <w:start w:val="1"/>
    </w:lvl>
    <w:lvl w:ilvl="2">
      <w:lvlJc w:val="left"/>
      <w:lvlText w:val="%3"/>
      <w:numFmt w:val="lowerLetter"/>
      <w:start w:val="1"/>
    </w:lvl>
  </w:abstractNum>
  <w:abstractNum w:abstractNumId="532">
    <w:nsid w:val="1CFAC1A"/>
    <w:multiLevelType w:val="hybridMultilevel"/>
    <w:lvl w:ilvl="0">
      <w:lvlJc w:val="left"/>
      <w:lvlText w:val="%1)"/>
      <w:numFmt w:val="lowerRoman"/>
      <w:start w:val="1"/>
    </w:lvl>
  </w:abstractNum>
  <w:abstractNum w:abstractNumId="533">
    <w:nsid w:val="5FDD549A"/>
    <w:multiLevelType w:val="hybridMultilevel"/>
    <w:lvl w:ilvl="0">
      <w:lvlJc w:val="left"/>
      <w:lvlText w:val="%1)"/>
      <w:numFmt w:val="lowerRoman"/>
      <w:start w:val="1"/>
    </w:lvl>
    <w:lvl w:ilvl="1">
      <w:lvlJc w:val="left"/>
      <w:lvlText w:val="%2."/>
      <w:numFmt w:val="lowerLetter"/>
      <w:start w:val="1"/>
    </w:lvl>
  </w:abstractNum>
  <w:abstractNum w:abstractNumId="534">
    <w:nsid w:val="38FD730E"/>
    <w:multiLevelType w:val="hybridMultilevel"/>
    <w:lvl w:ilvl="0">
      <w:lvlJc w:val="left"/>
      <w:lvlText w:val="%1."/>
      <w:numFmt w:val="decimal"/>
      <w:start w:val="5"/>
    </w:lvl>
  </w:abstractNum>
  <w:abstractNum w:abstractNumId="535">
    <w:nsid w:val="52E6ED3D"/>
    <w:multiLevelType w:val="hybridMultilevel"/>
    <w:lvl w:ilvl="0">
      <w:lvlJc w:val="left"/>
      <w:lvlText w:val="%1)"/>
      <w:numFmt w:val="lowerRoman"/>
      <w:start w:val="1"/>
    </w:lvl>
  </w:abstractNum>
  <w:abstractNum w:abstractNumId="536">
    <w:nsid w:val="3E1A864"/>
    <w:multiLevelType w:val="hybridMultilevel"/>
    <w:lvl w:ilvl="0">
      <w:lvlJc w:val="left"/>
      <w:lvlText w:val="[***]"/>
      <w:numFmt w:val="bullet"/>
      <w:start w:val="1"/>
    </w:lvl>
  </w:abstractNum>
  <w:abstractNum w:abstractNumId="537">
    <w:nsid w:val="672FE0A8"/>
    <w:multiLevelType w:val="hybridMultilevel"/>
    <w:lvl w:ilvl="0">
      <w:lvlJc w:val="left"/>
      <w:lvlText w:val="%1)"/>
      <w:numFmt w:val="lowerRoman"/>
      <w:start w:val="1"/>
    </w:lvl>
  </w:abstractNum>
  <w:abstractNum w:abstractNumId="538">
    <w:nsid w:val="31987F4D"/>
    <w:multiLevelType w:val="hybridMultilevel"/>
    <w:lvl w:ilvl="0">
      <w:lvlJc w:val="left"/>
      <w:lvlText w:val="%1)"/>
      <w:numFmt w:val="lowerRoman"/>
      <w:start w:val="1"/>
    </w:lvl>
  </w:abstractNum>
  <w:abstractNum w:abstractNumId="539">
    <w:nsid w:val="48C0A800"/>
    <w:multiLevelType w:val="hybridMultilevel"/>
    <w:lvl w:ilvl="0">
      <w:lvlJc w:val="left"/>
      <w:lvlText w:val="%1)"/>
      <w:numFmt w:val="lowerRoman"/>
      <w:start w:val="1"/>
    </w:lvl>
  </w:abstractNum>
  <w:abstractNum w:abstractNumId="540">
    <w:nsid w:val="717B226"/>
    <w:multiLevelType w:val="hybridMultilevel"/>
    <w:lvl w:ilvl="0">
      <w:lvlJc w:val="left"/>
      <w:lvlText w:val="%1)"/>
      <w:numFmt w:val="lowerRoman"/>
      <w:start w:val="2"/>
    </w:lvl>
  </w:abstractNum>
  <w:abstractNum w:abstractNumId="541">
    <w:nsid w:val="4642A7B"/>
    <w:multiLevelType w:val="hybridMultilevel"/>
    <w:lvl w:ilvl="0">
      <w:lvlJc w:val="left"/>
      <w:lvlText w:val="%1)"/>
      <w:numFmt w:val="lowerRoman"/>
      <w:start w:val="3"/>
    </w:lvl>
  </w:abstractNum>
  <w:abstractNum w:abstractNumId="542">
    <w:nsid w:val="632808EF"/>
    <w:multiLevelType w:val="hybridMultilevel"/>
    <w:lvl w:ilvl="0">
      <w:lvlJc w:val="left"/>
      <w:lvlText w:val="%1)"/>
      <w:numFmt w:val="lowerRoman"/>
      <w:start w:val="4"/>
    </w:lvl>
  </w:abstractNum>
  <w:abstractNum w:abstractNumId="543">
    <w:nsid w:val="656A762B"/>
    <w:multiLevelType w:val="hybridMultilevel"/>
    <w:lvl w:ilvl="0">
      <w:lvlJc w:val="left"/>
      <w:lvlText w:val="%1)"/>
      <w:numFmt w:val="lowerRoman"/>
      <w:start w:val="5"/>
    </w:lvl>
  </w:abstractNum>
  <w:abstractNum w:abstractNumId="544">
    <w:nsid w:val="4AC8EC3"/>
    <w:multiLevelType w:val="hybridMultilevel"/>
    <w:lvl w:ilvl="0">
      <w:lvlJc w:val="left"/>
      <w:lvlText w:val="%1)"/>
      <w:numFmt w:val="lowerRoman"/>
      <w:start w:val="1"/>
    </w:lvl>
  </w:abstractNum>
  <w:abstractNum w:abstractNumId="545">
    <w:nsid w:val="4511160D"/>
    <w:multiLevelType w:val="hybridMultilevel"/>
    <w:lvl w:ilvl="0">
      <w:lvlJc w:val="left"/>
      <w:lvlText w:val="%1)"/>
      <w:numFmt w:val="lowerRoman"/>
      <w:start w:val="1"/>
    </w:lvl>
  </w:abstractNum>
  <w:abstractNum w:abstractNumId="546">
    <w:nsid w:val="2A27DE11"/>
    <w:multiLevelType w:val="hybridMultilevel"/>
    <w:lvl w:ilvl="0">
      <w:lvlJc w:val="left"/>
      <w:lvlText w:val="%1)"/>
      <w:numFmt w:val="lowerRoman"/>
      <w:start w:val="2"/>
    </w:lvl>
  </w:abstractNum>
  <w:abstractNum w:abstractNumId="547">
    <w:nsid w:val="36FD9196"/>
    <w:multiLevelType w:val="hybridMultilevel"/>
    <w:lvl w:ilvl="0">
      <w:lvlJc w:val="left"/>
      <w:lvlText w:val="%1)"/>
      <w:numFmt w:val="lowerRoman"/>
      <w:start w:val="1"/>
    </w:lvl>
  </w:abstractNum>
  <w:abstractNum w:abstractNumId="548">
    <w:nsid w:val="2A68FC8"/>
    <w:multiLevelType w:val="hybridMultilevel"/>
    <w:lvl w:ilvl="0">
      <w:lvlJc w:val="left"/>
      <w:lvlText w:val="%1)"/>
      <w:numFmt w:val="lowerRoman"/>
      <w:start w:val="6"/>
    </w:lvl>
  </w:abstractNum>
  <w:abstractNum w:abstractNumId="549">
    <w:nsid w:val="34F52A23"/>
    <w:multiLevelType w:val="hybridMultilevel"/>
    <w:lvl w:ilvl="0">
      <w:lvlJc w:val="left"/>
      <w:lvlText w:val="%1"/>
      <w:numFmt w:val="lowerRoman"/>
      <w:start w:val="1"/>
    </w:lvl>
    <w:lvl w:ilvl="1">
      <w:lvlJc w:val="left"/>
      <w:lvlText w:val="(%2)"/>
      <w:numFmt w:val="lowerRoman"/>
      <w:start w:val="1"/>
    </w:lvl>
  </w:abstractNum>
  <w:abstractNum w:abstractNumId="550">
    <w:nsid w:val="4815A966"/>
    <w:multiLevelType w:val="hybridMultilevel"/>
    <w:lvl w:ilvl="0">
      <w:lvlJc w:val="left"/>
      <w:lvlText w:val="%1)"/>
      <w:numFmt w:val="lowerRoman"/>
      <w:start w:val="1"/>
    </w:lvl>
    <w:lvl w:ilvl="1">
      <w:lvlJc w:val="left"/>
      <w:lvlText w:val="%2"/>
      <w:numFmt w:val="lowerRoman"/>
      <w:start w:val="1"/>
    </w:lvl>
  </w:abstractNum>
  <w:abstractNum w:abstractNumId="551">
    <w:nsid w:val="796F4530"/>
    <w:multiLevelType w:val="hybridMultilevel"/>
    <w:lvl w:ilvl="0">
      <w:lvlJc w:val="left"/>
      <w:lvlText w:val="%1)"/>
      <w:numFmt w:val="lowerRoman"/>
      <w:start w:val="4"/>
    </w:lvl>
  </w:abstractNum>
  <w:abstractNum w:abstractNumId="552">
    <w:nsid w:val="6FC1A0D4"/>
    <w:multiLevelType w:val="hybridMultilevel"/>
    <w:lvl w:ilvl="0">
      <w:lvlJc w:val="left"/>
      <w:lvlText w:val="%1)"/>
      <w:numFmt w:val="lowerRoman"/>
      <w:start w:val="1"/>
    </w:lvl>
  </w:abstractNum>
  <w:abstractNum w:abstractNumId="553">
    <w:nsid w:val="20A0C5E2"/>
    <w:multiLevelType w:val="hybridMultilevel"/>
    <w:lvl w:ilvl="0">
      <w:lvlJc w:val="left"/>
      <w:lvlText w:val="%1)"/>
      <w:numFmt w:val="lowerRoman"/>
      <w:start w:val="3"/>
    </w:lvl>
  </w:abstractNum>
  <w:abstractNum w:abstractNumId="554">
    <w:nsid w:val="5BD772BB"/>
    <w:multiLevelType w:val="hybridMultilevel"/>
    <w:lvl w:ilvl="0">
      <w:lvlJc w:val="left"/>
      <w:lvlText w:val="%1)"/>
      <w:numFmt w:val="lowerRoman"/>
      <w:start w:val="1"/>
    </w:lvl>
  </w:abstractNum>
  <w:abstractNum w:abstractNumId="555">
    <w:nsid w:val="3330B1EE"/>
    <w:multiLevelType w:val="hybridMultilevel"/>
    <w:lvl w:ilvl="0">
      <w:lvlJc w:val="left"/>
      <w:lvlText w:val="%1)"/>
      <w:numFmt w:val="lowerRoman"/>
      <w:start w:val="1"/>
    </w:lvl>
  </w:abstractNum>
  <w:abstractNum w:abstractNumId="556">
    <w:nsid w:val="533A7CFD"/>
    <w:multiLevelType w:val="hybridMultilevel"/>
    <w:lvl w:ilvl="0">
      <w:lvlJc w:val="left"/>
      <w:lvlText w:val="%1)"/>
      <w:numFmt w:val="lowerRoman"/>
      <w:start w:val="1"/>
    </w:lvl>
  </w:abstractNum>
  <w:abstractNum w:abstractNumId="557">
    <w:nsid w:val="5A7ED215"/>
    <w:multiLevelType w:val="hybridMultilevel"/>
    <w:lvl w:ilvl="0">
      <w:lvlJc w:val="left"/>
      <w:lvlText w:val="%1)"/>
      <w:numFmt w:val="lowerRoman"/>
      <w:start w:val="1"/>
    </w:lvl>
  </w:abstractNum>
  <w:abstractNum w:abstractNumId="558">
    <w:nsid w:val="777250E7"/>
    <w:multiLevelType w:val="hybridMultilevel"/>
    <w:lvl w:ilvl="0">
      <w:lvlJc w:val="left"/>
      <w:lvlText w:val="%1)"/>
      <w:numFmt w:val="lowerRoman"/>
      <w:start w:val="6"/>
    </w:lvl>
    <w:lvl w:ilvl="1">
      <w:lvlJc w:val="left"/>
      <w:lvlText w:val="%2."/>
      <w:numFmt w:val="lowerLetter"/>
      <w:start w:val="1"/>
    </w:lvl>
  </w:abstractNum>
  <w:abstractNum w:abstractNumId="559">
    <w:nsid w:val="B726EDC"/>
    <w:multiLevelType w:val="hybridMultilevel"/>
    <w:lvl w:ilvl="0">
      <w:lvlJc w:val="left"/>
      <w:lvlText w:val="%1)"/>
      <w:numFmt w:val="lowerRoman"/>
      <w:start w:val="9"/>
    </w:lvl>
    <w:lvl w:ilvl="1">
      <w:lvlJc w:val="left"/>
      <w:lvlText w:val="%2."/>
      <w:numFmt w:val="lowerLetter"/>
      <w:start w:val="1"/>
    </w:lvl>
    <w:lvl w:ilvl="2">
      <w:lvlJc w:val="left"/>
      <w:lvlText w:val="%3."/>
      <w:numFmt w:val="lowerLetter"/>
      <w:start w:val="1"/>
    </w:lvl>
  </w:abstractNum>
  <w:abstractNum w:abstractNumId="560">
    <w:nsid w:val="365EFC5A"/>
    <w:multiLevelType w:val="hybridMultilevel"/>
    <w:lvl w:ilvl="0">
      <w:lvlJc w:val="left"/>
      <w:lvlText w:val="%1."/>
      <w:numFmt w:val="decimal"/>
      <w:start w:val="8"/>
    </w:lvl>
  </w:abstractNum>
  <w:abstractNum w:abstractNumId="561">
    <w:nsid w:val="41A8106C"/>
    <w:multiLevelType w:val="hybridMultilevel"/>
    <w:lvl w:ilvl="0">
      <w:lvlJc w:val="left"/>
      <w:lvlText w:val="%1)"/>
      <w:numFmt w:val="lowerRoman"/>
      <w:start w:val="1"/>
    </w:lvl>
    <w:lvl w:ilvl="1">
      <w:lvlJc w:val="left"/>
      <w:lvlText w:val="%2."/>
      <w:numFmt w:val="lowerLetter"/>
      <w:start w:val="1"/>
    </w:lvl>
  </w:abstractNum>
  <w:abstractNum w:abstractNumId="562">
    <w:nsid w:val="3FB97188"/>
    <w:multiLevelType w:val="hybridMultilevel"/>
    <w:lvl w:ilvl="0">
      <w:lvlJc w:val="left"/>
      <w:lvlText w:val="%1."/>
      <w:numFmt w:val="lowerLetter"/>
      <w:start w:val="8"/>
    </w:lvl>
  </w:abstractNum>
  <w:abstractNum w:abstractNumId="563">
    <w:nsid w:val="382EA874"/>
    <w:multiLevelType w:val="hybridMultilevel"/>
    <w:lvl w:ilvl="0">
      <w:lvlJc w:val="left"/>
      <w:lvlText w:val="(%1)"/>
      <w:numFmt w:val="upperLetter"/>
      <w:start w:val="9"/>
    </w:lvl>
  </w:abstractNum>
  <w:abstractNum w:abstractNumId="564">
    <w:nsid w:val="21856507"/>
    <w:multiLevelType w:val="hybridMultilevel"/>
    <w:lvl w:ilvl="0">
      <w:lvlJc w:val="left"/>
      <w:lvlText w:val="(%1)"/>
      <w:numFmt w:val="upperLetter"/>
      <w:start w:val="35"/>
    </w:lvl>
  </w:abstractNum>
  <w:abstractNum w:abstractNumId="565">
    <w:nsid w:val="78B6E496"/>
    <w:multiLevelType w:val="hybridMultilevel"/>
    <w:lvl w:ilvl="0">
      <w:lvlJc w:val="left"/>
      <w:lvlText w:val="(%1)"/>
      <w:numFmt w:val="upperLetter"/>
      <w:start w:val="61"/>
    </w:lvl>
  </w:abstractNum>
  <w:abstractNum w:abstractNumId="566">
    <w:nsid w:val="B1595B1"/>
    <w:multiLevelType w:val="hybridMultilevel"/>
    <w:lvl w:ilvl="0">
      <w:lvlJc w:val="left"/>
      <w:lvlText w:val="%1"/>
      <w:numFmt w:val="lowerLetter"/>
      <w:start w:val="1"/>
    </w:lvl>
    <w:lvl w:ilvl="1">
      <w:lvlJc w:val="left"/>
      <w:lvlText w:val="(%2)"/>
      <w:numFmt w:val="upperLetter"/>
      <w:start w:val="22"/>
    </w:lvl>
  </w:abstractNum>
  <w:abstractNum w:abstractNumId="567">
    <w:nsid w:val="25670D6B"/>
    <w:multiLevelType w:val="hybridMultilevel"/>
    <w:lvl w:ilvl="0">
      <w:lvlJc w:val="left"/>
      <w:lvlText w:val="%1."/>
      <w:numFmt w:val="lowerLetter"/>
      <w:start w:val="9"/>
    </w:lvl>
    <w:lvl w:ilvl="1">
      <w:lvlJc w:val="left"/>
      <w:lvlText w:val="(%2)"/>
      <w:numFmt w:val="upperLetter"/>
      <w:start w:val="9"/>
    </w:lvl>
  </w:abstractNum>
  <w:abstractNum w:abstractNumId="568">
    <w:nsid w:val="5FE6C53F"/>
    <w:multiLevelType w:val="hybridMultilevel"/>
    <w:lvl w:ilvl="0">
      <w:lvlJc w:val="left"/>
      <w:lvlText w:val="%1)"/>
      <w:numFmt w:val="lowerRoman"/>
      <w:start w:val="2"/>
    </w:lvl>
  </w:abstractNum>
  <w:abstractNum w:abstractNumId="569">
    <w:nsid w:val="3CAE14FE"/>
    <w:multiLevelType w:val="hybridMultilevel"/>
    <w:lvl w:ilvl="0">
      <w:lvlJc w:val="left"/>
      <w:lvlText w:val="(%1)"/>
      <w:numFmt w:val="lowerRoman"/>
      <w:start w:val="5"/>
    </w:lvl>
  </w:abstractNum>
  <w:abstractNum w:abstractNumId="570">
    <w:nsid w:val="6E27B56B"/>
    <w:multiLevelType w:val="hybridMultilevel"/>
    <w:lvl w:ilvl="0">
      <w:lvlJc w:val="left"/>
      <w:lvlText w:val="(%1)"/>
      <w:numFmt w:val="lowerRoman"/>
      <w:start w:val="1"/>
    </w:lvl>
  </w:abstractNum>
  <w:abstractNum w:abstractNumId="571">
    <w:nsid w:val="66FE7765"/>
    <w:multiLevelType w:val="hybridMultilevel"/>
    <w:lvl w:ilvl="0">
      <w:lvlJc w:val="left"/>
      <w:lvlText w:val="%1)"/>
      <w:numFmt w:val="lowerRoman"/>
      <w:start w:val="1"/>
    </w:lvl>
    <w:lvl w:ilvl="1">
      <w:lvlJc w:val="left"/>
      <w:lvlText w:val="%2."/>
      <w:numFmt w:val="lowerLetter"/>
      <w:start w:val="1"/>
    </w:lvl>
  </w:abstractNum>
  <w:abstractNum w:abstractNumId="572">
    <w:nsid w:val="41123F79"/>
    <w:multiLevelType w:val="hybridMultilevel"/>
    <w:lvl w:ilvl="0">
      <w:lvlJc w:val="left"/>
      <w:lvlText w:val="%1"/>
      <w:numFmt w:val="lowerRoman"/>
      <w:start w:val="1"/>
    </w:lvl>
    <w:lvl w:ilvl="1">
      <w:lvlJc w:val="left"/>
      <w:lvlText w:val="%2."/>
      <w:numFmt w:val="lowerLetter"/>
      <w:start w:val="2"/>
    </w:lvl>
  </w:abstractNum>
  <w:abstractNum w:abstractNumId="573">
    <w:nsid w:val="514FBE5A"/>
    <w:multiLevelType w:val="hybridMultilevel"/>
    <w:lvl w:ilvl="0">
      <w:lvlJc w:val="left"/>
      <w:lvlText w:val="%1)"/>
      <w:numFmt w:val="lowerRoman"/>
      <w:start w:val="3"/>
    </w:lvl>
    <w:lvl w:ilvl="1">
      <w:lvlJc w:val="left"/>
      <w:lvlText w:val="%2"/>
      <w:numFmt w:val="lowerLetter"/>
      <w:start w:val="1"/>
    </w:lvl>
  </w:abstractNum>
  <w:abstractNum w:abstractNumId="574">
    <w:nsid w:val="4C68ED90"/>
    <w:multiLevelType w:val="hybridMultilevel"/>
    <w:lvl w:ilvl="0">
      <w:lvlJc w:val="left"/>
      <w:lvlText w:val="%1)"/>
      <w:numFmt w:val="lowerRoman"/>
      <w:start w:val="1"/>
    </w:lvl>
    <w:lvl w:ilvl="1">
      <w:lvlJc w:val="left"/>
      <w:lvlText w:val="%2."/>
      <w:numFmt w:val="lowerLetter"/>
      <w:start w:val="1"/>
    </w:lvl>
  </w:abstractNum>
  <w:abstractNum w:abstractNumId="575">
    <w:nsid w:val="45BECE3C"/>
    <w:multiLevelType w:val="hybridMultilevel"/>
    <w:lvl w:ilvl="0">
      <w:lvlJc w:val="left"/>
      <w:lvlText w:val="%1)"/>
      <w:numFmt w:val="lowerRoman"/>
      <w:start w:val="3"/>
    </w:lvl>
  </w:abstractNum>
  <w:abstractNum w:abstractNumId="576">
    <w:nsid w:val="1660D468"/>
    <w:multiLevelType w:val="hybridMultilevel"/>
    <w:lvl w:ilvl="0">
      <w:lvlJc w:val="left"/>
      <w:lvlText w:val="%1."/>
      <w:numFmt w:val="decimal"/>
      <w:start w:val="9"/>
    </w:lvl>
  </w:abstractNum>
  <w:abstractNum w:abstractNumId="577">
    <w:nsid w:val="7690CBA1"/>
    <w:multiLevelType w:val="hybridMultilevel"/>
    <w:lvl w:ilvl="0">
      <w:lvlJc w:val="left"/>
      <w:lvlText w:val="%1."/>
      <w:numFmt w:val="decimal"/>
      <w:start w:val="10"/>
    </w:lvl>
  </w:abstractNum>
  <w:abstractNum w:abstractNumId="578">
    <w:nsid w:val="7CBC5FD3"/>
    <w:multiLevelType w:val="hybridMultilevel"/>
    <w:lvl w:ilvl="0">
      <w:lvlJc w:val="left"/>
      <w:lvlText w:val="%1."/>
      <w:numFmt w:val="decimal"/>
      <w:start w:val="11"/>
    </w:lvl>
  </w:abstractNum>
  <w:abstractNum w:abstractNumId="579">
    <w:nsid w:val="19076430"/>
    <w:multiLevelType w:val="hybridMultilevel"/>
    <w:lvl w:ilvl="0">
      <w:lvlJc w:val="left"/>
      <w:lvlText w:val="%1)"/>
      <w:numFmt w:val="lowerRoman"/>
      <w:start w:val="1"/>
    </w:lvl>
    <w:lvl w:ilvl="1">
      <w:lvlJc w:val="left"/>
      <w:lvlText w:val="%2."/>
      <w:numFmt w:val="lowerLetter"/>
      <w:start w:val="1"/>
    </w:lvl>
  </w:abstractNum>
  <w:abstractNum w:abstractNumId="580">
    <w:nsid w:val="2B85F5C4"/>
    <w:multiLevelType w:val="hybridMultilevel"/>
    <w:lvl w:ilvl="0">
      <w:lvlJc w:val="left"/>
      <w:lvlText w:val="%1)"/>
      <w:numFmt w:val="lowerRoman"/>
      <w:start w:val="1"/>
    </w:lvl>
    <w:lvl w:ilvl="1">
      <w:lvlJc w:val="left"/>
      <w:lvlText w:val="%2."/>
      <w:numFmt w:val="lowerLetter"/>
      <w:start w:val="1"/>
    </w:lvl>
  </w:abstractNum>
  <w:abstractNum w:abstractNumId="581">
    <w:nsid w:val="44D20939"/>
    <w:multiLevelType w:val="hybridMultilevel"/>
    <w:lvl w:ilvl="0">
      <w:lvlJc w:val="left"/>
      <w:lvlText w:val="%1)"/>
      <w:numFmt w:val="lowerRoman"/>
      <w:start w:val="1"/>
    </w:lvl>
  </w:abstractNum>
  <w:abstractNum w:abstractNumId="582">
    <w:nsid w:val="1276A960"/>
    <w:multiLevelType w:val="hybridMultilevel"/>
    <w:lvl w:ilvl="0">
      <w:lvlJc w:val="left"/>
      <w:lvlText w:val="%1."/>
      <w:numFmt w:val="decimal"/>
      <w:start w:val="12"/>
    </w:lvl>
  </w:abstractNum>
  <w:abstractNum w:abstractNumId="583">
    <w:nsid w:val="1B479698"/>
    <w:multiLevelType w:val="hybridMultilevel"/>
    <w:lvl w:ilvl="0">
      <w:lvlJc w:val="left"/>
      <w:lvlText w:val="%1)"/>
      <w:numFmt w:val="lowerRoman"/>
      <w:start w:val="1"/>
    </w:lvl>
  </w:abstractNum>
  <w:abstractNum w:abstractNumId="584">
    <w:nsid w:val="6572CF1B"/>
    <w:multiLevelType w:val="hybridMultilevel"/>
    <w:lvl w:ilvl="0">
      <w:lvlJc w:val="left"/>
      <w:lvlText w:val="%1."/>
      <w:numFmt w:val="decimal"/>
      <w:start w:val="13"/>
    </w:lvl>
  </w:abstractNum>
  <w:abstractNum w:abstractNumId="585">
    <w:nsid w:val="6E4E1C1B"/>
    <w:multiLevelType w:val="hybridMultilevel"/>
    <w:lvl w:ilvl="0">
      <w:lvlJc w:val="left"/>
      <w:lvlText w:val="%1)"/>
      <w:numFmt w:val="lowerRoman"/>
      <w:start w:val="1"/>
    </w:lvl>
  </w:abstractNum>
  <w:abstractNum w:abstractNumId="586">
    <w:nsid w:val="4E784887"/>
    <w:multiLevelType w:val="hybridMultilevel"/>
    <w:lvl w:ilvl="0">
      <w:lvlJc w:val="left"/>
      <w:lvlText w:val="%1)"/>
      <w:numFmt w:val="lowerRoman"/>
      <w:start w:val="1"/>
    </w:lvl>
  </w:abstractNum>
  <w:abstractNum w:abstractNumId="587">
    <w:nsid w:val="38AD4C18"/>
    <w:multiLevelType w:val="hybridMultilevel"/>
    <w:lvl w:ilvl="0">
      <w:lvlJc w:val="left"/>
      <w:lvlText w:val="%1)"/>
      <w:numFmt w:val="lowerRoman"/>
      <w:start w:val="1"/>
    </w:lvl>
  </w:abstractNum>
  <w:abstractNum w:abstractNumId="588">
    <w:nsid w:val="48CCEE31"/>
    <w:multiLevelType w:val="hybridMultilevel"/>
    <w:lvl w:ilvl="0">
      <w:lvlJc w:val="left"/>
      <w:lvlText w:val="%1"/>
      <w:numFmt w:val="lowerRoman"/>
      <w:start w:val="1"/>
    </w:lvl>
    <w:lvl w:ilvl="1">
      <w:lvlJc w:val="left"/>
      <w:lvlText w:val="%2."/>
      <w:numFmt w:val="lowerLetter"/>
      <w:start w:val="2"/>
    </w:lvl>
  </w:abstractNum>
  <w:abstractNum w:abstractNumId="589">
    <w:nsid w:val="45EA996E"/>
    <w:multiLevelType w:val="hybridMultilevel"/>
    <w:lvl w:ilvl="0">
      <w:lvlJc w:val="left"/>
      <w:lvlText w:val="%1)"/>
      <w:numFmt w:val="lowerRoman"/>
      <w:start w:val="5"/>
    </w:lvl>
    <w:lvl w:ilvl="1">
      <w:lvlJc w:val="left"/>
      <w:lvlText w:val="%2"/>
      <w:numFmt w:val="lowerLetter"/>
      <w:start w:val="1"/>
    </w:lvl>
  </w:abstractNum>
  <w:abstractNum w:abstractNumId="590">
    <w:nsid w:val="441FBAF4"/>
    <w:multiLevelType w:val="hybridMultilevel"/>
    <w:lvl w:ilvl="0">
      <w:lvlJc w:val="left"/>
      <w:lvlText w:val="%1)"/>
      <w:numFmt w:val="lowerRoman"/>
      <w:start w:val="1"/>
    </w:lvl>
    <w:lvl w:ilvl="1">
      <w:lvlJc w:val="left"/>
      <w:lvlText w:val="%2."/>
      <w:numFmt w:val="lowerLetter"/>
      <w:start w:val="1"/>
    </w:lvl>
  </w:abstractNum>
  <w:abstractNum w:abstractNumId="591">
    <w:nsid w:val="7F2BEA8B"/>
    <w:multiLevelType w:val="hybridMultilevel"/>
    <w:lvl w:ilvl="0">
      <w:lvlJc w:val="left"/>
      <w:lvlText w:val="%1."/>
      <w:numFmt w:val="decimal"/>
      <w:start w:val="14"/>
    </w:lvl>
  </w:abstractNum>
  <w:abstractNum w:abstractNumId="592">
    <w:nsid w:val="792A9DB"/>
    <w:multiLevelType w:val="hybridMultilevel"/>
    <w:lvl w:ilvl="0">
      <w:lvlJc w:val="left"/>
      <w:lvlText w:val="%1)"/>
      <w:numFmt w:val="lowerRoman"/>
      <w:start w:val="1"/>
    </w:lvl>
  </w:abstractNum>
  <w:abstractNum w:abstractNumId="593">
    <w:nsid w:val="3D92C7D"/>
    <w:multiLevelType w:val="hybridMultilevel"/>
    <w:lvl w:ilvl="0">
      <w:lvlJc w:val="left"/>
      <w:lvlText w:val="%1."/>
      <w:numFmt w:val="decimal"/>
      <w:start w:val="15"/>
    </w:lvl>
  </w:abstractNum>
  <w:abstractNum w:abstractNumId="594">
    <w:nsid w:val="375A92FF"/>
    <w:multiLevelType w:val="hybridMultilevel"/>
    <w:lvl w:ilvl="0">
      <w:lvlJc w:val="left"/>
      <w:lvlText w:val="%1)"/>
      <w:numFmt w:val="lowerRoman"/>
      <w:start w:val="1"/>
    </w:lvl>
  </w:abstractNum>
  <w:abstractNum w:abstractNumId="595">
    <w:nsid w:val="29180EE2"/>
    <w:multiLevelType w:val="hybridMultilevel"/>
    <w:lvl w:ilvl="0">
      <w:lvlJc w:val="left"/>
      <w:lvlText w:val="%1)"/>
      <w:numFmt w:val="lowerRoman"/>
      <w:start w:val="7"/>
    </w:lvl>
  </w:abstractNum>
  <w:abstractNum w:abstractNumId="596">
    <w:nsid w:val="7C901113"/>
    <w:multiLevelType w:val="hybridMultilevel"/>
    <w:lvl w:ilvl="0">
      <w:lvlJc w:val="left"/>
      <w:lvlText w:val="%1)"/>
      <w:numFmt w:val="lowerRoman"/>
      <w:start w:val="1"/>
    </w:lvl>
    <w:lvl w:ilvl="1">
      <w:lvlJc w:val="left"/>
      <w:lvlText w:val="%2."/>
      <w:numFmt w:val="lowerLetter"/>
      <w:start w:val="1"/>
    </w:lvl>
  </w:abstractNum>
  <w:abstractNum w:abstractNumId="597">
    <w:nsid w:val="427028B0"/>
    <w:multiLevelType w:val="hybridMultilevel"/>
    <w:lvl w:ilvl="0">
      <w:lvlJc w:val="left"/>
      <w:lvlText w:val="%1)"/>
      <w:numFmt w:val="lowerRoman"/>
      <w:start w:val="6"/>
    </w:lvl>
  </w:abstractNum>
  <w:abstractNum w:abstractNumId="598">
    <w:nsid w:val="4E7F1C4D"/>
    <w:multiLevelType w:val="hybridMultilevel"/>
    <w:lvl w:ilvl="0">
      <w:lvlJc w:val="left"/>
      <w:lvlText w:val="%1)"/>
      <w:numFmt w:val="lowerRoman"/>
      <w:start w:val="1"/>
    </w:lvl>
    <w:lvl w:ilvl="1">
      <w:lvlJc w:val="left"/>
      <w:lvlText w:val="%2."/>
      <w:numFmt w:val="lowerLetter"/>
      <w:start w:val="1"/>
    </w:lvl>
  </w:abstractNum>
  <w:abstractNum w:abstractNumId="599">
    <w:nsid w:val="5C76D652"/>
    <w:multiLevelType w:val="hybridMultilevel"/>
    <w:lvl w:ilvl="0">
      <w:lvlJc w:val="left"/>
      <w:lvlText w:val="%1)"/>
      <w:numFmt w:val="lowerRoman"/>
      <w:start w:val="2"/>
    </w:lvl>
  </w:abstractNum>
  <w:abstractNum w:abstractNumId="600">
    <w:nsid w:val="7F1E3DAE"/>
    <w:multiLevelType w:val="hybridMultilevel"/>
    <w:lvl w:ilvl="0">
      <w:lvlJc w:val="left"/>
      <w:lvlText w:val="%1)"/>
      <w:numFmt w:val="lowerRoman"/>
      <w:start w:val="1"/>
    </w:lvl>
  </w:abstractNum>
  <w:abstractNum w:abstractNumId="601">
    <w:nsid w:val="3CA6D1B9"/>
    <w:multiLevelType w:val="hybridMultilevel"/>
    <w:lvl w:ilvl="0">
      <w:lvlJc w:val="left"/>
      <w:lvlText w:val="%1)"/>
      <w:numFmt w:val="lowerRoman"/>
      <w:start w:val="1"/>
    </w:lvl>
  </w:abstractNum>
  <w:abstractNum w:abstractNumId="602">
    <w:nsid w:val="43754DB7"/>
    <w:multiLevelType w:val="hybridMultilevel"/>
    <w:lvl w:ilvl="0">
      <w:lvlJc w:val="left"/>
      <w:lvlText w:val="%1)"/>
      <w:numFmt w:val="lowerRoman"/>
      <w:start w:val="2"/>
    </w:lvl>
  </w:abstractNum>
  <w:abstractNum w:abstractNumId="603">
    <w:nsid w:val="40307D27"/>
    <w:multiLevelType w:val="hybridMultilevel"/>
    <w:lvl w:ilvl="0">
      <w:lvlJc w:val="left"/>
      <w:lvlText w:val="%1."/>
      <w:numFmt w:val="decimal"/>
      <w:start w:val="16"/>
    </w:lvl>
  </w:abstractNum>
  <w:abstractNum w:abstractNumId="604">
    <w:nsid w:val="DF69013"/>
    <w:multiLevelType w:val="hybridMultilevel"/>
    <w:lvl w:ilvl="0">
      <w:lvlJc w:val="left"/>
      <w:lvlText w:val="%1."/>
      <w:numFmt w:val="decimal"/>
      <w:start w:val="17"/>
    </w:lvl>
  </w:abstractNum>
  <w:abstractNum w:abstractNumId="605">
    <w:nsid w:val="FDE3B47"/>
    <w:multiLevelType w:val="hybridMultilevel"/>
    <w:lvl w:ilvl="0">
      <w:lvlJc w:val="left"/>
      <w:lvlText w:val="%1)"/>
      <w:numFmt w:val="lowerRoman"/>
      <w:start w:val="1"/>
    </w:lvl>
  </w:abstractNum>
  <w:abstractNum w:abstractNumId="606">
    <w:nsid w:val="5EF4B64"/>
    <w:multiLevelType w:val="hybridMultilevel"/>
    <w:lvl w:ilvl="0">
      <w:lvlJc w:val="left"/>
      <w:lvlText w:val="%1)"/>
      <w:numFmt w:val="lowerRoman"/>
      <w:start w:val="1"/>
    </w:lvl>
  </w:abstractNum>
  <w:abstractNum w:abstractNumId="607">
    <w:nsid w:val="2457647B"/>
    <w:multiLevelType w:val="hybridMultilevel"/>
    <w:lvl w:ilvl="0">
      <w:lvlJc w:val="left"/>
      <w:lvlText w:val="%1)"/>
      <w:numFmt w:val="lowerRoman"/>
      <w:start w:val="5"/>
    </w:lvl>
  </w:abstractNum>
  <w:abstractNum w:abstractNumId="608">
    <w:nsid w:val="66F06E9"/>
    <w:multiLevelType w:val="hybridMultilevel"/>
    <w:lvl w:ilvl="0">
      <w:lvlJc w:val="left"/>
      <w:lvlText w:val="%1."/>
      <w:numFmt w:val="decimal"/>
      <w:start w:val="18"/>
    </w:lvl>
  </w:abstractNum>
  <w:abstractNum w:abstractNumId="609">
    <w:nsid w:val="2ABAB37"/>
    <w:multiLevelType w:val="hybridMultilevel"/>
    <w:lvl w:ilvl="0">
      <w:lvlJc w:val="left"/>
      <w:lvlText w:val="%1."/>
      <w:numFmt w:val="decimal"/>
      <w:start w:val="19"/>
    </w:lvl>
  </w:abstractNum>
  <w:abstractNum w:abstractNumId="610">
    <w:nsid w:val="3D5EC8AB"/>
    <w:multiLevelType w:val="hybridMultilevel"/>
    <w:lvl w:ilvl="0">
      <w:lvlJc w:val="left"/>
      <w:lvlText w:val="%1."/>
      <w:numFmt w:val="decimal"/>
      <w:start w:val="20"/>
    </w:lvl>
  </w:abstractNum>
  <w:abstractNum w:abstractNumId="611">
    <w:nsid w:val="31F4FCAD"/>
    <w:multiLevelType w:val="hybridMultilevel"/>
    <w:lvl w:ilvl="0">
      <w:lvlJc w:val="left"/>
      <w:lvlText w:val="%1)"/>
      <w:numFmt w:val="lowerRoman"/>
      <w:start w:val="1"/>
    </w:lvl>
  </w:abstractNum>
  <w:abstractNum w:abstractNumId="612">
    <w:nsid w:val="477DB470"/>
    <w:multiLevelType w:val="hybridMultilevel"/>
    <w:lvl w:ilvl="0">
      <w:lvlJc w:val="left"/>
      <w:lvlText w:val="%1."/>
      <w:numFmt w:val="decimal"/>
      <w:start w:val="21"/>
    </w:lvl>
  </w:abstractNum>
  <w:abstractNum w:abstractNumId="613">
    <w:nsid w:val="4FD5720B"/>
    <w:multiLevelType w:val="hybridMultilevel"/>
    <w:lvl w:ilvl="0">
      <w:lvlJc w:val="left"/>
      <w:lvlText w:val="%1)"/>
      <w:numFmt w:val="lowerRoman"/>
      <w:start w:val="1"/>
    </w:lvl>
  </w:abstractNum>
  <w:abstractNum w:abstractNumId="614">
    <w:nsid w:val="4D3C9346"/>
    <w:multiLevelType w:val="hybridMultilevel"/>
    <w:lvl w:ilvl="0">
      <w:lvlJc w:val="left"/>
      <w:lvlText w:val="%1."/>
      <w:numFmt w:val="decimal"/>
      <w:start w:val="22"/>
    </w:lvl>
  </w:abstractNum>
  <w:abstractNum w:abstractNumId="615">
    <w:nsid w:val="2CF0838B"/>
    <w:multiLevelType w:val="hybridMultilevel"/>
    <w:lvl w:ilvl="0">
      <w:lvlJc w:val="left"/>
      <w:lvlText w:val="%1)"/>
      <w:numFmt w:val="lowerRoman"/>
      <w:start w:val="1"/>
    </w:lvl>
  </w:abstractNum>
  <w:abstractNum w:abstractNumId="616">
    <w:nsid w:val="3E238E27"/>
    <w:multiLevelType w:val="hybridMultilevel"/>
    <w:lvl w:ilvl="0">
      <w:lvlJc w:val="left"/>
      <w:lvlText w:val="%1)"/>
      <w:numFmt w:val="lowerRoman"/>
      <w:start w:val="5"/>
    </w:lvl>
  </w:abstractNum>
  <w:abstractNum w:abstractNumId="617">
    <w:nsid w:val="1BB4DBCD"/>
    <w:multiLevelType w:val="hybridMultilevel"/>
    <w:lvl w:ilvl="0">
      <w:lvlJc w:val="left"/>
      <w:lvlText w:val="%1)"/>
      <w:numFmt w:val="lowerRoman"/>
      <w:start w:val="1"/>
    </w:lvl>
    <w:lvl w:ilvl="1">
      <w:lvlJc w:val="left"/>
      <w:lvlText w:val="%2."/>
      <w:numFmt w:val="lowerLetter"/>
      <w:start w:val="1"/>
    </w:lvl>
  </w:abstractNum>
  <w:abstractNum w:abstractNumId="618">
    <w:nsid w:val="659DCFA3"/>
    <w:multiLevelType w:val="hybridMultilevel"/>
    <w:lvl w:ilvl="0">
      <w:lvlJc w:val="left"/>
      <w:lvlText w:val="%1"/>
      <w:numFmt w:val="lowerRoman"/>
      <w:start w:val="1"/>
    </w:lvl>
    <w:lvl w:ilvl="1">
      <w:lvlJc w:val="left"/>
      <w:lvlText w:val="%2."/>
      <w:numFmt w:val="lowerLetter"/>
      <w:start w:val="7"/>
    </w:lvl>
  </w:abstractNum>
  <w:abstractNum w:abstractNumId="619">
    <w:nsid w:val="6F07C58"/>
    <w:multiLevelType w:val="hybridMultilevel"/>
    <w:lvl w:ilvl="0">
      <w:lvlJc w:val="left"/>
      <w:lvlText w:val="%1)"/>
      <w:numFmt w:val="lowerRoman"/>
      <w:start w:val="3"/>
    </w:lvl>
    <w:lvl w:ilvl="1">
      <w:lvlJc w:val="left"/>
      <w:lvlText w:val="%2."/>
      <w:numFmt w:val="lowerLetter"/>
      <w:start w:val="1"/>
    </w:lvl>
  </w:abstractNum>
  <w:abstractNum w:abstractNumId="620">
    <w:nsid w:val="619F753B"/>
    <w:multiLevelType w:val="hybridMultilevel"/>
    <w:lvl w:ilvl="0">
      <w:lvlJc w:val="left"/>
      <w:lvlText w:val="%1)"/>
      <w:numFmt w:val="lowerRoman"/>
      <w:start w:val="1"/>
    </w:lvl>
    <w:lvl w:ilvl="1">
      <w:lvlJc w:val="left"/>
      <w:lvlText w:val="%2."/>
      <w:numFmt w:val="lowerLetter"/>
      <w:start w:val="1"/>
    </w:lvl>
  </w:abstractNum>
  <w:abstractNum w:abstractNumId="621">
    <w:nsid w:val="29BD8A97"/>
    <w:multiLevelType w:val="hybridMultilevel"/>
    <w:lvl w:ilvl="0">
      <w:lvlJc w:val="left"/>
      <w:lvlText w:val="%1"/>
      <w:numFmt w:val="lowerRoman"/>
      <w:start w:val="1"/>
    </w:lvl>
    <w:lvl w:ilvl="1">
      <w:lvlJc w:val="left"/>
      <w:lvlText w:val="%2."/>
      <w:numFmt w:val="lowerLetter"/>
      <w:start w:val="5"/>
    </w:lvl>
  </w:abstractNum>
  <w:abstractNum w:abstractNumId="622">
    <w:nsid w:val="61C66E3"/>
    <w:multiLevelType w:val="hybridMultilevel"/>
    <w:lvl w:ilvl="0">
      <w:lvlJc w:val="left"/>
      <w:lvlText w:val="%1)"/>
      <w:numFmt w:val="lowerRoman"/>
      <w:start w:val="5"/>
    </w:lvl>
    <w:lvl w:ilvl="1">
      <w:lvlJc w:val="left"/>
      <w:lvlText w:val="%2"/>
      <w:numFmt w:val="lowerLetter"/>
      <w:start w:val="1"/>
    </w:lvl>
  </w:abstractNum>
  <w:abstractNum w:abstractNumId="623">
    <w:nsid w:val="69321F16"/>
    <w:multiLevelType w:val="hybridMultilevel"/>
    <w:lvl w:ilvl="0">
      <w:lvlJc w:val="left"/>
      <w:lvlText w:val="%1."/>
      <w:numFmt w:val="decimal"/>
      <w:start w:val="23"/>
    </w:lvl>
    <w:lvl w:ilvl="1">
      <w:lvlJc w:val="left"/>
      <w:lvlText w:val="(%2)"/>
      <w:numFmt w:val="lowerRoman"/>
      <w:start w:val="1"/>
    </w:lvl>
  </w:abstractNum>
  <w:abstractNum w:abstractNumId="624">
    <w:nsid w:val="2D96B714"/>
    <w:multiLevelType w:val="hybridMultilevel"/>
    <w:lvl w:ilvl="0">
      <w:lvlJc w:val="left"/>
      <w:lvlText w:val="%1)"/>
      <w:numFmt w:val="lowerRoman"/>
      <w:start w:val="1"/>
    </w:lvl>
    <w:lvl w:ilvl="1">
      <w:lvlJc w:val="left"/>
      <w:lvlText w:val="%2."/>
      <w:numFmt w:val="lowerLetter"/>
      <w:start w:val="1"/>
    </w:lvl>
  </w:abstractNum>
  <w:abstractNum w:abstractNumId="625">
    <w:nsid w:val="3D76F9E2"/>
    <w:multiLevelType w:val="hybridMultilevel"/>
    <w:lvl w:ilvl="0">
      <w:lvlJc w:val="left"/>
      <w:lvlText w:val="%1)"/>
      <w:numFmt w:val="lowerRoman"/>
      <w:start w:val="1"/>
    </w:lvl>
  </w:abstractNum>
  <w:abstractNum w:abstractNumId="626">
    <w:nsid w:val="124A2DF8"/>
    <w:multiLevelType w:val="hybridMultilevel"/>
    <w:lvl w:ilvl="0">
      <w:lvlJc w:val="left"/>
      <w:lvlText w:val="%1)"/>
      <w:numFmt w:val="lowerRoman"/>
      <w:start w:val="2"/>
    </w:lvl>
    <w:lvl w:ilvl="1">
      <w:lvlJc w:val="left"/>
      <w:lvlText w:val="%2"/>
      <w:numFmt w:val="lowerLetter"/>
      <w:start w:val="1"/>
    </w:lvl>
    <w:lvl w:ilvl="2">
      <w:lvlJc w:val="left"/>
      <w:lvlText w:val="(%3)"/>
      <w:numFmt w:val="upperLetter"/>
      <w:start w:val="9"/>
    </w:lvl>
  </w:abstractNum>
  <w:abstractNum w:abstractNumId="627">
    <w:nsid w:val="2A26C828"/>
    <w:multiLevelType w:val="hybridMultilevel"/>
    <w:lvl w:ilvl="0">
      <w:lvlJc w:val="left"/>
      <w:lvlText w:val="(%1)"/>
      <w:numFmt w:val="upperLetter"/>
      <w:start w:val="35"/>
    </w:lvl>
  </w:abstractNum>
  <w:abstractNum w:abstractNumId="628">
    <w:nsid w:val="7FE72292"/>
    <w:multiLevelType w:val="hybridMultilevel"/>
    <w:lvl w:ilvl="0">
      <w:lvlJc w:val="left"/>
      <w:lvlText w:val="%1)"/>
      <w:numFmt w:val="lowerRoman"/>
      <w:start w:val="3"/>
    </w:lvl>
    <w:lvl w:ilvl="1">
      <w:lvlJc w:val="left"/>
      <w:lvlText w:val="%2."/>
      <w:numFmt w:val="lowerLetter"/>
      <w:start w:val="1"/>
    </w:lvl>
  </w:abstractNum>
  <w:abstractNum w:abstractNumId="629">
    <w:nsid w:val="60C94A46"/>
    <w:multiLevelType w:val="hybridMultilevel"/>
    <w:lvl w:ilvl="0">
      <w:lvlJc w:val="left"/>
      <w:lvlText w:val="%1."/>
      <w:numFmt w:val="lowerLetter"/>
      <w:start w:val="5"/>
    </w:lvl>
  </w:abstractNum>
  <w:abstractNum w:abstractNumId="630">
    <w:nsid w:val="69D9E7A"/>
    <w:multiLevelType w:val="hybridMultilevel"/>
    <w:lvl w:ilvl="0">
      <w:lvlJc w:val="left"/>
      <w:lvlText w:val="%1."/>
      <w:numFmt w:val="lowerLetter"/>
      <w:start w:val="6"/>
    </w:lvl>
  </w:abstractNum>
  <w:abstractNum w:abstractNumId="631">
    <w:nsid w:val="7F056040"/>
    <w:multiLevelType w:val="hybridMultilevel"/>
    <w:lvl w:ilvl="0">
      <w:lvlJc w:val="left"/>
      <w:lvlText w:val="%1."/>
      <w:numFmt w:val="decimal"/>
      <w:start w:val="24"/>
    </w:lvl>
  </w:abstractNum>
  <w:abstractNum w:abstractNumId="632">
    <w:nsid w:val="1D701BFF"/>
    <w:multiLevelType w:val="hybridMultilevel"/>
    <w:lvl w:ilvl="0">
      <w:lvlJc w:val="left"/>
      <w:lvlText w:val="%1)"/>
      <w:numFmt w:val="lowerRoman"/>
      <w:start w:val="1"/>
    </w:lvl>
  </w:abstractNum>
  <w:abstractNum w:abstractNumId="633">
    <w:nsid w:val="4A12EC32"/>
    <w:multiLevelType w:val="hybridMultilevel"/>
    <w:lvl w:ilvl="0">
      <w:lvlJc w:val="left"/>
      <w:lvlText w:val="%1)"/>
      <w:numFmt w:val="lowerRoman"/>
      <w:start w:val="1"/>
    </w:lvl>
  </w:abstractNum>
  <w:abstractNum w:abstractNumId="634">
    <w:nsid w:val="3F35DD67"/>
    <w:multiLevelType w:val="hybridMultilevel"/>
    <w:lvl w:ilvl="0">
      <w:lvlJc w:val="left"/>
      <w:lvlText w:val="%1)"/>
      <w:numFmt w:val="lowerRoman"/>
      <w:start w:val="2"/>
    </w:lvl>
  </w:abstractNum>
  <w:abstractNum w:abstractNumId="635">
    <w:nsid w:val="2B66AC12"/>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636">
    <w:nsid w:val="59F12779"/>
    <w:multiLevelType w:val="hybridMultilevel"/>
    <w:lvl w:ilvl="0">
      <w:lvlJc w:val="left"/>
      <w:lvlText w:val="%1"/>
      <w:numFmt w:val="lowerRoman"/>
      <w:start w:val="1"/>
    </w:lvl>
    <w:lvl w:ilvl="1">
      <w:lvlJc w:val="left"/>
      <w:lvlText w:val="%2."/>
      <w:numFmt w:val="lowerLetter"/>
      <w:start w:val="2"/>
    </w:lvl>
  </w:abstractNum>
  <w:abstractNum w:abstractNumId="637">
    <w:nsid w:val="452528CB"/>
    <w:multiLevelType w:val="hybridMultilevel"/>
    <w:lvl w:ilvl="0">
      <w:lvlJc w:val="left"/>
      <w:lvlText w:val="%1)"/>
      <w:numFmt w:val="lowerRoman"/>
      <w:start w:val="4"/>
    </w:lvl>
    <w:lvl w:ilvl="1">
      <w:lvlJc w:val="left"/>
      <w:lvlText w:val="%2"/>
      <w:numFmt w:val="lowerLetter"/>
      <w:start w:val="1"/>
    </w:lvl>
  </w:abstractNum>
  <w:abstractNum w:abstractNumId="638">
    <w:nsid w:val="4FBE108E"/>
    <w:multiLevelType w:val="hybridMultilevel"/>
    <w:lvl w:ilvl="0">
      <w:lvlJc w:val="left"/>
      <w:lvlText w:val="%1)"/>
      <w:numFmt w:val="lowerRoman"/>
      <w:start w:val="1"/>
    </w:lvl>
  </w:abstractNum>
  <w:abstractNum w:abstractNumId="639">
    <w:nsid w:val="60602E62"/>
    <w:multiLevelType w:val="hybridMultilevel"/>
    <w:lvl w:ilvl="0">
      <w:lvlJc w:val="left"/>
      <w:lvlText w:val="%1)"/>
      <w:numFmt w:val="lowerRoman"/>
      <w:start w:val="1"/>
    </w:lvl>
  </w:abstractNum>
  <w:abstractNum w:abstractNumId="640">
    <w:nsid w:val="47D0D402"/>
    <w:multiLevelType w:val="hybridMultilevel"/>
    <w:lvl w:ilvl="0">
      <w:lvlJc w:val="left"/>
      <w:lvlText w:val="%1)"/>
      <w:numFmt w:val="lowerRoman"/>
      <w:start w:val="2"/>
    </w:lvl>
  </w:abstractNum>
  <w:abstractNum w:abstractNumId="641">
    <w:nsid w:val="D1CD939"/>
    <w:multiLevelType w:val="hybridMultilevel"/>
    <w:lvl w:ilvl="0">
      <w:lvlJc w:val="left"/>
      <w:lvlText w:val="%1)"/>
      <w:numFmt w:val="lowerRoman"/>
      <w:start w:val="1"/>
    </w:lvl>
  </w:abstractNum>
  <w:abstractNum w:abstractNumId="642">
    <w:nsid w:val="12552B10"/>
    <w:multiLevelType w:val="hybridMultilevel"/>
    <w:lvl w:ilvl="0">
      <w:lvlJc w:val="left"/>
      <w:lvlText w:val="%1)"/>
      <w:numFmt w:val="lowerRoman"/>
      <w:start w:val="1"/>
    </w:lvl>
  </w:abstractNum>
  <w:abstractNum w:abstractNumId="643">
    <w:nsid w:val="F4E8872"/>
    <w:multiLevelType w:val="hybridMultilevel"/>
    <w:lvl w:ilvl="0">
      <w:lvlJc w:val="left"/>
      <w:lvlText w:val="%1)"/>
      <w:numFmt w:val="lowerRoman"/>
      <w:start w:val="1"/>
    </w:lvl>
  </w:abstractNum>
  <w:abstractNum w:abstractNumId="644">
    <w:nsid w:val="5CF24B45"/>
    <w:multiLevelType w:val="hybridMultilevel"/>
    <w:lvl w:ilvl="0">
      <w:lvlJc w:val="left"/>
      <w:lvlText w:val="%1."/>
      <w:numFmt w:val="decimal"/>
      <w:start w:val="25"/>
    </w:lvl>
  </w:abstractNum>
  <w:abstractNum w:abstractNumId="645">
    <w:nsid w:val="5F91BE56"/>
    <w:multiLevelType w:val="hybridMultilevel"/>
    <w:lvl w:ilvl="0">
      <w:lvlJc w:val="left"/>
      <w:lvlText w:val="%1)"/>
      <w:numFmt w:val="lowerRoman"/>
      <w:start w:val="1"/>
    </w:lvl>
    <w:lvl w:ilvl="1">
      <w:lvlJc w:val="left"/>
      <w:lvlText w:val="%2."/>
      <w:numFmt w:val="lowerLetter"/>
      <w:start w:val="1"/>
    </w:lvl>
  </w:abstractNum>
  <w:abstractNum w:abstractNumId="646">
    <w:nsid w:val="3C3F0BFD"/>
    <w:multiLevelType w:val="hybridMultilevel"/>
    <w:lvl w:ilvl="0">
      <w:lvlJc w:val="left"/>
      <w:lvlText w:val="%1)"/>
      <w:numFmt w:val="lowerRoman"/>
      <w:start w:val="3"/>
    </w:lvl>
    <w:lvl w:ilvl="1">
      <w:lvlJc w:val="left"/>
      <w:lvlText w:val="%2."/>
      <w:numFmt w:val="lowerLetter"/>
      <w:start w:val="1"/>
    </w:lvl>
  </w:abstractNum>
  <w:abstractNum w:abstractNumId="647">
    <w:nsid w:val="1B15D96C"/>
    <w:multiLevelType w:val="hybridMultilevel"/>
    <w:lvl w:ilvl="0">
      <w:lvlJc w:val="left"/>
      <w:lvlText w:val="%1)"/>
      <w:numFmt w:val="lowerRoman"/>
      <w:start w:val="1"/>
    </w:lvl>
    <w:lvl w:ilvl="1">
      <w:lvlJc w:val="left"/>
      <w:lvlText w:val="%2."/>
      <w:numFmt w:val="lowerLetter"/>
      <w:start w:val="1"/>
    </w:lvl>
  </w:abstractNum>
  <w:abstractNum w:abstractNumId="648">
    <w:nsid w:val="7B469A23"/>
    <w:multiLevelType w:val="hybridMultilevel"/>
    <w:lvl w:ilvl="0">
      <w:lvlJc w:val="left"/>
      <w:lvlText w:val="%1."/>
      <w:numFmt w:val="decimal"/>
      <w:start w:val="26"/>
    </w:lvl>
  </w:abstractNum>
  <w:abstractNum w:abstractNumId="649">
    <w:nsid w:val="21DCDBA0"/>
    <w:multiLevelType w:val="hybridMultilevel"/>
    <w:lvl w:ilvl="0">
      <w:lvlJc w:val="left"/>
      <w:lvlText w:val="%1."/>
      <w:numFmt w:val="decimal"/>
      <w:start w:val="27"/>
    </w:lvl>
  </w:abstractNum>
  <w:abstractNum w:abstractNumId="650">
    <w:nsid w:val="220655C4"/>
    <w:multiLevelType w:val="hybridMultilevel"/>
    <w:lvl w:ilvl="0">
      <w:lvlJc w:val="left"/>
      <w:lvlText w:val="%1)"/>
      <w:numFmt w:val="lowerRoman"/>
      <w:start w:val="1"/>
    </w:lvl>
  </w:abstractNum>
  <w:abstractNum w:abstractNumId="651">
    <w:nsid w:val="5CE60F5E"/>
    <w:multiLevelType w:val="hybridMultilevel"/>
    <w:lvl w:ilvl="0">
      <w:lvlJc w:val="left"/>
      <w:lvlText w:val="%1."/>
      <w:numFmt w:val="decimal"/>
      <w:start w:val="29"/>
    </w:lvl>
  </w:abstractNum>
  <w:abstractNum w:abstractNumId="652">
    <w:nsid w:val="4B9A6638"/>
    <w:multiLevelType w:val="hybridMultilevel"/>
    <w:lvl w:ilvl="0">
      <w:lvlJc w:val="left"/>
      <w:lvlText w:val="%1)"/>
      <w:numFmt w:val="lowerRoman"/>
      <w:start w:val="1"/>
    </w:lvl>
  </w:abstractNum>
  <w:abstractNum w:abstractNumId="653">
    <w:nsid w:val="2822BCA7"/>
    <w:multiLevelType w:val="hybridMultilevel"/>
    <w:lvl w:ilvl="0">
      <w:lvlJc w:val="left"/>
      <w:lvlText w:val="%1)"/>
      <w:numFmt w:val="lowerRoman"/>
      <w:start w:val="3"/>
    </w:lvl>
  </w:abstractNum>
  <w:abstractNum w:abstractNumId="654">
    <w:nsid w:val="46182E75"/>
    <w:multiLevelType w:val="hybridMultilevel"/>
    <w:lvl w:ilvl="0">
      <w:lvlJc w:val="left"/>
      <w:lvlText w:val="%1)"/>
      <w:numFmt w:val="lowerRoman"/>
      <w:start w:val="1"/>
    </w:lvl>
    <w:lvl w:ilvl="1">
      <w:lvlJc w:val="left"/>
      <w:lvlText w:val="%2."/>
      <w:numFmt w:val="lowerLetter"/>
      <w:start w:val="1"/>
    </w:lvl>
  </w:abstractNum>
  <w:abstractNum w:abstractNumId="655">
    <w:nsid w:val="79311D4C"/>
    <w:multiLevelType w:val="hybridMultilevel"/>
    <w:lvl w:ilvl="0">
      <w:lvlJc w:val="left"/>
      <w:lvlText w:val="%1)"/>
      <w:numFmt w:val="lowerRoman"/>
      <w:start w:val="1"/>
    </w:lvl>
  </w:abstractNum>
  <w:abstractNum w:abstractNumId="656">
    <w:nsid w:val="6599B689"/>
    <w:multiLevelType w:val="hybridMultilevel"/>
    <w:lvl w:ilvl="0">
      <w:lvlJc w:val="left"/>
      <w:lvlText w:val="%1."/>
      <w:numFmt w:val="lowerLetter"/>
      <w:start w:val="1"/>
    </w:lvl>
  </w:abstractNum>
  <w:abstractNum w:abstractNumId="657">
    <w:nsid w:val="58625C6D"/>
    <w:multiLevelType w:val="hybridMultilevel"/>
    <w:lvl w:ilvl="0">
      <w:lvlJc w:val="left"/>
      <w:lvlText w:val="%1)"/>
      <w:numFmt w:val="lowerRoman"/>
      <w:start w:val="2"/>
    </w:lvl>
  </w:abstractNum>
  <w:abstractNum w:abstractNumId="658">
    <w:nsid w:val="2357E574"/>
    <w:multiLevelType w:val="hybridMultilevel"/>
    <w:lvl w:ilvl="0">
      <w:lvlJc w:val="left"/>
      <w:lvlText w:val="%1)"/>
      <w:numFmt w:val="lowerRoman"/>
      <w:start w:val="1"/>
    </w:lvl>
  </w:abstractNum>
  <w:abstractNum w:abstractNumId="659">
    <w:nsid w:val="6580D91B"/>
    <w:multiLevelType w:val="hybridMultilevel"/>
    <w:lvl w:ilvl="0">
      <w:lvlJc w:val="left"/>
      <w:lvlText w:val="%1)"/>
      <w:numFmt w:val="lowerRoman"/>
      <w:start w:val="4"/>
    </w:lvl>
  </w:abstractNum>
  <w:abstractNum w:abstractNumId="660">
    <w:nsid w:val="392BA6B3"/>
    <w:multiLevelType w:val="hybridMultilevel"/>
    <w:lvl w:ilvl="0">
      <w:lvlJc w:val="left"/>
      <w:lvlText w:val="%1."/>
      <w:numFmt w:val="decimal"/>
      <w:start w:val="30"/>
    </w:lvl>
  </w:abstractNum>
  <w:abstractNum w:abstractNumId="661">
    <w:nsid w:val="29F583EF"/>
    <w:multiLevelType w:val="hybridMultilevel"/>
    <w:lvl w:ilvl="0">
      <w:lvlJc w:val="left"/>
      <w:lvlText w:val="%1."/>
      <w:numFmt w:val="decimal"/>
      <w:start w:val="32"/>
    </w:lvl>
  </w:abstractNum>
  <w:abstractNum w:abstractNumId="662">
    <w:nsid w:val="6486395B"/>
    <w:multiLevelType w:val="hybridMultilevel"/>
    <w:lvl w:ilvl="0">
      <w:lvlJc w:val="left"/>
      <w:lvlText w:val="%1."/>
      <w:numFmt w:val="decimal"/>
      <w:start w:val="34"/>
    </w:lvl>
  </w:abstractNum>
  <w:abstractNum w:abstractNumId="663">
    <w:nsid w:val="569BC2B2"/>
    <w:multiLevelType w:val="hybridMultilevel"/>
    <w:lvl w:ilvl="0">
      <w:lvlJc w:val="left"/>
      <w:lvlText w:val="%1)"/>
      <w:numFmt w:val="lowerRoman"/>
      <w:start w:val="1"/>
    </w:lvl>
  </w:abstractNum>
  <w:abstractNum w:abstractNumId="664">
    <w:nsid w:val="74087021"/>
    <w:multiLevelType w:val="hybridMultilevel"/>
    <w:lvl w:ilvl="0">
      <w:lvlJc w:val="left"/>
      <w:lvlText w:val="%1)"/>
      <w:numFmt w:val="lowerRoman"/>
      <w:start w:val="1"/>
    </w:lvl>
  </w:abstractNum>
  <w:abstractNum w:abstractNumId="665">
    <w:nsid w:val="23BC16C2"/>
    <w:multiLevelType w:val="hybridMultilevel"/>
    <w:lvl w:ilvl="0">
      <w:lvlJc w:val="left"/>
      <w:lvlText w:val="%1."/>
      <w:numFmt w:val="decimal"/>
      <w:start w:val="35"/>
    </w:lvl>
  </w:abstractNum>
  <w:abstractNum w:abstractNumId="666">
    <w:nsid w:val="2026EC5"/>
    <w:multiLevelType w:val="hybridMultilevel"/>
    <w:lvl w:ilvl="0">
      <w:lvlJc w:val="left"/>
      <w:lvlText w:val="%1."/>
      <w:numFmt w:val="decimal"/>
      <w:start w:val="39"/>
    </w:lvl>
  </w:abstractNum>
  <w:abstractNum w:abstractNumId="667">
    <w:nsid w:val="4DF9979A"/>
    <w:multiLevelType w:val="hybridMultilevel"/>
    <w:lvl w:ilvl="0">
      <w:lvlJc w:val="left"/>
      <w:lvlText w:val="%1."/>
      <w:numFmt w:val="decimal"/>
      <w:start w:val="43"/>
    </w:lvl>
  </w:abstractNum>
  <w:abstractNum w:abstractNumId="668">
    <w:nsid w:val="68E13F8E"/>
    <w:multiLevelType w:val="hybridMultilevel"/>
    <w:lvl w:ilvl="0">
      <w:lvlJc w:val="left"/>
      <w:lvlText w:val="%1."/>
      <w:numFmt w:val="decimal"/>
      <w:start w:val="47"/>
    </w:lvl>
  </w:abstractNum>
  <w:abstractNum w:abstractNumId="669">
    <w:nsid w:val="51C07F53"/>
    <w:multiLevelType w:val="hybridMultilevel"/>
    <w:lvl w:ilvl="0">
      <w:lvlJc w:val="left"/>
      <w:lvlText w:val="%1)"/>
      <w:numFmt w:val="lowerRoman"/>
      <w:start w:val="1"/>
    </w:lvl>
    <w:lvl w:ilvl="1">
      <w:lvlJc w:val="left"/>
      <w:lvlText w:val="%2."/>
      <w:numFmt w:val="lowerLetter"/>
      <w:start w:val="1"/>
    </w:lvl>
  </w:abstractNum>
  <w:abstractNum w:abstractNumId="670">
    <w:nsid w:val="2E59C5FD"/>
    <w:multiLevelType w:val="hybridMultilevel"/>
    <w:lvl w:ilvl="0">
      <w:lvlJc w:val="left"/>
      <w:lvlText w:val="%1."/>
      <w:numFmt w:val="lowerLetter"/>
      <w:start w:val="2"/>
    </w:lvl>
  </w:abstractNum>
  <w:abstractNum w:abstractNumId="671">
    <w:nsid w:val="30B21390"/>
    <w:multiLevelType w:val="hybridMultilevel"/>
    <w:lvl w:ilvl="0">
      <w:lvlJc w:val="left"/>
      <w:lvlText w:val="%1."/>
      <w:numFmt w:val="decimal"/>
      <w:start w:val="49"/>
    </w:lvl>
  </w:abstractNum>
  <w:abstractNum w:abstractNumId="672">
    <w:nsid w:val="5EDD588C"/>
    <w:multiLevelType w:val="hybridMultilevel"/>
    <w:lvl w:ilvl="0">
      <w:lvlJc w:val="left"/>
      <w:lvlText w:val="[●]"/>
      <w:numFmt w:val="bullet"/>
      <w:start w:val="1"/>
    </w:lvl>
  </w:abstractNum>
  <w:abstractNum w:abstractNumId="673">
    <w:nsid w:val="40AEF10D"/>
    <w:multiLevelType w:val="hybridMultilevel"/>
    <w:lvl w:ilvl="0">
      <w:lvlJc w:val="left"/>
      <w:lvlText w:val="2"/>
      <w:numFmt w:val="bullet"/>
      <w:start w:val="1"/>
    </w:lvl>
  </w:abstractNum>
  <w:abstractNum w:abstractNumId="674">
    <w:nsid w:val="40009C03"/>
    <w:multiLevelType w:val="hybridMultilevel"/>
    <w:lvl w:ilvl="0">
      <w:lvlJc w:val="left"/>
      <w:lvlText w:val="3"/>
      <w:numFmt w:val="bullet"/>
      <w:start w:val="1"/>
    </w:lvl>
  </w:abstractNum>
  <w:abstractNum w:abstractNumId="675">
    <w:nsid w:val="3BCFA3D1"/>
    <w:multiLevelType w:val="hybridMultilevel"/>
    <w:lvl w:ilvl="0">
      <w:lvlJc w:val="left"/>
      <w:lvlText w:val="4"/>
      <w:numFmt w:val="bullet"/>
      <w:start w:val="1"/>
    </w:lvl>
  </w:abstractNum>
  <w:abstractNum w:abstractNumId="676">
    <w:nsid w:val="2040AF63"/>
    <w:multiLevelType w:val="hybridMultilevel"/>
    <w:lvl w:ilvl="0">
      <w:lvlJc w:val="left"/>
      <w:lvlText w:val="5"/>
      <w:numFmt w:val="bullet"/>
      <w:start w:val="1"/>
    </w:lvl>
  </w:abstractNum>
  <w:abstractNum w:abstractNumId="677">
    <w:nsid w:val="7C3FA800"/>
    <w:multiLevelType w:val="hybridMultilevel"/>
    <w:lvl w:ilvl="0">
      <w:lvlJc w:val="left"/>
      <w:lvlText w:val="(%1)"/>
      <w:numFmt w:val="lowerRoman"/>
      <w:start w:val="3"/>
    </w:lvl>
  </w:abstractNum>
  <w:abstractNum w:abstractNumId="678">
    <w:nsid w:val="56E57D3D"/>
    <w:multiLevelType w:val="hybridMultilevel"/>
    <w:lvl w:ilvl="0">
      <w:lvlJc w:val="left"/>
      <w:lvlText w:val="%1."/>
      <w:numFmt w:val="decimal"/>
      <w:start w:val="1"/>
    </w:lvl>
    <w:lvl w:ilvl="1">
      <w:lvlJc w:val="left"/>
      <w:lvlText w:val="(%2)"/>
      <w:numFmt w:val="lowerRoman"/>
      <w:start w:val="1"/>
    </w:lvl>
  </w:abstractNum>
  <w:abstractNum w:abstractNumId="679">
    <w:nsid w:val="1B874986"/>
    <w:multiLevelType w:val="hybridMultilevel"/>
    <w:lvl w:ilvl="0">
      <w:lvlJc w:val="left"/>
      <w:lvlText w:val="%1."/>
      <w:numFmt w:val="decimal"/>
      <w:start w:val="1"/>
    </w:lvl>
    <w:lvl w:ilvl="1">
      <w:lvlJc w:val="left"/>
      <w:lvlText w:val="%2."/>
      <w:numFmt w:val="lowerLetter"/>
      <w:start w:val="1"/>
    </w:lvl>
  </w:abstractNum>
  <w:abstractNum w:abstractNumId="680">
    <w:nsid w:val="1E1C83A1"/>
    <w:multiLevelType w:val="hybridMultilevel"/>
    <w:lvl w:ilvl="0">
      <w:lvlJc w:val="left"/>
      <w:lvlText w:val="%1"/>
      <w:numFmt w:val="decimal"/>
      <w:start w:val="1"/>
    </w:lvl>
    <w:lvl w:ilvl="1">
      <w:lvlJc w:val="left"/>
      <w:lvlText w:val="%2."/>
      <w:numFmt w:val="lowerLetter"/>
      <w:start w:val="2"/>
    </w:lvl>
  </w:abstractNum>
  <w:abstractNum w:abstractNumId="681">
    <w:nsid w:val="78EBD301"/>
    <w:multiLevelType w:val="hybridMultilevel"/>
    <w:lvl w:ilvl="0">
      <w:lvlJc w:val="left"/>
      <w:lvlText w:val="%1."/>
      <w:numFmt w:val="decimal"/>
      <w:start w:val="4"/>
    </w:lvl>
    <w:lvl w:ilvl="1">
      <w:lvlJc w:val="left"/>
      <w:lvlText w:val="%2."/>
      <w:numFmt w:val="lowerLetter"/>
      <w:start w:val="1"/>
    </w:lvl>
  </w:abstractNum>
  <w:abstractNum w:abstractNumId="682">
    <w:nsid w:val="786D58E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683">
    <w:nsid w:val="69B6E9D9"/>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684">
    <w:nsid w:val="210E8FA8"/>
    <w:multiLevelType w:val="hybridMultilevel"/>
    <w:lvl w:ilvl="0">
      <w:lvlJc w:val="left"/>
      <w:lvlText w:val="(%1)"/>
      <w:numFmt w:val="lowerRoman"/>
      <w:start w:val="2"/>
    </w:lvl>
    <w:lvl w:ilvl="1">
      <w:lvlJc w:val="left"/>
      <w:lvlText w:val="%2."/>
      <w:numFmt w:val="decimal"/>
      <w:start w:val="7"/>
    </w:lvl>
    <w:lvl w:ilvl="2">
      <w:lvlJc w:val="left"/>
      <w:lvlText w:val="%3"/>
      <w:numFmt w:val="lowerLetter"/>
      <w:start w:val="1"/>
    </w:lvl>
  </w:abstractNum>
  <w:abstractNum w:abstractNumId="685">
    <w:nsid w:val="3E858759"/>
    <w:multiLevelType w:val="hybridMultilevel"/>
    <w:lvl w:ilvl="0">
      <w:lvlJc w:val="left"/>
      <w:lvlText w:val="(%1)"/>
      <w:numFmt w:val="lowerLetter"/>
      <w:start w:val="1"/>
    </w:lvl>
  </w:abstractNum>
  <w:abstractNum w:abstractNumId="686">
    <w:nsid w:val="62E80725"/>
    <w:multiLevelType w:val="hybridMultilevel"/>
    <w:lvl w:ilvl="0">
      <w:lvlJc w:val="left"/>
      <w:lvlText w:val="%1."/>
      <w:numFmt w:val="decimal"/>
      <w:start w:val="8"/>
    </w:lvl>
    <w:lvl w:ilvl="1">
      <w:lvlJc w:val="left"/>
      <w:lvlText w:val="%2."/>
      <w:numFmt w:val="lowerLetter"/>
      <w:start w:val="1"/>
    </w:lvl>
  </w:abstractNum>
  <w:abstractNum w:abstractNumId="687">
    <w:nsid w:val="6A84631"/>
    <w:multiLevelType w:val="hybridMultilevel"/>
    <w:lvl w:ilvl="0">
      <w:lvlJc w:val="left"/>
      <w:lvlText w:val="%1."/>
      <w:numFmt w:val="decimal"/>
      <w:start w:val="1"/>
    </w:lvl>
    <w:lvl w:ilvl="1">
      <w:lvlJc w:val="left"/>
      <w:lvlText w:val="%2."/>
      <w:numFmt w:val="lowerLetter"/>
      <w:start w:val="1"/>
    </w:lvl>
  </w:abstractNum>
  <w:abstractNum w:abstractNumId="688">
    <w:nsid w:val="16E7E3C7"/>
    <w:multiLevelType w:val="hybridMultilevel"/>
    <w:lvl w:ilvl="0">
      <w:lvlJc w:val="left"/>
      <w:lvlText w:val="%1."/>
      <w:numFmt w:val="decimal"/>
      <w:start w:val="5"/>
    </w:lvl>
  </w:abstractNum>
  <w:abstractNum w:abstractNumId="689">
    <w:nsid w:val="63FEC9A"/>
    <w:multiLevelType w:val="hybridMultilevel"/>
    <w:lvl w:ilvl="0">
      <w:lvlJc w:val="left"/>
      <w:lvlText w:val="%1"/>
      <w:numFmt w:val="lowerRoman"/>
      <w:start w:val="1"/>
    </w:lvl>
    <w:lvl w:ilvl="1">
      <w:lvlJc w:val="left"/>
      <w:lvlText w:val="%2."/>
      <w:numFmt w:val="decimal"/>
      <w:start w:val="1"/>
    </w:lvl>
  </w:abstractNum>
  <w:abstractNum w:abstractNumId="690">
    <w:nsid w:val="6C291F4C"/>
    <w:multiLevelType w:val="hybridMultilevel"/>
    <w:lvl w:ilvl="0">
      <w:lvlJc w:val="left"/>
      <w:lvlText w:val="(%1)"/>
      <w:numFmt w:val="lowerRoman"/>
      <w:start w:val="4"/>
    </w:lvl>
    <w:lvl w:ilvl="1">
      <w:lvlJc w:val="left"/>
      <w:lvlText w:val="%2"/>
      <w:numFmt w:val="decimal"/>
      <w:start w:val="1"/>
    </w:lvl>
  </w:abstractNum>
  <w:abstractNum w:abstractNumId="691">
    <w:nsid w:val="50138A7A"/>
    <w:multiLevelType w:val="hybridMultilevel"/>
    <w:lvl w:ilvl="0">
      <w:lvlJc w:val="left"/>
      <w:lvlText w:val="%1."/>
      <w:numFmt w:val="decimal"/>
      <w:start w:val="4"/>
    </w:lvl>
  </w:abstractNum>
  <w:abstractNum w:abstractNumId="692">
    <w:nsid w:val="30357089"/>
    <w:multiLevelType w:val="hybridMultilevel"/>
    <w:lvl w:ilvl="0">
      <w:lvlJc w:val="left"/>
      <w:lvlText w:val="(%1)"/>
      <w:numFmt w:val="decimal"/>
      <w:start w:val="1"/>
    </w:lvl>
  </w:abstractNum>
  <w:abstractNum w:abstractNumId="693">
    <w:nsid w:val="50AF58A7"/>
    <w:multiLevelType w:val="hybridMultilevel"/>
    <w:lvl w:ilvl="0">
      <w:lvlJc w:val="left"/>
      <w:lvlText w:val="(%1)"/>
      <w:numFmt w:val="lowerLetter"/>
      <w:start w:val="1"/>
    </w:lvl>
  </w:abstractNum>
  <w:abstractNum w:abstractNumId="694">
    <w:nsid w:val="26AF4D2D"/>
    <w:multiLevelType w:val="hybridMultilevel"/>
    <w:lvl w:ilvl="0">
      <w:lvlJc w:val="left"/>
      <w:lvlText w:val="(%1)"/>
      <w:numFmt w:val="lowerLetter"/>
      <w:start w:val="3"/>
    </w:lvl>
  </w:abstractNum>
  <w:abstractNum w:abstractNumId="695">
    <w:nsid w:val="243DE0AA"/>
    <w:multiLevelType w:val="hybridMultilevel"/>
    <w:lvl w:ilvl="0">
      <w:lvlJc w:val="left"/>
      <w:lvlText w:val="(%1)"/>
      <w:numFmt w:val="lowerLetter"/>
      <w:start w:val="1"/>
    </w:lvl>
  </w:abstractNum>
  <w:abstractNum w:abstractNumId="696">
    <w:nsid w:val="746B6F6A"/>
    <w:multiLevelType w:val="hybridMultilevel"/>
    <w:lvl w:ilvl="0">
      <w:lvlJc w:val="left"/>
      <w:lvlText w:val="(%1)"/>
      <w:numFmt w:val="lowerLetter"/>
      <w:start w:val="3"/>
    </w:lvl>
  </w:abstractNum>
  <w:abstractNum w:abstractNumId="697">
    <w:nsid w:val="28B1BBF2"/>
    <w:multiLevelType w:val="hybridMultilevel"/>
    <w:lvl w:ilvl="0">
      <w:lvlJc w:val="left"/>
      <w:lvlText w:val="(%1)"/>
      <w:numFmt w:val="lowerLetter"/>
      <w:start w:val="1"/>
    </w:lvl>
  </w:abstractNum>
  <w:abstractNum w:abstractNumId="698">
    <w:nsid w:val="72377844"/>
    <w:multiLevelType w:val="hybridMultilevel"/>
    <w:lvl w:ilvl="0">
      <w:lvlJc w:val="left"/>
      <w:lvlText w:val="(%1)"/>
      <w:numFmt w:val="lowerLetter"/>
      <w:start w:val="3"/>
    </w:lvl>
  </w:abstractNum>
  <w:abstractNum w:abstractNumId="699">
    <w:nsid w:val="5D4CAEF8"/>
    <w:multiLevelType w:val="hybridMultilevel"/>
    <w:lvl w:ilvl="0">
      <w:lvlJc w:val="left"/>
      <w:lvlText w:val="(%1)"/>
      <w:numFmt w:val="lowerRoman"/>
      <w:start w:val="1"/>
    </w:lvl>
  </w:abstractNum>
  <w:abstractNum w:abstractNumId="700">
    <w:nsid w:val="7A723B45"/>
    <w:multiLevelType w:val="hybridMultilevel"/>
    <w:lvl w:ilvl="0">
      <w:lvlJc w:val="left"/>
      <w:lvlText w:val="(%1)"/>
      <w:numFmt w:val="lowerRoman"/>
      <w:start w:val="3"/>
    </w:lvl>
  </w:abstractNum>
  <w:abstractNum w:abstractNumId="701">
    <w:nsid w:val="20913E41"/>
    <w:multiLevelType w:val="hybridMultilevel"/>
    <w:lvl w:ilvl="0">
      <w:lvlJc w:val="left"/>
      <w:lvlText w:val="(%1)"/>
      <w:numFmt w:val="lowerLetter"/>
      <w:start w:val="2"/>
    </w:lvl>
  </w:abstractNum>
  <w:abstractNum w:abstractNumId="702">
    <w:nsid w:val="DFEC288"/>
    <w:multiLevelType w:val="hybridMultilevel"/>
    <w:lvl w:ilvl="0">
      <w:lvlJc w:val="left"/>
      <w:lvlText w:val="(%1)"/>
      <w:numFmt w:val="lowerLetter"/>
      <w:start w:val="1"/>
    </w:lvl>
  </w:abstractNum>
  <w:abstractNum w:abstractNumId="703">
    <w:nsid w:val="594F93D1"/>
    <w:multiLevelType w:val="hybridMultilevel"/>
    <w:lvl w:ilvl="0">
      <w:lvlJc w:val="left"/>
      <w:lvlText w:val="(%1)"/>
      <w:numFmt w:val="lowerLetter"/>
      <w:start w:val="12"/>
    </w:lvl>
  </w:abstractNum>
  <w:abstractNum w:abstractNumId="704">
    <w:nsid w:val="61402F4E"/>
    <w:multiLevelType w:val="hybridMultilevel"/>
    <w:lvl w:ilvl="0">
      <w:lvlJc w:val="left"/>
      <w:lvlText w:val="(%1)"/>
      <w:numFmt w:val="lowerLetter"/>
      <w:start w:val="1"/>
    </w:lvl>
  </w:abstractNum>
  <w:abstractNum w:abstractNumId="705">
    <w:nsid w:val="4DFF5E8B"/>
    <w:multiLevelType w:val="hybridMultilevel"/>
    <w:lvl w:ilvl="0">
      <w:lvlJc w:val="left"/>
      <w:lvlText w:val="(%1)"/>
      <w:numFmt w:val="lowerLetter"/>
      <w:start w:val="1"/>
    </w:lvl>
  </w:abstractNum>
  <w:abstractNum w:abstractNumId="706">
    <w:nsid w:val="151F37A3"/>
    <w:multiLevelType w:val="hybridMultilevel"/>
    <w:lvl w:ilvl="0">
      <w:lvlJc w:val="left"/>
      <w:lvlText w:val="%1."/>
      <w:numFmt w:val="decimal"/>
      <w:start w:val="21"/>
    </w:lvl>
  </w:abstractNum>
  <w:abstractNum w:abstractNumId="707">
    <w:nsid w:val="180DEB1"/>
    <w:multiLevelType w:val="hybridMultilevel"/>
    <w:lvl w:ilvl="0">
      <w:lvlJc w:val="left"/>
      <w:lvlText w:val="(%1)"/>
      <w:numFmt w:val="lowerLetter"/>
      <w:start w:val="1"/>
    </w:lvl>
  </w:abstractNum>
  <w:abstractNum w:abstractNumId="708">
    <w:nsid w:val="4A3F068C"/>
    <w:multiLevelType w:val="hybridMultilevel"/>
    <w:lvl w:ilvl="0">
      <w:lvlJc w:val="left"/>
      <w:lvlText w:val="(%1)"/>
      <w:numFmt w:val="lowerLetter"/>
      <w:start w:val="2"/>
    </w:lvl>
  </w:abstractNum>
  <w:abstractNum w:abstractNumId="709">
    <w:nsid w:val="6C04B4E0"/>
    <w:multiLevelType w:val="hybridMultilevel"/>
    <w:lvl w:ilvl="0">
      <w:lvlJc w:val="left"/>
      <w:lvlText w:val="(%1)"/>
      <w:numFmt w:val="lowerRoman"/>
      <w:start w:val="10"/>
    </w:lvl>
  </w:abstractNum>
  <w:abstractNum w:abstractNumId="710">
    <w:nsid w:val="1D082837"/>
    <w:multiLevelType w:val="hybridMultilevel"/>
    <w:lvl w:ilvl="0">
      <w:lvlJc w:val="left"/>
      <w:lvlText w:val="(%1)"/>
      <w:numFmt w:val="lowerLetter"/>
      <w:start w:val="1"/>
    </w:lvl>
  </w:abstractNum>
  <w:abstractNum w:abstractNumId="711">
    <w:nsid w:val="685B8A2D"/>
    <w:multiLevelType w:val="hybridMultilevel"/>
    <w:lvl w:ilvl="0">
      <w:lvlJc w:val="left"/>
      <w:lvlText w:val="(%1)"/>
      <w:numFmt w:val="lowerRoman"/>
      <w:start w:val="1"/>
    </w:lvl>
  </w:abstractNum>
  <w:abstractNum w:abstractNumId="712">
    <w:nsid w:val="64F087E2"/>
    <w:multiLevelType w:val="hybridMultilevel"/>
    <w:lvl w:ilvl="0">
      <w:lvlJc w:val="left"/>
      <w:lvlText w:val="(%1)"/>
      <w:numFmt w:val="lowerLetter"/>
      <w:start w:val="1"/>
    </w:lvl>
  </w:abstractNum>
  <w:abstractNum w:abstractNumId="713">
    <w:nsid w:val="1575811C"/>
    <w:multiLevelType w:val="hybridMultilevel"/>
    <w:lvl w:ilvl="0">
      <w:lvlJc w:val="left"/>
      <w:lvlText w:val="%1"/>
      <w:numFmt w:val="lowerLetter"/>
      <w:start w:val="1"/>
    </w:lvl>
    <w:lvl w:ilvl="1">
      <w:lvlJc w:val="left"/>
      <w:lvlText w:val="(%2)"/>
      <w:numFmt w:val="lowerLetter"/>
      <w:start w:val="2"/>
    </w:lvl>
  </w:abstractNum>
  <w:abstractNum w:abstractNumId="714">
    <w:nsid w:val="52127406"/>
    <w:multiLevelType w:val="hybridMultilevel"/>
    <w:lvl w:ilvl="0">
      <w:lvlJc w:val="left"/>
      <w:lvlText w:val="(%1)"/>
      <w:numFmt w:val="lowerLetter"/>
      <w:start w:val="9"/>
    </w:lvl>
    <w:lvl w:ilvl="1">
      <w:lvlJc w:val="left"/>
      <w:lvlText w:val="%2"/>
      <w:numFmt w:val="lowerLetter"/>
      <w:start w:val="1"/>
    </w:lvl>
  </w:abstractNum>
  <w:abstractNum w:abstractNumId="715">
    <w:nsid w:val="5FF178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716">
    <w:nsid w:val="53FB0875"/>
    <w:multiLevelType w:val="hybridMultilevel"/>
    <w:lvl w:ilvl="0">
      <w:lvlJc w:val="left"/>
      <w:lvlText w:val="(%1)"/>
      <w:numFmt w:val="lowerLetter"/>
      <w:start w:val="9"/>
    </w:lvl>
    <w:lvl w:ilvl="1">
      <w:lvlJc w:val="left"/>
      <w:lvlText w:val="(%2)"/>
      <w:numFmt w:val="lowerLetter"/>
      <w:start w:val="60"/>
    </w:lvl>
    <w:lvl w:ilvl="2">
      <w:lvlJc w:val="left"/>
      <w:lvlText w:val="(%3)"/>
      <w:numFmt w:val="lowerLetter"/>
      <w:start w:val="8"/>
    </w:lvl>
    <w:lvl w:ilvl="3">
      <w:lvlJc w:val="left"/>
      <w:lvlText w:val="(%4)"/>
      <w:numFmt w:val="lowerLetter"/>
      <w:start w:val="3"/>
    </w:lvl>
  </w:abstractNum>
  <w:abstractNum w:abstractNumId="717">
    <w:nsid w:val="34FA7B2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lowerLetter"/>
      <w:start w:val="1"/>
    </w:lvl>
  </w:abstractNum>
  <w:abstractNum w:abstractNumId="718">
    <w:nsid w:val="CA75DBC"/>
    <w:multiLevelType w:val="hybridMultilevel"/>
    <w:lvl w:ilvl="0">
      <w:lvlJc w:val="left"/>
      <w:lvlText w:val="(%1)"/>
      <w:numFmt w:val="lowerLetter"/>
      <w:start w:val="61"/>
    </w:lvl>
    <w:lvl w:ilvl="1">
      <w:lvlJc w:val="left"/>
      <w:lvlText w:val="(%2)"/>
      <w:numFmt w:val="lowerLetter"/>
      <w:start w:val="4"/>
    </w:lvl>
  </w:abstractNum>
  <w:abstractNum w:abstractNumId="719">
    <w:nsid w:val="6AE2EC3C"/>
    <w:multiLevelType w:val="hybridMultilevel"/>
    <w:lvl w:ilvl="0">
      <w:lvlJc w:val="left"/>
      <w:lvlText w:val="(%1)"/>
      <w:numFmt w:val="lowerLetter"/>
      <w:start w:val="1"/>
    </w:lvl>
  </w:abstractNum>
  <w:abstractNum w:abstractNumId="720">
    <w:nsid w:val="3B3A67C5"/>
    <w:multiLevelType w:val="hybridMultilevel"/>
    <w:lvl w:ilvl="0">
      <w:lvlJc w:val="left"/>
      <w:lvlText w:val="(%1)"/>
      <w:numFmt w:val="lowerLetter"/>
      <w:start w:val="1"/>
    </w:lvl>
  </w:abstractNum>
  <w:abstractNum w:abstractNumId="721">
    <w:nsid w:val="78D07D08"/>
    <w:multiLevelType w:val="hybridMultilevel"/>
    <w:lvl w:ilvl="0">
      <w:lvlJc w:val="left"/>
      <w:lvlText w:val="%1"/>
      <w:numFmt w:val="decimal"/>
      <w:start w:val="1"/>
    </w:lvl>
    <w:lvl w:ilvl="1">
      <w:lvlJc w:val="left"/>
      <w:lvlText w:val="(%2)"/>
      <w:numFmt w:val="lowerLetter"/>
      <w:start w:val="1"/>
    </w:lvl>
  </w:abstractNum>
  <w:abstractNum w:abstractNumId="722">
    <w:nsid w:val="3AF676B7"/>
    <w:multiLevelType w:val="hybridMultilevel"/>
    <w:lvl w:ilvl="0">
      <w:lvlJc w:val="left"/>
      <w:lvlText w:val="(%1)"/>
      <w:numFmt w:val="decimal"/>
      <w:start w:val="1"/>
    </w:lvl>
    <w:lvl w:ilvl="1">
      <w:lvlJc w:val="left"/>
      <w:lvlText w:val="(%2)"/>
      <w:numFmt w:val="lowerLetter"/>
      <w:start w:val="5"/>
    </w:lvl>
  </w:abstractNum>
  <w:abstractNum w:abstractNumId="723">
    <w:nsid w:val="6B6FD84E"/>
    <w:multiLevelType w:val="hybridMultilevel"/>
    <w:lvl w:ilvl="0">
      <w:lvlJc w:val="left"/>
      <w:lvlText w:val="(%1)"/>
      <w:numFmt w:val="lowerLetter"/>
      <w:start w:val="6"/>
    </w:lvl>
  </w:abstractNum>
  <w:abstractNum w:abstractNumId="724">
    <w:nsid w:val="497FD5B0"/>
    <w:multiLevelType w:val="hybridMultilevel"/>
    <w:lvl w:ilvl="0">
      <w:lvlJc w:val="left"/>
      <w:lvlText w:val="(%1)"/>
      <w:numFmt w:val="lowerLetter"/>
      <w:start w:val="7"/>
    </w:lvl>
  </w:abstractNum>
  <w:abstractNum w:abstractNumId="725">
    <w:nsid w:val="61A5C3E4"/>
    <w:multiLevelType w:val="hybridMultilevel"/>
    <w:lvl w:ilvl="0">
      <w:lvlJc w:val="left"/>
      <w:lvlText w:val="(%1)"/>
      <w:numFmt w:val="lowerLetter"/>
      <w:start w:val="1"/>
    </w:lvl>
  </w:abstractNum>
  <w:abstractNum w:abstractNumId="726">
    <w:nsid w:val="FADB8F8"/>
    <w:multiLevelType w:val="hybridMultilevel"/>
    <w:lvl w:ilvl="0">
      <w:lvlJc w:val="left"/>
      <w:lvlText w:val="(%1)"/>
      <w:numFmt w:val="lowerLetter"/>
      <w:start w:val="4"/>
    </w:lvl>
  </w:abstractNum>
  <w:abstractNum w:abstractNumId="727">
    <w:nsid w:val="3DEB451A"/>
    <w:multiLevelType w:val="hybridMultilevel"/>
    <w:lvl w:ilvl="0">
      <w:lvlJc w:val="left"/>
      <w:lvlText w:val="%1"/>
      <w:numFmt w:val="upperLetter"/>
      <w:start w:val="1"/>
    </w:lvl>
    <w:lvl w:ilvl="1">
      <w:lvlJc w:val="left"/>
      <w:lvlText w:val="(%2)"/>
      <w:numFmt w:val="lowerLetter"/>
      <w:start w:val="1"/>
    </w:lvl>
  </w:abstractNum>
  <w:abstractNum w:abstractNumId="728">
    <w:nsid w:val="A577FD6"/>
    <w:multiLevelType w:val="hybridMultilevel"/>
    <w:lvl w:ilvl="0">
      <w:lvlJc w:val="left"/>
      <w:lvlText w:val="(%1)"/>
      <w:numFmt w:val="upperLetter"/>
      <w:start w:val="1"/>
    </w:lvl>
    <w:lvl w:ilvl="1">
      <w:lvlJc w:val="left"/>
      <w:lvlText w:val="(%2)"/>
      <w:numFmt w:val="lowerLetter"/>
      <w:start w:val="2"/>
    </w:lvl>
  </w:abstractNum>
  <w:abstractNum w:abstractNumId="729">
    <w:nsid w:val="1E5313D"/>
    <w:multiLevelType w:val="hybridMultilevel"/>
    <w:lvl w:ilvl="0">
      <w:lvlJc w:val="left"/>
      <w:lvlText w:val="(%1)"/>
      <w:numFmt w:val="upperLetter"/>
      <w:start w:val="1"/>
    </w:lvl>
    <w:lvl w:ilvl="1">
      <w:lvlJc w:val="left"/>
      <w:lvlText w:val="(%2)"/>
      <w:numFmt w:val="lowerLetter"/>
      <w:start w:val="3"/>
    </w:lvl>
  </w:abstractNum>
  <w:abstractNum w:abstractNumId="730">
    <w:nsid w:val="1B37F412"/>
    <w:multiLevelType w:val="hybridMultilevel"/>
    <w:lvl w:ilvl="0">
      <w:lvlJc w:val="left"/>
      <w:lvlText w:val="(%1)"/>
      <w:numFmt w:val="lowerLetter"/>
      <w:start w:val="6"/>
    </w:lvl>
  </w:abstractNum>
  <w:abstractNum w:abstractNumId="731">
    <w:nsid w:val="4C9BB1B"/>
    <w:multiLevelType w:val="hybridMultilevel"/>
    <w:lvl w:ilvl="0">
      <w:lvlJc w:val="left"/>
      <w:lvlText w:val="(%1)"/>
      <w:numFmt w:val="lowerLetter"/>
      <w:start w:val="1"/>
    </w:lvl>
  </w:abstractNum>
  <w:abstractNum w:abstractNumId="732">
    <w:nsid w:val="22766F7E"/>
    <w:multiLevelType w:val="hybridMultilevel"/>
    <w:lvl w:ilvl="0">
      <w:lvlJc w:val="left"/>
      <w:lvlText w:val="(%1)"/>
      <w:numFmt w:val="lowerLetter"/>
      <w:start w:val="4"/>
    </w:lvl>
  </w:abstractNum>
  <w:abstractNum w:abstractNumId="733">
    <w:nsid w:val="2936B69A"/>
    <w:multiLevelType w:val="hybridMultilevel"/>
    <w:lvl w:ilvl="0">
      <w:lvlJc w:val="left"/>
      <w:lvlText w:val="%1"/>
      <w:numFmt w:val="lowerRoman"/>
      <w:start w:val="1"/>
    </w:lvl>
    <w:lvl w:ilvl="1">
      <w:lvlJc w:val="left"/>
      <w:lvlText w:val="(%2)"/>
      <w:numFmt w:val="lowerLetter"/>
      <w:start w:val="1"/>
    </w:lvl>
  </w:abstractNum>
  <w:abstractNum w:abstractNumId="734">
    <w:nsid w:val="5E194EEC"/>
    <w:multiLevelType w:val="hybridMultilevel"/>
    <w:lvl w:ilvl="0">
      <w:lvlJc w:val="left"/>
      <w:lvlText w:val="(%1)"/>
      <w:numFmt w:val="lowerRoman"/>
      <w:start w:val="1"/>
    </w:lvl>
    <w:lvl w:ilvl="1">
      <w:lvlJc w:val="left"/>
      <w:lvlText w:val="%2"/>
      <w:numFmt w:val="lowerLetter"/>
      <w:start w:val="1"/>
    </w:lvl>
  </w:abstractNum>
  <w:abstractNum w:abstractNumId="735">
    <w:nsid w:val="3B69ECD"/>
    <w:multiLevelType w:val="hybridMultilevel"/>
    <w:lvl w:ilvl="0">
      <w:lvlJc w:val="left"/>
      <w:lvlText w:val="(%1)"/>
      <w:numFmt w:val="lowerLetter"/>
      <w:start w:val="2"/>
    </w:lvl>
  </w:abstractNum>
  <w:abstractNum w:abstractNumId="736">
    <w:nsid w:val="77361526"/>
    <w:multiLevelType w:val="hybridMultilevel"/>
    <w:lvl w:ilvl="0">
      <w:lvlJc w:val="left"/>
      <w:lvlText w:val="(%1)"/>
      <w:numFmt w:val="lowerLetter"/>
      <w:start w:val="1"/>
    </w:lvl>
  </w:abstractNum>
  <w:abstractNum w:abstractNumId="737">
    <w:nsid w:val="733886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738">
    <w:nsid w:val="5377D7E"/>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739">
    <w:nsid w:val="41751BB2"/>
    <w:multiLevelType w:val="hybridMultilevel"/>
    <w:lvl w:ilvl="0">
      <w:lvlJc w:val="left"/>
      <w:lvlText w:val="(%1)"/>
      <w:numFmt w:val="decimal"/>
      <w:start w:val="4"/>
    </w:lvl>
    <w:lvl w:ilvl="1">
      <w:lvlJc w:val="left"/>
      <w:lvlText w:val="(%2)"/>
      <w:numFmt w:val="lowerLetter"/>
      <w:start w:val="35"/>
    </w:lvl>
    <w:lvl w:ilvl="2">
      <w:lvlJc w:val="left"/>
      <w:lvlText w:val="%3"/>
      <w:numFmt w:val="lowerLetter"/>
      <w:start w:val="1"/>
    </w:lvl>
  </w:abstractNum>
  <w:abstractNum w:abstractNumId="740">
    <w:nsid w:val="5F3D3B70"/>
    <w:multiLevelType w:val="hybridMultilevel"/>
    <w:lvl w:ilvl="0">
      <w:lvlJc w:val="left"/>
      <w:lvlText w:val="(%1)"/>
      <w:numFmt w:val="decimal"/>
      <w:start w:val="1"/>
    </w:lvl>
    <w:lvl w:ilvl="1">
      <w:lvlJc w:val="left"/>
      <w:lvlText w:val="(%2)"/>
      <w:numFmt w:val="upperLetter"/>
      <w:start w:val="1"/>
    </w:lvl>
  </w:abstractNum>
  <w:abstractNum w:abstractNumId="741">
    <w:nsid w:val="223FA5B6"/>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742">
    <w:nsid w:val="29D0A5DF"/>
    <w:multiLevelType w:val="hybridMultilevel"/>
    <w:lvl w:ilvl="0">
      <w:lvlJc w:val="left"/>
      <w:lvlText w:val="%1"/>
      <w:numFmt w:val="decimal"/>
      <w:start w:val="1"/>
    </w:lvl>
    <w:lvl w:ilvl="1">
      <w:lvlJc w:val="left"/>
      <w:lvlText w:val="(%2)"/>
      <w:numFmt w:val="lowerRoman"/>
      <w:start w:val="10"/>
    </w:lvl>
    <w:lvl w:ilvl="2">
      <w:lvlJc w:val="left"/>
      <w:lvlText w:val="(%3)"/>
      <w:numFmt w:val="upperLetter"/>
      <w:start w:val="4"/>
    </w:lvl>
  </w:abstractNum>
  <w:abstractNum w:abstractNumId="743">
    <w:nsid w:val="442DC352"/>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744">
    <w:nsid w:val="37B526D2"/>
    <w:multiLevelType w:val="hybridMultilevel"/>
    <w:lvl w:ilvl="0">
      <w:lvlJc w:val="left"/>
      <w:lvlText w:val="(%1)"/>
      <w:numFmt w:val="lowerLetter"/>
      <w:start w:val="7"/>
    </w:lvl>
  </w:abstractNum>
  <w:abstractNum w:abstractNumId="745">
    <w:nsid w:val="7BE319E5"/>
    <w:multiLevelType w:val="hybridMultilevel"/>
    <w:lvl w:ilvl="0">
      <w:lvlJc w:val="left"/>
      <w:lvlText w:val="(%1)"/>
      <w:numFmt w:val="lowerLetter"/>
      <w:start w:val="11"/>
    </w:lvl>
  </w:abstractNum>
  <w:abstractNum w:abstractNumId="746">
    <w:nsid w:val="4A2CDADC"/>
    <w:multiLevelType w:val="hybridMultilevel"/>
    <w:lvl w:ilvl="0">
      <w:lvlJc w:val="left"/>
      <w:lvlText w:val="(%1)"/>
      <w:numFmt w:val="lowerLetter"/>
      <w:start w:val="1"/>
    </w:lvl>
  </w:abstractNum>
  <w:abstractNum w:abstractNumId="747">
    <w:nsid w:val="BB02F47"/>
    <w:multiLevelType w:val="hybridMultilevel"/>
    <w:lvl w:ilvl="0">
      <w:lvlJc w:val="left"/>
      <w:lvlText w:val="%1"/>
      <w:numFmt w:val="lowerRoman"/>
      <w:start w:val="1"/>
    </w:lvl>
    <w:lvl w:ilvl="1">
      <w:lvlJc w:val="left"/>
      <w:lvlText w:val="(%2)"/>
      <w:numFmt w:val="lowerLetter"/>
      <w:start w:val="6"/>
    </w:lvl>
  </w:abstractNum>
  <w:abstractNum w:abstractNumId="748">
    <w:nsid w:val="30DD9510"/>
    <w:multiLevelType w:val="hybridMultilevel"/>
    <w:lvl w:ilvl="0">
      <w:lvlJc w:val="left"/>
      <w:lvlText w:val="(%1)"/>
      <w:numFmt w:val="lowerRoman"/>
      <w:start w:val="1"/>
    </w:lvl>
    <w:lvl w:ilvl="1">
      <w:lvlJc w:val="left"/>
      <w:lvlText w:val="%2"/>
      <w:numFmt w:val="lowerLetter"/>
      <w:start w:val="1"/>
    </w:lvl>
  </w:abstractNum>
  <w:abstractNum w:abstractNumId="749">
    <w:nsid w:val="56D43898"/>
    <w:multiLevelType w:val="hybridMultilevel"/>
    <w:lvl w:ilvl="0">
      <w:lvlJc w:val="left"/>
      <w:lvlText w:val="(%1)"/>
      <w:numFmt w:val="lowerLetter"/>
      <w:start w:val="1"/>
    </w:lvl>
  </w:abstractNum>
  <w:abstractNum w:abstractNumId="750">
    <w:nsid w:val="76931B84"/>
    <w:multiLevelType w:val="hybridMultilevel"/>
    <w:lvl w:ilvl="0">
      <w:lvlJc w:val="left"/>
      <w:lvlText w:val="%1"/>
      <w:numFmt w:val="lowerLetter"/>
      <w:start w:val="1"/>
    </w:lvl>
    <w:lvl w:ilvl="1">
      <w:lvlJc w:val="left"/>
      <w:lvlText w:val="(%2)"/>
      <w:numFmt w:val="lowerLetter"/>
      <w:start w:val="2"/>
    </w:lvl>
  </w:abstractNum>
  <w:abstractNum w:abstractNumId="751">
    <w:nsid w:val="6C17FCD6"/>
    <w:multiLevelType w:val="hybridMultilevel"/>
    <w:lvl w:ilvl="0">
      <w:lvlJc w:val="left"/>
      <w:lvlText w:val="(%1)"/>
      <w:numFmt w:val="lowerLetter"/>
      <w:start w:val="35"/>
    </w:lvl>
    <w:lvl w:ilvl="1">
      <w:lvlJc w:val="left"/>
      <w:lvlText w:val="%2"/>
      <w:numFmt w:val="lowerLetter"/>
      <w:start w:val="1"/>
    </w:lvl>
  </w:abstractNum>
  <w:abstractNum w:abstractNumId="752">
    <w:nsid w:val="4FA4B5A1"/>
    <w:multiLevelType w:val="hybridMultilevel"/>
    <w:lvl w:ilvl="0">
      <w:lvlJc w:val="left"/>
      <w:lvlText w:val="(%1)"/>
      <w:numFmt w:val="lowerLetter"/>
      <w:start w:val="1"/>
    </w:lvl>
  </w:abstractNum>
  <w:abstractNum w:abstractNumId="753">
    <w:nsid w:val="3189923B"/>
    <w:multiLevelType w:val="hybridMultilevel"/>
    <w:lvl w:ilvl="0">
      <w:lvlJc w:val="left"/>
      <w:lvlText w:val="%1"/>
      <w:numFmt w:val="upperLetter"/>
      <w:start w:val="1"/>
    </w:lvl>
    <w:lvl w:ilvl="1">
      <w:lvlJc w:val="left"/>
      <w:lvlText w:val="(%2)"/>
      <w:numFmt w:val="lowerLetter"/>
      <w:start w:val="8"/>
    </w:lvl>
  </w:abstractNum>
  <w:abstractNum w:abstractNumId="754">
    <w:nsid w:val="5787D524"/>
    <w:multiLevelType w:val="hybridMultilevel"/>
    <w:lvl w:ilvl="0">
      <w:lvlJc w:val="left"/>
      <w:lvlText w:val="(%1)"/>
      <w:numFmt w:val="upperLetter"/>
      <w:start w:val="2"/>
    </w:lvl>
    <w:lvl w:ilvl="1">
      <w:lvlJc w:val="left"/>
      <w:lvlText w:val="%2"/>
      <w:numFmt w:val="lowerLetter"/>
      <w:start w:val="1"/>
    </w:lvl>
  </w:abstractNum>
  <w:abstractNum w:abstractNumId="755">
    <w:nsid w:val="19248B51"/>
    <w:multiLevelType w:val="hybridMultilevel"/>
    <w:lvl w:ilvl="0">
      <w:lvlJc w:val="left"/>
      <w:lvlText w:val="(%1)"/>
      <w:numFmt w:val="lowerLetter"/>
      <w:start w:val="1"/>
    </w:lvl>
  </w:abstractNum>
  <w:abstractNum w:abstractNumId="756">
    <w:nsid w:val="132F561F"/>
    <w:multiLevelType w:val="hybridMultilevel"/>
    <w:lvl w:ilvl="0">
      <w:lvlJc w:val="left"/>
      <w:lvlText w:val="%1"/>
      <w:numFmt w:val="lowerRoman"/>
      <w:start w:val="1"/>
    </w:lvl>
    <w:lvl w:ilvl="1">
      <w:lvlJc w:val="left"/>
      <w:lvlText w:val="(%2)"/>
      <w:numFmt w:val="lowerLetter"/>
      <w:start w:val="1"/>
    </w:lvl>
  </w:abstractNum>
  <w:abstractNum w:abstractNumId="757">
    <w:nsid w:val="67358E1D"/>
    <w:multiLevelType w:val="hybridMultilevel"/>
    <w:lvl w:ilvl="0">
      <w:lvlJc w:val="left"/>
      <w:lvlText w:val="(%1)"/>
      <w:numFmt w:val="lowerRoman"/>
      <w:start w:val="1"/>
    </w:lvl>
    <w:lvl w:ilvl="1">
      <w:lvlJc w:val="left"/>
      <w:lvlText w:val="(%2)"/>
      <w:numFmt w:val="lowerLetter"/>
      <w:start w:val="3"/>
    </w:lvl>
  </w:abstractNum>
  <w:abstractNum w:abstractNumId="758">
    <w:nsid w:val="570FD06B"/>
    <w:multiLevelType w:val="hybridMultilevel"/>
    <w:lvl w:ilvl="0">
      <w:lvlJc w:val="left"/>
      <w:lvlText w:val="(%1)"/>
      <w:numFmt w:val="lowerLetter"/>
      <w:start w:val="1"/>
    </w:lvl>
  </w:abstractNum>
  <w:abstractNum w:abstractNumId="759">
    <w:nsid w:val="1D86D5F5"/>
    <w:multiLevelType w:val="hybridMultilevel"/>
    <w:lvl w:ilvl="0">
      <w:lvlJc w:val="left"/>
      <w:lvlText w:val="(%1)"/>
      <w:numFmt w:val="lowerLetter"/>
      <w:start w:val="2"/>
    </w:lvl>
  </w:abstractNum>
  <w:abstractNum w:abstractNumId="760">
    <w:nsid w:val="691ABF5A"/>
    <w:multiLevelType w:val="hybridMultilevel"/>
    <w:lvl w:ilvl="0">
      <w:lvlJc w:val="left"/>
      <w:lvlText w:val="(%1)"/>
      <w:numFmt w:val="lowerLetter"/>
      <w:start w:val="1"/>
    </w:lvl>
  </w:abstractNum>
  <w:abstractNum w:abstractNumId="761">
    <w:nsid w:val="7247C47D"/>
    <w:multiLevelType w:val="hybridMultilevel"/>
    <w:lvl w:ilvl="0">
      <w:lvlJc w:val="left"/>
      <w:lvlText w:val="(%1)"/>
      <w:numFmt w:val="lowerLetter"/>
      <w:start w:val="2"/>
    </w:lvl>
  </w:abstractNum>
  <w:abstractNum w:abstractNumId="762">
    <w:nsid w:val="22509110"/>
    <w:multiLevelType w:val="hybridMultilevel"/>
    <w:lvl w:ilvl="0">
      <w:lvlJc w:val="left"/>
      <w:lvlText w:val="(%1)"/>
      <w:numFmt w:val="lowerLetter"/>
      <w:start w:val="1"/>
    </w:lvl>
  </w:abstractNum>
  <w:abstractNum w:abstractNumId="763">
    <w:nsid w:val="B912ED8"/>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7"/>
    </w:lvl>
  </w:abstractNum>
  <w:abstractNum w:abstractNumId="764">
    <w:nsid w:val="1B7E7B17"/>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765">
    <w:nsid w:val="69DFFC"/>
    <w:multiLevelType w:val="hybridMultilevel"/>
    <w:lvl w:ilvl="0">
      <w:lvlJc w:val="left"/>
      <w:lvlText w:val="(%1)"/>
      <w:numFmt w:val="upperLetter"/>
      <w:start w:val="1"/>
    </w:lvl>
    <w:lvl w:ilvl="1">
      <w:lvlJc w:val="left"/>
      <w:lvlText w:val="(%2)"/>
      <w:numFmt w:val="lowerRoman"/>
      <w:start w:val="3"/>
    </w:lvl>
    <w:lvl w:ilvl="2">
      <w:lvlJc w:val="left"/>
      <w:lvlText w:val="(%3)"/>
      <w:numFmt w:val="lowerLetter"/>
      <w:start w:val="10"/>
    </w:lvl>
  </w:abstractNum>
  <w:abstractNum w:abstractNumId="766">
    <w:nsid w:val="F47CDA5"/>
    <w:multiLevelType w:val="hybridMultilevel"/>
    <w:lvl w:ilvl="0">
      <w:lvlJc w:val="left"/>
      <w:lvlText w:val="(%1)"/>
      <w:numFmt w:val="lowerLetter"/>
      <w:start w:val="14"/>
    </w:lvl>
  </w:abstractNum>
  <w:abstractNum w:abstractNumId="767">
    <w:nsid w:val="12B4903D"/>
    <w:multiLevelType w:val="hybridMultilevel"/>
    <w:lvl w:ilvl="0">
      <w:lvlJc w:val="left"/>
      <w:lvlText w:val="(%1)"/>
      <w:numFmt w:val="lowerLetter"/>
      <w:start w:val="1"/>
    </w:lvl>
  </w:abstractNum>
  <w:abstractNum w:abstractNumId="768">
    <w:nsid w:val="73A2668C"/>
    <w:multiLevelType w:val="hybridMultilevel"/>
    <w:lvl w:ilvl="0">
      <w:lvlJc w:val="left"/>
      <w:lvlText w:val="(%1)"/>
      <w:numFmt w:val="lowerLetter"/>
      <w:start w:val="3"/>
    </w:lvl>
  </w:abstractNum>
  <w:abstractNum w:abstractNumId="769">
    <w:nsid w:val="147F4B24"/>
    <w:multiLevelType w:val="hybridMultilevel"/>
    <w:lvl w:ilvl="0">
      <w:lvlJc w:val="left"/>
      <w:lvlText w:val="(%1)"/>
      <w:numFmt w:val="lowerLetter"/>
      <w:start w:val="1"/>
    </w:lvl>
  </w:abstractNum>
  <w:abstractNum w:abstractNumId="770">
    <w:nsid w:val="5429ABEF"/>
    <w:multiLevelType w:val="hybridMultilevel"/>
    <w:lvl w:ilvl="0">
      <w:lvlJc w:val="left"/>
      <w:lvlText w:val="%1"/>
      <w:numFmt w:val="lowerLetter"/>
      <w:start w:val="1"/>
    </w:lvl>
    <w:lvl w:ilvl="1">
      <w:lvlJc w:val="left"/>
      <w:lvlText w:val="(%2)"/>
      <w:numFmt w:val="lowerLetter"/>
      <w:start w:val="7"/>
    </w:lvl>
  </w:abstractNum>
  <w:abstractNum w:abstractNumId="771">
    <w:nsid w:val="52DFA1FC"/>
    <w:multiLevelType w:val="hybridMultilevel"/>
    <w:lvl w:ilvl="0">
      <w:lvlJc w:val="left"/>
      <w:lvlText w:val="(%1)"/>
      <w:numFmt w:val="lowerLetter"/>
      <w:start w:val="61"/>
    </w:lvl>
    <w:lvl w:ilvl="1">
      <w:lvlJc w:val="left"/>
      <w:lvlText w:val="(%2)"/>
      <w:numFmt w:val="lowerLetter"/>
      <w:start w:val="8"/>
    </w:lvl>
  </w:abstractNum>
  <w:abstractNum w:abstractNumId="772">
    <w:nsid w:val="36BEF0DA"/>
    <w:multiLevelType w:val="hybridMultilevel"/>
    <w:lvl w:ilvl="0">
      <w:lvlJc w:val="left"/>
      <w:lvlText w:val="(%1)"/>
      <w:numFmt w:val="lowerLetter"/>
      <w:start w:val="1"/>
    </w:lvl>
  </w:abstractNum>
  <w:abstractNum w:abstractNumId="773">
    <w:nsid w:val="7DFA51CE"/>
    <w:multiLevelType w:val="hybridMultilevel"/>
    <w:lvl w:ilvl="0">
      <w:lvlJc w:val="left"/>
      <w:lvlText w:val="(%1)"/>
      <w:numFmt w:val="lowerLetter"/>
      <w:start w:val="2"/>
    </w:lvl>
  </w:abstractNum>
  <w:abstractNum w:abstractNumId="774">
    <w:nsid w:val="170D654E"/>
    <w:multiLevelType w:val="hybridMultilevel"/>
    <w:lvl w:ilvl="0">
      <w:lvlJc w:val="left"/>
      <w:lvlText w:val="(%1)"/>
      <w:numFmt w:val="lowerLetter"/>
      <w:start w:val="2"/>
    </w:lvl>
  </w:abstractNum>
  <w:abstractNum w:abstractNumId="775">
    <w:nsid w:val="6E7417AC"/>
    <w:multiLevelType w:val="hybridMultilevel"/>
    <w:lvl w:ilvl="0">
      <w:lvlJc w:val="left"/>
      <w:lvlText w:val="(%1)"/>
      <w:numFmt w:val="lowerRoman"/>
      <w:start w:val="2"/>
    </w:lvl>
  </w:abstractNum>
  <w:abstractNum w:abstractNumId="776">
    <w:nsid w:val="79DD6BB3"/>
    <w:multiLevelType w:val="hybridMultilevel"/>
    <w:lvl w:ilvl="0">
      <w:lvlJc w:val="left"/>
      <w:lvlText w:val="(%1)"/>
      <w:numFmt w:val="lowerLetter"/>
      <w:start w:val="1"/>
    </w:lvl>
  </w:abstractNum>
  <w:abstractNum w:abstractNumId="777">
    <w:nsid w:val="613A402A"/>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778">
    <w:nsid w:val="7A2446F3"/>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779">
    <w:nsid w:val="2ABB00C4"/>
    <w:multiLevelType w:val="hybridMultilevel"/>
    <w:lvl w:ilvl="0">
      <w:lvlJc w:val="left"/>
      <w:lvlText w:val="(%1)"/>
      <w:numFmt w:val="upperLetter"/>
      <w:start w:val="2"/>
    </w:lvl>
    <w:lvl w:ilvl="1">
      <w:lvlJc w:val="left"/>
      <w:lvlText w:val="%2"/>
      <w:numFmt w:val="lowerRoman"/>
      <w:start w:val="1"/>
    </w:lvl>
    <w:lvl w:ilvl="2">
      <w:lvlJc w:val="left"/>
      <w:lvlText w:val="%3"/>
      <w:numFmt w:val="lowerLetter"/>
      <w:start w:val="1"/>
    </w:lvl>
  </w:abstractNum>
  <w:abstractNum w:abstractNumId="780">
    <w:nsid w:val="380E78C3"/>
    <w:multiLevelType w:val="hybridMultilevel"/>
    <w:lvl w:ilvl="0">
      <w:lvlJc w:val="left"/>
      <w:lvlText w:val="%1"/>
      <w:numFmt w:val="upperLetter"/>
      <w:start w:val="1"/>
    </w:lvl>
    <w:lvl w:ilvl="1">
      <w:lvlJc w:val="left"/>
      <w:lvlText w:val="(%2)"/>
      <w:numFmt w:val="lowerRoman"/>
      <w:start w:val="7"/>
    </w:lvl>
  </w:abstractNum>
  <w:abstractNum w:abstractNumId="781">
    <w:nsid w:val="70B76277"/>
    <w:multiLevelType w:val="hybridMultilevel"/>
    <w:lvl w:ilvl="0">
      <w:lvlJc w:val="left"/>
      <w:lvlText w:val="(%1)"/>
      <w:numFmt w:val="upperLetter"/>
      <w:start w:val="2"/>
    </w:lvl>
    <w:lvl w:ilvl="1">
      <w:lvlJc w:val="left"/>
      <w:lvlText w:val="(%2)"/>
      <w:numFmt w:val="lowerRoman"/>
      <w:start w:val="8"/>
    </w:lvl>
  </w:abstractNum>
  <w:abstractNum w:abstractNumId="782">
    <w:nsid w:val="16D2FD9A"/>
    <w:multiLevelType w:val="hybridMultilevel"/>
    <w:lvl w:ilvl="0">
      <w:lvlJc w:val="left"/>
      <w:lvlText w:val="(%1)"/>
      <w:numFmt w:val="lowerRoman"/>
      <w:start w:val="19"/>
    </w:lvl>
  </w:abstractNum>
  <w:abstractNum w:abstractNumId="783">
    <w:nsid w:val="7B32E64"/>
    <w:multiLevelType w:val="hybridMultilevel"/>
    <w:lvl w:ilvl="0">
      <w:lvlJc w:val="left"/>
      <w:lvlText w:val="(%1)"/>
      <w:numFmt w:val="lowerLetter"/>
      <w:start w:val="2"/>
    </w:lvl>
  </w:abstractNum>
  <w:abstractNum w:abstractNumId="784">
    <w:nsid w:val="2240F4B2"/>
    <w:multiLevelType w:val="hybridMultilevel"/>
    <w:lvl w:ilvl="0">
      <w:lvlJc w:val="left"/>
      <w:lvlText w:val="(%1)"/>
      <w:numFmt w:val="lowerRoman"/>
      <w:start w:val="1"/>
    </w:lvl>
  </w:abstractNum>
  <w:abstractNum w:abstractNumId="785">
    <w:nsid w:val="6E5AD2BE"/>
    <w:multiLevelType w:val="hybridMultilevel"/>
    <w:lvl w:ilvl="0">
      <w:lvlJc w:val="left"/>
      <w:lvlText w:val="(%1)"/>
      <w:numFmt w:val="lowerRoman"/>
      <w:start w:val="6"/>
    </w:lvl>
  </w:abstractNum>
  <w:abstractNum w:abstractNumId="786">
    <w:nsid w:val="20D7B9B5"/>
    <w:multiLevelType w:val="hybridMultilevel"/>
    <w:lvl w:ilvl="0">
      <w:lvlJc w:val="left"/>
      <w:lvlText w:val="(%1)"/>
      <w:numFmt w:val="lowerLetter"/>
      <w:start w:val="2"/>
    </w:lvl>
  </w:abstractNum>
  <w:abstractNum w:abstractNumId="787">
    <w:nsid w:val="35704AD1"/>
    <w:multiLevelType w:val="hybridMultilevel"/>
    <w:lvl w:ilvl="0">
      <w:lvlJc w:val="left"/>
      <w:lvlText w:val="(%1)"/>
      <w:numFmt w:val="lowerLetter"/>
      <w:start w:val="1"/>
    </w:lvl>
  </w:abstractNum>
  <w:abstractNum w:abstractNumId="788">
    <w:nsid w:val="559060DB"/>
    <w:multiLevelType w:val="hybridMultilevel"/>
    <w:lvl w:ilvl="0">
      <w:lvlJc w:val="left"/>
      <w:lvlText w:val="(%1)"/>
      <w:numFmt w:val="lowerRoman"/>
      <w:start w:val="1"/>
    </w:lvl>
  </w:abstractNum>
  <w:abstractNum w:abstractNumId="789">
    <w:nsid w:val="77E78A20"/>
    <w:multiLevelType w:val="hybridMultilevel"/>
    <w:lvl w:ilvl="0">
      <w:lvlJc w:val="left"/>
      <w:lvlText w:val="(%1)"/>
      <w:numFmt w:val="lowerRoman"/>
      <w:start w:val="5"/>
    </w:lvl>
  </w:abstractNum>
  <w:abstractNum w:abstractNumId="790">
    <w:nsid w:val="52F720C6"/>
    <w:multiLevelType w:val="hybridMultilevel"/>
    <w:lvl w:ilvl="0">
      <w:lvlJc w:val="left"/>
      <w:lvlText w:val="(%1)"/>
      <w:numFmt w:val="lowerRoman"/>
      <w:start w:val="16"/>
    </w:lvl>
  </w:abstractNum>
  <w:abstractNum w:abstractNumId="791">
    <w:nsid w:val="3EAB2035"/>
    <w:multiLevelType w:val="hybridMultilevel"/>
    <w:lvl w:ilvl="0">
      <w:lvlJc w:val="left"/>
      <w:lvlText w:val="(%1)"/>
      <w:numFmt w:val="lowerRoman"/>
      <w:start w:val="18"/>
    </w:lvl>
    <w:lvl w:ilvl="1">
      <w:lvlJc w:val="left"/>
      <w:lvlText w:val="(%2)"/>
      <w:numFmt w:val="lowerLetter"/>
      <w:start w:val="2"/>
    </w:lvl>
  </w:abstractNum>
  <w:abstractNum w:abstractNumId="792">
    <w:nsid w:val="6A2F4E9D"/>
    <w:multiLevelType w:val="hybridMultilevel"/>
    <w:lvl w:ilvl="0">
      <w:lvlJc w:val="left"/>
      <w:lvlText w:val="(%1)"/>
      <w:numFmt w:val="lowerLetter"/>
      <w:start w:val="1"/>
    </w:lvl>
  </w:abstractNum>
  <w:abstractNum w:abstractNumId="793">
    <w:nsid w:val="7547B1D6"/>
    <w:multiLevelType w:val="hybridMultilevel"/>
    <w:lvl w:ilvl="0">
      <w:lvlJc w:val="left"/>
      <w:lvlText w:val="(%1)"/>
      <w:numFmt w:val="lowerLetter"/>
      <w:start w:val="2"/>
    </w:lvl>
  </w:abstractNum>
  <w:abstractNum w:abstractNumId="794">
    <w:nsid w:val="4A3C4F0E"/>
    <w:multiLevelType w:val="hybridMultilevel"/>
    <w:lvl w:ilvl="0">
      <w:lvlJc w:val="left"/>
      <w:lvlText w:val="%1"/>
      <w:numFmt w:val="lowerRoman"/>
      <w:start w:val="1"/>
    </w:lvl>
    <w:lvl w:ilvl="1">
      <w:lvlJc w:val="left"/>
      <w:lvlText w:val="(%2)"/>
      <w:numFmt w:val="lowerLetter"/>
      <w:start w:val="1"/>
    </w:lvl>
  </w:abstractNum>
  <w:abstractNum w:abstractNumId="795">
    <w:nsid w:val="5ADC9B4"/>
    <w:multiLevelType w:val="hybridMultilevel"/>
    <w:lvl w:ilvl="0">
      <w:lvlJc w:val="left"/>
      <w:lvlText w:val="(%1)"/>
      <w:numFmt w:val="lowerRoman"/>
      <w:start w:val="1"/>
    </w:lvl>
    <w:lvl w:ilvl="1">
      <w:lvlJc w:val="left"/>
      <w:lvlText w:val="%2"/>
      <w:numFmt w:val="lowerLetter"/>
      <w:start w:val="1"/>
    </w:lvl>
  </w:abstractNum>
  <w:abstractNum w:abstractNumId="796">
    <w:nsid w:val="75B191D3"/>
    <w:multiLevelType w:val="hybridMultilevel"/>
    <w:lvl w:ilvl="0">
      <w:lvlJc w:val="left"/>
      <w:lvlText w:val="(%1)"/>
      <w:numFmt w:val="lowerRoman"/>
      <w:start w:val="7"/>
    </w:lvl>
  </w:abstractNum>
  <w:abstractNum w:abstractNumId="797">
    <w:nsid w:val="59841CB3"/>
    <w:multiLevelType w:val="hybridMultilevel"/>
    <w:lvl w:ilvl="0">
      <w:lvlJc w:val="left"/>
      <w:lvlText w:val="%1"/>
      <w:numFmt w:val="lowerRoman"/>
      <w:start w:val="1"/>
    </w:lvl>
    <w:lvl w:ilvl="1">
      <w:lvlJc w:val="left"/>
      <w:lvlText w:val="(%2)"/>
      <w:numFmt w:val="lowerLetter"/>
      <w:start w:val="2"/>
    </w:lvl>
  </w:abstractNum>
  <w:abstractNum w:abstractNumId="798">
    <w:nsid w:val="186259F2"/>
    <w:multiLevelType w:val="hybridMultilevel"/>
    <w:lvl w:ilvl="0">
      <w:lvlJc w:val="left"/>
      <w:lvlText w:val="(%1)"/>
      <w:numFmt w:val="lowerRoman"/>
      <w:start w:val="1"/>
    </w:lvl>
    <w:lvl w:ilvl="1">
      <w:lvlJc w:val="left"/>
      <w:lvlText w:val="%2"/>
      <w:numFmt w:val="lowerLetter"/>
      <w:start w:val="1"/>
    </w:lvl>
  </w:abstractNum>
  <w:abstractNum w:abstractNumId="799">
    <w:nsid w:val="6953F85F"/>
    <w:multiLevelType w:val="hybridMultilevel"/>
    <w:lvl w:ilvl="0">
      <w:lvlJc w:val="left"/>
      <w:lvlText w:val="(%1)"/>
      <w:numFmt w:val="lowerLetter"/>
      <w:start w:val="1"/>
    </w:lvl>
  </w:abstractNum>
  <w:abstractNum w:abstractNumId="800">
    <w:nsid w:val="6E0367D7"/>
    <w:multiLevelType w:val="hybridMultilevel"/>
    <w:lvl w:ilvl="0">
      <w:lvlJc w:val="left"/>
      <w:lvlText w:val="(%1)"/>
      <w:numFmt w:val="lowerLetter"/>
      <w:start w:val="2"/>
    </w:lvl>
  </w:abstractNum>
  <w:abstractNum w:abstractNumId="801">
    <w:nsid w:val="6C8C05E1"/>
    <w:multiLevelType w:val="hybridMultilevel"/>
    <w:lvl w:ilvl="0">
      <w:lvlJc w:val="left"/>
      <w:lvlText w:val="(%1)"/>
      <w:numFmt w:val="lowerLetter"/>
      <w:start w:val="17"/>
    </w:lvl>
  </w:abstractNum>
  <w:abstractNum w:abstractNumId="802">
    <w:nsid w:val="3C339A5B"/>
    <w:multiLevelType w:val="hybridMultilevel"/>
    <w:lvl w:ilvl="0">
      <w:lvlJc w:val="left"/>
      <w:lvlText w:val="%1"/>
      <w:numFmt w:val="lowerRoman"/>
      <w:start w:val="1"/>
    </w:lvl>
    <w:lvl w:ilvl="1">
      <w:lvlJc w:val="left"/>
      <w:lvlText w:val="(%2)"/>
      <w:numFmt w:val="lowerLetter"/>
      <w:start w:val="1"/>
    </w:lvl>
  </w:abstractNum>
  <w:abstractNum w:abstractNumId="803">
    <w:nsid w:val="24C258B1"/>
    <w:multiLevelType w:val="hybridMultilevel"/>
    <w:lvl w:ilvl="0">
      <w:lvlJc w:val="left"/>
      <w:lvlText w:val="(%1)"/>
      <w:numFmt w:val="lowerRoman"/>
      <w:start w:val="7"/>
    </w:lvl>
    <w:lvl w:ilvl="1">
      <w:lvlJc w:val="left"/>
      <w:lvlText w:val="(%2)"/>
      <w:numFmt w:val="lowerLetter"/>
      <w:start w:val="3"/>
    </w:lvl>
  </w:abstractNum>
  <w:abstractNum w:abstractNumId="804">
    <w:nsid w:val="6A8657B0"/>
    <w:multiLevelType w:val="hybridMultilevel"/>
    <w:lvl w:ilvl="0">
      <w:lvlJc w:val="left"/>
      <w:lvlText w:val="(%1)"/>
      <w:numFmt w:val="lowerLetter"/>
      <w:start w:val="1"/>
    </w:lvl>
  </w:abstractNum>
  <w:abstractNum w:abstractNumId="805">
    <w:nsid w:val="5340FFA9"/>
    <w:multiLevelType w:val="hybridMultilevel"/>
    <w:lvl w:ilvl="0">
      <w:lvlJc w:val="left"/>
      <w:lvlText w:val="(%1)"/>
      <w:numFmt w:val="lowerLetter"/>
      <w:start w:val="1"/>
    </w:lvl>
  </w:abstractNum>
  <w:abstractNum w:abstractNumId="806">
    <w:nsid w:val="1336705D"/>
    <w:multiLevelType w:val="hybridMultilevel"/>
    <w:lvl w:ilvl="0">
      <w:lvlJc w:val="left"/>
      <w:lvlText w:val="(%1)"/>
      <w:numFmt w:val="lowerLetter"/>
      <w:start w:val="7"/>
    </w:lvl>
  </w:abstractNum>
  <w:abstractNum w:abstractNumId="807">
    <w:nsid w:val="6463C363"/>
    <w:multiLevelType w:val="hybridMultilevel"/>
    <w:lvl w:ilvl="0">
      <w:lvlJc w:val="left"/>
      <w:lvlText w:val="(%1)"/>
      <w:numFmt w:val="lowerLetter"/>
      <w:start w:val="12"/>
    </w:lvl>
  </w:abstractNum>
  <w:abstractNum w:abstractNumId="808">
    <w:nsid w:val="347B3FD3"/>
    <w:multiLevelType w:val="hybridMultilevel"/>
    <w:lvl w:ilvl="0">
      <w:lvlJc w:val="left"/>
      <w:lvlText w:val="(%1)"/>
      <w:numFmt w:val="lowerRoman"/>
      <w:start w:val="5"/>
    </w:lvl>
  </w:abstractNum>
  <w:abstractNum w:abstractNumId="809">
    <w:nsid w:val="D5AB751"/>
    <w:multiLevelType w:val="hybridMultilevel"/>
    <w:lvl w:ilvl="0">
      <w:lvlJc w:val="left"/>
      <w:lvlText w:val="(%1)"/>
      <w:numFmt w:val="upperLetter"/>
      <w:start w:val="1"/>
    </w:lvl>
  </w:abstractNum>
  <w:abstractNum w:abstractNumId="810">
    <w:nsid w:val="F1EC427"/>
    <w:multiLevelType w:val="hybridMultilevel"/>
    <w:lvl w:ilvl="0">
      <w:lvlJc w:val="left"/>
      <w:lvlText w:val="(%1)"/>
      <w:numFmt w:val="lowerLetter"/>
      <w:start w:val="1"/>
    </w:lvl>
  </w:abstractNum>
  <w:abstractNum w:abstractNumId="811">
    <w:nsid w:val="6C89B896"/>
    <w:multiLevelType w:val="hybridMultilevel"/>
    <w:lvl w:ilvl="0">
      <w:lvlJc w:val="left"/>
      <w:lvlText w:val="%1"/>
      <w:numFmt w:val="lowerRoman"/>
      <w:start w:val="1"/>
    </w:lvl>
    <w:lvl w:ilvl="1">
      <w:lvlJc w:val="left"/>
      <w:lvlText w:val="(%2)"/>
      <w:numFmt w:val="lowerLetter"/>
      <w:start w:val="2"/>
    </w:lvl>
  </w:abstractNum>
  <w:abstractNum w:abstractNumId="812">
    <w:nsid w:val="7E1219C8"/>
    <w:multiLevelType w:val="hybridMultilevel"/>
    <w:lvl w:ilvl="0">
      <w:lvlJc w:val="left"/>
      <w:lvlText w:val="(%1)"/>
      <w:numFmt w:val="lowerRoman"/>
      <w:start w:val="1"/>
    </w:lvl>
    <w:lvl w:ilvl="1">
      <w:lvlJc w:val="left"/>
      <w:lvlText w:val="(%2)"/>
      <w:numFmt w:val="lowerLetter"/>
      <w:start w:val="3"/>
    </w:lvl>
  </w:abstractNum>
  <w:abstractNum w:abstractNumId="813">
    <w:nsid w:val="25F1C1C1"/>
    <w:multiLevelType w:val="hybridMultilevel"/>
    <w:lvl w:ilvl="0">
      <w:lvlJc w:val="left"/>
      <w:lvlText w:val="(%1)"/>
      <w:numFmt w:val="lowerLetter"/>
      <w:start w:val="4"/>
    </w:lvl>
  </w:abstractNum>
  <w:abstractNum w:abstractNumId="814">
    <w:nsid w:val="743CE6FA"/>
    <w:multiLevelType w:val="hybridMultilevel"/>
    <w:lvl w:ilvl="0">
      <w:lvlJc w:val="left"/>
      <w:lvlText w:val="(%1)"/>
      <w:numFmt w:val="lowerLetter"/>
      <w:start w:val="1"/>
    </w:lvl>
  </w:abstractNum>
  <w:abstractNum w:abstractNumId="815">
    <w:nsid w:val="20530E7B"/>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2"/>
    </w:lvl>
  </w:abstractNum>
  <w:abstractNum w:abstractNumId="816">
    <w:nsid w:val="144C9480"/>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3"/>
    </w:lvl>
  </w:abstractNum>
  <w:abstractNum w:abstractNumId="817">
    <w:nsid w:val="1514A0AF"/>
    <w:multiLevelType w:val="hybridMultilevel"/>
    <w:lvl w:ilvl="0">
      <w:lvlJc w:val="left"/>
      <w:lvlText w:val="%1"/>
      <w:numFmt w:val="lowerRoman"/>
      <w:start w:val="1"/>
    </w:lvl>
    <w:lvl w:ilvl="1">
      <w:lvlJc w:val="left"/>
      <w:lvlText w:val="(%2)"/>
      <w:numFmt w:val="lowerLetter"/>
      <w:start w:val="1"/>
    </w:lvl>
  </w:abstractNum>
  <w:abstractNum w:abstractNumId="818">
    <w:nsid w:val="55C3594C"/>
    <w:multiLevelType w:val="hybridMultilevel"/>
    <w:lvl w:ilvl="0">
      <w:lvlJc w:val="left"/>
      <w:lvlText w:val="(%1)"/>
      <w:numFmt w:val="lowerRoman"/>
      <w:start w:val="1"/>
    </w:lvl>
    <w:lvl w:ilvl="1">
      <w:lvlJc w:val="left"/>
      <w:lvlText w:val="%2"/>
      <w:numFmt w:val="lowerLetter"/>
      <w:start w:val="1"/>
    </w:lvl>
  </w:abstractNum>
  <w:abstractNum w:abstractNumId="819">
    <w:nsid w:val="69DCF55B"/>
    <w:multiLevelType w:val="hybridMultilevel"/>
    <w:lvl w:ilvl="0">
      <w:lvlJc w:val="left"/>
      <w:lvlText w:val="(%1)"/>
      <w:numFmt w:val="lowerRoman"/>
      <w:start w:val="5"/>
    </w:lvl>
  </w:abstractNum>
  <w:abstractNum w:abstractNumId="820">
    <w:nsid w:val="CFC2ACF"/>
    <w:multiLevelType w:val="hybridMultilevel"/>
    <w:lvl w:ilvl="0">
      <w:lvlJc w:val="left"/>
      <w:lvlText w:val="(%1)"/>
      <w:numFmt w:val="lowerRoman"/>
      <w:start w:val="8"/>
    </w:lvl>
  </w:abstractNum>
  <w:abstractNum w:abstractNumId="821">
    <w:nsid w:val="28BA7A13"/>
    <w:multiLevelType w:val="hybridMultilevel"/>
    <w:lvl w:ilvl="0">
      <w:lvlJc w:val="left"/>
      <w:lvlText w:val="(%1)"/>
      <w:numFmt w:val="lowerLetter"/>
      <w:start w:val="3"/>
    </w:lvl>
  </w:abstractNum>
  <w:abstractNum w:abstractNumId="822">
    <w:nsid w:val="28881591"/>
    <w:multiLevelType w:val="hybridMultilevel"/>
    <w:lvl w:ilvl="0">
      <w:lvlJc w:val="left"/>
      <w:lvlText w:val="%1"/>
      <w:numFmt w:val="lowerLetter"/>
      <w:start w:val="1"/>
    </w:lvl>
    <w:lvl w:ilvl="1">
      <w:lvlJc w:val="left"/>
      <w:lvlText w:val="(%2)"/>
      <w:numFmt w:val="lowerLetter"/>
      <w:start w:val="1"/>
    </w:lvl>
  </w:abstractNum>
  <w:abstractNum w:abstractNumId="823">
    <w:nsid w:val="772B796C"/>
    <w:multiLevelType w:val="hybridMultilevel"/>
    <w:lvl w:ilvl="0">
      <w:lvlJc w:val="left"/>
      <w:lvlText w:val="(%1)"/>
      <w:numFmt w:val="lowerLetter"/>
      <w:start w:val="35"/>
    </w:lvl>
    <w:lvl w:ilvl="1">
      <w:lvlJc w:val="left"/>
      <w:lvlText w:val="%2"/>
      <w:numFmt w:val="lowerLetter"/>
      <w:start w:val="1"/>
    </w:lvl>
  </w:abstractNum>
  <w:abstractNum w:abstractNumId="824">
    <w:nsid w:val="1E022BE9"/>
    <w:multiLevelType w:val="hybridMultilevel"/>
    <w:lvl w:ilvl="0">
      <w:lvlJc w:val="left"/>
      <w:lvlText w:val="(%1)"/>
      <w:numFmt w:val="lowerLetter"/>
      <w:start w:val="3"/>
    </w:lvl>
  </w:abstractNum>
  <w:abstractNum w:abstractNumId="825">
    <w:nsid w:val="72C4649F"/>
    <w:multiLevelType w:val="hybridMultilevel"/>
    <w:lvl w:ilvl="0">
      <w:lvlJc w:val="left"/>
      <w:lvlText w:val="(%1)"/>
      <w:numFmt w:val="lowerLetter"/>
      <w:start w:val="1"/>
    </w:lvl>
  </w:abstractNum>
  <w:abstractNum w:abstractNumId="826">
    <w:nsid w:val="7CD94321"/>
    <w:multiLevelType w:val="hybridMultilevel"/>
    <w:lvl w:ilvl="0">
      <w:lvlJc w:val="left"/>
      <w:lvlText w:val="%1"/>
      <w:numFmt w:val="decimal"/>
      <w:start w:val="1"/>
    </w:lvl>
    <w:lvl w:ilvl="1">
      <w:lvlJc w:val="left"/>
      <w:lvlText w:val="(%2)"/>
      <w:numFmt w:val="lowerLetter"/>
      <w:start w:val="2"/>
    </w:lvl>
  </w:abstractNum>
  <w:abstractNum w:abstractNumId="827">
    <w:nsid w:val="13B3BDBC"/>
    <w:multiLevelType w:val="hybridMultilevel"/>
    <w:lvl w:ilvl="0">
      <w:lvlJc w:val="left"/>
      <w:lvlText w:val="(%1)"/>
      <w:numFmt w:val="decimal"/>
      <w:start w:val="1"/>
    </w:lvl>
    <w:lvl w:ilvl="1">
      <w:lvlJc w:val="left"/>
      <w:lvlText w:val="%2"/>
      <w:numFmt w:val="lowerLetter"/>
      <w:start w:val="1"/>
    </w:lvl>
  </w:abstractNum>
  <w:abstractNum w:abstractNumId="828">
    <w:nsid w:val="4C488152"/>
    <w:multiLevelType w:val="hybridMultilevel"/>
    <w:lvl w:ilvl="0">
      <w:lvlJc w:val="left"/>
      <w:lvlText w:val="(%1)"/>
      <w:numFmt w:val="decimal"/>
      <w:start w:val="1"/>
    </w:lvl>
  </w:abstractNum>
  <w:abstractNum w:abstractNumId="829">
    <w:nsid w:val="153B9D13"/>
    <w:multiLevelType w:val="hybridMultilevel"/>
    <w:lvl w:ilvl="0">
      <w:lvlJc w:val="left"/>
      <w:lvlText w:val="(%1)"/>
      <w:numFmt w:val="decimal"/>
      <w:start w:val="2"/>
    </w:lvl>
  </w:abstractNum>
  <w:abstractNum w:abstractNumId="830">
    <w:nsid w:val="7D07B61B"/>
    <w:multiLevelType w:val="hybridMultilevel"/>
    <w:lvl w:ilvl="0">
      <w:lvlJc w:val="left"/>
      <w:lvlText w:val="(%1)"/>
      <w:numFmt w:val="lowerLetter"/>
      <w:start w:val="3"/>
    </w:lvl>
  </w:abstractNum>
  <w:abstractNum w:abstractNumId="831">
    <w:nsid w:val="3A4BE92A"/>
    <w:multiLevelType w:val="hybridMultilevel"/>
    <w:lvl w:ilvl="0">
      <w:lvlJc w:val="left"/>
      <w:lvlText w:val="(%1)"/>
      <w:numFmt w:val="lowerLetter"/>
      <w:start w:val="9"/>
    </w:lvl>
    <w:lvl w:ilvl="1">
      <w:lvlJc w:val="left"/>
      <w:lvlText w:val="(%2)"/>
      <w:numFmt w:val="lowerLetter"/>
      <w:start w:val="5"/>
    </w:lvl>
  </w:abstractNum>
  <w:abstractNum w:abstractNumId="832">
    <w:nsid w:val="1C7A2F4"/>
    <w:multiLevelType w:val="hybridMultilevel"/>
    <w:lvl w:ilvl="0">
      <w:lvlJc w:val="left"/>
      <w:lvlText w:val="(%1)"/>
      <w:numFmt w:val="lowerLetter"/>
      <w:start w:val="7"/>
    </w:lvl>
  </w:abstractNum>
  <w:abstractNum w:abstractNumId="833">
    <w:nsid w:val="393B5076"/>
    <w:multiLevelType w:val="hybridMultilevel"/>
    <w:lvl w:ilvl="0">
      <w:lvlJc w:val="left"/>
      <w:lvlText w:val="(%1)"/>
      <w:numFmt w:val="lowerLetter"/>
      <w:start w:val="1"/>
    </w:lvl>
  </w:abstractNum>
  <w:abstractNum w:abstractNumId="834">
    <w:nsid w:val="5F0E41DB"/>
    <w:multiLevelType w:val="hybridMultilevel"/>
    <w:lvl w:ilvl="0">
      <w:lvlJc w:val="left"/>
      <w:lvlText w:val="%1"/>
      <w:numFmt w:val="lowerRoman"/>
      <w:start w:val="1"/>
    </w:lvl>
    <w:lvl w:ilvl="1">
      <w:lvlJc w:val="left"/>
      <w:lvlText w:val="(%2)"/>
      <w:numFmt w:val="lowerLetter"/>
      <w:start w:val="1"/>
    </w:lvl>
  </w:abstractNum>
  <w:abstractNum w:abstractNumId="835">
    <w:nsid w:val="6C4DFAA4"/>
    <w:multiLevelType w:val="hybridMultilevel"/>
    <w:lvl w:ilvl="0">
      <w:lvlJc w:val="left"/>
      <w:lvlText w:val="(%1)"/>
      <w:numFmt w:val="lowerRoman"/>
      <w:start w:val="1"/>
    </w:lvl>
    <w:lvl w:ilvl="1">
      <w:lvlJc w:val="left"/>
      <w:lvlText w:val="%2"/>
      <w:numFmt w:val="lowerLetter"/>
      <w:start w:val="1"/>
    </w:lvl>
  </w:abstractNum>
  <w:abstractNum w:abstractNumId="836">
    <w:nsid w:val="C7C501F"/>
    <w:multiLevelType w:val="hybridMultilevel"/>
    <w:lvl w:ilvl="0">
      <w:lvlJc w:val="left"/>
      <w:lvlText w:val="(%1)"/>
      <w:numFmt w:val="upperLetter"/>
      <w:start w:val="19"/>
    </w:lvl>
  </w:abstractNum>
  <w:abstractNum w:abstractNumId="837">
    <w:nsid w:val="7244B239"/>
    <w:multiLevelType w:val="hybridMultilevel"/>
    <w:lvl w:ilvl="0">
      <w:lvlJc w:val="left"/>
      <w:lvlText w:val="(%1)"/>
      <w:numFmt w:val="lowerLetter"/>
      <w:start w:val="2"/>
    </w:lvl>
  </w:abstractNum>
  <w:abstractNum w:abstractNumId="838">
    <w:nsid w:val="50B1BE08"/>
    <w:multiLevelType w:val="hybridMultilevel"/>
    <w:lvl w:ilvl="0">
      <w:lvlJc w:val="left"/>
      <w:lvlText w:val="%1."/>
      <w:numFmt w:val="decimal"/>
      <w:start w:val="1"/>
    </w:lvl>
  </w:abstractNum>
  <w:abstractNum w:abstractNumId="839">
    <w:nsid w:val="40F78FF3"/>
    <w:multiLevelType w:val="hybridMultilevel"/>
    <w:lvl w:ilvl="0">
      <w:lvlJc w:val="left"/>
      <w:lvlText w:val="%1."/>
      <w:numFmt w:val="decimal"/>
      <w:start w:val="3"/>
    </w:lvl>
  </w:abstractNum>
  <w:abstractNum w:abstractNumId="840">
    <w:nsid w:val="7F9F698A"/>
    <w:multiLevelType w:val="hybridMultilevel"/>
    <w:lvl w:ilvl="0">
      <w:lvlJc w:val="left"/>
      <w:lvlText w:val="1"/>
      <w:numFmt w:val="bullet"/>
      <w:start w:val="1"/>
    </w:lvl>
  </w:abstractNum>
  <w:abstractNum w:abstractNumId="841">
    <w:nsid w:val="5FD0822F"/>
    <w:multiLevelType w:val="hybridMultilevel"/>
    <w:lvl w:ilvl="0">
      <w:lvlJc w:val="left"/>
      <w:lvlText w:val="2"/>
      <w:numFmt w:val="bullet"/>
      <w:start w:val="1"/>
    </w:lvl>
  </w:abstractNum>
  <w:abstractNum w:abstractNumId="842">
    <w:nsid w:val="2D814889"/>
    <w:multiLevelType w:val="hybridMultilevel"/>
    <w:lvl w:ilvl="0">
      <w:lvlJc w:val="left"/>
      <w:lvlText w:val="3"/>
      <w:numFmt w:val="bullet"/>
      <w:start w:val="1"/>
    </w:lvl>
  </w:abstractNum>
  <w:abstractNum w:abstractNumId="843">
    <w:nsid w:val="7DB18352"/>
    <w:multiLevelType w:val="hybridMultilevel"/>
    <w:lvl w:ilvl="0">
      <w:lvlJc w:val="left"/>
      <w:lvlText w:val="4"/>
      <w:numFmt w:val="bullet"/>
      <w:start w:val="1"/>
    </w:lvl>
  </w:abstractNum>
  <w:abstractNum w:abstractNumId="844">
    <w:nsid w:val="5C243F1"/>
    <w:multiLevelType w:val="hybridMultilevel"/>
    <w:lvl w:ilvl="0">
      <w:lvlJc w:val="left"/>
      <w:lvlText w:val="5"/>
      <w:numFmt w:val="bullet"/>
      <w:start w:val="1"/>
    </w:lvl>
  </w:abstractNum>
  <w:abstractNum w:abstractNumId="845">
    <w:nsid w:val="21BE2F84"/>
    <w:multiLevelType w:val="hybridMultilevel"/>
    <w:lvl w:ilvl="0">
      <w:lvlJc w:val="left"/>
      <w:lvlText w:val="%1."/>
      <w:numFmt w:val="decimal"/>
      <w:start w:val="1"/>
    </w:lvl>
  </w:abstractNum>
  <w:abstractNum w:abstractNumId="846">
    <w:nsid w:val="1E0491CD"/>
    <w:multiLevelType w:val="hybridMultilevel"/>
    <w:lvl w:ilvl="0">
      <w:lvlJc w:val="left"/>
      <w:lvlText w:val="(%1)"/>
      <w:numFmt w:val="lowerRoman"/>
      <w:start w:val="2"/>
    </w:lvl>
  </w:abstractNum>
  <w:abstractNum w:abstractNumId="847">
    <w:nsid w:val="1A0ED871"/>
    <w:multiLevelType w:val="hybridMultilevel"/>
    <w:lvl w:ilvl="0">
      <w:lvlJc w:val="left"/>
      <w:lvlText w:val="%1."/>
      <w:numFmt w:val="decimal"/>
      <w:start w:val="2"/>
    </w:lvl>
  </w:abstractNum>
  <w:abstractNum w:abstractNumId="848">
    <w:nsid w:val="36D2D033"/>
    <w:multiLevelType w:val="hybridMultilevel"/>
    <w:lvl w:ilvl="0">
      <w:lvlJc w:val="left"/>
      <w:lvlText w:val="6"/>
      <w:numFmt w:val="bullet"/>
      <w:start w:val="1"/>
    </w:lvl>
  </w:abstractNum>
  <w:abstractNum w:abstractNumId="849">
    <w:nsid w:val="73C7EB1A"/>
    <w:multiLevelType w:val="hybridMultilevel"/>
    <w:lvl w:ilvl="0">
      <w:lvlJc w:val="left"/>
      <w:lvlText w:val="7"/>
      <w:numFmt w:val="bullet"/>
      <w:start w:val="1"/>
    </w:lvl>
  </w:abstractNum>
  <w:abstractNum w:abstractNumId="850">
    <w:nsid w:val="3EBCDCC"/>
    <w:multiLevelType w:val="hybridMultilevel"/>
    <w:lvl w:ilvl="0">
      <w:lvlJc w:val="left"/>
      <w:lvlText w:val="8"/>
      <w:numFmt w:val="bullet"/>
      <w:start w:val="1"/>
    </w:lvl>
  </w:abstractNum>
  <w:abstractNum w:abstractNumId="851">
    <w:nsid w:val="43CEFB03"/>
    <w:multiLevelType w:val="hybridMultilevel"/>
    <w:lvl w:ilvl="0">
      <w:lvlJc w:val="left"/>
      <w:lvlText w:val="9"/>
      <w:numFmt w:val="bullet"/>
      <w:start w:val="1"/>
    </w:lvl>
  </w:abstractNum>
  <w:abstractNum w:abstractNumId="852">
    <w:nsid w:val="1C82652D"/>
    <w:multiLevelType w:val="hybridMultilevel"/>
    <w:lvl w:ilvl="0">
      <w:lvlJc w:val="left"/>
      <w:lvlText w:val="(%1)"/>
      <w:numFmt w:val="upperLetter"/>
      <w:start w:val="1"/>
    </w:lvl>
  </w:abstractNum>
  <w:abstractNum w:abstractNumId="853">
    <w:nsid w:val="2C73E35D"/>
    <w:multiLevelType w:val="hybridMultilevel"/>
    <w:lvl w:ilvl="0">
      <w:lvlJc w:val="left"/>
      <w:lvlText w:val="%1"/>
      <w:numFmt w:val="decimal"/>
      <w:start w:val="10"/>
    </w:lvl>
  </w:abstractNum>
  <w:abstractNum w:abstractNumId="854">
    <w:nsid w:val="3AFA746F"/>
    <w:multiLevelType w:val="hybridMultilevel"/>
    <w:lvl w:ilvl="0">
      <w:lvlJc w:val="left"/>
      <w:lvlText w:val="(%1)"/>
      <w:numFmt w:val="lowerRoman"/>
      <w:start w:val="4"/>
    </w:lvl>
  </w:abstractNum>
  <w:abstractNum w:abstractNumId="855">
    <w:nsid w:val="3A84911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2024-05-22T14:43:57Z</dcterms:created>
  <dcterms:modified xsi:type="dcterms:W3CDTF">2024-05-22T14:43:57Z</dcterms:modified>
</cp:coreProperties>
</file>